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48.xml" ContentType="application/vnd.openxmlformats-officedocument.wordprocessingml.header+xml"/>
  <Override PartName="/word/footer_default_42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12757000005188 DE 2024</w:t>
      </w:r>
    </w:p>
    <w:p>
      <w:pPr>
        <w:jc w:val="center"/>
        <w:outlineLvl w:val="1"/>
      </w:pPr>
      <w:r>
        <w:rPr>
          <w:rFonts w:hAnsi="Arial"/>
          <w:rFonts w:ascii="Arial"/>
          <w:sz w:val="24"/>
          <w:color w:val="black"/>
        </w:rPr>
        <w:t xml:space="preserve">(enero 15)</w:t>
      </w:r>
    </w:p>
    <w:p>
      <w:pPr>
        <w:jc w:val="center"/>
        <w:outlineLvl w:val="1"/>
      </w:pPr>
      <w:r>
        <w:rPr>
          <w:rFonts w:hAnsi="Arial"/>
          <w:rFonts w:ascii="Arial"/>
          <w:sz w:val="24"/>
          <w:color w:val="black"/>
        </w:rPr>
        <w:t xml:space="preserve">Diario Oficial No. 52.639 de 15 de enero de 2024</w:t>
      </w:r>
    </w:p>
    <w:p>
      <w:pPr>
        <w:jc w:val="center"/>
        <w:outlineLvl w:val="1"/>
      </w:pPr>
      <w:rPr>
        <w:sz w:val="24"/>
        <w:color w:val="black"/>
      </w:rPr>
    </w:p>
    <w:p>
      <w:pPr>
        <w:jc w:val="center"/>
        <w:outlineLvl w:val="1"/>
      </w:pPr>
      <w:r>
        <w:rPr>
          <w:rFonts w:hAnsi="Arial"/>
          <w:rFonts w:ascii="Arial"/>
          <w:sz w:val="24"/>
          <w:color w:val="gray"/>
        </w:rPr>
        <w:t xml:space="preserve">DIRECCIÓN DE IMPUESTOS Y ADUANAS NACIONALES</w:t>
      </w:r>
    </w:p>
    <w:tbl>
      <w:tblGrid>
        <w:gridCol w:w="1100"/>
        <w:gridCol w:w="7720"/>
      </w:tblGrid>
      <w:tblPr>
        <w:tblW w:w="8838" w:type="dxa"/>
        <w:tblBorders/>
      </w:tblPr>
      <w:tr>
        <w:trPr/>
        <w:tc>
          <w:tcPr>
            <w:tcW w:w="1109" w:type="dxa"/>
            <w:tcMar/>
            <w:tcBorders/>
          </w:tcPr>
          <w:p>
            <w:pPr>
              <w:jc w:val="both"/>
            </w:pPr>
            <w:r>
              <w:rPr>
                <w:rFonts w:hAnsi="Arial"/>
                <w:rFonts w:ascii="Arial"/>
                <w:sz w:val="24"/>
                <w:b/>
                <w:color w:val="black"/>
              </w:rPr>
              <w:t xml:space="preserve">Para: </w:t>
            </w:r>
          </w:p>
        </w:tc>
        <w:tc>
          <w:tcPr>
            <w:tcW w:w="7729" w:type="dxa"/>
            <w:tcMar/>
            <w:tcBorders/>
          </w:tcPr>
          <w:p>
            <w:pPr>
              <w:jc w:val="both"/>
            </w:pPr>
            <w:r>
              <w:rPr>
                <w:rFonts w:hAnsi="Arial"/>
                <w:rFonts w:ascii="Arial"/>
                <w:sz w:val="24"/>
                <w:color w:val="black"/>
              </w:rPr>
              <w:t xml:space="preserve">Funcionarios de la DIAN, importadores y demás usuarios del Comercio Exterior </w:t>
            </w:r>
          </w:p>
        </w:tc>
      </w:tr>
      <w:tr>
        <w:trPr/>
        <w:tc>
          <w:tcPr>
            <w:tcW w:w="1109" w:type="dxa"/>
            <w:tcMar/>
            <w:tcBorders/>
          </w:tcPr>
          <w:p>
            <w:pPr>
              <w:jc w:val="both"/>
            </w:pPr>
            <w:r>
              <w:rPr>
                <w:rFonts w:hAnsi="Arial"/>
                <w:rFonts w:ascii="Arial"/>
                <w:sz w:val="24"/>
                <w:b/>
                <w:color w:val="black"/>
              </w:rPr>
              <w:t xml:space="preserve">De: </w:t>
            </w:r>
          </w:p>
        </w:tc>
        <w:tc>
          <w:tcPr>
            <w:tcW w:w="7729" w:type="dxa"/>
            <w:tcMar/>
            <w:tcBorders/>
          </w:tcPr>
          <w:p>
            <w:pPr>
              <w:jc w:val="both"/>
            </w:pPr>
            <w:r>
              <w:rPr>
                <w:rFonts w:hAnsi="Arial"/>
                <w:rFonts w:ascii="Arial"/>
                <w:sz w:val="24"/>
                <w:color w:val="black"/>
              </w:rPr>
              <w:t xml:space="preserve">Director de Gestión de Aduanas </w:t>
            </w:r>
          </w:p>
        </w:tc>
      </w:tr>
      <w:tr>
        <w:trPr/>
        <w:tc>
          <w:tcPr>
            <w:tcW w:w="1109" w:type="dxa"/>
            <w:tcMar/>
            <w:tcBorders/>
          </w:tcPr>
          <w:p>
            <w:pPr>
              <w:jc w:val="both"/>
            </w:pPr>
            <w:r>
              <w:rPr>
                <w:rFonts w:hAnsi="Arial"/>
                <w:rFonts w:ascii="Arial"/>
                <w:sz w:val="24"/>
                <w:b/>
                <w:color w:val="black"/>
              </w:rPr>
              <w:t xml:space="preserve">Asunto: </w:t>
            </w:r>
          </w:p>
        </w:tc>
        <w:tc>
          <w:tcPr>
            <w:tcW w:w="7729" w:type="dxa"/>
            <w:tcMar/>
            <w:tcBorders/>
          </w:tcPr>
          <w:p>
            <w:pPr>
              <w:jc w:val="both"/>
            </w:pPr>
            <w:r>
              <w:rPr>
                <w:rFonts w:hAnsi="Arial"/>
                <w:rFonts w:ascii="Arial"/>
                <w:sz w:val="24"/>
                <w:color w:val="black"/>
              </w:rPr>
              <w:t xml:space="preserve">Gravámenes ad 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outlineLvl w:val="1"/>
      </w:pPr>
      <w:rPr>
        <w:sz w:val="24"/>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953000" cy="27051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953000" cy="2705100"/>
                    </a:xfrm>
                    <a:prstGeom prst="rect">
                      <a:avLst/>
                    </a:prstGeom>
                  </pic:spPr>
                </pic:pic>
              </a:graphicData>
            </a:graphic>
          </wp:inline>
        </w:drawing>
      </w:r>
    </w:p>
    <w:p>
      <w:pPr>
        <w:jc w:val="center"/>
        <w:outlineLvl w:val="1"/>
      </w:pPr>
      <w:r>
        <w:drawing>
          <wp:inline distT="0" distB="0" distL="0" distR="0">
            <wp:extent cx="3962400" cy="514350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962400" cy="5143500"/>
                    </a:xfrm>
                    <a:prstGeom prst="rect">
                      <a:avLst/>
                    </a:prstGeom>
                  </pic:spPr>
                </pic:pic>
              </a:graphicData>
            </a:graphic>
          </wp:inline>
        </w:drawing>
      </w:r>
    </w:p>
    <w:p>
      <w:pPr>
        <w:jc w:val="center"/>
        <w:outlineLvl w:val="1"/>
      </w:pPr>
      <w:r>
        <w:drawing>
          <wp:inline distT="0" distB="0" distL="0" distR="0">
            <wp:extent cx="3962400" cy="515302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962400" cy="5153025"/>
                    </a:xfrm>
                    <a:prstGeom prst="rect">
                      <a:avLst/>
                    </a:prstGeom>
                  </pic:spPr>
                </pic:pic>
              </a:graphicData>
            </a:graphic>
          </wp:inline>
        </w:drawing>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4248"/>
      <w:footerReference w:type="default" r:id="eId4249"/>
      <w:type w:val="continuous"/>
    </w:sectPr>
  </w:body>
</w:document>
</file>

<file path=word/footer_default_42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42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48" Type="http://schemas.openxmlformats.org/officeDocument/2006/relationships/header" Target="header_default_4248.xml" />
<Relationship Id="id0" Type="http://schemas.openxmlformats.org/officeDocument/2006/relationships/image" Target="img/img_id0.png"/>
<Relationship Id="eId4249" Type="http://schemas.openxmlformats.org/officeDocument/2006/relationships/footer" Target="footer_default_4249.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42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42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