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4280.xml" ContentType="application/vnd.openxmlformats-officedocument.wordprocessingml.header+xml"/>
  <Override PartName="/word/footer_default_428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CIRCULAR 12757000005274 DE 2024</w:t>
      </w:r>
    </w:p>
    <w:p>
      <w:pPr>
        <w:jc w:val="center"/>
        <w:outlineLvl w:val="1"/>
      </w:pPr>
      <w:r>
        <w:rPr>
          <w:rFonts w:hAnsi="Arial"/>
          <w:rFonts w:ascii="Arial"/>
          <w:sz w:val="24"/>
          <w:color w:val="black"/>
        </w:rPr>
        <w:t xml:space="preserve">(mayo 15)</w:t>
      </w:r>
    </w:p>
    <w:p>
      <w:pPr>
        <w:jc w:val="center"/>
        <w:outlineLvl w:val="1"/>
      </w:pPr>
      <w:r>
        <w:rPr>
          <w:rFonts w:hAnsi="Arial"/>
          <w:rFonts w:ascii="Arial"/>
          <w:sz w:val="24"/>
          <w:color w:val="black"/>
        </w:rPr>
        <w:t xml:space="preserve">Diario Oficial No. 52.758 de 16 de mayo de 2024</w:t>
      </w:r>
    </w:p>
    <w:p>
      <w:pPr>
        <w:jc w:val="center"/>
        <w:outlineLvl w:val="1"/>
      </w:pPr>
      <w:rPr>
        <w:sz w:val="24"/>
        <w:color w:val="black"/>
      </w:rPr>
    </w:p>
    <w:p>
      <w:pPr>
        <w:jc w:val="center"/>
        <w:outlineLvl w:val="1"/>
      </w:pPr>
      <w:r>
        <w:rPr>
          <w:rFonts w:hAnsi="Arial"/>
          <w:rFonts w:ascii="Arial"/>
          <w:sz w:val="24"/>
          <w:color w:val="gray"/>
        </w:rPr>
        <w:t xml:space="preserve">DIRECCIÓN DE IMPUESTOS Y ADUANAS NACIONALES</w:t>
      </w:r>
    </w:p>
    <w:tbl>
      <w:tblGrid>
        <w:gridCol w:w="960"/>
        <w:gridCol w:w="7860"/>
      </w:tblGrid>
      <w:tblPr>
        <w:tblW w:w="8838" w:type="dxa"/>
        <w:tblBorders/>
      </w:tblPr>
      <w:tr>
        <w:trPr/>
        <w:tc>
          <w:tcPr>
            <w:tcW w:w="970" w:type="dxa"/>
            <w:tcMar/>
            <w:tcBorders/>
          </w:tcPr>
          <w:p>
            <w:pPr>
              <w:jc w:val="both"/>
            </w:pPr>
            <w:r>
              <w:rPr>
                <w:rFonts w:hAnsi="Arial"/>
                <w:rFonts w:ascii="Arial"/>
                <w:sz w:val="24"/>
                <w:color w:val="black"/>
              </w:rPr>
              <w:t xml:space="preserve">Para: </w:t>
            </w:r>
          </w:p>
        </w:tc>
        <w:tc>
          <w:tcPr>
            <w:tcW w:w="7868" w:type="dxa"/>
            <w:tcMar/>
            <w:tcBorders/>
          </w:tcPr>
          <w:p>
            <w:pPr>
              <w:jc w:val="both"/>
            </w:pPr>
            <w:r>
              <w:rPr>
                <w:rFonts w:hAnsi="Arial"/>
                <w:rFonts w:ascii="Arial"/>
                <w:sz w:val="24"/>
                <w:color w:val="black"/>
              </w:rPr>
              <w:t xml:space="preserve">Funcionarios de la Dian, importadores y demás usuarios del Comercio Exterior </w:t>
              <w:br w:type="textWrapping"/>
              <w:t/>
            </w:r>
          </w:p>
        </w:tc>
      </w:tr>
      <w:tr>
        <w:trPr/>
        <w:tc>
          <w:tcPr>
            <w:tcW w:w="970" w:type="dxa"/>
            <w:tcMar/>
            <w:tcBorders/>
          </w:tcPr>
          <w:p>
            <w:pPr>
              <w:jc w:val="both"/>
            </w:pPr>
            <w:r>
              <w:rPr>
                <w:rFonts w:hAnsi="Arial"/>
                <w:rFonts w:ascii="Arial"/>
                <w:sz w:val="24"/>
                <w:color w:val="black"/>
              </w:rPr>
              <w:t xml:space="preserve">De: </w:t>
            </w:r>
          </w:p>
        </w:tc>
        <w:tc>
          <w:tcPr>
            <w:tcW w:w="7868" w:type="dxa"/>
            <w:tcMar/>
            <w:tcBorders/>
          </w:tcPr>
          <w:p>
            <w:pPr>
              <w:jc w:val="both"/>
            </w:pPr>
            <w:r>
              <w:rPr>
                <w:rFonts w:hAnsi="Arial"/>
                <w:rFonts w:ascii="Arial"/>
                <w:sz w:val="24"/>
                <w:color w:val="black"/>
              </w:rPr>
              <w:t xml:space="preserve">Director de Gestión de Aduanas </w:t>
              <w:br w:type="textWrapping"/>
              <w:t/>
            </w:r>
          </w:p>
        </w:tc>
      </w:tr>
      <w:tr>
        <w:trPr/>
        <w:tc>
          <w:tcPr>
            <w:tcW w:w="970" w:type="dxa"/>
            <w:tcMar/>
            <w:tcBorders/>
          </w:tcPr>
          <w:p>
            <w:pPr>
              <w:jc w:val="both"/>
            </w:pPr>
            <w:r>
              <w:rPr>
                <w:rFonts w:hAnsi="Arial"/>
                <w:rFonts w:ascii="Arial"/>
                <w:sz w:val="24"/>
                <w:color w:val="black"/>
              </w:rPr>
              <w:t xml:space="preserve">Asunto: </w:t>
            </w:r>
          </w:p>
        </w:tc>
        <w:tc>
          <w:tcPr>
            <w:tcW w:w="7868" w:type="dxa"/>
            <w:tcMar/>
            <w:tcBorders/>
          </w:tcPr>
          <w:p>
            <w:pPr>
              <w:jc w:val="both"/>
            </w:pPr>
            <w:r>
              <w:rPr>
                <w:rFonts w:hAnsi="Arial"/>
                <w:rFonts w:ascii="Arial"/>
                <w:sz w:val="24"/>
                <w:color w:val="black"/>
              </w:rPr>
              <w:t xml:space="preserve">Gravámenes Ad-Valórem aplicables a productos agropecuarios de referencia, sus sustitutos, productos agroindustriales o subproductos. </w:t>
            </w:r>
          </w:p>
        </w:tc>
      </w:tr>
    </w:tbl>
    <w:p>
      <w:pPr>
        <w:jc w:val="both"/>
      </w:pPr>
      <w:rPr>
        <w:sz w:val="24"/>
        <w:color w:val="black"/>
      </w:rPr>
    </w:p>
    <w:p>
      <w:pPr>
        <w:jc w:val="both"/>
      </w:pPr>
      <w:r>
        <w:rPr>
          <w:rFonts w:hAnsi="Arial"/>
          <w:rFonts w:ascii="Arial"/>
          <w:sz w:val="24"/>
          <w:color w:val="black"/>
        </w:rPr>
        <w:t xml:space="preserve">En cumplimiento de las disposiciones del Sistema Andino de las Franjas de Precios Agropecuarios (SAFP), según las Decisiones de la Comisión del Acuerdo de Cartagena, las Resoluciones emanadas de la Junta de la Comunidad Andina y demás normatividad vigente, me permito informarles los Aranceles Totales para los productos marcadores, sus sustitutos, productos agroindustriales o subproductos señalados en dichas Normas. </w:t>
      </w:r>
    </w:p>
    <w:p>
      <w:pPr>
        <w:jc w:val="both"/>
        <w:outlineLvl w:val="1"/>
      </w:pPr>
      <w:rPr>
        <w:sz w:val="24"/>
        <w:color w:val="black"/>
      </w:rPr>
    </w:p>
    <w:p>
      <w:pPr>
        <w:jc w:val="both"/>
        <w:outlineLvl w:val="1"/>
      </w:pPr>
      <w:r>
        <w:rPr>
          <w:rFonts w:hAnsi="Arial"/>
          <w:rFonts w:ascii="Arial"/>
          <w:sz w:val="24"/>
          <w:color w:val="black"/>
        </w:rPr>
        <w:t xml:space="preserve">Los valores señalados corresponden al arancel total aplicable a las importaciones procedentes de terceros países, acorde con el Decreto número </w:t>
      </w:r>
      <w:r>
        <w:fldChar w:fldCharType="begin"/>
      </w:r>
      <w:r>
        <w:instrText>HYPERLINK "http://www.redjurista.com/document.aspx?ajcode=d0547_95&amp;arts=0"</w:instrText>
      </w:r>
      <w:r>
        <w:fldChar w:fldCharType="separate"/>
      </w:r>
      <w:r>
        <w:rPr>
          <w:rFonts w:hAnsi="Arial"/>
          <w:rFonts w:ascii="Arial"/>
          <w:sz w:val="24"/>
          <w:u w:val="single"/>
          <w:color w:val="black"/>
        </w:rPr>
        <w:t>547</w:t>
      </w:r>
      <w:r>
        <w:fldChar w:fldCharType="end"/>
      </w:r>
      <w:r>
        <w:rPr>
          <w:rFonts w:hAnsi="Arial"/>
          <w:rFonts w:ascii="Arial"/>
          <w:sz w:val="24"/>
          <w:u w:val="none"/>
          <w:color w:val="black"/>
        </w:rPr>
        <w:t xml:space="preserve"> del 31 de marzo de 1995 y sus modificaciones, por tanto no considera las preferencias arancelarias concedidas en virtud de acuerdos comerciales suscritos por Colombia.</w:t>
      </w:r>
    </w:p>
    <w:p>
      <w:pPr>
        <w:jc w:val="center"/>
        <w:outlineLvl w:val="1"/>
      </w:pPr>
      <w:r>
        <w:drawing>
          <wp:inline distT="0" distB="0" distL="0" distR="0">
            <wp:extent cx="4972050" cy="3305175"/>
            <wp:docPr id="3" name=""/>
            <a:graphic xmlns:a="http://schemas.openxmlformats.org/drawingml/2006/main">
              <a:graphicData uri="http://schemas.openxmlformats.org/drawingml/2006/picture">
                <pic:pic xmlns:pic="http://schemas.openxmlformats.org/drawingml/2006/picture">
                  <pic:nvPicPr>
                    <pic:cNvPr id="2" name="Picture "/>
                    <pic:cNvPicPr/>
                  </pic:nvPicPr>
                  <pic:blipFill>
                    <a:blip r:embed="id2"/>
                    <a:stretch>
                      <a:fillRect/>
                    </a:stretch>
                  </pic:blipFill>
                  <pic:spPr>
                    <a:xfrm>
                      <a:off x="0" y="0"/>
                      <a:ext cx="4972050" cy="3305175"/>
                    </a:xfrm>
                    <a:prstGeom prst="rect">
                      <a:avLst/>
                    </a:prstGeom>
                  </pic:spPr>
                </pic:pic>
              </a:graphicData>
            </a:graphic>
          </wp:inline>
        </w:drawing>
      </w:r>
    </w:p>
    <w:p>
      <w:pPr>
        <w:jc w:val="center"/>
        <w:outlineLvl w:val="1"/>
      </w:pPr>
      <w:r>
        <w:drawing>
          <wp:inline distT="0" distB="0" distL="0" distR="0">
            <wp:extent cx="3695700" cy="4572000"/>
            <wp:docPr id="4" name=""/>
            <a:graphic xmlns:a="http://schemas.openxmlformats.org/drawingml/2006/main">
              <a:graphicData uri="http://schemas.openxmlformats.org/drawingml/2006/picture">
                <pic:pic xmlns:pic="http://schemas.openxmlformats.org/drawingml/2006/picture">
                  <pic:nvPicPr>
                    <pic:cNvPr id="3" name="Picture "/>
                    <pic:cNvPicPr/>
                  </pic:nvPicPr>
                  <pic:blipFill>
                    <a:blip r:embed="id3"/>
                    <a:stretch>
                      <a:fillRect/>
                    </a:stretch>
                  </pic:blipFill>
                  <pic:spPr>
                    <a:xfrm>
                      <a:off x="0" y="0"/>
                      <a:ext cx="3695700" cy="4572000"/>
                    </a:xfrm>
                    <a:prstGeom prst="rect">
                      <a:avLst/>
                    </a:prstGeom>
                  </pic:spPr>
                </pic:pic>
              </a:graphicData>
            </a:graphic>
          </wp:inline>
        </w:drawing>
      </w:r>
    </w:p>
    <w:p>
      <w:pPr>
        <w:jc w:val="center"/>
        <w:outlineLvl w:val="1"/>
      </w:pPr>
      <w:r>
        <w:drawing>
          <wp:inline distT="0" distB="0" distL="0" distR="0">
            <wp:extent cx="3762375" cy="4867275"/>
            <wp:docPr id="5" name=""/>
            <a:graphic xmlns:a="http://schemas.openxmlformats.org/drawingml/2006/main">
              <a:graphicData uri="http://schemas.openxmlformats.org/drawingml/2006/picture">
                <pic:pic xmlns:pic="http://schemas.openxmlformats.org/drawingml/2006/picture">
                  <pic:nvPicPr>
                    <pic:cNvPr id="4" name="Picture "/>
                    <pic:cNvPicPr/>
                  </pic:nvPicPr>
                  <pic:blipFill>
                    <a:blip r:embed="id4"/>
                    <a:stretch>
                      <a:fillRect/>
                    </a:stretch>
                  </pic:blipFill>
                  <pic:spPr>
                    <a:xfrm>
                      <a:off x="0" y="0"/>
                      <a:ext cx="3762375" cy="4867275"/>
                    </a:xfrm>
                    <a:prstGeom prst="rect">
                      <a:avLst/>
                    </a:prstGeom>
                  </pic:spPr>
                </pic:pic>
              </a:graphicData>
            </a:graphic>
          </wp:inline>
        </w:drawing>
      </w:r>
    </w:p>
    <w:p>
      <w:pPr>
        <w:jc w:val="center"/>
        <w:outlineLvl w:val="1"/>
      </w:pPr>
      <w:r>
        <w:drawing>
          <wp:inline distT="0" distB="0" distL="0" distR="0">
            <wp:extent cx="3724275" cy="4562475"/>
            <wp:docPr id="6" name=""/>
            <a:graphic xmlns:a="http://schemas.openxmlformats.org/drawingml/2006/main">
              <a:graphicData uri="http://schemas.openxmlformats.org/drawingml/2006/picture">
                <pic:pic xmlns:pic="http://schemas.openxmlformats.org/drawingml/2006/picture">
                  <pic:nvPicPr>
                    <pic:cNvPr id="5" name="Picture "/>
                    <pic:cNvPicPr/>
                  </pic:nvPicPr>
                  <pic:blipFill>
                    <a:blip r:embed="id5"/>
                    <a:stretch>
                      <a:fillRect/>
                    </a:stretch>
                  </pic:blipFill>
                  <pic:spPr>
                    <a:xfrm>
                      <a:off x="0" y="0"/>
                      <a:ext cx="3724275" cy="4562475"/>
                    </a:xfrm>
                    <a:prstGeom prst="rect">
                      <a:avLst/>
                    </a:prstGeom>
                  </pic:spPr>
                </pic:pic>
              </a:graphicData>
            </a:graphic>
          </wp:inline>
        </w:drawing>
      </w:r>
    </w:p>
    <w:p>
      <w:pPr>
        <w:jc w:val="center"/>
        <w:outlineLvl w:val="1"/>
      </w:pPr>
      <w:r>
        <w:drawing>
          <wp:inline distT="0" distB="0" distL="0" distR="0">
            <wp:extent cx="3724275" cy="4876800"/>
            <wp:docPr id="7" name=""/>
            <a:graphic xmlns:a="http://schemas.openxmlformats.org/drawingml/2006/main">
              <a:graphicData uri="http://schemas.openxmlformats.org/drawingml/2006/picture">
                <pic:pic xmlns:pic="http://schemas.openxmlformats.org/drawingml/2006/picture">
                  <pic:nvPicPr>
                    <pic:cNvPr id="6" name="Picture "/>
                    <pic:cNvPicPr/>
                  </pic:nvPicPr>
                  <pic:blipFill>
                    <a:blip r:embed="id6"/>
                    <a:stretch>
                      <a:fillRect/>
                    </a:stretch>
                  </pic:blipFill>
                  <pic:spPr>
                    <a:xfrm>
                      <a:off x="0" y="0"/>
                      <a:ext cx="3724275" cy="4876800"/>
                    </a:xfrm>
                    <a:prstGeom prst="rect">
                      <a:avLst/>
                    </a:prstGeom>
                  </pic:spPr>
                </pic:pic>
              </a:graphicData>
            </a:graphic>
          </wp:inline>
        </w:drawing>
      </w:r>
    </w:p>
    <w:p>
      <w:pPr>
        <w:jc w:val="center"/>
        <w:outlineLvl w:val="1"/>
      </w:pPr>
      <w:r>
        <w:drawing>
          <wp:inline distT="0" distB="0" distL="0" distR="0">
            <wp:extent cx="3743325" cy="4438650"/>
            <wp:docPr id="8" name=""/>
            <a:graphic xmlns:a="http://schemas.openxmlformats.org/drawingml/2006/main">
              <a:graphicData uri="http://schemas.openxmlformats.org/drawingml/2006/picture">
                <pic:pic xmlns:pic="http://schemas.openxmlformats.org/drawingml/2006/picture">
                  <pic:nvPicPr>
                    <pic:cNvPr id="7" name="Picture "/>
                    <pic:cNvPicPr/>
                  </pic:nvPicPr>
                  <pic:blipFill>
                    <a:blip r:embed="id7"/>
                    <a:stretch>
                      <a:fillRect/>
                    </a:stretch>
                  </pic:blipFill>
                  <pic:spPr>
                    <a:xfrm>
                      <a:off x="0" y="0"/>
                      <a:ext cx="3743325" cy="4438650"/>
                    </a:xfrm>
                    <a:prstGeom prst="rect">
                      <a:avLst/>
                    </a:prstGeom>
                  </pic:spPr>
                </pic:pic>
              </a:graphicData>
            </a:graphic>
          </wp:inline>
        </w:drawing>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4280"/>
      <w:footerReference w:type="default" r:id="eId4281"/>
      <w:type w:val="continuous"/>
    </w:sectPr>
  </w:body>
</w:document>
</file>

<file path=word/footer_default_4281.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6</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6</w:t>
      <w:fldChar w:fldCharType="end"/>
    </w:r>
  </w:p>
</w:ftr>
</file>

<file path=word/header_default_4280.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4280" Type="http://schemas.openxmlformats.org/officeDocument/2006/relationships/header" Target="header_default_4280.xml" />
<Relationship Id="id0" Type="http://schemas.openxmlformats.org/officeDocument/2006/relationships/image" Target="img/img_id0.png"/>
<Relationship Id="eId4281" Type="http://schemas.openxmlformats.org/officeDocument/2006/relationships/footer" Target="footer_default_4281.xml" />
<Relationship Id="id1" Type="http://schemas.openxmlformats.org/officeDocument/2006/relationships/image" Target="img/img_id1.jpg"/>
<Relationship Id="id2" Type="http://schemas.openxmlformats.org/officeDocument/2006/relationships/image" Target="img/img_id2.bmp"/>
<Relationship Id="id3" Type="http://schemas.openxmlformats.org/officeDocument/2006/relationships/image" Target="img/img_id3.bmp"/>
<Relationship Id="id4" Type="http://schemas.openxmlformats.org/officeDocument/2006/relationships/image" Target="img/img_id4.bmp"/>
<Relationship Id="id5" Type="http://schemas.openxmlformats.org/officeDocument/2006/relationships/image" Target="img/img_id5.bmp"/>
<Relationship Id="id6" Type="http://schemas.openxmlformats.org/officeDocument/2006/relationships/image" Target="img/img_id6.bmp"/>
<Relationship Id="id7" Type="http://schemas.openxmlformats.org/officeDocument/2006/relationships/image" Target="img/img_id7.bmp"/>
<Relationship Id="rId11" Type="http://schemas.openxmlformats.org/officeDocument/2006/relationships/settings" Target="settings.xml"/>
<Relationship Id="rId12" Type="http://schemas.openxmlformats.org/officeDocument/2006/relationships/styles" Target="styles.xml"/>
</Relationships>

</file>

<file path=word/_rels/footer_default_428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11" Type="http://schemas.openxmlformats.org/officeDocument/2006/relationships/settings" Target="settings.xml"/>
<Relationship Id="rId12" Type="http://schemas.openxmlformats.org/officeDocument/2006/relationships/styles" Target="styles.xml"/>
</Relationships>

</file>

<file path=word/_rels/header_default_428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11" Type="http://schemas.openxmlformats.org/officeDocument/2006/relationships/settings" Target="settings.xml"/>
<Relationship Id="rId12"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