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880.xml" ContentType="application/vnd.openxmlformats-officedocument.wordprocessingml.header+xml"/>
  <Override PartName="/word/footer_default_688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tabs>
          <w:tab w:val="center" w:leader="none" w:pos="576"/>
          <w:tab w:val="left" w:leader="none" w:pos="1152"/>
        </w:tabs>
      </w:pPr>
      <w:r>
        <w:rPr>
          <w:rFonts w:hAnsi="Arial"/>
          <w:rFonts w:ascii="Arial"/>
          <w:sz w:val="24"/>
          <w:b/>
          <w:vanish/>
          <w:color w:val="gray"/>
        </w:rPr>
        <w:t>&amp;</w:t>
      </w:r>
      <w:r>
        <w:rPr>
          <w:rFonts w:hAnsi="Arial"/>
          <w:rFonts w:ascii="Arial"/>
          <w:sz w:val="24"/>
          <w:b/>
          <w:color w:val="gray"/>
        </w:rPr>
        <w:t xml:space="preserve">DECRETO 94 DE 2007</w:t>
      </w:r>
    </w:p>
    <w:p>
      <w:pPr>
        <w:jc w:val="center"/>
        <w:tabs>
          <w:tab w:val="center" w:leader="none" w:pos="576"/>
          <w:tab w:val="left" w:leader="none" w:pos="1152"/>
        </w:tabs>
      </w:pPr>
      <w:r>
        <w:rPr>
          <w:rFonts w:hAnsi="Arial"/>
          <w:rFonts w:ascii="Arial"/>
          <w:sz w:val="24"/>
          <w:color w:val="black"/>
        </w:rPr>
        <w:t xml:space="preserve">(enero 17)</w:t>
      </w:r>
    </w:p>
    <w:p>
      <w:pPr>
        <w:jc w:val="center"/>
        <w:tabs>
          <w:tab w:val="center" w:leader="none" w:pos="576"/>
          <w:tab w:val="left" w:leader="none" w:pos="1152"/>
        </w:tabs>
      </w:pPr>
      <w:r>
        <w:rPr>
          <w:rFonts w:hAnsi="Arial"/>
          <w:rFonts w:ascii="Arial"/>
          <w:sz w:val="24"/>
          <w:color w:val="black"/>
        </w:rPr>
        <w:t xml:space="preserve">Diario Oficial No. 46.514 de 17 de enero de 2007</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 xml:space="preserve">MINISTERIO DE AGRICULTURA Y DESARROLLO RURAL</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Por el cual se modifica el Decreto </w:t>
      </w:r>
      <w:r>
        <w:fldChar w:fldCharType="begin"/>
      </w:r>
      <w:r>
        <w:instrText>HYPERLINK "http://www.redjurista.com/document.aspx?ajcode=d2675005&amp;arts=1"</w:instrText>
      </w:r>
      <w:r>
        <w:fldChar w:fldCharType="separate"/>
      </w:r>
      <w:r>
        <w:rPr>
          <w:rFonts w:hAnsi="Arial"/>
          <w:rFonts w:ascii="Arial"/>
          <w:sz w:val="24"/>
          <w:u w:val="single"/>
          <w:color w:val="black"/>
        </w:rPr>
        <w:t>2675</w:t>
      </w:r>
      <w:r>
        <w:fldChar w:fldCharType="end"/>
      </w:r>
      <w:r>
        <w:rPr>
          <w:rFonts w:hAnsi="Arial"/>
          <w:rFonts w:ascii="Arial"/>
          <w:sz w:val="24"/>
          <w:u w:val="none"/>
          <w:color w:val="black"/>
        </w:rPr>
        <w:t xml:space="preserve"> de 2005.</w:t>
      </w:r>
    </w:p>
    <w:p>
      <w:pPr>
        <w:jc w:val="both"/>
        <w:tabs>
          <w:tab w:val="center" w:leader="none" w:pos="576"/>
          <w:tab w:val="left" w:leader="none" w:pos="1152"/>
        </w:tabs>
      </w:pPr>
      <w:rPr>
        <w:color w:val="black"/>
      </w:rPr>
    </w:p>
    <w:p>
      <w:pPr>
        <w:jc w:val="center"/>
        <w:tabs>
          <w:tab w:val="center" w:leader="none" w:pos="576"/>
          <w:tab w:val="left" w:leader="none" w:pos="1152"/>
        </w:tabs>
      </w:pPr>
      <w:r>
        <w:rPr>
          <w:rFonts w:hAnsi="Arial"/>
          <w:rFonts w:ascii="Arial"/>
          <w:sz w:val="24"/>
          <w:color w:val="gray"/>
        </w:rPr>
        <w:t xml:space="preserve">EL PRESIDENTE DE LA REPÚBLICA DE COLOMBIA,</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en ejercicio de las facultades constitucionales y legales, en especial las conferidas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w:t>
      </w:r>
    </w:p>
    <w:p>
      <w:pPr>
        <w:jc w:val="center"/>
        <w:tabs>
          <w:tab w:val="center" w:leader="none" w:pos="576"/>
          <w:tab w:val="left" w:leader="none" w:pos="1152"/>
        </w:tabs>
      </w:pPr>
      <w:rPr>
        <w:sz w:val="24"/>
        <w:color w:val="gray"/>
      </w:rPr>
    </w:p>
    <w:p>
      <w:pPr>
        <w:jc w:val="center"/>
        <w:tabs>
          <w:tab w:val="center" w:leader="none" w:pos="576"/>
          <w:tab w:val="left" w:leader="none" w:pos="1152"/>
        </w:tabs>
      </w:pPr>
      <w:r>
        <w:rPr>
          <w:rFonts w:hAnsi="Arial"/>
          <w:rFonts w:ascii="Arial"/>
          <w:sz w:val="24"/>
          <w:color w:val="gray"/>
        </w:rPr>
        <w:t>DECRETA: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44761" w:name="1"/>
      <w:r>
        <w:rPr>
          <w:rFonts w:hAnsi="Arial"/>
          <w:rFonts w:ascii="Arial"/>
          <w:sz w:val="24"/>
          <w:color w:val="navy"/>
        </w:rPr>
        <w:t xml:space="preserve">ARTÍCULO 1o.</w:t>
      </w:r>
      <w:bookmarkEnd w:id="44761"/>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"http://www.redjurista.com/document.aspx?ajcode=d1071015&amp;arts=2.2.2.7"</w:instrText>
      </w:r>
      <w:r>
        <w:fldChar w:fldCharType="separate"/>
      </w:r>
      <w:r>
        <w:rPr>
          <w:rFonts w:hAnsi="Arial"/>
          <w:rFonts w:ascii="Arial"/>
          <w:sz w:val="24"/>
          <w:b/>
          <w:u w:val="single"/>
          <w:color w:val="black"/>
        </w:rPr>
        <w:t>2.2.2.7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Modifíquese el artículo </w:t>
      </w:r>
      <w:r>
        <w:fldChar w:fldCharType="begin"/>
      </w:r>
      <w:r>
        <w:instrText>HYPERLINK "http://www.redjurista.com/document.aspx?ajcode=d2675005&amp;arts=7"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Decreto 2675 de 2005, el cual quedará así:</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"http://www.redjurista.com/document.aspx?ajcode=d2675005&amp;arts=7"</w:instrText>
      </w:r>
      <w:r>
        <w:fldChar w:fldCharType="separate"/>
      </w:r>
      <w:r>
        <w:rPr>
          <w:rFonts w:hAnsi="Arial"/>
          <w:rFonts w:ascii="Arial"/>
          <w:sz w:val="24"/>
          <w:b/>
          <w:u w:val="single"/>
          <w:color w:val="black"/>
        </w:rPr>
        <w:t>7</w:t>
      </w:r>
      <w:r>
        <w:fldChar w:fldCharType="end"/>
      </w:r>
      <w:r>
        <w:rPr>
          <w:rFonts w:hAnsi="Arial"/>
          <w:rFonts w:ascii="Arial"/>
          <w:sz w:val="24"/>
          <w:b/>
          <w:u w:val="none"/>
          <w:color w:val="black"/>
        </w:rPr>
        <w:t>o.</w:t>
      </w:r>
      <w:r>
        <w:rPr>
          <w:rFonts w:hAnsi="Arial"/>
          <w:rFonts w:ascii="Arial"/>
          <w:sz w:val="24"/>
          <w:u w:val="none"/>
          <w:color w:val="black"/>
        </w:rPr>
        <w:t xml:space="preserve"> </w:t>
      </w:r>
      <w:r>
        <w:rPr>
          <w:rFonts w:hAnsi="Arial"/>
          <w:rFonts w:ascii="Arial"/>
          <w:sz w:val="24"/>
          <w:i/>
          <w:u w:val="none"/>
          <w:color w:val="black"/>
        </w:rPr>
        <w:t xml:space="preserve">Distribución de los recursos del Subsidio de Vivienda de Interés Social Rural.</w:t>
      </w:r>
      <w:r>
        <w:rPr>
          <w:rFonts w:hAnsi="Arial"/>
          <w:rFonts w:ascii="Arial"/>
          <w:sz w:val="24"/>
          <w:u w:val="none"/>
          <w:color w:val="black"/>
        </w:rPr>
        <w:t xml:space="preserve"> Los recursos disponibles se distribuirán entre los departamentos con proyectos declarados elegibles por la entidad otorgante para la atención de hogares en situación de desplazamiento, de acuerdo con la fórmula que relaciona las siguientes variables:</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a) Departamento con el mayor número de hogares expulsados en situación de desplazamiento incluidos en el Registro Unico de Población Desplazada acumulado hasta el año de la postulación;</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b) Los coeficientes de distribución departamental para Subsidios de Vivienda de Interés Social Rural, VISR, establecidos en el artículo </w:t>
      </w:r>
      <w:r>
        <w:fldChar w:fldCharType="begin"/>
      </w:r>
      <w:r>
        <w:instrText>HYPERLINK "http://www.redjurista.com/document.aspx?ajcode=d0973005&amp;arts=11"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del Decreto 973 de 2005 o la norma que lo modifique o sustituya;</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c) Departamentos con mayor demanda de postulaciones elegibles de población desplazada por la violencia;</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d) Promedio departamental de las calificaciones de las postulaciones elegibles.</w:t>
      </w:r>
    </w:p>
    <w:p>
      <w:pPr>
        <w:jc w:val="both"/>
        <w:tabs>
          <w:tab w:val="center" w:leader="none" w:pos="576"/>
          <w:tab w:val="left" w:leader="none" w:pos="1152"/>
        </w:tabs>
      </w:pPr>
      <w:rPr>
        <w:sz w:val="24"/>
        <w:color w:val="black"/>
      </w:rPr>
    </w:p>
    <w:p>
      <w:pPr>
        <w:jc w:val="both"/>
        <w:tabs>
          <w:tab w:val="center" w:leader="none" w:pos="576"/>
          <w:tab w:val="left" w:leader="none" w:pos="1152"/>
        </w:tabs>
      </w:pPr>
      <w:rPr>
        <w:sz w:val="24"/>
        <w:b/>
        <w:color w:val="black"/>
      </w:rP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Donde:</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b/>
          <w:color w:val="black"/>
        </w:rPr>
        <w:t>Cd</w:t>
      </w:r>
      <w:r>
        <w:rPr>
          <w:rFonts w:hAnsi="Arial"/>
          <w:rFonts w:ascii="Arial"/>
          <w:sz w:val="24"/>
          <w:b/>
          <w:vertAlign w:val="subscript"/>
          <w:color w:val="black"/>
        </w:rPr>
        <w:t>i</w:t>
      </w:r>
      <w:r>
        <w:rPr>
          <w:rFonts w:hAnsi="Arial"/>
          <w:rFonts w:ascii="Arial"/>
          <w:sz w:val="24"/>
          <w:b/>
          <w:color w:val="black"/>
        </w:rPr>
        <w:t xml:space="preserve">: </w:t>
      </w:r>
      <w:r>
        <w:rPr>
          <w:rFonts w:hAnsi="Arial"/>
          <w:rFonts w:ascii="Arial"/>
          <w:sz w:val="24"/>
          <w:color w:val="black"/>
        </w:rPr>
        <w:t xml:space="preserve">Cupo departamental.</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b/>
          <w:color w:val="black"/>
        </w:rPr>
        <w:t>Ddi</w:t>
      </w:r>
      <w:r>
        <w:rPr>
          <w:rFonts w:hAnsi="Arial"/>
          <w:rFonts w:ascii="Arial"/>
          <w:sz w:val="24"/>
          <w:b/>
          <w:vertAlign w:val="subscript"/>
          <w:color w:val="black"/>
        </w:rPr>
        <w:t>t</w:t>
      </w:r>
      <w:r>
        <w:rPr>
          <w:rFonts w:hAnsi="Arial"/>
          <w:rFonts w:ascii="Arial"/>
          <w:sz w:val="24"/>
          <w:b/>
          <w:color w:val="black"/>
        </w:rPr>
        <w:t>:</w:t>
      </w:r>
      <w:r>
        <w:rPr>
          <w:rFonts w:hAnsi="Arial"/>
          <w:rFonts w:ascii="Arial"/>
          <w:sz w:val="24"/>
          <w:color w:val="black"/>
        </w:rPr>
        <w:t xml:space="preserve"> Número de hogares por Departamento expulsor incluidos en el Registro Unico de Población Desplazada que administra la Agencia Presidencial para la Acción Social y la Cooperación Internacional en el departamento i.</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b/>
          <w:color w:val="black"/>
        </w:rPr>
        <w:t>CDDi:</w:t>
      </w:r>
      <w:r>
        <w:rPr>
          <w:rFonts w:hAnsi="Arial"/>
          <w:rFonts w:ascii="Arial"/>
          <w:sz w:val="24"/>
          <w:color w:val="black"/>
        </w:rPr>
        <w:t xml:space="preserve"> Coeficiente de Distribución Departamental para el Departamento i, Decreto </w:t>
      </w:r>
      <w:r>
        <w:fldChar w:fldCharType="begin"/>
      </w:r>
      <w:r>
        <w:instrText>HYPERLINK "http://www.redjurista.com/document.aspx?ajcode=d0973005&amp;arts=1"</w:instrText>
      </w:r>
      <w:r>
        <w:fldChar w:fldCharType="separate"/>
      </w:r>
      <w:r>
        <w:rPr>
          <w:rFonts w:hAnsi="Arial"/>
          <w:rFonts w:ascii="Arial"/>
          <w:sz w:val="24"/>
          <w:u w:val="single"/>
          <w:color w:val="black"/>
        </w:rPr>
        <w:t>973</w:t>
      </w:r>
      <w:r>
        <w:fldChar w:fldCharType="end"/>
      </w:r>
      <w:r>
        <w:rPr>
          <w:rFonts w:hAnsi="Arial"/>
          <w:rFonts w:ascii="Arial"/>
          <w:sz w:val="24"/>
          <w:u w:val="none"/>
          <w:color w:val="black"/>
        </w:rPr>
        <w:t xml:space="preserve"> de 2005 o la norma que lo modifique o sustituya.</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b/>
          <w:color w:val="black"/>
        </w:rPr>
        <w:t>Pei:</w:t>
      </w:r>
      <w:r>
        <w:rPr>
          <w:rFonts w:hAnsi="Arial"/>
          <w:rFonts w:ascii="Arial"/>
          <w:sz w:val="24"/>
          <w:color w:val="black"/>
        </w:rPr>
        <w:t xml:space="preserve"> Número de postulaciones elegibles por departamento i, determinado por el Banco Agrario de Colombia.</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b/>
          <w:color w:val="black"/>
        </w:rPr>
        <w:t>Pci:</w:t>
      </w:r>
      <w:r>
        <w:rPr>
          <w:rFonts w:hAnsi="Arial"/>
          <w:rFonts w:ascii="Arial"/>
          <w:sz w:val="24"/>
          <w:color w:val="black"/>
        </w:rPr>
        <w:t xml:space="preserve"> Promedio Departamental de las calificaciones de postulaciones elegibles en el departamento i, determinado por el Banco Agrario de Colombia.</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Constantes, donde</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b/>
          <w:color w:val="black"/>
        </w:rPr>
        <w:t>B1,</w:t>
      </w:r>
      <w:r>
        <w:rPr>
          <w:rFonts w:hAnsi="Arial"/>
          <w:rFonts w:ascii="Arial"/>
          <w:sz w:val="24"/>
          <w:color w:val="black"/>
        </w:rPr>
        <w:t xml:space="preserve"> B1: 0,30</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b/>
          <w:color w:val="black"/>
        </w:rPr>
        <w:t>B2,</w:t>
      </w:r>
      <w:r>
        <w:rPr>
          <w:rFonts w:hAnsi="Arial"/>
          <w:rFonts w:ascii="Arial"/>
          <w:sz w:val="24"/>
          <w:color w:val="black"/>
        </w:rPr>
        <w:t xml:space="preserve"> B2: 0,20</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b/>
          <w:color w:val="black"/>
        </w:rPr>
        <w:t xml:space="preserve">B3 y</w:t>
      </w:r>
      <w:r>
        <w:rPr>
          <w:rFonts w:hAnsi="Arial"/>
          <w:rFonts w:ascii="Arial"/>
          <w:sz w:val="24"/>
          <w:color w:val="black"/>
        </w:rPr>
        <w:t xml:space="preserve"> B3: 0,30</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b/>
          <w:color w:val="black"/>
        </w:rPr>
        <w:t>B4:</w:t>
      </w:r>
      <w:r>
        <w:rPr>
          <w:rFonts w:hAnsi="Arial"/>
          <w:rFonts w:ascii="Arial"/>
          <w:sz w:val="24"/>
          <w:color w:val="black"/>
        </w:rPr>
        <w:t xml:space="preserve"> B4: 0,20</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El Ministerio de Agricultura y Desarrollo Rural establecerá mediante resolución, los cupos departamentales de distribución de los recursos del subsidio de vivienda de interés social rural para población en situación de desplazamiento por la violencia, teniendo en cuenta los períodos que esta entidad defina para su asignación.</w:t>
      </w:r>
    </w:p>
    <w:p>
      <w:pPr>
        <w:jc w:val="both"/>
      </w:pPr>
      <w:rPr>
        <w:color w:val="black"/>
      </w:rPr>
    </w:p>
    <w:p>
      <w:pPr>
        <w:jc w:val="both"/>
      </w:pPr>
      <w:r>
        <w:rPr>
          <w:rFonts w:hAnsi="Arial"/>
          <w:rFonts w:ascii="Arial"/>
          <w:sz w:val="24"/>
          <w:vanish/>
          <w:color w:val="black"/>
        </w:rPr>
        <w:t>&amp;$</w:t>
      </w:r>
      <w:bookmarkStart w:id="44762" w:name="2"/>
      <w:r>
        <w:rPr>
          <w:rFonts w:hAnsi="Arial"/>
          <w:rFonts w:ascii="Arial"/>
          <w:sz w:val="24"/>
          <w:color w:val="navy"/>
        </w:rPr>
        <w:t xml:space="preserve">ARTÍCULO 2o.</w:t>
      </w:r>
      <w:bookmarkEnd w:id="44762"/>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"http://www.redjurista.com/document.aspx?ajcode=d1071015&amp;arts=2.2.2.8"</w:instrText>
      </w:r>
      <w:r>
        <w:fldChar w:fldCharType="separate"/>
      </w:r>
      <w:r>
        <w:rPr>
          <w:rFonts w:hAnsi="Arial"/>
          <w:rFonts w:ascii="Arial"/>
          <w:sz w:val="24"/>
          <w:b/>
          <w:u w:val="single"/>
          <w:color w:val="black"/>
        </w:rPr>
        <w:t>2.2.2.8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Modifíquese el artículo </w:t>
      </w:r>
      <w:r>
        <w:fldChar w:fldCharType="begin"/>
      </w:r>
      <w:r>
        <w:instrText>HYPERLINK "http://www.redjurista.com/document.aspx?ajcode=d2675005&amp;arts=8"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del Decreto 2675 de 2005, el cual quedará así:</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"http://www.redjurista.com/document.aspx?ajcode=d2675005&amp;arts=8"</w:instrText>
      </w:r>
      <w:r>
        <w:fldChar w:fldCharType="separate"/>
      </w:r>
      <w:r>
        <w:rPr>
          <w:rFonts w:hAnsi="Arial"/>
          <w:rFonts w:ascii="Arial"/>
          <w:sz w:val="24"/>
          <w:b/>
          <w:u w:val="single"/>
          <w:color w:val="black"/>
        </w:rPr>
        <w:t>8</w:t>
      </w:r>
      <w:r>
        <w:fldChar w:fldCharType="end"/>
      </w:r>
      <w:r>
        <w:rPr>
          <w:rFonts w:hAnsi="Arial"/>
          <w:rFonts w:ascii="Arial"/>
          <w:sz w:val="24"/>
          <w:b/>
          <w:u w:val="none"/>
          <w:color w:val="black"/>
        </w:rPr>
        <w:t>o.</w:t>
      </w:r>
      <w:r>
        <w:rPr>
          <w:rFonts w:hAnsi="Arial"/>
          <w:rFonts w:ascii="Arial"/>
          <w:sz w:val="24"/>
          <w:u w:val="none"/>
          <w:color w:val="black"/>
        </w:rPr>
        <w:t xml:space="preserve"> </w:t>
      </w:r>
      <w:r>
        <w:rPr>
          <w:rFonts w:hAnsi="Arial"/>
          <w:rFonts w:ascii="Arial"/>
          <w:sz w:val="24"/>
          <w:i/>
          <w:u w:val="none"/>
          <w:color w:val="black"/>
        </w:rPr>
        <w:t xml:space="preserve">Asignación de los recursos del Subsidio de Vivienda de Interés Social Rural.</w:t>
      </w:r>
      <w:r>
        <w:rPr>
          <w:rFonts w:hAnsi="Arial"/>
          <w:rFonts w:ascii="Arial"/>
          <w:sz w:val="24"/>
          <w:u w:val="none"/>
          <w:color w:val="black"/>
        </w:rPr>
        <w:t xml:space="preserve"> La asignación de los recursos para los hogares beneficiados con proyectos elegibles se hará conforme al procedimiento establecido en el Decreto </w:t>
      </w:r>
      <w:r>
        <w:fldChar w:fldCharType="begin"/>
      </w:r>
      <w:r>
        <w:instrText>HYPERLINK "http://www.redjurista.com/document.aspx?ajcode=d0973005&amp;arts=1"</w:instrText>
      </w:r>
      <w:r>
        <w:fldChar w:fldCharType="separate"/>
      </w:r>
      <w:r>
        <w:rPr>
          <w:rFonts w:hAnsi="Arial"/>
          <w:rFonts w:ascii="Arial"/>
          <w:sz w:val="24"/>
          <w:u w:val="single"/>
          <w:color w:val="black"/>
        </w:rPr>
        <w:t>973</w:t>
      </w:r>
      <w:r>
        <w:fldChar w:fldCharType="end"/>
      </w:r>
      <w:r>
        <w:rPr>
          <w:rFonts w:hAnsi="Arial"/>
          <w:rFonts w:ascii="Arial"/>
          <w:sz w:val="24"/>
          <w:u w:val="none"/>
          <w:color w:val="black"/>
        </w:rPr>
        <w:t xml:space="preserve"> de 2005 y las normas que lo modifiquen, sustituyan o adicionen y de acuerdo con la fórmula de calificación establecida en el presente decreto y los respectivos cupos disponibles por departamento.</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Se podrán asignar subsidios de vivienda rural de los que trata el presente decreto por una sola vez posterior a la situación de desplazamiento por la violencia.</w:t>
      </w:r>
    </w:p>
    <w:p>
      <w:pPr>
        <w:jc w:val="both"/>
      </w:pPr>
      <w:rPr>
        <w:sz w:val="24"/>
        <w:b/>
        <w:color w:val="black"/>
      </w:rPr>
    </w:p>
    <w:p>
      <w:pPr>
        <w:jc w:val="both"/>
      </w:pPr>
      <w:r>
        <w:rPr>
          <w:rFonts w:hAnsi="Arial"/>
          <w:rFonts w:ascii="Arial"/>
          <w:sz w:val="24"/>
          <w:color w:val="black"/>
        </w:rPr>
        <w:t xml:space="preserve">No obstante, las personas que formen parte de hogares en situación de desplazamiento por la violencia beneficiarios del subsidio familiar de vivienda, podrán postular a este cuando en el futuro conformen un nuevo hogar, previo cumplimiento de las condiciones exigidas para ello, en la modalidad de subsidio familiar en que se postule.</w:t>
      </w:r>
    </w:p>
    <w:p>
      <w:pPr>
        <w:jc w:val="both"/>
      </w:pPr>
      <w:rPr>
        <w:sz w:val="24"/>
        <w:b/>
        <w:color w:val="black"/>
      </w:rPr>
    </w:p>
    <w:p>
      <w:pPr>
        <w:jc w:val="both"/>
      </w:pPr>
      <w:r>
        <w:rPr>
          <w:rFonts w:hAnsi="Arial"/>
          <w:rFonts w:ascii="Arial"/>
          <w:sz w:val="24"/>
          <w:color w:val="black"/>
        </w:rPr>
        <w:t xml:space="preserve">En los eventos de disolución y liquidación de la sociedad conyugal o disolución y liquidación de la sociedad patrimonial de la unión marital de hecho, de conformidad con lo establecido en las normas que regulan la materia, podrá ser parte de un nuevo hogar postulante el ex cónyuge o ex compañero(a) que no viva en la solución habitacional donde se aplicó el subsidio siempre y cuando a este no se le hayan adjudicado los derechos de propiedad sobre la solución habitacional subsidiada.</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Si resultaren recursos sin asignar, estos serán otorgados a los proyectos elegibles de población en situación de desplazamiento con ma yores puntajes a nivel nacional, hasta agotar tales remanentes”.</w:t>
      </w:r>
    </w:p>
    <w:p>
      <w:pPr>
        <w:jc w:val="both"/>
      </w:pPr>
      <w:rPr>
        <w:color w:val="black"/>
      </w:rPr>
    </w:p>
    <w:p>
      <w:pPr>
        <w:jc w:val="both"/>
      </w:pPr>
      <w:r>
        <w:rPr>
          <w:rFonts w:hAnsi="Arial"/>
          <w:rFonts w:ascii="Arial"/>
          <w:sz w:val="24"/>
          <w:vanish/>
          <w:color w:val="black"/>
        </w:rPr>
        <w:t>&amp;$</w:t>
      </w:r>
      <w:bookmarkStart w:id="44763" w:name="3"/>
      <w:r>
        <w:rPr>
          <w:rFonts w:hAnsi="Arial"/>
          <w:rFonts w:ascii="Arial"/>
          <w:sz w:val="24"/>
          <w:color w:val="navy"/>
        </w:rPr>
        <w:t xml:space="preserve">ARTÍCULO 3o.</w:t>
      </w:r>
      <w:bookmarkEnd w:id="44763"/>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"http://www.redjurista.com/document.aspx?ajcode=d1071015&amp;arts=2.2.2.11"</w:instrText>
      </w:r>
      <w:r>
        <w:fldChar w:fldCharType="separate"/>
      </w:r>
      <w:r>
        <w:rPr>
          <w:rFonts w:hAnsi="Arial"/>
          <w:rFonts w:ascii="Arial"/>
          <w:sz w:val="24"/>
          <w:b/>
          <w:u w:val="single"/>
          <w:color w:val="black"/>
        </w:rPr>
        <w:t>2.2.2.11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Modifíquese el artículo </w:t>
      </w:r>
      <w:r>
        <w:fldChar w:fldCharType="begin"/>
      </w:r>
      <w:r>
        <w:instrText>HYPERLINK "http://www.redjurista.com/document.aspx?ajcode=d2675005&amp;arts=11"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del Decreto 2675 de 2005, el cual quedará así:</w:t>
      </w:r>
    </w:p>
    <w:p>
      <w:pPr>
        <w:jc w:val="both"/>
      </w:pPr>
      <w:rPr>
        <w:sz w:val="24"/>
        <w:b/>
        <w:color w:val="black"/>
      </w:rPr>
    </w:p>
    <w:p>
      <w:pPr>
        <w:jc w:val="both"/>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"http://www.redjurista.com/document.aspx?ajcode=d2675005&amp;arts=11"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w:t>
      </w:r>
      <w:r>
        <w:rPr>
          <w:rFonts w:hAnsi="Arial"/>
          <w:rFonts w:ascii="Arial"/>
          <w:sz w:val="24"/>
          <w:u w:val="none"/>
          <w:color w:val="black"/>
        </w:rPr>
        <w:t xml:space="preserve"> </w:t>
      </w:r>
      <w:r>
        <w:rPr>
          <w:rFonts w:hAnsi="Arial"/>
          <w:rFonts w:ascii="Arial"/>
          <w:sz w:val="24"/>
          <w:i/>
          <w:u w:val="none"/>
          <w:color w:val="black"/>
        </w:rPr>
        <w:t xml:space="preserve">Criterios de calificación de las postulaciones y asignación de los Subsidios de Vivienda de Interés Social Rural.</w:t>
      </w:r>
      <w:r>
        <w:rPr>
          <w:rFonts w:hAnsi="Arial"/>
          <w:rFonts w:ascii="Arial"/>
          <w:sz w:val="24"/>
          <w:u w:val="none"/>
          <w:color w:val="black"/>
        </w:rPr>
        <w:t xml:space="preserve"> Presentados los proyectos se admitirán como válidas para efectos de calificación aquellas postulaciones que hayan cumplido con todos los requisitos y condiciones para la elegibilidad y se procederá a calcular el puntaje de calificación.</w:t>
      </w:r>
    </w:p>
    <w:p>
      <w:pPr>
        <w:jc w:val="both"/>
      </w:pPr>
      <w:rPr>
        <w:sz w:val="24"/>
        <w:b/>
        <w:color w:val="black"/>
      </w:rPr>
    </w:p>
    <w:p>
      <w:pPr>
        <w:jc w:val="both"/>
      </w:pPr>
      <w:r>
        <w:rPr>
          <w:rFonts w:hAnsi="Arial"/>
          <w:rFonts w:ascii="Arial"/>
          <w:sz w:val="24"/>
          <w:color w:val="black"/>
        </w:rPr>
        <w:t xml:space="preserve">Cada uno de los proyectos tendrá un puntaje único equivalente al promedio aritmético del puntaje obtenido por cada uno de los hogares que conforman el proyecto.</w:t>
      </w:r>
    </w:p>
    <w:p>
      <w:pPr>
        <w:jc w:val="both"/>
      </w:pPr>
      <w:rPr>
        <w:sz w:val="24"/>
        <w:b/>
        <w:color w:val="black"/>
      </w:rPr>
    </w:p>
    <w:p>
      <w:pPr>
        <w:jc w:val="both"/>
      </w:pPr>
      <w:r>
        <w:rPr>
          <w:rFonts w:hAnsi="Arial"/>
          <w:rFonts w:ascii="Arial"/>
          <w:sz w:val="24"/>
          <w:color w:val="black"/>
        </w:rPr>
        <w:t xml:space="preserve">El puntaje alcanzado por cada hogar será el correspondiente a la sumatoria de los puntos obtenidos de las siguientes variables:</w:t>
      </w:r>
    </w:p>
    <w:tbl>
      <w:tblGrid>
        <w:gridCol w:w="540"/>
        <w:gridCol w:w="1260"/>
        <w:gridCol w:w="140"/>
        <w:gridCol w:w="420"/>
        <w:gridCol w:w="1400"/>
        <w:gridCol w:w="380"/>
        <w:gridCol w:w="180"/>
        <w:gridCol w:w="640"/>
        <w:gridCol w:w="580"/>
        <w:gridCol w:w="600"/>
        <w:gridCol w:w="240"/>
        <w:gridCol w:w="1540"/>
        <w:gridCol w:w="820"/>
      </w:tblGrid>
      <w:tblPr>
        <w:tblW w:w="8747" w:type="dxa"/>
        <w:tblBorders/>
      </w:tblPr>
      <w:tr>
        <w:trPr/>
        <w:tc>
          <w:tcPr>
            <w:tcW w:w="1818" w:type="dxa"/>
            <w:gridSpan w:val="2"/>
            <w:tcMar/>
            <w:tcBorders/>
          </w:tcPr>
          <w:p>
            <w:pPr/>
            <w:r>
              <w:rPr>
                <w:rFonts w:hAnsi="Arial"/>
                <w:rFonts w:ascii="Arial"/>
                <w:sz w:val="18"/>
                <w:b/>
                <w:color w:val="black"/>
              </w:rPr>
              <w:t>VARIABLE</w:t>
              <w:br w:type="textWrapping"/>
              <w:t/>
            </w:r>
          </w:p>
        </w:tc>
        <w:tc>
          <w:tcPr>
            <w:tcW w:w="1955" w:type="dxa"/>
            <w:gridSpan w:val="3"/>
            <w:tcMar/>
            <w:tcBorders/>
          </w:tcPr>
          <w:p>
            <w:pPr/>
            <w:r>
              <w:rPr>
                <w:rFonts w:hAnsi="Arial"/>
                <w:rFonts w:ascii="Arial"/>
                <w:sz w:val="18"/>
                <w:b/>
                <w:color w:val="black"/>
              </w:rPr>
              <w:t>DESCRIPCION</w:t>
            </w:r>
            <w:r>
              <w:rPr>
                <w:rFonts w:hAnsi="Arial"/>
                <w:rFonts w:ascii="Arial"/>
                <w:sz w:val="18"/>
                <w:color w:val="black"/>
              </w:rPr>
              <w:t/>
              <w:br w:type="textWrapping"/>
              <w:t/>
            </w:r>
          </w:p>
        </w:tc>
        <w:tc>
          <w:tcPr>
            <w:tcW w:w="549" w:type="dxa"/>
            <w:gridSpan w:val="2"/>
            <w:tcMar/>
            <w:tcBorders/>
          </w:tcPr>
          <w:p>
            <w:pPr/>
            <w:rPr>
              <w:sz w:val="18"/>
              <w:color w:val="black"/>
            </w:rPr>
          </w:p>
        </w:tc>
        <w:tc>
          <w:tcPr>
            <w:tcW w:w="4425" w:type="dxa"/>
            <w:gridSpan w:val="6"/>
            <w:tcMar/>
            <w:tcBorders/>
          </w:tcPr>
          <w:p>
            <w:pPr/>
            <w:r>
              <w:rPr>
                <w:rFonts w:hAnsi="Arial"/>
                <w:rFonts w:ascii="Arial"/>
                <w:sz w:val="18"/>
                <w:b/>
                <w:color w:val="black"/>
              </w:rPr>
              <w:t>CALIFICACION</w:t>
            </w:r>
            <w:r>
              <w:rPr>
                <w:rFonts w:hAnsi="Arial"/>
                <w:rFonts w:ascii="Arial"/>
                <w:sz w:val="18"/>
                <w:color w:val="black"/>
              </w:rPr>
              <w:t/>
              <w:br w:type="textWrapping"/>
              <w:t/>
            </w:r>
          </w:p>
        </w:tc>
      </w:tr>
      <w:tr>
        <w:trPr/>
        <w:tc>
          <w:tcPr>
            <w:tcW w:w="1818" w:type="dxa"/>
            <w:gridSpan w:val="2"/>
            <w:tcMar/>
            <w:tcBorders/>
          </w:tcPr>
          <w:p>
            <w:pPr/>
            <w:r>
              <w:rPr>
                <w:rFonts w:hAnsi="Arial"/>
                <w:rFonts w:ascii="Arial"/>
                <w:sz w:val="18"/>
                <w:color w:val="black"/>
              </w:rPr>
              <w:t xml:space="preserve">Condiciones</w:t>
              <w:br w:type="textWrapping"/>
              <w:t>financieras</w:t>
              <w:br w:type="textWrapping"/>
              <w:t>30 puntos</w:t>
              <w:br w:type="textWrapping"/>
              <w:t/>
            </w:r>
          </w:p>
        </w:tc>
        <w:tc>
          <w:tcPr>
            <w:tcW w:w="1955" w:type="dxa"/>
            <w:gridSpan w:val="3"/>
            <w:tcMar/>
            <w:tcBorders/>
          </w:tcPr>
          <w:p>
            <w:pPr/>
            <w:r>
              <w:rPr>
                <w:rFonts w:hAnsi="Arial"/>
                <w:rFonts w:ascii="Arial"/>
                <w:sz w:val="18"/>
                <w:color w:val="black"/>
              </w:rPr>
              <w:t xml:space="preserve">Mayores aportes de contrapartida</w:t>
              <w:br w:type="textWrapping"/>
              <w:t>por hogar en efectivo</w:t>
              <w:br w:type="textWrapping"/>
              <w:t>superior al 20% de contrapartida</w:t>
              <w:br w:type="textWrapping"/>
              <w:t>mínima exigida.</w:t>
              <w:br w:type="textWrapping"/>
              <w:t/>
            </w:r>
          </w:p>
        </w:tc>
        <w:tc>
          <w:tcPr>
            <w:tcW w:w="549" w:type="dxa"/>
            <w:gridSpan w:val="2"/>
            <w:tcMar/>
            <w:tcBorders/>
          </w:tcPr>
          <w:p>
            <w:pPr/>
            <w:r>
              <w:rPr>
                <w:rFonts w:hAnsi="Arial"/>
                <w:rFonts w:ascii="Arial"/>
                <w:sz w:val="18"/>
                <w:color w:val="black"/>
              </w:rPr>
              <w:t>15</w:t>
            </w:r>
          </w:p>
        </w:tc>
        <w:tc>
          <w:tcPr>
            <w:tcW w:w="4425" w:type="dxa"/>
            <w:gridSpan w:val="6"/>
            <w:tcMar/>
            <w:tcBorders/>
          </w:tcPr>
          <w:p>
            <w:pPr/>
            <w:r>
              <w:rPr>
                <w:rFonts w:hAnsi="Arial"/>
                <w:rFonts w:ascii="Arial"/>
                <w:sz w:val="18"/>
                <w:color w:val="black"/>
              </w:rPr>
              <w:t xml:space="preserve">Por cada décima (0,1) de smmlv adicional a</w:t>
              <w:br w:type="textWrapping"/>
              <w:t>la contrapartida mínima (20% del valor total</w:t>
              <w:br w:type="textWrapping"/>
              <w:t>del proyecto) se otorgarán 4 décimas (0,4)</w:t>
              <w:br w:type="textWrapping"/>
              <w:t>de punto hasta un máximo de 15 puntos.</w:t>
              <w:br w:type="textWrapping"/>
              <w:t/>
            </w:r>
          </w:p>
        </w:tc>
      </w:tr>
      <w:tr>
        <w:trPr/>
        <w:tc>
          <w:tcPr>
            <w:tcW w:w="1818" w:type="dxa"/>
            <w:gridSpan w:val="2"/>
            <w:tcMar/>
            <w:tcBorders/>
          </w:tcPr>
          <w:p>
            <w:pPr/>
            <w:r>
              <w:rPr>
                <w:rFonts w:hAnsi="Arial"/>
                <w:rFonts w:ascii="Arial"/>
                <w:sz w:val="18"/>
                <w:color w:val="black"/>
              </w:rPr>
              <w:t xml:space="preserve">Condiciones de</w:t>
              <w:br w:type="textWrapping"/>
              <w:t>vulnerabilidad</w:t>
              <w:br w:type="textWrapping"/>
              <w:t>20 puntos</w:t>
              <w:br w:type="textWrapping"/>
              <w:t/>
            </w:r>
          </w:p>
        </w:tc>
        <w:tc>
          <w:tcPr>
            <w:tcW w:w="1955" w:type="dxa"/>
            <w:gridSpan w:val="3"/>
            <w:tcMar/>
            <w:tcBorders/>
          </w:tcPr>
          <w:p>
            <w:pPr/>
            <w:r>
              <w:rPr>
                <w:rFonts w:hAnsi="Arial"/>
                <w:rFonts w:ascii="Arial"/>
                <w:sz w:val="18"/>
                <w:color w:val="black"/>
              </w:rPr>
              <w:t xml:space="preserve">Número de miembros del</w:t>
              <w:br w:type="textWrapping"/>
              <w:t>hogar</w:t>
              <w:br w:type="textWrapping"/>
              <w:t/>
            </w:r>
          </w:p>
        </w:tc>
        <w:tc>
          <w:tcPr>
            <w:tcW w:w="549" w:type="dxa"/>
            <w:gridSpan w:val="2"/>
            <w:tcMar/>
            <w:tcBorders/>
          </w:tcPr>
          <w:p>
            <w:pPr/>
            <w:r>
              <w:rPr>
                <w:rFonts w:hAnsi="Arial"/>
                <w:rFonts w:ascii="Arial"/>
                <w:sz w:val="18"/>
                <w:color w:val="black"/>
              </w:rPr>
              <w:t>7</w:t>
            </w:r>
          </w:p>
        </w:tc>
        <w:tc>
          <w:tcPr>
            <w:tcW w:w="4425" w:type="dxa"/>
            <w:gridSpan w:val="6"/>
            <w:tcMar/>
            <w:tcBorders/>
          </w:tcPr>
          <w:p>
            <w:pPr/>
            <w:r>
              <w:rPr>
                <w:rFonts w:hAnsi="Arial"/>
                <w:rFonts w:ascii="Arial"/>
                <w:sz w:val="18"/>
                <w:color w:val="black"/>
              </w:rPr>
              <w:t xml:space="preserve">Por cada miembro del hogar, un punto;</w:t>
              <w:br w:type="textWrapping"/>
              <w:t>hasta un</w:t>
              <w:br w:type="textWrapping"/>
              <w:t>máximo de 7 puntos.</w:t>
              <w:br w:type="textWrapping"/>
              <w:t/>
            </w:r>
          </w:p>
        </w:tc>
      </w:tr>
      <w:tr>
        <w:trPr/>
        <w:tc>
          <w:tcPr>
            <w:tcW w:w="1818" w:type="dxa"/>
            <w:gridSpan w:val="2"/>
            <w:tcMar/>
            <w:tcBorders/>
          </w:tcPr>
          <w:p>
            <w:pPr/>
            <w:rPr>
              <w:sz w:val="18"/>
              <w:b/>
              <w:color w:val="black"/>
            </w:rPr>
          </w:p>
        </w:tc>
        <w:tc>
          <w:tcPr>
            <w:tcW w:w="1955" w:type="dxa"/>
            <w:gridSpan w:val="3"/>
            <w:tcMar/>
            <w:tcBorders/>
          </w:tcPr>
          <w:p>
            <w:pPr/>
            <w:r>
              <w:rPr>
                <w:rFonts w:hAnsi="Arial"/>
                <w:rFonts w:ascii="Arial"/>
                <w:sz w:val="18"/>
                <w:color w:val="black"/>
              </w:rPr>
              <w:t xml:space="preserve">Perteneciente a grupos étnicos</w:t>
              <w:br w:type="textWrapping"/>
              <w:t>o afrocolombianos.</w:t>
              <w:br w:type="textWrapping"/>
              <w:t/>
            </w:r>
          </w:p>
        </w:tc>
        <w:tc>
          <w:tcPr>
            <w:tcW w:w="549" w:type="dxa"/>
            <w:gridSpan w:val="2"/>
            <w:tcMar/>
            <w:tcBorders/>
          </w:tcPr>
          <w:p>
            <w:pPr/>
            <w:r>
              <w:rPr>
                <w:rFonts w:hAnsi="Arial"/>
                <w:rFonts w:ascii="Arial"/>
                <w:sz w:val="18"/>
                <w:color w:val="black"/>
              </w:rPr>
              <w:t>5</w:t>
            </w:r>
          </w:p>
        </w:tc>
        <w:tc>
          <w:tcPr>
            <w:tcW w:w="4425" w:type="dxa"/>
            <w:gridSpan w:val="6"/>
            <w:tcMar/>
            <w:tcBorders/>
          </w:tcPr>
          <w:p>
            <w:pPr/>
            <w:r>
              <w:rPr>
                <w:rFonts w:hAnsi="Arial"/>
                <w:rFonts w:ascii="Arial"/>
                <w:sz w:val="18"/>
                <w:color w:val="black"/>
              </w:rPr>
              <w:t xml:space="preserve">5 puntos cuando el hogar hace parte de</w:t>
              <w:br w:type="textWrapping"/>
              <w:t>comunidades étnicas indígenas o afrocolombianas</w:t>
              <w:br w:type="textWrapping"/>
              <w:t>acreditados por la Entidad</w:t>
              <w:br w:type="textWrapping"/>
              <w:t>competente.</w:t>
              <w:br w:type="textWrapping"/>
              <w:t/>
            </w:r>
          </w:p>
        </w:tc>
      </w:tr>
      <w:tr>
        <w:trPr/>
        <w:tc>
          <w:tcPr>
            <w:tcW w:w="1818" w:type="dxa"/>
            <w:gridSpan w:val="2"/>
            <w:tcMar/>
            <w:tcBorders/>
          </w:tcPr>
          <w:p>
            <w:pPr/>
            <w:r>
              <w:rPr>
                <w:rFonts w:hAnsi="Arial"/>
                <w:rFonts w:ascii="Arial"/>
                <w:sz w:val="18"/>
                <w:color w:val="black"/>
              </w:rPr>
              <w:t xml:space="preserve">Estímulos a la</w:t>
              <w:br w:type="textWrapping"/>
              <w:t>Complementariedad</w:t>
              <w:br w:type="textWrapping"/>
              <w:t>de</w:t>
              <w:br w:type="textWrapping"/>
              <w:t>Programas 20</w:t>
              <w:br w:type="textWrapping"/>
              <w:t>puntos</w:t>
              <w:br w:type="textWrapping"/>
              <w:t/>
            </w:r>
          </w:p>
        </w:tc>
        <w:tc>
          <w:tcPr>
            <w:tcW w:w="1955" w:type="dxa"/>
            <w:gridSpan w:val="3"/>
            <w:tcMar/>
            <w:tcBorders/>
          </w:tcPr>
          <w:p>
            <w:pPr/>
            <w:r>
              <w:rPr>
                <w:rFonts w:hAnsi="Arial"/>
                <w:rFonts w:ascii="Arial"/>
                <w:sz w:val="18"/>
                <w:color w:val="black"/>
              </w:rPr>
              <w:t xml:space="preserve">Vinculación a programas</w:t>
              <w:br w:type="textWrapping"/>
              <w:t>de subsidios condicionados</w:t>
              <w:br w:type="textWrapping"/>
              <w:t>de Familias en Acción o</w:t>
              <w:br w:type="textWrapping"/>
              <w:t>Alternativas de Generación</w:t>
              <w:br w:type="textWrapping"/>
              <w:t>de Ingresos que desarrollen</w:t>
              <w:br w:type="textWrapping"/>
              <w:t>entidades del Sistema Nacional</w:t>
              <w:br w:type="textWrapping"/>
              <w:t>de Atención Integral</w:t>
              <w:br w:type="textWrapping"/>
              <w:t>a la Población Desplazada,</w:t>
              <w:br w:type="textWrapping"/>
              <w:t>SNAIPD.</w:t>
              <w:br w:type="textWrapping"/>
              <w:t/>
            </w:r>
          </w:p>
        </w:tc>
        <w:tc>
          <w:tcPr>
            <w:tcW w:w="549" w:type="dxa"/>
            <w:gridSpan w:val="2"/>
            <w:tcMar/>
            <w:tcBorders/>
          </w:tcPr>
          <w:p>
            <w:pPr/>
            <w:r>
              <w:rPr>
                <w:rFonts w:hAnsi="Arial"/>
                <w:rFonts w:ascii="Arial"/>
                <w:sz w:val="18"/>
                <w:color w:val="black"/>
              </w:rPr>
              <w:t>10</w:t>
            </w:r>
          </w:p>
        </w:tc>
        <w:tc>
          <w:tcPr>
            <w:tcW w:w="4425" w:type="dxa"/>
            <w:gridSpan w:val="6"/>
            <w:tcMar/>
            <w:tcBorders/>
          </w:tcPr>
          <w:p>
            <w:pPr/>
            <w:r>
              <w:rPr>
                <w:rFonts w:hAnsi="Arial"/>
                <w:rFonts w:ascii="Arial"/>
                <w:sz w:val="18"/>
                <w:color w:val="black"/>
              </w:rPr>
              <w:t xml:space="preserve">Los hogares elegibles vinculados al Programa</w:t>
              <w:br w:type="textWrapping"/>
              <w:t>de Familias en Acción y al Programa</w:t>
              <w:br w:type="textWrapping"/>
              <w:t>de Alternativas de Generación de Ingresos</w:t>
              <w:br w:type="textWrapping"/>
              <w:t>tendrán un puntaje de 10 puntos. Los</w:t>
              <w:br w:type="textWrapping"/>
              <w:t>hogares vinculados a solo uno de los dos</w:t>
              <w:br w:type="textWrapping"/>
              <w:t>programas tendrán 5 puntos. Los hogares no</w:t>
              <w:br w:type="textWrapping"/>
              <w:t>vinculados tendrán 0 puntos. La vinculación</w:t>
              <w:br w:type="textWrapping"/>
              <w:t>a estos programas deberá ser acreditada</w:t>
              <w:br w:type="textWrapping"/>
              <w:t>por la Agencia Presidencial para la Acción</w:t>
              <w:br w:type="textWrapping"/>
              <w:t>Social y la Cooperación Internacional</w:t>
              <w:br w:type="textWrapping"/>
              <w:t>por la entidad que determine el Gobierno</w:t>
              <w:br w:type="textWrapping"/>
              <w:t>Nacional.</w:t>
              <w:br w:type="textWrapping"/>
              <w:t/>
            </w:r>
          </w:p>
        </w:tc>
      </w:tr>
      <w:tr>
        <w:trPr/>
        <w:tc>
          <w:tcPr>
            <w:tcW w:w="1818" w:type="dxa"/>
            <w:gridSpan w:val="2"/>
            <w:tcMar/>
            <w:tcBorders/>
          </w:tcPr>
          <w:p>
            <w:pPr/>
            <w:r>
              <w:rPr>
                <w:rFonts w:hAnsi="Arial"/>
                <w:rFonts w:ascii="Arial"/>
                <w:sz w:val="18"/>
                <w:color w:val="black"/>
              </w:rPr>
              <w:t xml:space="preserve">Condiciones</w:t>
              <w:br w:type="textWrapping"/>
              <w:t>Territoriales</w:t>
              <w:br w:type="textWrapping"/>
              <w:t>10 puntos</w:t>
              <w:br w:type="textWrapping"/>
              <w:t/>
            </w:r>
          </w:p>
        </w:tc>
        <w:tc>
          <w:tcPr>
            <w:tcW w:w="1955" w:type="dxa"/>
            <w:gridSpan w:val="3"/>
            <w:tcMar/>
            <w:tcBorders/>
          </w:tcPr>
          <w:p>
            <w:pPr/>
            <w:r>
              <w:rPr>
                <w:rFonts w:hAnsi="Arial"/>
                <w:rFonts w:ascii="Arial"/>
                <w:sz w:val="18"/>
                <w:color w:val="black"/>
              </w:rPr>
              <w:t xml:space="preserve">Necesidades Básicas</w:t>
              <w:br w:type="textWrapping"/>
              <w:t>Insatisfechas, NBI,</w:t>
              <w:br w:type="textWrapping"/>
              <w:t>Municipal Rural:</w:t>
              <w:br w:type="textWrapping"/>
              <w:t/>
            </w:r>
          </w:p>
        </w:tc>
        <w:tc>
          <w:tcPr>
            <w:tcW w:w="549" w:type="dxa"/>
            <w:gridSpan w:val="2"/>
            <w:tcMar/>
            <w:tcBorders/>
          </w:tcPr>
          <w:p>
            <w:pPr/>
            <w:r>
              <w:rPr>
                <w:rFonts w:hAnsi="Arial"/>
                <w:rFonts w:ascii="Arial"/>
                <w:sz w:val="18"/>
                <w:color w:val="black"/>
              </w:rPr>
              <w:t>10</w:t>
            </w:r>
          </w:p>
        </w:tc>
        <w:tc>
          <w:tcPr>
            <w:tcW w:w="4425" w:type="dxa"/>
            <w:gridSpan w:val="6"/>
            <w:tcMar/>
            <w:tcBorders/>
          </w:tcPr>
          <w:p>
            <w:pPr/>
            <w:r>
              <w:rPr>
                <w:rFonts w:hAnsi="Arial"/>
                <w:rFonts w:ascii="Arial"/>
                <w:sz w:val="18"/>
                <w:color w:val="black"/>
              </w:rPr>
              <w:t xml:space="preserve">NBI&lt;=20%: 1 punto</w:t>
              <w:br w:type="textWrapping"/>
              <w:t>20%&lt;NBI&lt;=30%: 2 puntos</w:t>
              <w:br w:type="textWrapping"/>
              <w:t>30%&lt;NBI&lt;=40%: 3 puntos</w:t>
              <w:br w:type="textWrapping"/>
              <w:t>40%&lt;NBI&lt;=50%: 4 puntos</w:t>
              <w:br w:type="textWrapping"/>
              <w:t>50%&lt;NBI&lt;=60%: 5 puntos</w:t>
              <w:br w:type="textWrapping"/>
              <w:t>60%&lt;NBI&lt;=70%: 7 puntos</w:t>
              <w:br w:type="textWrapping"/>
              <w:t>70%&lt;NBI&lt;=80%: 8 puntos</w:t>
              <w:br w:type="textWrapping"/>
              <w:t>80%&lt;NBI&lt;=90%: 9 puntos</w:t>
              <w:br w:type="textWrapping"/>
              <w:t>90%&lt;NBI&lt;=100%: 10 puntos</w:t>
              <w:br w:type="textWrapping"/>
              <w:t/>
            </w:r>
          </w:p>
        </w:tc>
      </w:tr>
      <w:tr>
        <w:trPr/>
        <w:tc>
          <w:tcPr>
            <w:tcW w:w="1818" w:type="dxa"/>
            <w:gridSpan w:val="2"/>
            <w:tcMar/>
            <w:tcBorders/>
          </w:tcPr>
          <w:p>
            <w:pPr/>
            <w:r>
              <w:rPr>
                <w:rFonts w:hAnsi="Arial"/>
                <w:rFonts w:ascii="Arial"/>
                <w:sz w:val="18"/>
                <w:color w:val="black"/>
              </w:rPr>
              <w:t xml:space="preserve">Condiciones</w:t>
              <w:br w:type="textWrapping"/>
              <w:t>del proyecto 20</w:t>
              <w:br w:type="textWrapping"/>
              <w:t>puntos</w:t>
              <w:br w:type="textWrapping"/>
              <w:t/>
            </w:r>
          </w:p>
        </w:tc>
        <w:tc>
          <w:tcPr>
            <w:tcW w:w="1955" w:type="dxa"/>
            <w:gridSpan w:val="3"/>
            <w:tcMar/>
            <w:tcBorders/>
          </w:tcPr>
          <w:p>
            <w:pPr/>
            <w:r>
              <w:rPr>
                <w:rFonts w:hAnsi="Arial"/>
                <w:rFonts w:ascii="Arial"/>
                <w:sz w:val="18"/>
                <w:color w:val="black"/>
              </w:rPr>
              <w:t xml:space="preserve">Retorno o reubicación vs.</w:t>
              <w:br w:type="textWrapping"/>
              <w:t>tipo de Solución</w:t>
              <w:br w:type="textWrapping"/>
              <w:t/>
            </w:r>
          </w:p>
        </w:tc>
        <w:tc>
          <w:tcPr>
            <w:tcW w:w="549" w:type="dxa"/>
            <w:gridSpan w:val="2"/>
            <w:tcMar/>
            <w:tcBorders/>
          </w:tcPr>
          <w:p>
            <w:pPr/>
            <w:r>
              <w:rPr>
                <w:rFonts w:hAnsi="Arial"/>
                <w:rFonts w:ascii="Arial"/>
                <w:sz w:val="18"/>
                <w:color w:val="black"/>
              </w:rPr>
              <w:t>20</w:t>
            </w:r>
          </w:p>
        </w:tc>
        <w:tc>
          <w:tcPr>
            <w:tcW w:w="1818" w:type="dxa"/>
            <w:gridSpan w:val="3"/>
            <w:tcMar/>
            <w:tcBorders/>
          </w:tcPr>
          <w:p>
            <w:pPr/>
            <w:rPr>
              <w:sz w:val="18"/>
              <w:b/>
              <w:color w:val="black"/>
            </w:rPr>
          </w:p>
        </w:tc>
        <w:tc>
          <w:tcPr>
            <w:tcW w:w="1783" w:type="dxa"/>
            <w:gridSpan w:val="2"/>
            <w:tcMar/>
            <w:tcBorders/>
          </w:tcPr>
          <w:p>
            <w:pPr/>
            <w:r>
              <w:rPr>
                <w:rFonts w:hAnsi="Arial"/>
                <w:rFonts w:ascii="Arial"/>
                <w:sz w:val="18"/>
                <w:color w:val="black"/>
              </w:rPr>
              <w:t xml:space="preserve">Mejoramiento y Saneamiento básico</w:t>
            </w:r>
          </w:p>
        </w:tc>
        <w:tc>
          <w:tcPr>
            <w:tcW w:w="824" w:type="dxa"/>
            <w:tcMar/>
            <w:tcBorders/>
          </w:tcPr>
          <w:p>
            <w:pPr/>
            <w:r>
              <w:rPr>
                <w:rFonts w:hAnsi="Arial"/>
                <w:rFonts w:ascii="Arial"/>
                <w:sz w:val="18"/>
                <w:color w:val="black"/>
              </w:rPr>
              <w:t xml:space="preserve">20 pts</w:t>
            </w:r>
          </w:p>
        </w:tc>
      </w:tr>
      <w:tr>
        <w:trPr/>
        <w:tc>
          <w:tcPr>
            <w:tcW w:w="1955" w:type="dxa"/>
            <w:gridSpan w:val="3"/>
            <w:tcMar/>
            <w:tcBorders/>
          </w:tcPr>
          <w:p>
            <w:pPr/>
            <w:rPr>
              <w:sz w:val="18"/>
              <w:color w:val="black"/>
            </w:rPr>
          </w:p>
        </w:tc>
        <w:tc>
          <w:tcPr>
            <w:tcW w:w="1818" w:type="dxa"/>
            <w:gridSpan w:val="2"/>
            <w:tcMar/>
            <w:tcBorders/>
          </w:tcPr>
          <w:p>
            <w:pPr/>
            <w:rPr>
              <w:sz w:val="18"/>
              <w:b/>
              <w:color w:val="black"/>
            </w:rPr>
          </w:p>
        </w:tc>
        <w:tc>
          <w:tcPr>
            <w:tcW w:w="1783" w:type="dxa"/>
            <w:gridSpan w:val="4"/>
            <w:tcMar/>
            <w:tcBorders/>
          </w:tcPr>
          <w:p>
            <w:pPr/>
            <w:r>
              <w:rPr>
                <w:rFonts w:hAnsi="Arial"/>
                <w:rFonts w:ascii="Arial"/>
                <w:sz w:val="18"/>
                <w:color w:val="black"/>
              </w:rPr>
              <w:t xml:space="preserve">Adquisición de vivienda.</w:t>
            </w:r>
          </w:p>
        </w:tc>
        <w:tc>
          <w:tcPr>
            <w:tcW w:w="824" w:type="dxa"/>
            <w:gridSpan w:val="4"/>
            <w:tcMar/>
            <w:tcBorders/>
          </w:tcPr>
          <w:p>
            <w:pPr/>
            <w:r>
              <w:rPr>
                <w:rFonts w:hAnsi="Arial"/>
                <w:rFonts w:ascii="Arial"/>
                <w:sz w:val="18"/>
                <w:color w:val="black"/>
              </w:rPr>
              <w:t xml:space="preserve">10 pts</w:t>
            </w:r>
          </w:p>
        </w:tc>
      </w:tr>
      <w:tr>
        <w:trPr/>
        <w:tc>
          <w:tcPr>
            <w:tcW w:w="549" w:type="dxa"/>
            <w:tcMar/>
            <w:tcBorders/>
          </w:tcPr>
          <w:p>
            <w:pPr/>
            <w:rPr>
              <w:sz w:val="18"/>
              <w:color w:val="black"/>
            </w:rPr>
          </w:p>
        </w:tc>
        <w:tc>
          <w:tcPr>
            <w:tcW w:w="1818" w:type="dxa"/>
            <w:gridSpan w:val="3"/>
            <w:tcMar/>
            <w:tcBorders/>
          </w:tcPr>
          <w:p>
            <w:pPr/>
            <w:r>
              <w:rPr>
                <w:rFonts w:hAnsi="Arial"/>
                <w:rFonts w:ascii="Arial"/>
                <w:sz w:val="18"/>
                <w:color w:val="black"/>
              </w:rPr>
              <w:t>Reubicación</w:t>
            </w:r>
          </w:p>
        </w:tc>
        <w:tc>
          <w:tcPr>
            <w:tcW w:w="1783" w:type="dxa"/>
            <w:gridSpan w:val="2"/>
            <w:tcMar/>
            <w:tcBorders/>
          </w:tcPr>
          <w:p>
            <w:pPr/>
            <w:r>
              <w:rPr>
                <w:rFonts w:hAnsi="Arial"/>
                <w:rFonts w:ascii="Arial"/>
                <w:sz w:val="18"/>
                <w:color w:val="black"/>
              </w:rPr>
              <w:t xml:space="preserve">Construcción en Sitio Propio</w:t>
            </w:r>
          </w:p>
        </w:tc>
        <w:tc>
          <w:tcPr>
            <w:tcW w:w="824" w:type="dxa"/>
            <w:gridSpan w:val="7"/>
            <w:tcMar/>
            <w:tcBorders/>
          </w:tcPr>
          <w:p>
            <w:pPr/>
            <w:r>
              <w:rPr>
                <w:rFonts w:hAnsi="Arial"/>
                <w:rFonts w:ascii="Arial"/>
                <w:sz w:val="18"/>
                <w:color w:val="black"/>
              </w:rPr>
              <w:t xml:space="preserve">10 pts</w:t>
            </w:r>
          </w:p>
        </w:tc>
      </w:tr>
    </w:tbl>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smmlv = salario mínimo mensual legal vigente.</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Para cada postulación al subsidio la entidad otorgante solicitará a la entidad oferente la actualización de los documentos que hayan perdido vigencia, para efectos de actualizar la calificación de los proyectos elegibles calificados no asignados”.</w:t>
      </w:r>
    </w:p>
    <w:p>
      <w:pPr>
        <w:jc w:val="both"/>
        <w:tabs>
          <w:tab w:val="center" w:leader="none" w:pos="576"/>
          <w:tab w:val="left" w:leader="none" w:pos="1152"/>
        </w:tabs>
      </w:pPr>
      <w:rPr>
        <w:color w:val="black"/>
      </w:rPr>
    </w:p>
    <w:p>
      <w:pPr>
        <w:jc w:val="both"/>
        <w:tabs>
          <w:tab w:val="center" w:leader="none" w:pos="576"/>
          <w:tab w:val="left" w:leader="none" w:pos="1152"/>
        </w:tabs>
      </w:pPr>
      <w:r>
        <w:rPr>
          <w:rFonts w:hAnsi="Arial"/>
          <w:rFonts w:ascii="Arial"/>
          <w:sz w:val="24"/>
          <w:vanish/>
          <w:color w:val="black"/>
        </w:rPr>
        <w:t>&amp;$</w:t>
      </w:r>
      <w:bookmarkStart w:id="44764" w:name="4"/>
      <w:r>
        <w:rPr>
          <w:rFonts w:hAnsi="Arial"/>
          <w:rFonts w:ascii="Arial"/>
          <w:sz w:val="24"/>
          <w:color w:val="navy"/>
        </w:rPr>
        <w:t xml:space="preserve">ARTÍCULO 4o. </w:t>
      </w:r>
      <w:r>
        <w:rPr>
          <w:rFonts w:hAnsi="Arial"/>
          <w:rFonts w:ascii="Arial"/>
          <w:sz w:val="24"/>
          <w:i/>
          <w:color w:val="navy"/>
        </w:rPr>
        <w:t xml:space="preserve">VIGENCIA Y DEROGATORIAS</w:t>
      </w:r>
      <w:r>
        <w:rPr>
          <w:rFonts w:hAnsi="Arial"/>
          <w:rFonts w:ascii="Arial"/>
          <w:sz w:val="24"/>
          <w:color w:val="navy"/>
        </w:rPr>
        <w:t>.</w:t>
      </w:r>
      <w:bookmarkEnd w:id="44764"/>
      <w:r>
        <w:rPr>
          <w:rFonts w:hAnsi="Arial"/>
          <w:rFonts w:ascii="Arial"/>
          <w:sz w:val="24"/>
          <w:color w:val="black"/>
        </w:rPr>
        <w:t xml:space="preserve"> El presente decreto rige a partir de la fecha de su publicación, deroga el parágrafo del artículo </w:t>
      </w:r>
      <w:r>
        <w:fldChar w:fldCharType="begin"/>
      </w:r>
      <w:r>
        <w:instrText>HYPERLINK "http://www.redjurista.com/document.aspx?ajcode=d2675005&amp;arts=6"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y el artículo </w:t>
      </w:r>
      <w:r>
        <w:fldChar w:fldCharType="begin"/>
      </w:r>
      <w:r>
        <w:instrText>HYPERLINK "http://www.redjurista.com/document.aspx?ajcode=d2675005&amp;arts=12"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 2675 de 2005 y demás normas que le sean contrarias.</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Publíquese y cúmplase.</w:t>
      </w:r>
    </w:p>
    <w:p>
      <w:pPr>
        <w:jc w:val="center"/>
        <w:tabs>
          <w:tab w:val="center" w:leader="none" w:pos="576"/>
          <w:tab w:val="left" w:leader="none" w:pos="1152"/>
        </w:tabs>
      </w:pPr>
      <w:r>
        <w:rPr>
          <w:rFonts w:hAnsi="Arial"/>
          <w:rFonts w:ascii="Arial"/>
          <w:sz w:val="24"/>
          <w:color w:val="black"/>
        </w:rPr>
        <w:t xml:space="preserve">Dado en Bogotá, D. C., a 17 de enero de 2007.</w:t>
      </w:r>
    </w:p>
    <w:p>
      <w:pPr>
        <w:jc w:val="center"/>
        <w:tabs>
          <w:tab w:val="center" w:leader="none" w:pos="576"/>
          <w:tab w:val="left" w:leader="none" w:pos="1152"/>
        </w:tabs>
      </w:pPr>
      <w:rPr>
        <w:sz w:val="24"/>
        <w:b/>
        <w:color w:val="black"/>
      </w:rPr>
    </w:p>
    <w:p>
      <w:pPr>
        <w:jc w:val="center"/>
        <w:tabs>
          <w:tab w:val="center" w:leader="none" w:pos="576"/>
          <w:tab w:val="left" w:leader="none" w:pos="1152"/>
        </w:tabs>
      </w:pPr>
      <w:r>
        <w:rPr>
          <w:rFonts w:hAnsi="Arial"/>
          <w:rFonts w:ascii="Arial"/>
          <w:sz w:val="24"/>
          <w:color w:val="gray"/>
        </w:rPr>
        <w:t xml:space="preserve">ÁLVARO URIBE VÉLEZ</w:t>
      </w:r>
    </w:p>
    <w:p>
      <w:pPr>
        <w:jc w:val="center"/>
        <w:tabs>
          <w:tab w:val="center" w:leader="none" w:pos="576"/>
          <w:tab w:val="left" w:leader="none" w:pos="1152"/>
        </w:tabs>
      </w:pPr>
      <w:rPr>
        <w:sz w:val="24"/>
        <w:b/>
        <w:color w:val="black"/>
      </w:rPr>
    </w:p>
    <w:p>
      <w:pPr>
        <w:jc w:val="center"/>
        <w:tabs>
          <w:tab w:val="center" w:leader="none" w:pos="576"/>
          <w:tab w:val="left" w:leader="none" w:pos="1152"/>
        </w:tabs>
      </w:pPr>
      <w:r>
        <w:rPr>
          <w:rFonts w:hAnsi="Arial"/>
          <w:rFonts w:ascii="Arial"/>
          <w:sz w:val="24"/>
          <w:color w:val="black"/>
        </w:rPr>
        <w:t xml:space="preserve">El Ministro del Interior y de Justicia,</w:t>
      </w:r>
    </w:p>
    <w:p>
      <w:pPr>
        <w:jc w:val="center"/>
        <w:tabs>
          <w:tab w:val="center" w:leader="none" w:pos="576"/>
          <w:tab w:val="left" w:leader="none" w:pos="1152"/>
        </w:tabs>
      </w:pPr>
      <w:r>
        <w:rPr>
          <w:rFonts w:hAnsi="Arial"/>
          <w:rFonts w:ascii="Arial"/>
          <w:sz w:val="24"/>
          <w:color w:val="gray"/>
        </w:rPr>
        <w:t xml:space="preserve">CARLOS HOLGUÍN SARDI.</w:t>
      </w:r>
    </w:p>
    <w:p>
      <w:pPr>
        <w:jc w:val="center"/>
        <w:tabs>
          <w:tab w:val="center" w:leader="none" w:pos="576"/>
          <w:tab w:val="left" w:leader="none" w:pos="1152"/>
        </w:tabs>
      </w:pPr>
      <w:rPr>
        <w:sz w:val="24"/>
        <w:b/>
        <w:color w:val="black"/>
      </w:rPr>
    </w:p>
    <w:p>
      <w:pPr>
        <w:jc w:val="center"/>
        <w:tabs>
          <w:tab w:val="center" w:leader="none" w:pos="576"/>
          <w:tab w:val="left" w:leader="none" w:pos="1152"/>
        </w:tabs>
      </w:pPr>
      <w:r>
        <w:rPr>
          <w:rFonts w:hAnsi="Arial"/>
          <w:rFonts w:ascii="Arial"/>
          <w:sz w:val="24"/>
          <w:color w:val="black"/>
        </w:rPr>
        <w:t xml:space="preserve">El Ministro de Agricultura y Desarrollo Rural,</w:t>
      </w:r>
    </w:p>
    <w:p>
      <w:pPr>
        <w:jc w:val="center"/>
        <w:tabs>
          <w:tab w:val="center" w:leader="none" w:pos="576"/>
          <w:tab w:val="left" w:leader="none" w:pos="1152"/>
        </w:tabs>
      </w:pPr>
      <w:r>
        <w:rPr>
          <w:rFonts w:hAnsi="Arial"/>
          <w:rFonts w:ascii="Arial"/>
          <w:sz w:val="24"/>
          <w:color w:val="gray"/>
        </w:rPr>
        <w:t xml:space="preserve">ANDRÉS FELIPE ARIAS LEIVA.</w:t>
      </w:r>
    </w:p>
    <w:p>
      <w:pPr>
        <w:jc w:val="center"/>
        <w:tabs>
          <w:tab w:val="center" w:leader="none" w:pos="576"/>
          <w:tab w:val="left" w:leader="none" w:pos="1152"/>
        </w:tabs>
      </w:pPr>
      <w:rPr>
        <w:sz w:val="24"/>
        <w:b/>
        <w:color w:val="black"/>
      </w:rPr>
    </w:p>
    <w:p>
      <w:pPr>
        <w:jc w:val="center"/>
        <w:tabs>
          <w:tab w:val="center" w:leader="none" w:pos="576"/>
          <w:tab w:val="left" w:leader="none" w:pos="1152"/>
        </w:tabs>
      </w:pPr>
      <w:r>
        <w:rPr>
          <w:rFonts w:hAnsi="Arial"/>
          <w:rFonts w:ascii="Arial"/>
          <w:sz w:val="24"/>
          <w:color w:val="black"/>
        </w:rPr>
        <w:t xml:space="preserve">El Ministro de Ambiente, Vivienda y Desarrollo Territorial,</w:t>
      </w:r>
    </w:p>
    <w:p>
      <w:pPr>
        <w:jc w:val="center"/>
        <w:tabs>
          <w:tab w:val="center" w:leader="none" w:pos="576"/>
          <w:tab w:val="left" w:leader="none" w:pos="1152"/>
        </w:tabs>
      </w:pPr>
      <w:r>
        <w:rPr>
          <w:rFonts w:hAnsi="Arial"/>
          <w:rFonts w:ascii="Arial"/>
          <w:sz w:val="24"/>
          <w:color w:val="gray"/>
        </w:rPr>
        <w:t xml:space="preserve">JUAN LOZANO RAMÍREZ.</w:t>
      </w:r>
    </w:p>
    <w:p>
      <w:pPr>
        <w:jc w:val="both"/>
        <w:tabs>
          <w:tab w:val="center" w:leader="none" w:pos="576"/>
          <w:tab w:val="left" w:leader="none" w:pos="1152"/>
        </w:tabs>
      </w:pPr>
      <w:rPr>
        <w:rFonts w:hAnsi="Verdana"/>
        <w:rFonts w:ascii="Verdana"/>
        <w:sz w:val="16"/>
        <w:color w:val="silver"/>
      </w:rPr>
    </w:p>
    <w:sectPr>
      <w:cols w:num="1" w.space="720"/>
      <w:pgSz w:w="12240" w:h="15840"/>
      <w:pgMar w:top="1134" w:right="1134" w:left="1134" w:bottom="1417" w:header="254" w:footer="254"/>
      <w:headerReference w:type="default" r:id="eId6880"/>
      <w:footerReference w:type="default" r:id="eId6881"/>
      <w:type w:val="continuous"/>
    </w:sectPr>
  </w:body>
</w:document>
</file>

<file path=word/footer_default_688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688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6880" Type="http://schemas.openxmlformats.org/officeDocument/2006/relationships/header" Target="header_default_6880.xml" />
<Relationship Id="id0" Type="http://schemas.openxmlformats.org/officeDocument/2006/relationships/image" Target="img/img_id0.png"/>
<Relationship Id="eId6881" Type="http://schemas.openxmlformats.org/officeDocument/2006/relationships/footer" Target="footer_default_688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88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88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