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84.xml" ContentType="application/vnd.openxmlformats-officedocument.wordprocessingml.header+xml"/>
  <Override PartName="/word/footer_default_69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355 DE 2014</w:t>
      </w:r>
    </w:p>
    <w:p>
      <w:pPr>
        <w:jc w:val="center"/>
      </w:pPr>
      <w:r>
        <w:rPr>
          <w:rFonts w:hAnsi="Arial"/>
          <w:rFonts w:ascii="Arial"/>
          <w:sz w:val="24"/>
          <w:color w:val="black"/>
        </w:rPr>
        <w:t xml:space="preserve">(febrero 19)</w:t>
      </w:r>
    </w:p>
    <w:p>
      <w:pPr>
        <w:jc w:val="center"/>
      </w:pPr>
      <w:r>
        <w:rPr>
          <w:rFonts w:hAnsi="Arial"/>
          <w:rFonts w:ascii="Arial"/>
          <w:sz w:val="24"/>
          <w:color w:val="black"/>
        </w:rPr>
        <w:t xml:space="preserve">Diario Oficial No. 49.069 de 19 de febrero de 2014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el artículo </w:t>
      </w:r>
      <w:r>
        <w:fldChar w:fldCharType="begin"/>
      </w:r>
      <w:r>
        <w:instrText>HYPERLINK "http://www.redjurista.com/document.aspx?ajcode=l1694013&amp;arts=3"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1694 de 2013.</w:t>
      </w:r>
    </w:p>
    <w:p>
      <w:pPr>
        <w:jc w:val="center"/>
        <w:keepNext/>
      </w:pPr>
      <w:rPr>
        <w:color w:val="black"/>
      </w:rPr>
    </w:p>
    <w:p>
      <w:pPr>
        <w:jc w:val="center"/>
        <w:keepNext/>
      </w:pPr>
      <w:r>
        <w:rPr>
          <w:rFonts w:hAnsi="Arial"/>
          <w:rFonts w:ascii="Arial"/>
          <w:sz w:val="24"/>
          <w:color w:val="gray"/>
        </w:rPr>
        <w:t xml:space="preserve">EL PRESIDENTE DE LA REPÚBLICA DE COLOMBIA,</w:t>
      </w:r>
    </w:p>
    <w:p>
      <w:pPr>
        <w:jc w:val="center"/>
        <w:keepNext/>
      </w:pPr>
      <w:rPr>
        <w:sz w:val="24"/>
        <w:color w:val="black"/>
      </w:rPr>
    </w:p>
    <w:p>
      <w:pPr>
        <w:jc w:val="center"/>
        <w:keepNext/>
      </w:pPr>
      <w:r>
        <w:rPr>
          <w:rFonts w:hAnsi="Arial"/>
          <w:rFonts w:ascii="Arial"/>
          <w:sz w:val="24"/>
          <w:color w:val="black"/>
        </w:rPr>
        <w:t xml:space="preserve">en ejercicio de las facultades constitucionales y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las Leyes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y </w:t>
      </w:r>
      <w:r>
        <w:fldChar w:fldCharType="begin"/>
      </w:r>
      <w:r>
        <w:instrText>HYPERLINK "http://www.redjurista.com/document.aspx?ajcode=l1694013&amp;arts=Inicio"</w:instrText>
      </w:r>
      <w:r>
        <w:fldChar w:fldCharType="separate"/>
      </w:r>
      <w:r>
        <w:rPr>
          <w:rFonts w:hAnsi="Arial"/>
          <w:rFonts w:ascii="Arial"/>
          <w:sz w:val="24"/>
          <w:u w:val="single"/>
          <w:color w:val="black"/>
        </w:rPr>
        <w:t>1694</w:t>
      </w:r>
      <w:r>
        <w:fldChar w:fldCharType="end"/>
      </w:r>
      <w:r>
        <w:rPr>
          <w:rFonts w:hAnsi="Arial"/>
          <w:rFonts w:ascii="Arial"/>
          <w:sz w:val="24"/>
          <w:u w:val="none"/>
          <w:color w:val="black"/>
        </w:rPr>
        <w:t xml:space="preserve"> de 2013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creó el Fondo de Solidaridad Agropecuario (Fonsa), como una cuenta especial dependiente del Ministerio de Agricultura y Desarrollo Rural, cuyo objetivo exclusivo es otorgar apoyo económico a los pequeños productores agropecuarios y pesqueros, para la atención y alivio parcial o total de sus deudas.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"http://www.redjurista.com/document.aspx?ajcode=l1694013&amp;arts=3"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1694 de 2013, dispone que el Gobierno Nacional, en desarrollo de lo establecido en el artículo </w:t>
      </w:r>
      <w:r>
        <w:fldChar w:fldCharType="begin"/>
      </w:r>
      <w:r>
        <w:instrText>HYPERLINK "http://www.redjurista.com/document.aspx?ajcode=l1687013&amp;arts=91"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Anual de Presupuesto para la vigencia de 2014, para la aplicación de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podrá incluir nuevas situaciones de crisis que se traduzcan en caídas severas y sostenidas de los ingresos de los productores, e incorporar nuevos beneficios individuales, incluyendo aquellos que se encuentren integrados en créditos asociativos o en alianzas estratégicas, para el Fondo de Solidaridad Agropecuario (Fonsa). </w:t>
      </w:r>
    </w:p>
    <w:p>
      <w:pPr>
        <w:jc w:val="both"/>
      </w:pPr>
      <w:rPr>
        <w:sz w:val="24"/>
        <w:color w:val="black"/>
      </w:rPr>
    </w:p>
    <w:p>
      <w:pPr>
        <w:jc w:val="both"/>
      </w:pPr>
      <w:r>
        <w:rPr>
          <w:rFonts w:hAnsi="Arial"/>
          <w:rFonts w:ascii="Arial"/>
          <w:sz w:val="24"/>
          <w:color w:val="black"/>
        </w:rPr>
        <w:t xml:space="preserve">Que la citada disposición previó además que el nivel de activos totales de los beneficiarios sujetos a la condición prevista en el considerando anterior no podrían superar los setecientos salarios mínimos legales mensuales vigentes (700 SMLMV) incluidos los de su cónyuge o compañero permanente, con cargo a los recursos de que trata la referida ley. </w:t>
      </w:r>
    </w:p>
    <w:p>
      <w:pPr>
        <w:jc w:val="both"/>
      </w:pPr>
      <w:rPr>
        <w:sz w:val="24"/>
        <w:color w:val="black"/>
      </w:rPr>
    </w:p>
    <w:p>
      <w:pPr>
        <w:jc w:val="both"/>
      </w:pPr>
      <w:r>
        <w:rPr>
          <w:rFonts w:hAnsi="Arial"/>
          <w:rFonts w:ascii="Arial"/>
          <w:sz w:val="24"/>
          <w:color w:val="black"/>
        </w:rPr>
        <w:t xml:space="preserve">Que en el inciso 2o del mismo artículo </w:t>
      </w:r>
      <w:r>
        <w:fldChar w:fldCharType="begin"/>
      </w:r>
      <w:r>
        <w:instrText>HYPERLINK "http://www.redjurista.com/document.aspx?ajcode=l1694013&amp;arts=3"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1694 de 2013, se establece que el Gobierno Nacional podrá diseñar e implementar nuevos mecanismos de crédito, con sus debidos soportes y garantías, para financiar a los productores agropecuarios en situaciones de crisis. </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"http://www.redjurista.com/document.aspx?ajcode=cons_p91&amp;arts=115"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Constitución Política de Colombia, el Gobierno Nacional </w:t>
      </w:r>
      <w:r>
        <w:rPr>
          <w:rFonts w:hAnsi="Arial"/>
          <w:rFonts w:ascii="Arial"/>
          <w:sz w:val="24"/>
          <w:i/>
          <w:u w:val="none"/>
          <w:color w:val="black"/>
        </w:rPr>
        <w:t xml:space="preserve">“está formado por el Presidente de la República, los ministros del despacho y los directores de departamentos administrativos. El Presidente y el Ministro o Director de Departamento correspondientes, en cada negocio particular, constituyen el Gobierno”. </w:t>
      </w:r>
    </w:p>
    <w:p>
      <w:pPr>
        <w:jc w:val="both"/>
      </w:pPr>
      <w:rPr>
        <w:sz w:val="24"/>
        <w:color w:val="black"/>
      </w:rPr>
    </w:p>
    <w:p>
      <w:pPr>
        <w:jc w:val="both"/>
      </w:pPr>
      <w:r>
        <w:rPr>
          <w:rFonts w:hAnsi="Arial"/>
          <w:rFonts w:ascii="Arial"/>
          <w:sz w:val="24"/>
          <w:color w:val="black"/>
        </w:rPr>
        <w:t xml:space="preserve">Que es función del Presidente de la República, de acuerdo con la Constitución Política de Colombia, ejercer la potestad reglamentaria mediante la expedición de los decretos que sean necesarios para la adecuada ejecución de las leyes. </w:t>
      </w:r>
    </w:p>
    <w:p>
      <w:pPr>
        <w:jc w:val="both"/>
      </w:pPr>
      <w:rPr>
        <w:sz w:val="24"/>
        <w:color w:val="black"/>
      </w:rPr>
    </w:p>
    <w:p>
      <w:pPr>
        <w:jc w:val="both"/>
      </w:pPr>
      <w:r>
        <w:rPr>
          <w:rFonts w:hAnsi="Arial"/>
          <w:rFonts w:ascii="Arial"/>
          <w:sz w:val="24"/>
          <w:color w:val="black"/>
        </w:rPr>
        <w:t xml:space="preserve">Que conforme a esta facultad el Gobierno Nacional podrá establecer los lineamientos y condicionamientos que pueden observarse respecto de la instrumentalización y operación de nuevos mecanismos de crédito. </w:t>
      </w:r>
    </w:p>
    <w:p>
      <w:pPr>
        <w:jc w:val="both"/>
      </w:pPr>
      <w:rPr>
        <w:sz w:val="24"/>
        <w:color w:val="black"/>
      </w:rPr>
    </w:p>
    <w:p>
      <w:pPr>
        <w:jc w:val="both"/>
      </w:pPr>
      <w:r>
        <w:rPr>
          <w:rFonts w:hAnsi="Arial"/>
          <w:rFonts w:ascii="Arial"/>
          <w:sz w:val="24"/>
          <w:color w:val="black"/>
        </w:rPr>
        <w:t xml:space="preserve">Que para dar cumplimiento al propósito del Gobierno Nacional de mejorar las condiciones para el desarrollo del sector agropecuario y rural, y en particular para facilitar la recuperación de la capacidad productiva de los productores del sector afectados por diversos fenómenos, se hace necesario reglamentar el artículo </w:t>
      </w:r>
      <w:r>
        <w:fldChar w:fldCharType="begin"/>
      </w:r>
      <w:r>
        <w:instrText>HYPERLINK "http://www.redjurista.com/document.aspx?ajcode=l1694013&amp;arts=3"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1694 de 2013, estableciendo los lineamientos que deberán tenerse en cuenta para beneficiar a los productores que se encuentren incluidos dentro de las nuevas situaciones de crisis y de aquellos que pueden ser sujetos de los nuevos mecanismos de crédito que sean diseñados e implementados. </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46367" w:name="1"/>
      <w:r>
        <w:rPr>
          <w:rFonts w:hAnsi="Arial"/>
          <w:rFonts w:ascii="Arial"/>
          <w:sz w:val="24"/>
          <w:color w:val="navy"/>
        </w:rPr>
        <w:t xml:space="preserve">ARTÍCULO 1o. </w:t>
      </w:r>
      <w:r>
        <w:rPr>
          <w:rFonts w:hAnsi="Arial"/>
          <w:rFonts w:ascii="Arial"/>
          <w:sz w:val="24"/>
          <w:i/>
          <w:color w:val="navy"/>
        </w:rPr>
        <w:t xml:space="preserve">NUEVAS SITUACIONES DE CRISIS. </w:t>
      </w:r>
      <w:bookmarkEnd w:id="46367"/>
      <w:r>
        <w:rPr>
          <w:rFonts w:hAnsi="Arial"/>
          <w:rFonts w:ascii="Arial"/>
          <w:sz w:val="24"/>
          <w:b/>
          <w:color w:val="black"/>
        </w:rPr>
        <w:t xml:space="preserve">&lt;Artículo compilado en el artículo </w:t>
      </w:r>
      <w:r>
        <w:fldChar w:fldCharType="begin"/>
      </w:r>
      <w:r>
        <w:instrText>HYPERLINK "http://www.redjurista.com/document.aspx?ajcode=d1071015&amp;arts=2.1.1.3.1"</w:instrText>
      </w:r>
      <w:r>
        <w:fldChar w:fldCharType="separate"/>
      </w:r>
      <w:r>
        <w:rPr>
          <w:rFonts w:hAnsi="Arial"/>
          <w:rFonts w:ascii="Arial"/>
          <w:sz w:val="24"/>
          <w:b/>
          <w:u w:val="single"/>
          <w:color w:val="black"/>
        </w:rPr>
        <w:t>2.1.1.3.1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bookmarkStart w:id="46368" w:name="1"/>
      <w:r>
        <w:rPr>
          <w:rFonts w:hAnsi="Arial"/>
          <w:rFonts w:ascii="Arial"/>
          <w:sz w:val="24"/>
          <w:i/>
          <w:u w:val="none"/>
          <w:color w:val="navy"/>
        </w:rPr>
        <w:t xml:space="preserve"> </w:t>
      </w:r>
      <w:bookmarkEnd w:id="46368"/>
      <w:r>
        <w:rPr>
          <w:rFonts w:hAnsi="Arial"/>
          <w:rFonts w:ascii="Arial"/>
          <w:sz w:val="24"/>
          <w:u w:val="none"/>
          <w:color w:val="black"/>
        </w:rPr>
        <w:t xml:space="preserve">&lt;Ver Notas del Editor&gt; Para los efectos de la aplicación de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durante la vigencia 2014, además de las situaciones de crisis dispuestas en el artículo </w:t>
      </w:r>
      <w:r>
        <w:fldChar w:fldCharType="begin"/>
      </w:r>
      <w:r>
        <w:instrText>HYPERLINK "http://www.redjurista.com/document.aspx?ajcode=l0302_96&amp;arts=2"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dicha disposición, se tendrá en cuenta como nueva situación de crisis las variaciones significativas y sostenidas en los precios de los productos o insumos agropecuarios, que se traduzcan en caídas severas y sostenidas de ingresos para los productores. </w:t>
      </w:r>
    </w:p>
    <w:p>
      <w:pPr>
        <w:jc w:val="both"/>
      </w:pPr>
      <w:rPr>
        <w:sz w:val="24"/>
        <w:color w:val="black"/>
      </w:rPr>
    </w:p>
    <w:p>
      <w:pPr>
        <w:jc w:val="both"/>
      </w:pPr>
      <w:r>
        <w:rPr>
          <w:rFonts w:hAnsi="Arial"/>
          <w:rFonts w:ascii="Arial"/>
          <w:sz w:val="24"/>
          <w:color w:val="black"/>
        </w:rPr>
        <w:t xml:space="preserve">Los Ministerios de Agricultura y Desarrollo Rural y de Hacienda y Crédito Público, mediante acto administrativo, determinarán las cadenas productivas que resultaron afectadas por esta nueva situación, en el periodo comprendido entre el 1o de enero de 2012 y el 31 de agosto de 2013. </w:t>
      </w:r>
    </w:p>
    <w:p>
      <w:pPr>
        <w:jc w:val="both"/>
      </w:pPr>
      <w:rPr>
        <w:sz w:val="24"/>
        <w:color w:val="black"/>
      </w:rPr>
    </w:p>
    <w:p>
      <w:pPr>
        <w:jc w:val="both"/>
      </w:pPr>
      <w:r>
        <w:rPr>
          <w:rFonts w:hAnsi="Arial"/>
          <w:rFonts w:ascii="Arial"/>
          <w:sz w:val="24"/>
          <w:color w:val="black"/>
        </w:rPr>
        <w:t xml:space="preserve">La Junta Directiva del Fonsa podrá incorporar nuevos beneficiarios individuales, incluyendo aquellos que se encuentren integrados en créditos asociativos o en alianzas estratégicas. </w:t>
      </w:r>
    </w:p>
    <w:p>
      <w:pPr>
        <w:jc w:val="both"/>
      </w:pPr>
      <w:rPr>
        <w:color w:val="black"/>
      </w:rPr>
    </w:p>
    <w:p>
      <w:pPr>
        <w:jc w:val="both"/>
      </w:pPr>
      <w:r>
        <w:rPr>
          <w:rFonts w:hAnsi="Arial"/>
          <w:rFonts w:ascii="Arial"/>
          <w:sz w:val="24"/>
          <w:vanish/>
          <w:color w:val="black"/>
        </w:rPr>
        <w:t>&amp;$</w:t>
      </w:r>
      <w:bookmarkStart w:id="46369" w:name="2"/>
      <w:r>
        <w:rPr>
          <w:rFonts w:hAnsi="Arial"/>
          <w:rFonts w:ascii="Arial"/>
          <w:sz w:val="24"/>
          <w:color w:val="navy"/>
        </w:rPr>
        <w:t xml:space="preserve">ARTÍCULO 2o. </w:t>
      </w:r>
      <w:r>
        <w:rPr>
          <w:rFonts w:hAnsi="Arial"/>
          <w:rFonts w:ascii="Arial"/>
          <w:sz w:val="24"/>
          <w:i/>
          <w:color w:val="navy"/>
        </w:rPr>
        <w:t xml:space="preserve">CARTERA OBJETO DE COMPRA. </w:t>
      </w:r>
      <w:bookmarkEnd w:id="46369"/>
      <w:r>
        <w:rPr>
          <w:rFonts w:hAnsi="Arial"/>
          <w:rFonts w:ascii="Arial"/>
          <w:sz w:val="24"/>
          <w:b/>
          <w:color w:val="black"/>
        </w:rPr>
        <w:t xml:space="preserve">&lt;Artículo compilado en el artículo </w:t>
      </w:r>
      <w:r>
        <w:fldChar w:fldCharType="begin"/>
      </w:r>
      <w:r>
        <w:instrText>HYPERLINK "http://www.redjurista.com/document.aspx?ajcode=d1071015&amp;arts=2.1.1.3.2"</w:instrText>
      </w:r>
      <w:r>
        <w:fldChar w:fldCharType="separate"/>
      </w:r>
      <w:r>
        <w:rPr>
          <w:rFonts w:hAnsi="Arial"/>
          <w:rFonts w:ascii="Arial"/>
          <w:sz w:val="24"/>
          <w:b/>
          <w:u w:val="single"/>
          <w:color w:val="black"/>
        </w:rPr>
        <w:t>2.1.1.3.2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cartera que podrá ser objeto de compra y que se encuentre delimitada en la nueva situación de crisis contemplada en el artículo anterior, deberá ser cartera vencida, redescontada, registrada (sustitutiva) o agropecuaria, entendiéndose esta como los recursos propios de los intermediarios financieros que no van a ser validados como cartera sustitutiva, pero que para su otorgamiento se requiere acceder a garantías del Fondo Agropecuario de Garantías (FAG) o porque los proyectos financiados con dichos créditos requieren acceder a incentivos o subsidios de tasa de interés otorgados por el Gobierno Nacional, de acuerdo a la normatividad vigente. </w:t>
      </w:r>
    </w:p>
    <w:p>
      <w:pPr>
        <w:jc w:val="both"/>
      </w:pPr>
      <w:rPr>
        <w:sz w:val="24"/>
        <w:color w:val="black"/>
      </w:rPr>
    </w:p>
    <w:p>
      <w:pPr>
        <w:jc w:val="both"/>
      </w:pPr>
      <w:r>
        <w:rPr>
          <w:rFonts w:hAnsi="Arial"/>
          <w:rFonts w:ascii="Arial"/>
          <w:sz w:val="24"/>
          <w:color w:val="black"/>
        </w:rPr>
        <w:t xml:space="preserve">Podrán acceder a esta compra de cartera, los productores cuyos activos totales incluidos los de su cónyuge o compañero permanente no superen setecientos salarios mínimos legales mensuales vigentes (700 SMLMV). </w:t>
      </w:r>
    </w:p>
    <w:p>
      <w:pPr>
        <w:jc w:val="both"/>
      </w:pPr>
      <w:rPr>
        <w:sz w:val="24"/>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"http://www.redjurista.com/document.aspx?ajcode=d1036014&amp;arts=1"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1036 de 2014. El nuevo texto es el siguiente:&gt; Dicha cartera deberá haberse vencido entre el 1o de enero de 2011 y el 28 de febrero de 2014 y continuar vencida para el 28 de febrero de 2014 o haber sido normalizada entre el 1o de enero de 2011 y el 28 de febrero de 2014</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"http://www.redjurista.com/document.aspx?ajcode=d1036014&amp;arts=2"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1036 de 2014. El nuevo texto es el siguiente:&gt; También podrá ser objeto de esta compra, la cartera que habiendo sido garantizada por el FAG, la garantía haya sido pagada entre el 1o de enero de 2011 y el 28 de febrero de 2014.</w:t>
      </w:r>
    </w:p>
    <w:p>
      <w:pPr>
        <w:jc w:val="both"/>
      </w:pPr>
    </w:p>
    <w:p>
      <w:pPr>
        <w:jc w:val="both"/>
      </w:pPr>
      <w:r>
        <w:rPr>
          <w:rFonts w:hAnsi="Arial"/>
          <w:rFonts w:ascii="Arial"/>
          <w:sz w:val="24"/>
          <w:vanish/>
          <w:color w:val="black"/>
        </w:rPr>
        <w:t>&amp;$</w:t>
      </w:r>
      <w:bookmarkStart w:id="46370" w:name="3"/>
      <w:r>
        <w:rPr>
          <w:rFonts w:hAnsi="Arial"/>
          <w:rFonts w:ascii="Arial"/>
          <w:sz w:val="24"/>
          <w:color w:val="navy"/>
        </w:rPr>
        <w:t xml:space="preserve">ARTÍCULO 3o. </w:t>
      </w:r>
      <w:r>
        <w:rPr>
          <w:rFonts w:hAnsi="Arial"/>
          <w:rFonts w:ascii="Arial"/>
          <w:sz w:val="24"/>
          <w:i/>
          <w:color w:val="navy"/>
        </w:rPr>
        <w:t xml:space="preserve">CONDICIONES DE COMPRA DE LA CARTERA. </w:t>
      </w:r>
      <w:bookmarkEnd w:id="46370"/>
      <w:r>
        <w:rPr>
          <w:rFonts w:hAnsi="Arial"/>
          <w:rFonts w:ascii="Arial"/>
          <w:sz w:val="24"/>
          <w:b/>
          <w:color w:val="black"/>
        </w:rPr>
        <w:t xml:space="preserve"> &lt;Artículo compilado en el artículo </w:t>
      </w:r>
      <w:r>
        <w:fldChar w:fldCharType="begin"/>
      </w:r>
      <w:r>
        <w:instrText>HYPERLINK "http://www.redjurista.com/document.aspx?ajcode=d1071015&amp;arts=2.1.1.3.3"</w:instrText>
      </w:r>
      <w:r>
        <w:fldChar w:fldCharType="separate"/>
      </w:r>
      <w:r>
        <w:rPr>
          <w:rFonts w:hAnsi="Arial"/>
          <w:rFonts w:ascii="Arial"/>
          <w:sz w:val="24"/>
          <w:b/>
          <w:u w:val="single"/>
          <w:color w:val="black"/>
        </w:rPr>
        <w:t>2.1.1.3.3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Conforme a lo previsto en el artículo </w:t>
      </w:r>
      <w:r>
        <w:fldChar w:fldCharType="begin"/>
      </w:r>
      <w:r>
        <w:instrText>HYPERLINK "http://www.redjurista.com/document.aspx?ajcode=l0302_96&amp;arts=8"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302 de 1996, la Junta Directiva del Fonsa determinará las condiciones de compra de la cartera que se encuentre enmarcada dentro de las nuevas situaciones de crisis. </w:t>
      </w:r>
    </w:p>
    <w:p>
      <w:pPr>
        <w:jc w:val="both"/>
      </w:pPr>
      <w:rPr>
        <w:sz w:val="24"/>
        <w:color w:val="black"/>
      </w:rPr>
    </w:p>
    <w:p>
      <w:pPr>
        <w:jc w:val="both"/>
      </w:pPr>
      <w:r>
        <w:rPr>
          <w:rFonts w:hAnsi="Arial"/>
          <w:rFonts w:ascii="Arial"/>
          <w:sz w:val="24"/>
          <w:color w:val="black"/>
        </w:rPr>
        <w:t xml:space="preserve">Dentro de estas condiciones la Junta Directiva deberá indicar los términos en que será refinanciada la obligación a favor del deudor y el reglamento que deberá tenerse en cuenta para lograr su recuperación, así como las demás condiciones señaladas en el artículo </w:t>
      </w:r>
      <w:r>
        <w:fldChar w:fldCharType="begin"/>
      </w:r>
      <w:r>
        <w:instrText>HYPERLINK "http://www.redjurista.com/document.aspx?ajcode=l0302_96&amp;arts=4"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302 de 1996.</w:t>
      </w:r>
    </w:p>
    <w:p>
      <w:pPr>
        <w:jc w:val="both"/>
      </w:pPr>
      <w:rPr>
        <w:sz w:val="24"/>
        <w:color w:val="black"/>
      </w:rPr>
    </w:p>
    <w:p>
      <w:pPr>
        <w:jc w:val="both"/>
      </w:pPr>
      <w:r>
        <w:rPr>
          <w:rFonts w:hAnsi="Arial"/>
          <w:rFonts w:ascii="Arial"/>
          <w:sz w:val="24"/>
          <w:color w:val="black"/>
        </w:rPr>
        <w:t xml:space="preserve">En todo caso, la Junta Directiva conforme a las funciones que le han sido asignadas, podrá establecer beneficios adicionales para aquellos deudores que hagan pagos antes del vencimiento de los plazos otorgados.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reglamentación que se expida deberá tener en cuenta las recomendaciones que realicen los Ministerios de Agricultura y Desarrollo Rural, de Hacienda y Crédito Público y el Fondo para el Financiamiento del Sector Agropecuario (Finagro).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se considerará que existe derecho adquirido respecto a la compra de la cartera, y solo se tendrá en cuenta aquella respecto de la que se verifique el cumplimiento de los requisitos señalados en este decreto, y los que señale la Junta Directiva del Fonsa, atendiendo las recomendaciones de los Ministerios de Agricultura y Desarrollo Rural, Hacienda y Crédito Público y Finagro, y que sea ofrecida en venta por un intermediario financiero, hasta la concurrencia de los recursos apropiados para la compra. </w:t>
      </w:r>
    </w:p>
    <w:p>
      <w:pPr>
        <w:jc w:val="both"/>
      </w:pPr>
      <w:rPr>
        <w:color w:val="black"/>
      </w:rPr>
    </w:p>
    <w:p>
      <w:pPr>
        <w:jc w:val="both"/>
      </w:pPr>
      <w:r>
        <w:rPr>
          <w:rFonts w:hAnsi="Arial"/>
          <w:rFonts w:ascii="Arial"/>
          <w:sz w:val="24"/>
          <w:vanish/>
          <w:color w:val="black"/>
        </w:rPr>
        <w:t>&amp;$</w:t>
      </w:r>
      <w:bookmarkStart w:id="46371" w:name="4"/>
      <w:r>
        <w:rPr>
          <w:rFonts w:hAnsi="Arial"/>
          <w:rFonts w:ascii="Arial"/>
          <w:sz w:val="24"/>
          <w:color w:val="navy"/>
        </w:rPr>
        <w:t xml:space="preserve">ARTÍCULO 4o. </w:t>
      </w:r>
      <w:r>
        <w:rPr>
          <w:rFonts w:hAnsi="Arial"/>
          <w:rFonts w:ascii="Arial"/>
          <w:sz w:val="24"/>
          <w:i/>
          <w:color w:val="navy"/>
        </w:rPr>
        <w:t xml:space="preserve">PRIMAS DE LOS SEGUROS DE VIDA. </w:t>
      </w:r>
      <w:bookmarkEnd w:id="46371"/>
      <w:r>
        <w:rPr>
          <w:rFonts w:hAnsi="Arial"/>
          <w:rFonts w:ascii="Arial"/>
          <w:sz w:val="24"/>
          <w:b/>
          <w:color w:val="black"/>
        </w:rPr>
        <w:t xml:space="preserve">&lt;Artículo compilado en el artículo </w:t>
      </w:r>
      <w:r>
        <w:fldChar w:fldCharType="begin"/>
      </w:r>
      <w:r>
        <w:instrText>HYPERLINK "http://www.redjurista.com/document.aspx?ajcode=d1071015&amp;arts=2.1.1.3.4"</w:instrText>
      </w:r>
      <w:r>
        <w:fldChar w:fldCharType="separate"/>
      </w:r>
      <w:r>
        <w:rPr>
          <w:rFonts w:hAnsi="Arial"/>
          <w:rFonts w:ascii="Arial"/>
          <w:sz w:val="24"/>
          <w:b/>
          <w:u w:val="single"/>
          <w:color w:val="black"/>
        </w:rPr>
        <w:t>2.1.1.3.4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programa asumirá el pago de las primas de los seguros de vida asociados a las obligaciones adquiridas en la compra de cartera de que trata el presente decreto. En el caso que se agoten estos recursos, el costo de las primas de seguros de vida podrá ser trasladado a los deudores. </w:t>
      </w:r>
    </w:p>
    <w:p>
      <w:pPr>
        <w:jc w:val="both"/>
      </w:pPr>
      <w:rPr>
        <w:color w:val="black"/>
      </w:rPr>
    </w:p>
    <w:p>
      <w:pPr>
        <w:jc w:val="both"/>
      </w:pPr>
      <w:r>
        <w:rPr>
          <w:rFonts w:hAnsi="Arial"/>
          <w:rFonts w:ascii="Arial"/>
          <w:sz w:val="24"/>
          <w:vanish/>
          <w:color w:val="navy"/>
        </w:rPr>
        <w:t>&amp;$</w:t>
      </w:r>
      <w:bookmarkStart w:id="46372" w:name="5"/>
      <w:r>
        <w:rPr>
          <w:rFonts w:hAnsi="Arial"/>
          <w:rFonts w:ascii="Arial"/>
          <w:sz w:val="24"/>
          <w:color w:val="navy"/>
        </w:rPr>
        <w:t xml:space="preserve">ARTÍCULO 5o. </w:t>
      </w:r>
      <w:r>
        <w:rPr>
          <w:rFonts w:hAnsi="Arial"/>
          <w:rFonts w:ascii="Arial"/>
          <w:sz w:val="24"/>
          <w:i/>
          <w:color w:val="navy"/>
        </w:rPr>
        <w:t xml:space="preserve">NUEVOS MECANISMOS DE CRÉDITO. </w:t>
      </w:r>
      <w:bookmarkEnd w:id="46372"/>
      <w:r>
        <w:rPr>
          <w:rFonts w:hAnsi="Arial"/>
          <w:rFonts w:ascii="Arial"/>
          <w:sz w:val="24"/>
          <w:b/>
          <w:color w:val="black"/>
        </w:rPr>
        <w:t xml:space="preserve">&lt;Artículo compilado en el artículo </w:t>
      </w:r>
      <w:r>
        <w:fldChar w:fldCharType="begin"/>
      </w:r>
      <w:r>
        <w:instrText>HYPERLINK "http://www.redjurista.com/document.aspx?ajcode=d1071015&amp;arts=2.1.1.3.5"</w:instrText>
      </w:r>
      <w:r>
        <w:fldChar w:fldCharType="separate"/>
      </w:r>
      <w:r>
        <w:rPr>
          <w:rFonts w:hAnsi="Arial"/>
          <w:rFonts w:ascii="Arial"/>
          <w:sz w:val="24"/>
          <w:b/>
          <w:u w:val="single"/>
          <w:color w:val="black"/>
        </w:rPr>
        <w:t>2.1.1.3.5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dar aplicación a lo previsto en el inciso 2o del artículo </w:t>
      </w:r>
      <w:r>
        <w:fldChar w:fldCharType="begin"/>
      </w:r>
      <w:r>
        <w:instrText>HYPERLINK "http://www.redjurista.com/document.aspx?ajcode=l1694013&amp;arts=3"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1694 de 2013, y de conformidad con lo dispuesto en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créase una Línea de Crédito en condiciones Finagro para el pago de pasivos con proveedores de insumos agropecuarios y pesqueros - Fonsa 2014, con las siguientes características: </w:t>
      </w:r>
    </w:p>
    <w:p>
      <w:pPr>
        <w:jc w:val="both"/>
      </w:pPr>
      <w:rPr>
        <w:sz w:val="24"/>
        <w:color w:val="black"/>
      </w:rPr>
    </w:p>
    <w:p>
      <w:pPr>
        <w:jc w:val="both"/>
      </w:pPr>
      <w:r>
        <w:rPr>
          <w:rFonts w:hAnsi="Arial"/>
          <w:rFonts w:ascii="Arial"/>
          <w:sz w:val="24"/>
          <w:color w:val="black"/>
        </w:rPr>
        <w:t xml:space="preserve">5.1. </w:t>
      </w:r>
      <w:r>
        <w:rPr>
          <w:rFonts w:hAnsi="Arial"/>
          <w:rFonts w:ascii="Arial"/>
          <w:sz w:val="24"/>
          <w:i/>
          <w:color w:val="black"/>
        </w:rPr>
        <w:t xml:space="preserve">Beneficiarios: </w:t>
      </w:r>
      <w:r>
        <w:rPr>
          <w:rFonts w:hAnsi="Arial"/>
          <w:rFonts w:ascii="Arial"/>
          <w:sz w:val="24"/>
          <w:color w:val="black"/>
        </w:rPr>
        <w:t xml:space="preserve">Personas naturales o jurídicas que sean productores agropecuarios o pesqueros, que se encuentren incluidos dentro de las cadenas productivas que establezcan los Ministerios de Agricultura y Desarrollo Rural y de Hacienda y Crédito Público mediante acto administrativo y a los que se incorporarán nuevos beneficiarios individuales, incluyendo aquellos que se encuentren integrados en créditos asociativos o en alianzas estratégicas, con un nivel de activos totales que al momento de solicitar el crédito no excedan de setecientos salarios mínimos legales mensuales vigentes (700 SMLMV) incluidos los de su cónyuge o compañero permanente en el caso de las personas naturales. </w:t>
      </w:r>
    </w:p>
    <w:p>
      <w:pPr>
        <w:jc w:val="both"/>
      </w:pPr>
      <w:rPr>
        <w:sz w:val="24"/>
        <w:color w:val="black"/>
      </w:rPr>
    </w:p>
    <w:p>
      <w:pPr>
        <w:jc w:val="both"/>
      </w:pPr>
      <w:r>
        <w:rPr>
          <w:rFonts w:hAnsi="Arial"/>
          <w:rFonts w:ascii="Arial"/>
          <w:sz w:val="24"/>
          <w:color w:val="black"/>
        </w:rPr>
        <w:t xml:space="preserve">Los productores deberán demostrar ante el intermediario financiero su continuidad en la actividad mediante la presentación del proyecto productivo que soporte el pago del crédito. </w:t>
      </w:r>
    </w:p>
    <w:p>
      <w:pPr>
        <w:jc w:val="both"/>
      </w:pPr>
      <w:rPr>
        <w:sz w:val="24"/>
        <w:color w:val="black"/>
      </w:rPr>
    </w:p>
    <w:p>
      <w:pPr>
        <w:jc w:val="both"/>
        <w:keepNext/>
      </w:pPr>
      <w:r>
        <w:rPr>
          <w:rFonts w:hAnsi="Arial"/>
          <w:rFonts w:ascii="Arial"/>
          <w:sz w:val="24"/>
          <w:i/>
          <w:color w:val="black"/>
        </w:rPr>
        <w:t xml:space="preserve">5.2 Intermediarios financieros:</w:t>
      </w:r>
      <w:r>
        <w:rPr>
          <w:rFonts w:hAnsi="Arial"/>
          <w:rFonts w:ascii="Arial"/>
          <w:sz w:val="24"/>
          <w:color w:val="black"/>
        </w:rPr>
        <w:t xml:space="preserve"> &lt;Numeral modificado por el artículo </w:t>
      </w:r>
      <w:r>
        <w:fldChar w:fldCharType="begin"/>
      </w:r>
      <w:r>
        <w:instrText>HYPERLINK "http://www.redjurista.com/document.aspx?ajcode=d1036014&amp;arts=3"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1036 de 2014. El nuevo texto es el siguiente:&gt; Los créditos podrán ser otorgados por intermediarios financieros habilitados para efectuar operaciones ante Finagro, establecimiento de crédito que será encargado, en el marco del Fonsa, de la administración de esta línea de crédito.</w:t>
      </w:r>
    </w:p>
    <w:p>
      <w:pPr>
        <w:jc w:val="both"/>
      </w:pPr>
      <w:rPr>
        <w:sz w:val="24"/>
        <w:color w:val="black"/>
      </w:rPr>
    </w:p>
    <w:p>
      <w:pPr>
        <w:jc w:val="both"/>
      </w:pPr>
      <w:r>
        <w:rPr>
          <w:rFonts w:hAnsi="Arial"/>
          <w:rFonts w:ascii="Arial"/>
          <w:sz w:val="24"/>
          <w:color w:val="black"/>
        </w:rPr>
        <w:t xml:space="preserve">5.3. </w:t>
      </w:r>
      <w:r>
        <w:rPr>
          <w:rFonts w:hAnsi="Arial"/>
          <w:rFonts w:ascii="Arial"/>
          <w:sz w:val="24"/>
          <w:i/>
          <w:color w:val="black"/>
        </w:rPr>
        <w:t xml:space="preserve">Objeto del crédito: </w:t>
      </w:r>
      <w:r>
        <w:rPr>
          <w:rFonts w:hAnsi="Arial"/>
          <w:rFonts w:ascii="Arial"/>
          <w:sz w:val="24"/>
          <w:color w:val="black"/>
        </w:rPr>
        <w:t xml:space="preserve">Financiar el pago del capital de los pasivos correspondientes a insumos directamente relacionados con la actividad agropecuaria o pesquera, asumidos por los productores cuyo nivel de activos no supere los setecientos salarios mínimos legales mensuales vigentes (700 SMLMV) con proveedores de insumos agropecuarios o pesqueros, de los créditos adquiridos con posterioridad al 1o de enero de 2012 y vencidos al 31 de agosto de 2013. </w:t>
      </w:r>
    </w:p>
    <w:p>
      <w:pPr>
        <w:jc w:val="both"/>
      </w:pPr>
      <w:rPr>
        <w:sz w:val="24"/>
        <w:color w:val="black"/>
      </w:rPr>
    </w:p>
    <w:p>
      <w:pPr>
        <w:jc w:val="both"/>
      </w:pPr>
      <w:r>
        <w:rPr>
          <w:rFonts w:hAnsi="Arial"/>
          <w:rFonts w:ascii="Arial"/>
          <w:sz w:val="24"/>
          <w:color w:val="black"/>
        </w:rPr>
        <w:t xml:space="preserve">Para los anteriores efectos, se entiende por </w:t>
      </w:r>
      <w:r>
        <w:rPr>
          <w:rFonts w:hAnsi="Arial"/>
          <w:rFonts w:ascii="Arial"/>
          <w:sz w:val="24"/>
          <w:i/>
          <w:color w:val="black"/>
        </w:rPr>
        <w:t xml:space="preserve">“pasivos correspondientes a insumos directamente relacionados con la actividad agropecuaria o pesquera”, </w:t>
      </w:r>
      <w:r>
        <w:rPr>
          <w:rFonts w:hAnsi="Arial"/>
          <w:rFonts w:ascii="Arial"/>
          <w:sz w:val="24"/>
          <w:color w:val="black"/>
        </w:rPr>
        <w:t xml:space="preserve">los correspondientes a fertilizantes, plaguicidas, insecticidas, fungicidas, herbicidas, correctivos, medicamentos veterinarios, abonos, semillas y material producto de la biotecnología. </w:t>
      </w:r>
    </w:p>
    <w:p>
      <w:pPr>
        <w:jc w:val="both"/>
      </w:pPr>
      <w:rPr>
        <w:sz w:val="24"/>
        <w:color w:val="black"/>
      </w:rPr>
    </w:p>
    <w:p>
      <w:pPr>
        <w:jc w:val="both"/>
      </w:pPr>
      <w:r>
        <w:rPr>
          <w:rFonts w:hAnsi="Arial"/>
          <w:rFonts w:ascii="Arial"/>
          <w:sz w:val="24"/>
          <w:color w:val="black"/>
        </w:rPr>
        <w:t xml:space="preserve">Como condición para su otorgamiento, los intermediarios financieros deberán establecer el mecanismo que asegure que el productor beneficiario del crédito autorice que el desembalso del mismo se efectúe directamente al proveedor de insumos, quien deberá expedir certificación del pago efectuado. </w:t>
      </w:r>
    </w:p>
    <w:p>
      <w:pPr>
        <w:jc w:val="both"/>
      </w:pPr>
      <w:rPr>
        <w:sz w:val="24"/>
        <w:color w:val="black"/>
      </w:rPr>
    </w:p>
    <w:p>
      <w:pPr>
        <w:jc w:val="both"/>
      </w:pPr>
      <w:r>
        <w:rPr>
          <w:rFonts w:hAnsi="Arial"/>
          <w:rFonts w:ascii="Arial"/>
          <w:sz w:val="24"/>
          <w:color w:val="black"/>
        </w:rPr>
        <w:t xml:space="preserve">5.4. </w:t>
      </w:r>
      <w:r>
        <w:rPr>
          <w:rFonts w:hAnsi="Arial"/>
          <w:rFonts w:ascii="Arial"/>
          <w:sz w:val="24"/>
          <w:i/>
          <w:color w:val="black"/>
        </w:rPr>
        <w:t xml:space="preserve">Soportes: </w:t>
      </w:r>
      <w:r>
        <w:rPr>
          <w:rFonts w:hAnsi="Arial"/>
          <w:rFonts w:ascii="Arial"/>
          <w:sz w:val="24"/>
          <w:color w:val="black"/>
        </w:rPr>
        <w:t xml:space="preserve">Además de los previstos en la normatividad expedida por la Superintendencia Financiera de Colombia y demás disposiciones aplicables, así como en los manuales de Finagro, los intermediarios financieras deberán exigir los siguientes soportes de los pasivos con los proveedores de insumos: </w:t>
      </w:r>
    </w:p>
    <w:p>
      <w:pPr>
        <w:jc w:val="both"/>
      </w:pPr>
      <w:rPr>
        <w:sz w:val="24"/>
        <w:color w:val="black"/>
      </w:rPr>
    </w:p>
    <w:p>
      <w:pPr>
        <w:jc w:val="both"/>
      </w:pPr>
      <w:r>
        <w:rPr>
          <w:rFonts w:hAnsi="Arial"/>
          <w:rFonts w:ascii="Arial"/>
          <w:sz w:val="24"/>
          <w:color w:val="black"/>
        </w:rPr>
        <w:t xml:space="preserve">5.4.1. </w:t>
      </w:r>
      <w:r>
        <w:rPr>
          <w:rFonts w:hAnsi="Arial"/>
          <w:rFonts w:ascii="Arial"/>
          <w:sz w:val="24"/>
          <w:i/>
          <w:color w:val="black"/>
        </w:rPr>
        <w:t xml:space="preserve">Copia simple de las facturas de insumos agropecuarios no canceladas, </w:t>
      </w:r>
      <w:r>
        <w:rPr>
          <w:rFonts w:hAnsi="Arial"/>
          <w:rFonts w:ascii="Arial"/>
          <w:sz w:val="24"/>
          <w:color w:val="black"/>
        </w:rPr>
        <w:t xml:space="preserve">las cuales deben cumplir con las normas comerciales y tributarias vigentes. El intermediario conservará, en sus archivos de la solicitud de crédito, copia de las referidas facturas. </w:t>
      </w:r>
    </w:p>
    <w:p>
      <w:pPr>
        <w:jc w:val="both"/>
      </w:pPr>
      <w:rPr>
        <w:sz w:val="24"/>
        <w:color w:val="black"/>
      </w:rPr>
    </w:p>
    <w:p>
      <w:pPr>
        <w:jc w:val="both"/>
      </w:pPr>
      <w:r>
        <w:rPr>
          <w:rFonts w:hAnsi="Arial"/>
          <w:rFonts w:ascii="Arial"/>
          <w:sz w:val="24"/>
          <w:color w:val="black"/>
        </w:rPr>
        <w:t xml:space="preserve">5.4.2. </w:t>
      </w:r>
      <w:r>
        <w:rPr>
          <w:rFonts w:hAnsi="Arial"/>
          <w:rFonts w:ascii="Arial"/>
          <w:sz w:val="24"/>
          <w:i/>
          <w:color w:val="black"/>
        </w:rPr>
        <w:t xml:space="preserve">Documento suscrito por el productor. </w:t>
      </w:r>
      <w:r>
        <w:rPr>
          <w:rFonts w:hAnsi="Arial"/>
          <w:rFonts w:ascii="Arial"/>
          <w:sz w:val="24"/>
          <w:color w:val="black"/>
        </w:rPr>
        <w:t xml:space="preserve">Los productores acreditarán la veracidad de las facturas que se presenten para acceder a este nuevo mecanismo de crédito mediante documento escrito. La afirmación que se haga en el mismo se entenderá hecha bajo la gravedad del juramento conforme lo establecida en el Decreto número </w:t>
      </w:r>
      <w:r>
        <w:fldChar w:fldCharType="begin"/>
      </w:r>
      <w:r>
        <w:instrText>HYPERLINK "http://www.redjurista.com/document.aspx?ajcode=d0019012&amp;arts=Inicio"</w:instrText>
      </w:r>
      <w:r>
        <w:fldChar w:fldCharType="separate"/>
      </w:r>
      <w:r>
        <w:rPr>
          <w:rFonts w:hAnsi="Arial"/>
          <w:rFonts w:ascii="Arial"/>
          <w:sz w:val="24"/>
          <w:u w:val="single"/>
          <w:color w:val="black"/>
        </w:rPr>
        <w:t>019</w:t>
      </w:r>
      <w:r>
        <w:fldChar w:fldCharType="end"/>
      </w:r>
      <w:r>
        <w:rPr>
          <w:rFonts w:hAnsi="Arial"/>
          <w:rFonts w:ascii="Arial"/>
          <w:sz w:val="24"/>
          <w:u w:val="none"/>
          <w:color w:val="black"/>
        </w:rPr>
        <w:t xml:space="preserve"> de 2012. Si se demostrare que lo manifestado en este documento es falso ello acarreará todas las sanciones previstas por la ley. </w:t>
      </w:r>
    </w:p>
    <w:p>
      <w:pPr>
        <w:jc w:val="both"/>
      </w:pPr>
      <w:rPr>
        <w:sz w:val="24"/>
        <w:color w:val="black"/>
      </w:rPr>
    </w:p>
    <w:p>
      <w:pPr>
        <w:jc w:val="both"/>
        <w:keepNext/>
      </w:pPr>
      <w:r>
        <w:rPr>
          <w:rFonts w:hAnsi="Arial"/>
          <w:rFonts w:ascii="Arial"/>
          <w:sz w:val="24"/>
          <w:color w:val="black"/>
        </w:rPr>
        <w:t xml:space="preserve">5.4.3. </w:t>
      </w:r>
      <w:r>
        <w:rPr>
          <w:rFonts w:hAnsi="Arial"/>
          <w:rFonts w:ascii="Arial"/>
          <w:sz w:val="24"/>
          <w:i/>
          <w:color w:val="black"/>
        </w:rPr>
        <w:t xml:space="preserve">Certificación del Revisor Fiscal o del profesional competente de la Casa Comercial atendiendo su naturaleza.</w:t>
      </w:r>
      <w:r>
        <w:rPr>
          <w:rFonts w:hAnsi="Arial"/>
          <w:rFonts w:ascii="Arial"/>
          <w:sz w:val="24"/>
          <w:color w:val="black"/>
        </w:rPr>
        <w:t xml:space="preserve"> &lt;Numeral modificado por el artículo </w:t>
      </w:r>
      <w:r>
        <w:fldChar w:fldCharType="begin"/>
      </w:r>
      <w:r>
        <w:instrText>HYPERLINK "http://www.redjurista.com/document.aspx?ajcode=d1036014&amp;arts=4"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1036 de 2014. El nuevo texto es el siguiente:&gt; En este documento deberá constar la existencia de la deuda por los conceptos establecidos en el inciso 2o del numeral 5.3 y de las garantías que respaldan dichas obligaciones. Para ello el Revisor Fiscal deberá adjuntar además, copia de la tarjeta profesional y certificado de antecedentes disciplinarios expedido por la Junta Central de Contadores. </w:t>
      </w:r>
    </w:p>
    <w:p>
      <w:pPr>
        <w:jc w:val="both"/>
        <w:keepNext/>
      </w:pPr>
      <w:rPr>
        <w:sz w:val="24"/>
        <w:color w:val="black"/>
      </w:rPr>
    </w:p>
    <w:p>
      <w:pPr>
        <w:jc w:val="both"/>
        <w:keepNext/>
      </w:pPr>
      <w:r>
        <w:rPr>
          <w:rFonts w:hAnsi="Arial"/>
          <w:rFonts w:ascii="Arial"/>
          <w:sz w:val="24"/>
          <w:color w:val="black"/>
        </w:rPr>
        <w:t xml:space="preserve">Cuando la Casa Comercial adelante su actividad como persona natural o la persona jurídica no esté obligada a contar con Revisor Fiscal, dicha certificación deberá ser expedida por un Contador Público debidamente inscrito ante la Junta Central de Contadores.</w:t>
      </w:r>
    </w:p>
    <w:p>
      <w:pPr>
        <w:jc w:val="both"/>
      </w:pPr>
      <w:rPr>
        <w:sz w:val="24"/>
        <w:color w:val="black"/>
      </w:rPr>
    </w:p>
    <w:p>
      <w:pPr>
        <w:jc w:val="both"/>
      </w:pPr>
      <w:r>
        <w:rPr>
          <w:rFonts w:hAnsi="Arial"/>
          <w:rFonts w:ascii="Arial"/>
          <w:sz w:val="24"/>
          <w:color w:val="black"/>
        </w:rPr>
        <w:t xml:space="preserve">5.4.4. </w:t>
      </w:r>
      <w:r>
        <w:rPr>
          <w:rFonts w:hAnsi="Arial"/>
          <w:rFonts w:ascii="Arial"/>
          <w:sz w:val="24"/>
          <w:i/>
          <w:color w:val="black"/>
        </w:rPr>
        <w:t xml:space="preserve">Certificado de existencia y representación legal o matrícula mercantil, </w:t>
      </w:r>
      <w:r>
        <w:rPr>
          <w:rFonts w:hAnsi="Arial"/>
          <w:rFonts w:ascii="Arial"/>
          <w:sz w:val="24"/>
          <w:color w:val="black"/>
        </w:rPr>
        <w:t xml:space="preserve">del proveedor de insumos y del productor. </w:t>
      </w:r>
    </w:p>
    <w:p>
      <w:pPr>
        <w:jc w:val="both"/>
      </w:pPr>
      <w:rPr>
        <w:sz w:val="24"/>
        <w:color w:val="black"/>
      </w:rPr>
    </w:p>
    <w:p>
      <w:pPr>
        <w:jc w:val="both"/>
        <w:keepNext/>
      </w:pPr>
      <w:r>
        <w:rPr>
          <w:rFonts w:hAnsi="Arial"/>
          <w:rFonts w:ascii="Arial"/>
          <w:sz w:val="24"/>
          <w:color w:val="black"/>
        </w:rPr>
        <w:t xml:space="preserve">5.5 </w:t>
      </w:r>
      <w:r>
        <w:rPr>
          <w:rFonts w:hAnsi="Arial"/>
          <w:rFonts w:ascii="Arial"/>
          <w:sz w:val="24"/>
          <w:i/>
          <w:color w:val="black"/>
        </w:rPr>
        <w:t>Garantías:</w:t>
      </w:r>
      <w:r>
        <w:rPr>
          <w:rFonts w:hAnsi="Arial"/>
          <w:rFonts w:ascii="Arial"/>
          <w:sz w:val="24"/>
          <w:color w:val="black"/>
        </w:rPr>
        <w:t xml:space="preserve"> &lt;Numeral modificado por el artículo </w:t>
      </w:r>
      <w:r>
        <w:fldChar w:fldCharType="begin"/>
      </w:r>
      <w:r>
        <w:instrText>HYPERLINK "http://www.redjurista.com/document.aspx?ajcode=d1036014&amp;arts=5"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1036 de 2014. El nuevo texto es el siguiente:&gt; En materia de garantías los créditos se ajustarán a las condiciones exigidas por el intermediario financiero. En este sentido, deberán endosarse las garantías vigentes con las casas comerciales a los intermediarios financieros. En caso de ser necesaria garantía complementaria, y previa certificación del Revisor Fiscal o del profesional competente de la Casa Comercial atendiendo su naturaleza (acorde a lo descrito en el numeral 5.4.3.), el crédito podrá contar con garantía FAG de hasta el cincuenta por ciento (50%) y la comisión a cobrar por el servicio de la garantía será la correspondiente al respectivo tipo de productor.</w:t>
      </w:r>
    </w:p>
    <w:p>
      <w:pPr>
        <w:jc w:val="both"/>
      </w:pPr>
      <w:rPr>
        <w:sz w:val="24"/>
        <w:color w:val="black"/>
      </w:rPr>
    </w:p>
    <w:p>
      <w:pPr>
        <w:jc w:val="both"/>
      </w:pPr>
      <w:r>
        <w:rPr>
          <w:rFonts w:hAnsi="Arial"/>
          <w:rFonts w:ascii="Arial"/>
          <w:sz w:val="24"/>
          <w:color w:val="black"/>
        </w:rPr>
        <w:t xml:space="preserve">5.6. </w:t>
      </w:r>
      <w:r>
        <w:rPr>
          <w:rFonts w:hAnsi="Arial"/>
          <w:rFonts w:ascii="Arial"/>
          <w:sz w:val="24"/>
          <w:i/>
          <w:color w:val="black"/>
        </w:rPr>
        <w:t xml:space="preserve">Condiciones Financieras: </w:t>
      </w:r>
    </w:p>
    <w:p>
      <w:pPr>
        <w:jc w:val="both"/>
      </w:pPr>
      <w:rPr>
        <w:sz w:val="24"/>
        <w:color w:val="black"/>
      </w:rPr>
    </w:p>
    <w:p>
      <w:pPr>
        <w:jc w:val="both"/>
      </w:pPr>
      <w:r>
        <w:rPr>
          <w:rFonts w:hAnsi="Arial"/>
          <w:rFonts w:ascii="Arial"/>
          <w:sz w:val="24"/>
          <w:color w:val="black"/>
        </w:rPr>
        <w:t xml:space="preserve">5.6.1. </w:t>
      </w:r>
      <w:r>
        <w:rPr>
          <w:rFonts w:hAnsi="Arial"/>
          <w:rFonts w:ascii="Arial"/>
          <w:sz w:val="24"/>
          <w:i/>
          <w:color w:val="black"/>
        </w:rPr>
        <w:t xml:space="preserve">Tasa de interés: </w:t>
      </w:r>
      <w:r>
        <w:rPr>
          <w:rFonts w:hAnsi="Arial"/>
          <w:rFonts w:ascii="Arial"/>
          <w:sz w:val="24"/>
          <w:color w:val="black"/>
        </w:rPr>
        <w:t xml:space="preserve">Las tasas de interés que se aplicarán a los créditos de que trata el presente artículo, serán las tasas establecidas para los créditos en condiciones Finagro. </w:t>
      </w:r>
    </w:p>
    <w:p>
      <w:pPr>
        <w:jc w:val="both"/>
      </w:pPr>
      <w:rPr>
        <w:sz w:val="24"/>
        <w:color w:val="black"/>
      </w:rPr>
    </w:p>
    <w:p>
      <w:pPr>
        <w:jc w:val="both"/>
      </w:pPr>
      <w:r>
        <w:rPr>
          <w:rFonts w:hAnsi="Arial"/>
          <w:rFonts w:ascii="Arial"/>
          <w:sz w:val="24"/>
          <w:color w:val="black"/>
        </w:rPr>
        <w:t xml:space="preserve">5.6.2. </w:t>
      </w:r>
      <w:r>
        <w:rPr>
          <w:rFonts w:hAnsi="Arial"/>
          <w:rFonts w:ascii="Arial"/>
          <w:sz w:val="24"/>
          <w:i/>
          <w:color w:val="black"/>
        </w:rPr>
        <w:t xml:space="preserve">Amortización de la deuda: </w:t>
      </w:r>
      <w:r>
        <w:rPr>
          <w:rFonts w:hAnsi="Arial"/>
          <w:rFonts w:ascii="Arial"/>
          <w:sz w:val="24"/>
          <w:color w:val="black"/>
        </w:rPr>
        <w:t xml:space="preserve">Los abonos a capital y la periodicidad de pago de los intereses se podrán pactar con el intermediario financiero, de acuerdo con el flujo de caja del productor, sin exceder de un plazo total de 7 años, con hasta 2 años de periodo de gracia. La periodicidad de pago de intereses no podrá superar la modalidad año vencido. </w:t>
      </w:r>
    </w:p>
    <w:p>
      <w:pPr>
        <w:jc w:val="both"/>
      </w:pPr>
      <w:rPr>
        <w:sz w:val="24"/>
        <w:color w:val="black"/>
      </w:rPr>
    </w:p>
    <w:p>
      <w:pPr>
        <w:jc w:val="both"/>
      </w:pPr>
      <w:r>
        <w:rPr>
          <w:rFonts w:hAnsi="Arial"/>
          <w:rFonts w:ascii="Arial"/>
          <w:sz w:val="24"/>
          <w:color w:val="black"/>
        </w:rPr>
        <w:t xml:space="preserve">5.6.3. </w:t>
      </w:r>
      <w:r>
        <w:rPr>
          <w:rFonts w:hAnsi="Arial"/>
          <w:rFonts w:ascii="Arial"/>
          <w:sz w:val="24"/>
          <w:i/>
          <w:color w:val="black"/>
        </w:rPr>
        <w:t xml:space="preserve">Tasa de Redescuento: </w:t>
      </w:r>
      <w:r>
        <w:rPr>
          <w:rFonts w:hAnsi="Arial"/>
          <w:rFonts w:ascii="Arial"/>
          <w:sz w:val="24"/>
          <w:color w:val="black"/>
        </w:rPr>
        <w:t xml:space="preserve">La vigente de conformidad al tipo de productor y a la normatividad expedida por la Comisión Nacional de Crédito Agropecuario. </w:t>
      </w:r>
    </w:p>
    <w:p>
      <w:pPr>
        <w:jc w:val="both"/>
      </w:pPr>
      <w:rPr>
        <w:sz w:val="24"/>
        <w:color w:val="black"/>
      </w:rPr>
    </w:p>
    <w:p>
      <w:pPr>
        <w:jc w:val="both"/>
      </w:pPr>
      <w:r>
        <w:rPr>
          <w:rFonts w:hAnsi="Arial"/>
          <w:rFonts w:ascii="Arial"/>
          <w:sz w:val="24"/>
          <w:color w:val="black"/>
        </w:rPr>
        <w:t xml:space="preserve">5.6.4. </w:t>
      </w:r>
      <w:r>
        <w:rPr>
          <w:rFonts w:hAnsi="Arial"/>
          <w:rFonts w:ascii="Arial"/>
          <w:sz w:val="24"/>
          <w:i/>
          <w:color w:val="black"/>
        </w:rPr>
        <w:t xml:space="preserve">Margen de redescuento: </w:t>
      </w:r>
      <w:r>
        <w:rPr>
          <w:rFonts w:hAnsi="Arial"/>
          <w:rFonts w:ascii="Arial"/>
          <w:sz w:val="24"/>
          <w:color w:val="black"/>
        </w:rPr>
        <w:t xml:space="preserve">El margen de redescuento será hasta del cien por ciento (100%). </w:t>
      </w:r>
    </w:p>
    <w:p>
      <w:pPr>
        <w:jc w:val="both"/>
      </w:pPr>
      <w:rPr>
        <w:sz w:val="24"/>
        <w:color w:val="black"/>
      </w:rPr>
    </w:p>
    <w:p>
      <w:pPr>
        <w:jc w:val="both"/>
        <w:keepNext/>
      </w:pPr>
      <w:r>
        <w:rPr>
          <w:rFonts w:hAnsi="Arial"/>
          <w:rFonts w:ascii="Arial"/>
          <w:sz w:val="24"/>
          <w:color w:val="black"/>
        </w:rPr>
        <w:t xml:space="preserve">5.7. </w:t>
      </w:r>
      <w:r>
        <w:rPr>
          <w:rFonts w:hAnsi="Arial"/>
          <w:rFonts w:ascii="Arial"/>
          <w:sz w:val="24"/>
          <w:i/>
          <w:color w:val="black"/>
        </w:rPr>
        <w:t xml:space="preserve">Reglamento y operación de la Línea de Crédito para pago de insumos. </w:t>
      </w:r>
      <w:r>
        <w:rPr>
          <w:rFonts w:hAnsi="Arial"/>
          <w:rFonts w:ascii="Arial"/>
          <w:sz w:val="24"/>
          <w:color w:val="black"/>
        </w:rPr>
        <w:t xml:space="preserve">&lt;Numeral modificado por el artículo </w:t>
      </w:r>
      <w:r>
        <w:fldChar w:fldCharType="begin"/>
      </w:r>
      <w:r>
        <w:instrText>HYPERLINK "http://www.redjurista.com/document.aspx?ajcode=d1036014&amp;arts=6"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1036 de 2014. El nuevo texto es el siguiente:&gt; Finagro reglamentará y adoptará los procedimientos y las medidas necesarias para el desarrollo de este mecanismo de crédito.</w:t>
      </w:r>
    </w:p>
    <w:p>
      <w:pPr>
        <w:jc w:val="both"/>
      </w:pPr>
      <w:rPr>
        <w:sz w:val="24"/>
        <w:color w:val="black"/>
      </w:rPr>
    </w:p>
    <w:p>
      <w:pPr>
        <w:jc w:val="both"/>
      </w:pPr>
      <w:r>
        <w:rPr>
          <w:rFonts w:hAnsi="Arial"/>
          <w:rFonts w:ascii="Arial"/>
          <w:sz w:val="24"/>
          <w:vanish/>
          <w:color w:val="navy"/>
        </w:rPr>
        <w:t>&amp;$</w:t>
      </w:r>
      <w:bookmarkStart w:id="46373" w:name="6"/>
      <w:r>
        <w:rPr>
          <w:rFonts w:hAnsi="Arial"/>
          <w:rFonts w:ascii="Arial"/>
          <w:sz w:val="24"/>
          <w:color w:val="navy"/>
        </w:rPr>
        <w:t xml:space="preserve">ARTÍCULO 6o. </w:t>
      </w:r>
      <w:r>
        <w:rPr>
          <w:rFonts w:hAnsi="Arial"/>
          <w:rFonts w:ascii="Arial"/>
          <w:sz w:val="24"/>
          <w:i/>
          <w:color w:val="navy"/>
        </w:rPr>
        <w:t xml:space="preserve">EJECUCIÓN DE LOS RECURSOS. </w:t>
      </w:r>
      <w:bookmarkEnd w:id="46373"/>
      <w:r>
        <w:rPr>
          <w:rFonts w:hAnsi="Arial"/>
          <w:rFonts w:ascii="Arial"/>
          <w:sz w:val="24"/>
          <w:b/>
          <w:color w:val="black"/>
        </w:rPr>
        <w:t xml:space="preserve">&lt;Artículo compilado en el artículo </w:t>
      </w:r>
      <w:r>
        <w:fldChar w:fldCharType="begin"/>
      </w:r>
      <w:r>
        <w:instrText>HYPERLINK "http://www.redjurista.com/document.aspx?ajcode=d1071015&amp;arts=2.1.1.3.6"</w:instrText>
      </w:r>
      <w:r>
        <w:fldChar w:fldCharType="separate"/>
      </w:r>
      <w:r>
        <w:rPr>
          <w:rFonts w:hAnsi="Arial"/>
          <w:rFonts w:ascii="Arial"/>
          <w:sz w:val="24"/>
          <w:b/>
          <w:u w:val="single"/>
          <w:color w:val="black"/>
        </w:rPr>
        <w:t>2.1.1.3.6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ejecución de los recursos será por demanda y hasta el agotamiento de los recursos apropiados para el efecto. En la asignación de los recursos, Finagro aplicará el principio de “primer llegado, primer servido”. </w:t>
      </w:r>
    </w:p>
    <w:p>
      <w:pPr>
        <w:jc w:val="both"/>
      </w:pPr>
      <w:rPr>
        <w:color w:val="black"/>
      </w:rPr>
    </w:p>
    <w:p>
      <w:pPr>
        <w:jc w:val="both"/>
      </w:pPr>
      <w:r>
        <w:rPr>
          <w:rFonts w:hAnsi="Arial"/>
          <w:rFonts w:ascii="Arial"/>
          <w:sz w:val="24"/>
          <w:vanish/>
          <w:color w:val="black"/>
        </w:rPr>
        <w:t>&amp;$</w:t>
      </w:r>
      <w:bookmarkStart w:id="46374" w:name="7"/>
      <w:r>
        <w:rPr>
          <w:rFonts w:hAnsi="Arial"/>
          <w:rFonts w:ascii="Arial"/>
          <w:sz w:val="24"/>
          <w:color w:val="navy"/>
        </w:rPr>
        <w:t xml:space="preserve">ARTÍCULO 7o. MONTO MÁXIMO DE LOS INSTRUMENTOS. </w:t>
      </w:r>
      <w:bookmarkEnd w:id="46374"/>
      <w:r>
        <w:rPr>
          <w:rFonts w:hAnsi="Arial"/>
          <w:rFonts w:ascii="Arial"/>
          <w:sz w:val="24"/>
          <w:b/>
          <w:color w:val="black"/>
        </w:rPr>
        <w:t xml:space="preserve">&lt;Artículo compilado en el artículo </w:t>
      </w:r>
      <w:r>
        <w:fldChar w:fldCharType="begin"/>
      </w:r>
      <w:r>
        <w:instrText>HYPERLINK "http://www.redjurista.com/document.aspx?ajcode=d1071015&amp;arts=2.1.1.3.7"</w:instrText>
      </w:r>
      <w:r>
        <w:fldChar w:fldCharType="separate"/>
      </w:r>
      <w:r>
        <w:rPr>
          <w:rFonts w:hAnsi="Arial"/>
          <w:rFonts w:ascii="Arial"/>
          <w:sz w:val="24"/>
          <w:b/>
          <w:u w:val="single"/>
          <w:color w:val="black"/>
        </w:rPr>
        <w:t>2.1.1.3.7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"http://www.redjurista.com/document.aspx?ajcode=d1036014&amp;arts=7"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1036 de 2014. El nuevo texto es el siguiente:&gt; El monto máximo que se reconocerá a los beneficiarios para la compra de la cartera será hasta por veinte millones de pesos ($20.000.000) moneda corriente, por concepto de capital, suma a la que serán adicionados los intereses contabilizados por el establecimiento de crédito según la ley y los seguros de vida que hayan sido pagados por el intermediario financiero. Los honorarios de cobro jurídico que se hayan originado con anterioridad a la venta efectiva de cartera objeto de compra por parte del Fonsa, vigencia 2014, serán asumidos por el programa con cargo a los recursos apropiados en el Fonsa. </w:t>
      </w:r>
    </w:p>
    <w:p>
      <w:pPr>
        <w:jc w:val="both"/>
      </w:pPr>
      <w:rPr>
        <w:sz w:val="24"/>
        <w:color w:val="black"/>
      </w:rPr>
    </w:p>
    <w:p>
      <w:pPr>
        <w:jc w:val="both"/>
      </w:pPr>
      <w:r>
        <w:rPr>
          <w:rFonts w:hAnsi="Arial"/>
          <w:rFonts w:ascii="Arial"/>
          <w:sz w:val="24"/>
          <w:color w:val="black"/>
        </w:rPr>
        <w:t xml:space="preserve">Para la nueva compra, sustentada en la Ley </w:t>
      </w:r>
      <w:r>
        <w:fldChar w:fldCharType="begin"/>
      </w:r>
      <w:r>
        <w:instrText>HYPERLINK "http://www.redjurista.com/document.aspx?ajcode=l1694013&amp;arts=Inicio"</w:instrText>
      </w:r>
      <w:r>
        <w:fldChar w:fldCharType="separate"/>
      </w:r>
      <w:r>
        <w:rPr>
          <w:rFonts w:hAnsi="Arial"/>
          <w:rFonts w:ascii="Arial"/>
          <w:sz w:val="24"/>
          <w:u w:val="single"/>
          <w:color w:val="black"/>
        </w:rPr>
        <w:t>1694</w:t>
      </w:r>
      <w:r>
        <w:fldChar w:fldCharType="end"/>
      </w:r>
      <w:r>
        <w:rPr>
          <w:rFonts w:hAnsi="Arial"/>
          <w:rFonts w:ascii="Arial"/>
          <w:sz w:val="24"/>
          <w:u w:val="none"/>
          <w:color w:val="black"/>
        </w:rPr>
        <w:t xml:space="preserve"> de 2013, el costo de los honorarios jurídicos que implica la liquidación de las obligaciones que se adquieran, se incluirá con cargo al programa Fonsa 2014. </w:t>
      </w:r>
    </w:p>
    <w:p>
      <w:pPr>
        <w:jc w:val="both"/>
      </w:pPr>
      <w:rPr>
        <w:sz w:val="24"/>
        <w:color w:val="black"/>
      </w:rPr>
    </w:p>
    <w:p>
      <w:pPr>
        <w:jc w:val="both"/>
      </w:pPr>
      <w:r>
        <w:rPr>
          <w:rFonts w:hAnsi="Arial"/>
          <w:rFonts w:ascii="Arial"/>
          <w:sz w:val="24"/>
          <w:color w:val="black"/>
        </w:rPr>
        <w:t xml:space="preserve">El total de los costos adicionales por concepto de intereses, seguros de vida y honorarios de cobro jurídico, en ningún caso podrá exceder el 25% del valor del capital de la obligación. </w:t>
      </w:r>
    </w:p>
    <w:p>
      <w:pPr>
        <w:jc w:val="both"/>
      </w:pPr>
      <w:rPr>
        <w:sz w:val="24"/>
        <w:color w:val="black"/>
      </w:rPr>
    </w:p>
    <w:p>
      <w:pPr>
        <w:jc w:val="both"/>
      </w:pPr>
      <w:r>
        <w:rPr>
          <w:rFonts w:hAnsi="Arial"/>
          <w:rFonts w:ascii="Arial"/>
          <w:sz w:val="24"/>
          <w:color w:val="black"/>
        </w:rPr>
        <w:t xml:space="preserve">En todo caso, podrán acumularse varias obligaciones siempre y cuando estas no superen los límites señalados en el presente artículo. </w:t>
      </w:r>
    </w:p>
    <w:p>
      <w:pPr>
        <w:jc w:val="both"/>
      </w:pPr>
      <w:rPr>
        <w:sz w:val="24"/>
        <w:color w:val="black"/>
      </w:rPr>
    </w:p>
    <w:p>
      <w:pPr>
        <w:jc w:val="both"/>
      </w:pPr>
      <w:r>
        <w:rPr>
          <w:rFonts w:hAnsi="Arial"/>
          <w:rFonts w:ascii="Arial"/>
          <w:sz w:val="24"/>
          <w:color w:val="black"/>
        </w:rPr>
        <w:t xml:space="preserve">Los gastos de cobranza que se originen con ocasión del recaudo de la cartera que adelante el Fonsa, serán cubiertos con los recursos de este Fondo. </w:t>
      </w:r>
    </w:p>
    <w:p>
      <w:pPr>
        <w:jc w:val="both"/>
      </w:pPr>
      <w:rPr>
        <w:sz w:val="24"/>
        <w:color w:val="black"/>
      </w:rPr>
    </w:p>
    <w:p>
      <w:pPr>
        <w:jc w:val="both"/>
      </w:pPr>
      <w:r>
        <w:rPr>
          <w:rFonts w:hAnsi="Arial"/>
          <w:rFonts w:ascii="Arial"/>
          <w:sz w:val="24"/>
          <w:color w:val="black"/>
        </w:rPr>
        <w:t xml:space="preserve">Para el caso de la línea de crédito en condiciones Finagro para el pago de pasivos con proveedores de insumos agropecuarios y pesqueros Fonsa 2014 creado en virtud de este decreto, el monto del crédito podrá ser hasta del ciento por ciento (100%) del capital de la deuda de insumos agropecuarios una vez verificada la deuda con el proveedor de insumos.</w:t>
      </w:r>
    </w:p>
    <w:p>
      <w:pPr>
        <w:jc w:val="both"/>
      </w:pPr>
      <w:rPr>
        <w:sz w:val="24"/>
        <w:color w:val="black"/>
      </w:rPr>
    </w:p>
    <w:p>
      <w:pPr>
        <w:jc w:val="both"/>
      </w:pPr>
      <w:r>
        <w:rPr>
          <w:rFonts w:hAnsi="Arial"/>
          <w:rFonts w:ascii="Arial"/>
          <w:sz w:val="24"/>
          <w:vanish/>
          <w:color w:val="navy"/>
        </w:rPr>
        <w:t>&amp;$</w:t>
      </w:r>
      <w:bookmarkStart w:id="46375" w:name="8"/>
      <w:r>
        <w:rPr>
          <w:rFonts w:hAnsi="Arial"/>
          <w:rFonts w:ascii="Arial"/>
          <w:sz w:val="24"/>
          <w:color w:val="navy"/>
        </w:rPr>
        <w:t xml:space="preserve">ARTÍCULO 8o. </w:t>
      </w:r>
      <w:r>
        <w:rPr>
          <w:rFonts w:hAnsi="Arial"/>
          <w:rFonts w:ascii="Arial"/>
          <w:sz w:val="24"/>
          <w:i/>
          <w:color w:val="navy"/>
        </w:rPr>
        <w:t xml:space="preserve">VIGENCIA Y DEROGATORIAS.</w:t>
      </w:r>
      <w:bookmarkEnd w:id="46375"/>
      <w:r>
        <w:rPr>
          <w:rFonts w:hAnsi="Arial"/>
          <w:rFonts w:ascii="Arial"/>
          <w:sz w:val="24"/>
          <w:i/>
          <w:color w:val="black"/>
        </w:rPr>
        <w:t xml:space="preserve"> </w:t>
      </w:r>
      <w:r>
        <w:rPr>
          <w:rFonts w:hAnsi="Arial"/>
          <w:rFonts w:ascii="Arial"/>
          <w:sz w:val="24"/>
          <w:color w:val="black"/>
        </w:rPr>
        <w:t xml:space="preserve">El presente decreto rige desde la fecha de su publicación, y deroga todas las disposiciones que le sean contrarias.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19 de febrero de 2014.</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RUBÉN DARÍO LIZARRALDE MONTOYA.</w:t>
      </w:r>
    </w:p>
    <w:p>
      <w:rPr>
        <w:rFonts w:hAnsi="Verdana"/>
        <w:rFonts w:ascii="Verdana"/>
        <w:sz w:val="16"/>
        <w:color w:val="silver"/>
      </w:rPr>
    </w:p>
    <w:sectPr>
      <w:cols w:num="1" w.space="720"/>
      <w:pgSz w:w="12240" w:h="15840"/>
      <w:pgMar w:top="1134" w:right="1134" w:left="1134" w:bottom="1417" w:header="254" w:footer="254"/>
      <w:headerReference w:type="default" r:id="eId6984"/>
      <w:footerReference w:type="default" r:id="eId6985"/>
      <w:type w:val="continuous"/>
    </w:sectPr>
  </w:body>
</w:document>
</file>

<file path=word/footer_default_69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69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none"/>
    <w:color w:val="black"/>
  </w:rPr>
  <w:rPr>
    <w:rFonts w:hAnsi="Arial"/>
    <w:rFonts w:ascii="Arial"/>
    <w:sz w:val="24"/>
    <w:i/>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6984" Type="http://schemas.openxmlformats.org/officeDocument/2006/relationships/header" Target="header_default_6984.xml" />
<Relationship Id="id0" Type="http://schemas.openxmlformats.org/officeDocument/2006/relationships/image" Target="img/img_id0.png"/>
<Relationship Id="eId6985" Type="http://schemas.openxmlformats.org/officeDocument/2006/relationships/footer" Target="footer_default_69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