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068.xml" ContentType="application/vnd.openxmlformats-officedocument.wordprocessingml.header+xml"/>
  <Override PartName="/word/footer_default_706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438 DE 1979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27)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35243 de 19 de abril de 1979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&lt;Esta norma no incluye análisis de vigencia&gt;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dictan medidas sanitarias para un Programa de Tuberculosis Bovina.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el Decreto legislativo </w:t>
      </w:r>
      <w:r>
        <w:fldChar w:fldCharType="begin"/>
      </w:r>
      <w:r>
        <w:instrText>HYPERLINK "http://www.redjurista.com/document.aspx?ajcode=d1735_50&amp;arts=Inico"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1950,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estudios realizados.por el Instituto Colombiano Agropecuario, ICA, han demostrado, la aparición de tuberculosis bovina en algunas regiones del país,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conveniente adoptar medidas de orden sanitario tendientes a proteger tanto, la salud pública como la sanidad animal del país,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48" w:name="1"/>
      <w:r>
        <w:rPr>
          <w:rFonts w:hAnsi="Arial"/>
          <w:rFonts w:ascii="Arial"/>
          <w:sz w:val="24"/>
          <w:color w:val="navy"/>
        </w:rPr>
        <w:t xml:space="preserve">ARTÍCULO PRIMERO.</w:t>
      </w:r>
      <w:bookmarkEnd w:id="4714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Establécese la Campaña Nacional de Control y Erradicación de la Tuberculosis bovina bajó la dirección del ICA y con la colaboración del Ministerio de Sanidad pública.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49" w:name="2"/>
      <w:r>
        <w:rPr>
          <w:rFonts w:hAnsi="Arial"/>
          <w:rFonts w:ascii="Arial"/>
          <w:sz w:val="24"/>
          <w:color w:val="navy"/>
        </w:rPr>
        <w:t xml:space="preserve">ARTÍCULO SEGUNDO.</w:t>
      </w:r>
      <w:bookmarkEnd w:id="4714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"http://www.redjurista.com/document.aspx?ajcode=d1071015&amp;arts=2.13.6.4.2"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2.13.6.4.2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Las medidas sanitarias que el Instituto Colombiano Agropecuario, ICA, y el Ministerio de Salud Pública adopten para el reconocimiento de las áreas afectadas los aislamientos, cuarentenas o inmovilizaciones: el control y erradicación de la enfermedad y similares son, de obligatorio cumplimiento para los ganaderos de las regiones atacadas por la tuberculosis bovina.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50" w:name="3"/>
      <w:r>
        <w:rPr>
          <w:rFonts w:hAnsi="Arial"/>
          <w:rFonts w:ascii="Arial"/>
          <w:sz w:val="24"/>
          <w:color w:val="navy"/>
        </w:rPr>
        <w:t xml:space="preserve">ARTÍCULO TERCERO.</w:t>
      </w:r>
      <w:bookmarkEnd w:id="4715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"http://www.redjurista.com/document.aspx?ajcode=d1071015&amp;arts=2.13.6.4.3"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2.13.6.4.3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predios, los animales y sus productos que sean declarados como infectados, por tuberculosis Bovina serán sometidos a un control sanitario especial por el Ministerio de Salud Pública y el instituto Colombiano Agropecuario, ICA.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51" w:name="4"/>
      <w:r>
        <w:rPr>
          <w:rFonts w:hAnsi="Arial"/>
          <w:rFonts w:ascii="Arial"/>
          <w:sz w:val="24"/>
          <w:color w:val="navy"/>
        </w:rPr>
        <w:t xml:space="preserve">ARTÍCULO CUARTO.</w:t>
      </w:r>
      <w:bookmarkEnd w:id="4715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"http://www.redjurista.com/document.aspx?ajcode=d1071015&amp;arts=2.13.6.4.4"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2.13.6.4.4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Todos los animales que sean declarados positivos a tuberculosis deberán ser sacrificados en las condiciones sanitarias establecidas por las autoridades competentes.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52" w:name="5"/>
      <w:r>
        <w:rPr>
          <w:rFonts w:hAnsi="Arial"/>
          <w:rFonts w:ascii="Arial"/>
          <w:sz w:val="24"/>
          <w:color w:val="navy"/>
        </w:rPr>
        <w:t xml:space="preserve">ARTÍCULO QUINTO.</w:t>
      </w:r>
      <w:bookmarkEnd w:id="4715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Para el sacrificio de los animales declarados positivos y cuando el caso así lo justifique, el Gobierno: procederá a indemnizar a los propietarios, de acuerdo con reglamentación que para el efecto establezca, el Ministerio de Agricultura.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53" w:name="6"/>
      <w:r>
        <w:rPr>
          <w:rFonts w:hAnsi="Arial"/>
          <w:rFonts w:ascii="Arial"/>
          <w:sz w:val="24"/>
          <w:color w:val="navy"/>
        </w:rPr>
        <w:t xml:space="preserve">ARTÍCULO SEXTO.</w:t>
      </w:r>
      <w:bookmarkEnd w:id="4715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"http://www.redjurista.com/document.aspx?ajcode=d1071015&amp;arts=2.13.6.4.6"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2.13.6.4.6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Los Ministerios de. Agricultura y Salud Pública tomarán las medidas necesarias para el cumplimiento de las normas de que trata el presente Decreto y dictarán las reglamentaciones correspondientes.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7154" w:name="7"/>
      <w:r>
        <w:rPr>
          <w:rFonts w:hAnsi="Arial"/>
          <w:rFonts w:ascii="Arial"/>
          <w:sz w:val="24"/>
          <w:color w:val="navy"/>
        </w:rPr>
        <w:t xml:space="preserve">ARTÍCULO SÉPTIMO.</w:t>
      </w:r>
      <w:bookmarkEnd w:id="47154"/>
      <w:r>
        <w:rPr>
          <w:rFonts w:hAnsi="Arial"/>
          <w:rFonts w:ascii="Arial"/>
          <w:sz w:val="24"/>
          <w:color w:val="black"/>
        </w:rPr>
        <w:t xml:space="preserve"> El Presente Decreto rige a partir de la fecha de su expedición.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both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E., a 27 de febrero de 1979.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JULIO CESAR TURBAY AYALA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GERMÁN BULA HOYOS.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Salud,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ALFONSO JARAMILLO SALAZAR.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7068"/>
      <w:footerReference w:type="default" r:id="eId7069"/>
      <w:type w:val="continuous"/>
    </w:sectPr>
  </w:body>
</w:document>
</file>

<file path=word/footer_default_706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06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068" Type="http://schemas.openxmlformats.org/officeDocument/2006/relationships/header" Target="header_default_7068.xml" />
<Relationship Id="id0" Type="http://schemas.openxmlformats.org/officeDocument/2006/relationships/image" Target="img/img_id0.png"/>
<Relationship Id="eId7069" Type="http://schemas.openxmlformats.org/officeDocument/2006/relationships/footer" Target="footer_default_706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06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06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