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116.xml" ContentType="application/vnd.openxmlformats-officedocument.wordprocessingml.header+xml"/>
  <Override PartName="/word/footer_default_71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504 DE 2022</w:t>
      </w:r>
    </w:p>
    <w:p>
      <w:pPr>
        <w:jc w:val="center"/>
        <w:outlineLvl w:val="1"/>
      </w:pPr>
      <w:r>
        <w:rPr>
          <w:rFonts w:hAnsi="Arial"/>
          <w:rFonts w:ascii="Arial"/>
          <w:sz w:val="24"/>
          <w:color w:val="black"/>
        </w:rPr>
        <w:t xml:space="preserve">(abril 4)</w:t>
      </w:r>
    </w:p>
    <w:p>
      <w:pPr>
        <w:jc w:val="center"/>
        <w:outlineLvl w:val="1"/>
      </w:pPr>
      <w:r>
        <w:rPr>
          <w:rFonts w:hAnsi="Arial"/>
          <w:rFonts w:ascii="Arial"/>
          <w:sz w:val="24"/>
          <w:color w:val="black"/>
        </w:rPr>
        <w:t xml:space="preserve">Diario Oficial No. 51.997 de 4 de abril de 2022</w:t>
      </w:r>
    </w:p>
    <w:p>
      <w:pPr>
        <w:jc w:val="center"/>
        <w:outlineLvl w:val="1"/>
      </w:pPr>
      <w:r>
        <w:rPr>
          <w:rFonts w:hAnsi="Arial"/>
          <w:rFonts w:ascii="Arial"/>
          <w:sz w:val="24"/>
          <w:color w:val="black"/>
        </w:rPr>
        <w:t xml:space="preserve">&lt;Rige a partir del 5 de abril de 2022&gt;</w:t>
      </w:r>
    </w:p>
    <w:p>
      <w:pPr>
        <w:jc w:val="center"/>
        <w:outlineLvl w:val="1"/>
      </w:pPr>
      <w:rPr>
        <w:sz w:val="24"/>
        <w:color w:val="black"/>
      </w:rPr>
    </w:p>
    <w:p>
      <w:pPr>
        <w:jc w:val="center"/>
        <w:outlineLvl w:val="1"/>
      </w:pPr>
      <w:r>
        <w:rPr>
          <w:rFonts w:hAnsi="Arial"/>
          <w:rFonts w:ascii="Arial"/>
          <w:sz w:val="24"/>
          <w:color w:val="gray"/>
        </w:rPr>
        <w:t xml:space="preserve">MINISTERIO DE COMERCIO, INDUSTRIA Y TURISMO</w:t>
      </w:r>
    </w:p>
    <w:p>
      <w:pPr>
        <w:jc w:val="center"/>
        <w:outlineLvl w:val="1"/>
      </w:pPr>
      <w:rPr>
        <w:sz w:val="24"/>
        <w:b/>
        <w:color w:val="black"/>
      </w:rPr>
    </w:p>
    <w:p>
      <w:pPr>
        <w:jc w:val="center"/>
        <w:outlineLvl w:val="1"/>
      </w:pPr>
      <w:r>
        <w:rPr>
          <w:rFonts w:hAnsi="Arial"/>
          <w:rFonts w:ascii="Arial"/>
          <w:sz w:val="24"/>
          <w:color w:val="black"/>
        </w:rPr>
        <w:t xml:space="preserve">Por el cual se modifica parcialmente el Arancel de Aduanas para la importación de insumos agropecuarios.</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las conferidas en el numeral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con sujeción a lo dispuesto en las Leyes </w:t>
      </w:r>
      <w:r>
        <w:fldChar w:fldCharType="begin"/>
      </w:r>
      <w:r>
        <w:instrText>HYPERLINK "http://www.redjurista.com/document.aspx?ajcode=l0007_91&amp;arts=INICIO"</w:instrText>
      </w:r>
      <w:r>
        <w:fldChar w:fldCharType="separate"/>
      </w:r>
      <w:r>
        <w:rPr>
          <w:rFonts w:hAnsi="Arial"/>
          <w:rFonts w:ascii="Arial"/>
          <w:sz w:val="24"/>
          <w:u w:val="single"/>
          <w:color w:val="black"/>
        </w:rPr>
        <w:t>7a</w:t>
      </w:r>
      <w:r>
        <w:fldChar w:fldCharType="end"/>
      </w:r>
      <w:r>
        <w:rPr>
          <w:rFonts w:hAnsi="Arial"/>
          <w:rFonts w:ascii="Arial"/>
          <w:sz w:val="24"/>
          <w:u w:val="none"/>
          <w:color w:val="black"/>
        </w:rPr>
        <w:t xml:space="preserve"> de 1991 y </w:t>
      </w:r>
      <w:r>
        <w:fldChar w:fldCharType="begin"/>
      </w:r>
      <w:r>
        <w:instrText>HYPERLINK "http://www.redjurista.com/document.aspx?ajcode=d1609013&amp;arts=Inicio"</w:instrText>
      </w:r>
      <w:r>
        <w:fldChar w:fldCharType="separate"/>
      </w:r>
      <w:r>
        <w:rPr>
          <w:rFonts w:hAnsi="Arial"/>
          <w:rFonts w:ascii="Arial"/>
          <w:sz w:val="24"/>
          <w:u w:val="single"/>
          <w:color w:val="black"/>
        </w:rPr>
        <w:t>1609</w:t>
      </w:r>
      <w:r>
        <w:fldChar w:fldCharType="end"/>
      </w:r>
      <w:r>
        <w:rPr>
          <w:rFonts w:hAnsi="Arial"/>
          <w:rFonts w:ascii="Arial"/>
          <w:sz w:val="24"/>
          <w:u w:val="none"/>
          <w:color w:val="black"/>
        </w:rPr>
        <w:t xml:space="preserve"> de 2013,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establece que (...) la producción de alimentos gozará de la especial protección del Estado. Para tal efecto, se otorgará prioridad al desarrollo integral de las actividades agrícolas, pecuarias, pesqueras, forestales y agroindustriales, (...) con el propósito de proteger el desarrollo de las actividades agropecuarias y pesqueras, y la adecuada protección a la producción nacional. </w:t>
      </w:r>
    </w:p>
    <w:p>
      <w:pPr>
        <w:jc w:val="both"/>
        <w:outlineLvl w:val="1"/>
      </w:pPr>
      <w:rPr>
        <w:sz w:val="24"/>
        <w:color w:val="black"/>
      </w:rPr>
    </w:p>
    <w:p>
      <w:pPr>
        <w:jc w:val="both"/>
        <w:outlineLvl w:val="1"/>
      </w:pPr>
      <w:r>
        <w:rPr>
          <w:rFonts w:hAnsi="Arial"/>
          <w:rFonts w:ascii="Arial"/>
          <w:sz w:val="24"/>
          <w:color w:val="black"/>
        </w:rPr>
        <w:t xml:space="preserve">Que los insumos agropecuarios son esenciales para el desarrollo de las actividades agrícolas, pecuarias y pesqueras y consecuentemente, para la seguridad alimentaria del territorio nacional y tienen un impacto entre el 5% y el 60% en los costos de producción. </w:t>
      </w:r>
    </w:p>
    <w:p>
      <w:pPr>
        <w:jc w:val="both"/>
        <w:outlineLvl w:val="1"/>
      </w:pPr>
      <w:rPr>
        <w:sz w:val="24"/>
        <w:color w:val="black"/>
      </w:rPr>
    </w:p>
    <w:p>
      <w:pPr>
        <w:jc w:val="both"/>
        <w:outlineLvl w:val="1"/>
      </w:pPr>
      <w:r>
        <w:rPr>
          <w:rFonts w:hAnsi="Arial"/>
          <w:rFonts w:ascii="Arial"/>
          <w:sz w:val="24"/>
          <w:color w:val="black"/>
        </w:rPr>
        <w:t xml:space="preserve">Que el incremento en el costo de los fletes marítimos por efecto de la crisis internacional de transporte ha impactado el sector agrícola, generando que los insumos agropecuarios tengan un aumento marcado en su costo, que se traslada al productor y al consumidor final.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"http://www.redjurista.com/document.aspx?ajcode=l2183022&amp;arts=22"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2183 de 2022, prescribe al Gobierno nacional dentro de los seis (6) meses siguientes a la promulgación de la ley, reglamentar las condiciones diferenciales para facilitar la importación, transformación y comercialización de insumos agropecuarios en cabeza de los productores del sector agropecuario, con el fin de promover la libre competencia dentro del mercado de importación de insumos y generar mejores condiciones de acceso al mismo.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"http://www.redjurista.com/document.aspx?ajcode=l2183022&amp;arts=23"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2183 de 2022, indica que “Los insumos agropecuarios serán importados a una tasa arancelaria del 0% por el término de un año una vez promulgada la presente ley. El Gobierno nacional evaluará los efectos comerciales de la medida con el fin de determinar la continuidad de la exención”.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"http://www.redjurista.com/document.aspx?ajcode=d1881021&amp;arts=Inicio"</w:instrText>
      </w:r>
      <w:r>
        <w:fldChar w:fldCharType="separate"/>
      </w:r>
      <w:r>
        <w:rPr>
          <w:rFonts w:hAnsi="Arial"/>
          <w:rFonts w:ascii="Arial"/>
          <w:sz w:val="24"/>
          <w:u w:val="single"/>
          <w:color w:val="black"/>
        </w:rPr>
        <w:t>1881</w:t>
      </w:r>
      <w:r>
        <w:fldChar w:fldCharType="end"/>
      </w:r>
      <w:r>
        <w:rPr>
          <w:rFonts w:hAnsi="Arial"/>
          <w:rFonts w:ascii="Arial"/>
          <w:sz w:val="24"/>
          <w:u w:val="none"/>
          <w:color w:val="black"/>
        </w:rPr>
        <w:t xml:space="preserve"> del 30 de diciembre de 2021 se adoptó el Arancel de Aduanas que entró a regir a partir del 1o de enero de 2022. </w:t>
      </w:r>
    </w:p>
    <w:p>
      <w:pPr>
        <w:jc w:val="both"/>
        <w:outlineLvl w:val="1"/>
      </w:pPr>
      <w:rPr>
        <w:sz w:val="24"/>
        <w:color w:val="black"/>
      </w:rPr>
    </w:p>
    <w:p>
      <w:pPr>
        <w:jc w:val="both"/>
        <w:outlineLvl w:val="1"/>
      </w:pPr>
      <w:r>
        <w:rPr>
          <w:rFonts w:hAnsi="Arial"/>
          <w:rFonts w:ascii="Arial"/>
          <w:sz w:val="24"/>
          <w:color w:val="black"/>
        </w:rPr>
        <w:t xml:space="preserve">Que en virtud de la Decisión </w:t>
      </w:r>
      <w:r>
        <w:fldChar w:fldCharType="begin"/>
      </w:r>
      <w:r>
        <w:instrText>HYPERLINK "http://www.redjurista.com/document.aspx?ajcode=dec805&amp;arts=Inicio"</w:instrText>
      </w:r>
      <w:r>
        <w:fldChar w:fldCharType="separate"/>
      </w:r>
      <w:r>
        <w:rPr>
          <w:rFonts w:hAnsi="Arial"/>
          <w:rFonts w:ascii="Arial"/>
          <w:sz w:val="24"/>
          <w:u w:val="single"/>
          <w:color w:val="black"/>
        </w:rPr>
        <w:t>805</w:t>
      </w:r>
      <w:r>
        <w:fldChar w:fldCharType="end"/>
      </w:r>
      <w:r>
        <w:rPr>
          <w:rFonts w:hAnsi="Arial"/>
          <w:rFonts w:ascii="Arial"/>
          <w:sz w:val="24"/>
          <w:u w:val="none"/>
          <w:color w:val="black"/>
        </w:rPr>
        <w:t xml:space="preserve"> de la Comisión de la Comunidad Andina y demás normas concordantes sobre política arancelaria común, actualmente los países miembros de la Comunidad Andina se encuentran facultados para adoptar modificaciones en materia arancelaria. </w:t>
      </w:r>
    </w:p>
    <w:p>
      <w:pPr>
        <w:jc w:val="both"/>
        <w:outlineLvl w:val="1"/>
      </w:pPr>
      <w:rPr>
        <w:sz w:val="24"/>
        <w:color w:val="black"/>
      </w:rPr>
    </w:p>
    <w:p>
      <w:pPr>
        <w:jc w:val="both"/>
        <w:outlineLvl w:val="1"/>
      </w:pPr>
      <w:r>
        <w:rPr>
          <w:rFonts w:hAnsi="Arial"/>
          <w:rFonts w:ascii="Arial"/>
          <w:sz w:val="24"/>
          <w:color w:val="black"/>
        </w:rPr>
        <w:t xml:space="preserve">Que sobre la base de lo expuesto en la Ley </w:t>
      </w:r>
      <w:r>
        <w:fldChar w:fldCharType="begin"/>
      </w:r>
      <w:r>
        <w:instrText>HYPERLINK "http://www.redjurista.com/document.aspx?ajcode=l2183022&amp;arts=Inicio"</w:instrText>
      </w:r>
      <w:r>
        <w:fldChar w:fldCharType="separate"/>
      </w:r>
      <w:r>
        <w:rPr>
          <w:rFonts w:hAnsi="Arial"/>
          <w:rFonts w:ascii="Arial"/>
          <w:sz w:val="24"/>
          <w:u w:val="single"/>
          <w:color w:val="black"/>
        </w:rPr>
        <w:t>2183</w:t>
      </w:r>
      <w:r>
        <w:fldChar w:fldCharType="end"/>
      </w:r>
      <w:r>
        <w:rPr>
          <w:rFonts w:hAnsi="Arial"/>
          <w:rFonts w:ascii="Arial"/>
          <w:sz w:val="24"/>
          <w:u w:val="none"/>
          <w:color w:val="black"/>
        </w:rPr>
        <w:t xml:space="preserve"> de 2022, el Gobierno nacional en el marco de las competencias que se desprenden del numeral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solicitó recomendación del Comité de Asuntos Aduaneros, Arancelarios y de Comercio Exterior, así como concepto del Consejo Superior de Política Fiscal (Confis), para analizar la conveniencia de expedir una medida de carácter arancelario que permita que los insumos agropecuarios sean importados a una tasa arancelaria del 0% por el término de un año, ampliando así, las medidas adoptadas en el Decreto </w:t>
      </w:r>
      <w:r>
        <w:fldChar w:fldCharType="begin"/>
      </w:r>
      <w:r>
        <w:instrText>HYPERLINK "http://www.redjurista.com/document.aspx?ajcode=d0307021&amp;arts=Inicio"</w:instrText>
      </w:r>
      <w:r>
        <w:fldChar w:fldCharType="separate"/>
      </w:r>
      <w:r>
        <w:rPr>
          <w:rFonts w:hAnsi="Arial"/>
          <w:rFonts w:ascii="Arial"/>
          <w:sz w:val="24"/>
          <w:u w:val="single"/>
          <w:color w:val="black"/>
        </w:rPr>
        <w:t>307</w:t>
      </w:r>
      <w:r>
        <w:fldChar w:fldCharType="end"/>
      </w:r>
      <w:r>
        <w:rPr>
          <w:rFonts w:hAnsi="Arial"/>
          <w:rFonts w:ascii="Arial"/>
          <w:sz w:val="24"/>
          <w:u w:val="none"/>
          <w:color w:val="black"/>
        </w:rPr>
        <w:t xml:space="preserve"> del 3 de marzo de 2021. </w:t>
      </w:r>
    </w:p>
    <w:p>
      <w:pPr>
        <w:jc w:val="both"/>
        <w:outlineLvl w:val="1"/>
      </w:pPr>
      <w:rPr>
        <w:sz w:val="24"/>
        <w:color w:val="black"/>
      </w:rPr>
    </w:p>
    <w:p>
      <w:pPr>
        <w:jc w:val="both"/>
        <w:outlineLvl w:val="1"/>
      </w:pPr>
      <w:r>
        <w:rPr>
          <w:rFonts w:hAnsi="Arial"/>
          <w:rFonts w:ascii="Arial"/>
          <w:sz w:val="24"/>
          <w:color w:val="black"/>
        </w:rPr>
        <w:t xml:space="preserve">Que en desarrollo de lo anterior, el Comité de Asuntos Aduaneros, Arancelarios y de Comercio Exterior, en sesiones 353 del 14 de febrero y 354 del 17 de febrero de 2022, recomendó desgravar el arancel a cero por ciento (0%) para la importación de insumos agropecuarios, por el término de doce (12) meses, los cuales corresponden al siguiente grupo de subpartidas: </w:t>
      </w:r>
    </w:p>
    <w:tbl>
      <w:tblGrid>
        <w:gridCol w:w="1340"/>
        <w:gridCol w:w="1500"/>
        <w:gridCol w:w="1480"/>
        <w:gridCol w:w="1500"/>
        <w:gridCol w:w="20"/>
        <w:gridCol w:w="1500"/>
        <w:gridCol w:w="1480"/>
      </w:tblGrid>
      <w:tblPr>
        <w:tblW w:w="8838" w:type="dxa"/>
        <w:tblBorders/>
      </w:tblP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2918159000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3402391000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3808591900 </w:t>
            </w:r>
          </w:p>
        </w:tc>
        <w:tc>
          <w:tcPr>
            <w:tcW w:w="1525" w:type="dxa"/>
            <w:gridSpan w:val="2"/>
            <w:tcMar/>
            <w:tcBorders>
              <w:top w:val="single" w:sz="1" w:space="0" w:color="auto"/>
              <w:left w:val="single" w:sz="1" w:space="0" w:color="auto"/>
            </w:tcBorders>
          </w:tcPr>
          <w:p>
            <w:pPr>
              <w:jc w:val="both"/>
            </w:pPr>
            <w:r>
              <w:rPr>
                <w:rFonts w:hAnsi="Arial"/>
                <w:rFonts w:ascii="Arial"/>
                <w:sz w:val="20"/>
                <w:color w:val="black"/>
              </w:rPr>
              <w:t xml:space="preserve">2309909000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3003902000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3402411000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3808599010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2529100000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3004102000 </w:t>
            </w:r>
          </w:p>
        </w:tc>
        <w:tc>
          <w:tcPr>
            <w:tcW w:w="1525" w:type="dxa"/>
            <w:gridSpan w:val="2"/>
            <w:tcMar/>
            <w:tcBorders>
              <w:top w:val="single" w:sz="1" w:space="0" w:color="auto"/>
              <w:left w:val="single" w:sz="1" w:space="0" w:color="auto"/>
            </w:tcBorders>
          </w:tcPr>
          <w:p>
            <w:pPr>
              <w:jc w:val="both"/>
            </w:pPr>
            <w:r>
              <w:rPr>
                <w:rFonts w:hAnsi="Arial"/>
                <w:rFonts w:ascii="Arial"/>
                <w:sz w:val="20"/>
                <w:color w:val="black"/>
              </w:rPr>
              <w:t xml:space="preserve">3402419000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3808599020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2804300000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3004202000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3402421000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3808599030 </w:t>
            </w:r>
          </w:p>
        </w:tc>
        <w:tc>
          <w:tcPr>
            <w:tcW w:w="1525" w:type="dxa"/>
            <w:gridSpan w:val="2"/>
            <w:tcMar/>
            <w:tcBorders>
              <w:top w:val="single" w:sz="1" w:space="0" w:color="auto"/>
              <w:left w:val="single" w:sz="1" w:space="0" w:color="auto"/>
            </w:tcBorders>
          </w:tcPr>
          <w:p>
            <w:pPr>
              <w:jc w:val="both"/>
            </w:pPr>
            <w:r>
              <w:rPr>
                <w:rFonts w:hAnsi="Arial"/>
                <w:rFonts w:ascii="Arial"/>
                <w:sz w:val="20"/>
                <w:color w:val="black"/>
              </w:rPr>
              <w:t xml:space="preserve">2815120000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3004322000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3402429000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3808599040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2834291000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3004392000 </w:t>
            </w:r>
          </w:p>
        </w:tc>
        <w:tc>
          <w:tcPr>
            <w:tcW w:w="1525" w:type="dxa"/>
            <w:gridSpan w:val="2"/>
            <w:tcMar/>
            <w:tcBorders>
              <w:top w:val="single" w:sz="1" w:space="0" w:color="auto"/>
              <w:left w:val="single" w:sz="1" w:space="0" w:color="auto"/>
            </w:tcBorders>
          </w:tcPr>
          <w:p>
            <w:pPr>
              <w:jc w:val="both"/>
            </w:pPr>
            <w:r>
              <w:rPr>
                <w:rFonts w:hAnsi="Arial"/>
                <w:rFonts w:ascii="Arial"/>
                <w:sz w:val="20"/>
                <w:color w:val="black"/>
              </w:rPr>
              <w:t xml:space="preserve">3402491000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3808599060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2835260000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3004502000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3402499000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3808599090 </w:t>
            </w:r>
          </w:p>
        </w:tc>
        <w:tc>
          <w:tcPr>
            <w:tcW w:w="1525" w:type="dxa"/>
            <w:gridSpan w:val="2"/>
            <w:tcMar/>
            <w:tcBorders>
              <w:top w:val="single" w:sz="1" w:space="0" w:color="auto"/>
              <w:left w:val="single" w:sz="1" w:space="0" w:color="auto"/>
            </w:tcBorders>
          </w:tcPr>
          <w:p>
            <w:pPr>
              <w:jc w:val="both"/>
            </w:pPr>
            <w:r>
              <w:rPr>
                <w:rFonts w:hAnsi="Arial"/>
                <w:rFonts w:ascii="Arial"/>
                <w:sz w:val="20"/>
                <w:color w:val="black"/>
              </w:rPr>
              <w:t xml:space="preserve">2912110000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3004903000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3402500000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3824999100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2915502100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3103900000 </w:t>
            </w:r>
          </w:p>
        </w:tc>
        <w:tc>
          <w:tcPr>
            <w:tcW w:w="1525" w:type="dxa"/>
            <w:gridSpan w:val="2"/>
            <w:tcMar/>
            <w:tcBorders>
              <w:top w:val="single" w:sz="1" w:space="0" w:color="auto"/>
              <w:left w:val="single" w:sz="1" w:space="0" w:color="auto"/>
            </w:tcBorders>
          </w:tcPr>
          <w:p>
            <w:pPr>
              <w:jc w:val="both"/>
            </w:pPr>
            <w:r>
              <w:rPr>
                <w:rFonts w:hAnsi="Arial"/>
                <w:rFonts w:ascii="Arial"/>
                <w:sz w:val="20"/>
                <w:color w:val="black"/>
              </w:rPr>
              <w:t xml:space="preserve">3402909100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3905999000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2918140000 </w:t>
            </w:r>
          </w:p>
        </w:tc>
      </w:tr>
      <w:tr>
        <w:trPr/>
        <w:tc>
          <w:tcPr>
            <w:tcW w:w="1351"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3402310000 </w:t>
            </w:r>
          </w:p>
        </w:tc>
        <w:tc>
          <w:tcPr>
            <w:tcW w:w="1491"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3808591100 </w:t>
            </w:r>
          </w:p>
        </w:tc>
        <w:tc>
          <w:tcPr>
            <w:tcW w:w="149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6504000000 </w:t>
            </w:r>
          </w:p>
        </w:tc>
        <w:tc>
          <w:tcPr>
            <w:tcW w:w="1490" w:type="dxa"/>
            <w:gridSpan w:val="4"/>
            <w:tcMar/>
            <w:tcBorders>
              <w:top w:val="single" w:sz="1" w:space="0" w:color="auto"/>
              <w:left w:val="single" w:sz="1" w:space="0" w:color="auto"/>
              <w:bottom w:val="single" w:sz="1" w:space="0" w:color="auto"/>
            </w:tcBorders>
          </w:tcPr>
          <w:p>
            <w:pPr>
              <w:jc w:val="both"/>
            </w:pPr>
            <w:rPr>
              <w:sz w:val="24"/>
              <w:color w:val="black"/>
            </w:rPr>
          </w:p>
        </w:tc>
      </w:tr>
    </w:tbl>
    <w:p>
      <w:pPr>
        <w:jc w:val="both"/>
      </w:pPr>
      <w:rPr>
        <w:sz w:val="24"/>
        <w:b/>
        <w:color w:val="black"/>
      </w:rPr>
    </w:p>
    <w:p>
      <w:pPr>
        <w:jc w:val="both"/>
      </w:pPr>
      <w:r>
        <w:rPr>
          <w:rFonts w:hAnsi="Arial"/>
          <w:rFonts w:ascii="Arial"/>
          <w:sz w:val="24"/>
          <w:color w:val="black"/>
        </w:rPr>
        <w:t xml:space="preserve">Que en la sesión 353 del 14 de febrero de 2022 el Comité de Asuntos Aduaneros, Arancelarios y de Comercio Exterior recomendó la reducción del arancel a cero por ciento (0%) por seis (6) meses, para la importación de algunos insumos agropecuarios, correspondientes al siguiente grupo de subpartidas: </w:t>
      </w:r>
    </w:p>
    <w:tbl>
      <w:tblGrid>
        <w:gridCol w:w="1340"/>
        <w:gridCol w:w="1500"/>
        <w:gridCol w:w="1480"/>
        <w:gridCol w:w="1520"/>
        <w:gridCol w:w="1500"/>
        <w:gridCol w:w="1480"/>
      </w:tblGrid>
      <w:tblPr>
        <w:tblW w:w="8838" w:type="dxa"/>
        <w:tblBorders/>
      </w:tblP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0601100000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1103200000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1209240000 </w:t>
            </w:r>
          </w:p>
        </w:tc>
        <w:tc>
          <w:tcPr>
            <w:tcW w:w="1525" w:type="dxa"/>
            <w:tcMar/>
            <w:tcBorders>
              <w:top w:val="single" w:sz="1" w:space="0" w:color="auto"/>
              <w:left w:val="single" w:sz="1" w:space="0" w:color="auto"/>
            </w:tcBorders>
          </w:tcPr>
          <w:p>
            <w:pPr>
              <w:jc w:val="both"/>
            </w:pPr>
            <w:r>
              <w:rPr>
                <w:rFonts w:hAnsi="Arial"/>
                <w:rFonts w:ascii="Arial"/>
                <w:sz w:val="20"/>
                <w:color w:val="black"/>
              </w:rPr>
              <w:t xml:space="preserve">1209914000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1209994000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3101009000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0601200000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1207101000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1209250000 </w:t>
            </w:r>
          </w:p>
        </w:tc>
        <w:tc>
          <w:tcPr>
            <w:tcW w:w="1525" w:type="dxa"/>
            <w:tcMar/>
            <w:tcBorders>
              <w:top w:val="single" w:sz="1" w:space="0" w:color="auto"/>
              <w:left w:val="single" w:sz="1" w:space="0" w:color="auto"/>
            </w:tcBorders>
          </w:tcPr>
          <w:p>
            <w:pPr>
              <w:jc w:val="both"/>
            </w:pPr>
            <w:r>
              <w:rPr>
                <w:rFonts w:hAnsi="Arial"/>
                <w:rFonts w:ascii="Arial"/>
                <w:sz w:val="20"/>
                <w:color w:val="black"/>
              </w:rPr>
              <w:t xml:space="preserve">1209915000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1209999000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3102909000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0703201000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1209100000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1209290000 </w:t>
            </w:r>
          </w:p>
        </w:tc>
        <w:tc>
          <w:tcPr>
            <w:tcW w:w="1525" w:type="dxa"/>
            <w:tcMar/>
            <w:tcBorders>
              <w:top w:val="single" w:sz="1" w:space="0" w:color="auto"/>
              <w:left w:val="single" w:sz="1" w:space="0" w:color="auto"/>
            </w:tcBorders>
          </w:tcPr>
          <w:p>
            <w:pPr>
              <w:jc w:val="both"/>
            </w:pPr>
            <w:r>
              <w:rPr>
                <w:rFonts w:hAnsi="Arial"/>
                <w:rFonts w:ascii="Arial"/>
                <w:sz w:val="20"/>
                <w:color w:val="black"/>
              </w:rPr>
              <w:t xml:space="preserve">1209919000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1904300000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3105100000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0714201000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1209210000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1209911000 </w:t>
            </w:r>
          </w:p>
        </w:tc>
        <w:tc>
          <w:tcPr>
            <w:tcW w:w="1525" w:type="dxa"/>
            <w:tcMar/>
            <w:tcBorders>
              <w:top w:val="single" w:sz="1" w:space="0" w:color="auto"/>
              <w:left w:val="single" w:sz="1" w:space="0" w:color="auto"/>
            </w:tcBorders>
          </w:tcPr>
          <w:p>
            <w:pPr>
              <w:jc w:val="both"/>
            </w:pPr>
            <w:r>
              <w:rPr>
                <w:rFonts w:hAnsi="Arial"/>
                <w:rFonts w:ascii="Arial"/>
                <w:sz w:val="20"/>
                <w:color w:val="black"/>
              </w:rPr>
              <w:t xml:space="preserve">1209991000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2106903000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3502901000</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1102901000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1209220000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1209912000 </w:t>
            </w:r>
          </w:p>
        </w:tc>
        <w:tc>
          <w:tcPr>
            <w:tcW w:w="1525" w:type="dxa"/>
            <w:tcMar/>
            <w:tcBorders>
              <w:top w:val="single" w:sz="1" w:space="0" w:color="auto"/>
              <w:left w:val="single" w:sz="1" w:space="0" w:color="auto"/>
            </w:tcBorders>
          </w:tcPr>
          <w:p>
            <w:pPr>
              <w:jc w:val="both"/>
            </w:pPr>
            <w:r>
              <w:rPr>
                <w:rFonts w:hAnsi="Arial"/>
                <w:rFonts w:ascii="Arial"/>
                <w:sz w:val="20"/>
                <w:color w:val="black"/>
              </w:rPr>
              <w:t xml:space="preserve">1209992000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2309903000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7415100000 </w:t>
            </w:r>
          </w:p>
        </w:tc>
      </w:tr>
      <w:tr>
        <w:trPr/>
        <w:tc>
          <w:tcPr>
            <w:tcW w:w="1351"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1103130000 </w:t>
            </w:r>
          </w:p>
        </w:tc>
        <w:tc>
          <w:tcPr>
            <w:tcW w:w="1491"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1209230000 </w:t>
            </w:r>
          </w:p>
        </w:tc>
        <w:tc>
          <w:tcPr>
            <w:tcW w:w="149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1209913000 </w:t>
            </w:r>
          </w:p>
        </w:tc>
        <w:tc>
          <w:tcPr>
            <w:tcW w:w="1525"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1209993000 </w:t>
            </w:r>
          </w:p>
        </w:tc>
        <w:tc>
          <w:tcPr>
            <w:tcW w:w="149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2814100000 </w:t>
            </w:r>
          </w:p>
        </w:tc>
        <w:tc>
          <w:tcPr>
            <w:tcW w:w="149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8211931000 </w:t>
            </w:r>
          </w:p>
        </w:tc>
      </w:tr>
    </w:tbl>
    <w:p>
      <w:pPr>
        <w:jc w:val="both"/>
      </w:pPr>
      <w:rPr>
        <w:sz w:val="24"/>
        <w:b/>
        <w:color w:val="black"/>
      </w:rPr>
    </w:p>
    <w:p>
      <w:pPr>
        <w:jc w:val="both"/>
      </w:pPr>
      <w:r>
        <w:rPr>
          <w:rFonts w:hAnsi="Arial"/>
          <w:rFonts w:ascii="Arial"/>
          <w:sz w:val="24"/>
          <w:color w:val="black"/>
        </w:rPr>
        <w:t xml:space="preserve">Que en la sesión 354 del 17 de febrero de 2022 el Comité de Asuntos Aduaneros, Arancelarios y de Comercio Exterior, recomendó, previa revisión entre el Ministerio de Hacienda y Crédito Público y el Ministerio de Agricultura y Desarrollo Rural, ampliar por seis (6) meses más, la recomendación efectuada en la sesión 353 de 2022, con el propósito de completar un período de doce (12) meses la reducción arancelaria a 0% para la importación de insumos agropecuarios con base lo expuesto en la Ley </w:t>
      </w:r>
      <w:r>
        <w:fldChar w:fldCharType="begin"/>
      </w:r>
      <w:r>
        <w:instrText>HYPERLINK "http://www.redjurista.com/document.aspx?ajcode=l2183022&amp;arts=Inicio"</w:instrText>
      </w:r>
      <w:r>
        <w:fldChar w:fldCharType="separate"/>
      </w:r>
      <w:r>
        <w:rPr>
          <w:rFonts w:hAnsi="Arial"/>
          <w:rFonts w:ascii="Arial"/>
          <w:sz w:val="24"/>
          <w:u w:val="single"/>
          <w:color w:val="black"/>
        </w:rPr>
        <w:t>2183</w:t>
      </w:r>
      <w:r>
        <w:fldChar w:fldCharType="end"/>
      </w:r>
      <w:r>
        <w:rPr>
          <w:rFonts w:hAnsi="Arial"/>
          <w:rFonts w:ascii="Arial"/>
          <w:sz w:val="24"/>
          <w:u w:val="none"/>
          <w:color w:val="black"/>
        </w:rPr>
        <w:t xml:space="preserve"> de 2022. </w:t>
      </w:r>
    </w:p>
    <w:p>
      <w:pPr>
        <w:jc w:val="both"/>
      </w:pPr>
      <w:rPr>
        <w:sz w:val="24"/>
        <w:b/>
        <w:color w:val="black"/>
      </w:rPr>
    </w:p>
    <w:p>
      <w:pPr>
        <w:jc w:val="both"/>
      </w:pPr>
      <w:r>
        <w:rPr>
          <w:rFonts w:hAnsi="Arial"/>
          <w:rFonts w:ascii="Arial"/>
          <w:sz w:val="24"/>
          <w:color w:val="black"/>
        </w:rPr>
        <w:t xml:space="preserve">Que mediante el Decreto </w:t>
      </w:r>
      <w:r>
        <w:fldChar w:fldCharType="begin"/>
      </w:r>
      <w:r>
        <w:instrText>HYPERLINK "http://www.redjurista.com/document.aspx?ajcode=d0307022&amp;arts=Inicio"</w:instrText>
      </w:r>
      <w:r>
        <w:fldChar w:fldCharType="separate"/>
      </w:r>
      <w:r>
        <w:rPr>
          <w:rFonts w:hAnsi="Arial"/>
          <w:rFonts w:ascii="Arial"/>
          <w:sz w:val="24"/>
          <w:u w:val="single"/>
          <w:color w:val="black"/>
        </w:rPr>
        <w:t>307</w:t>
      </w:r>
      <w:r>
        <w:fldChar w:fldCharType="end"/>
      </w:r>
      <w:r>
        <w:rPr>
          <w:rFonts w:hAnsi="Arial"/>
          <w:rFonts w:ascii="Arial"/>
          <w:sz w:val="24"/>
          <w:u w:val="none"/>
          <w:color w:val="black"/>
        </w:rPr>
        <w:t xml:space="preserve"> del 3 de marzo de 2022, el Gobierno nacional adoptó la recomendación del Comité de Asuntos Aduaneros, Arancelarios y de Comercio Exterior realizada en la sesión 353 para establecer un arancel a 0% para la importación de algunos productos que inciden en la canasta de consumo de los hogares durante seis (6) meses, y entre ellos se incluyeron algunos insumos agropecuarios, correspondientes al grupo de subpartidas descritas anteriormente. </w:t>
      </w:r>
    </w:p>
    <w:p>
      <w:pPr>
        <w:jc w:val="both"/>
      </w:pPr>
      <w:rPr>
        <w:sz w:val="24"/>
        <w:b/>
        <w:color w:val="black"/>
      </w:rPr>
    </w:p>
    <w:p>
      <w:pPr>
        <w:jc w:val="both"/>
      </w:pPr>
      <w:r>
        <w:rPr>
          <w:rFonts w:hAnsi="Arial"/>
          <w:rFonts w:ascii="Arial"/>
          <w:sz w:val="24"/>
          <w:color w:val="black"/>
        </w:rPr>
        <w:t xml:space="preserve">Que con fundamento en lo previsto en la Ley </w:t>
      </w:r>
      <w:r>
        <w:fldChar w:fldCharType="begin"/>
      </w:r>
      <w:r>
        <w:instrText>HYPERLINK "http://www.redjurista.com/document.aspx?ajcode=l2183022&amp;arts=Inicio"</w:instrText>
      </w:r>
      <w:r>
        <w:fldChar w:fldCharType="separate"/>
      </w:r>
      <w:r>
        <w:rPr>
          <w:rFonts w:hAnsi="Arial"/>
          <w:rFonts w:ascii="Arial"/>
          <w:sz w:val="24"/>
          <w:u w:val="single"/>
          <w:color w:val="black"/>
        </w:rPr>
        <w:t>2183</w:t>
      </w:r>
      <w:r>
        <w:fldChar w:fldCharType="end"/>
      </w:r>
      <w:r>
        <w:rPr>
          <w:rFonts w:hAnsi="Arial"/>
          <w:rFonts w:ascii="Arial"/>
          <w:sz w:val="24"/>
          <w:u w:val="none"/>
          <w:color w:val="black"/>
        </w:rPr>
        <w:t xml:space="preserve"> de 2022 y armonía con la recomendación del Comité de Asuntos Aduaneros, Arancelarios y de Comercio Exterior realizada en la sesión 354, se requiere ampliar por seis (6) meses el término del arancel del cero por ciento (0%) establecido para algunos insumos agropecuarios a través del Decreto </w:t>
      </w:r>
      <w:r>
        <w:fldChar w:fldCharType="begin"/>
      </w:r>
      <w:r>
        <w:instrText>HYPERLINK "http://www.redjurista.com/document.aspx?ajcode=d0307022&amp;arts=Inicio"</w:instrText>
      </w:r>
      <w:r>
        <w:fldChar w:fldCharType="separate"/>
      </w:r>
      <w:r>
        <w:rPr>
          <w:rFonts w:hAnsi="Arial"/>
          <w:rFonts w:ascii="Arial"/>
          <w:sz w:val="24"/>
          <w:u w:val="single"/>
          <w:color w:val="black"/>
        </w:rPr>
        <w:t>307</w:t>
      </w:r>
      <w:r>
        <w:fldChar w:fldCharType="end"/>
      </w:r>
      <w:r>
        <w:rPr>
          <w:rFonts w:hAnsi="Arial"/>
          <w:rFonts w:ascii="Arial"/>
          <w:sz w:val="24"/>
          <w:u w:val="none"/>
          <w:color w:val="black"/>
        </w:rPr>
        <w:t xml:space="preserve"> de 2022. </w:t>
      </w:r>
    </w:p>
    <w:p>
      <w:pPr>
        <w:jc w:val="both"/>
      </w:pPr>
      <w:rPr>
        <w:sz w:val="24"/>
        <w:b/>
        <w:color w:val="black"/>
      </w:rPr>
    </w:p>
    <w:p>
      <w:pPr>
        <w:jc w:val="both"/>
      </w:pPr>
      <w:r>
        <w:rPr>
          <w:rFonts w:hAnsi="Arial"/>
          <w:rFonts w:ascii="Arial"/>
          <w:sz w:val="24"/>
          <w:color w:val="black"/>
        </w:rPr>
        <w:t xml:space="preserve">Que el Consejo Superior de Política Fiscal (Confis), en sesión del 3 de marzo de 2022, una vez revisadas las recomendaciones del Comité de Asuntos Aduaneros, Arancelarios y de Comercio Exterior realizadas en la sesión 354, otorgó concepto favorable de costo fiscal a la reducción temporal de aranceles a cero por ciento (0%) de las subpartidas relacionadas en las anteriores consideraciones. </w:t>
      </w:r>
    </w:p>
    <w:p>
      <w:pPr>
        <w:jc w:val="both"/>
      </w:pPr>
      <w:rPr>
        <w:sz w:val="24"/>
        <w:b/>
        <w:color w:val="black"/>
      </w:rPr>
    </w:p>
    <w:p>
      <w:pPr>
        <w:jc w:val="both"/>
      </w:pPr>
      <w:r>
        <w:rPr>
          <w:rFonts w:hAnsi="Arial"/>
          <w:rFonts w:ascii="Arial"/>
          <w:sz w:val="24"/>
          <w:color w:val="black"/>
        </w:rPr>
        <w:t xml:space="preserve">Que es necesario implementar con carácter urgente las medidas que se establecen en el presente Decreto, con el fin de contribuir a la disminución de las presiones alcistas de precios a las que se han enfrentado recientemente los consumidores en el país, por lo que resulta necesario que el presente decreto entre en vigencia a partir de su publicación, de conformidad con la excepción establecida en el parágrafo 2 del artículo </w:t>
      </w:r>
      <w:r>
        <w:fldChar w:fldCharType="begin"/>
      </w:r>
      <w:r>
        <w:instrText>HYPERLINK "http://www.redjurista.com/document.aspx?ajcode=l1609013&amp;arts=2"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1609 de 2013. Asimismo, resulta necesario hacer uso de la excepción prevista en el artículo </w:t>
      </w:r>
      <w:r>
        <w:fldChar w:fldCharType="begin"/>
      </w:r>
      <w:r>
        <w:instrText>HYPERLINK "http://www.redjurista.com/document.aspx?ajcode=d1081015&amp;arts=2.1.2.1.14"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1081 de 2015, Decreto Único Reglamentario del Sector de la Presidencia de la República, motivo por el cual el proyecto de decreto fue sometido a consulta de la ciudadanía por el término de tres (3) días, a efectos de garantizar la participación pública frente a la integridad de los aspectos abordados en la normativa. </w:t>
      </w:r>
    </w:p>
    <w:p>
      <w:pPr>
        <w:jc w:val="both"/>
      </w:pPr>
      <w:rPr>
        <w:sz w:val="24"/>
        <w:b/>
        <w:color w:val="black"/>
      </w:rPr>
    </w:p>
    <w:p>
      <w:pPr>
        <w:jc w:val="both"/>
      </w:pPr>
      <w:r>
        <w:rPr>
          <w:rFonts w:hAnsi="Arial"/>
          <w:rFonts w:ascii="Arial"/>
          <w:sz w:val="24"/>
          <w:color w:val="black"/>
        </w:rPr>
        <w:t xml:space="preserve">En mérito de lo expuesto, </w:t>
      </w:r>
    </w:p>
    <w:p>
      <w:pPr>
        <w:jc w:val="both"/>
      </w:pPr>
      <w:rPr>
        <w:sz w:val="24"/>
        <w:color w:val="black"/>
      </w:rPr>
    </w:p>
    <w:p>
      <w:pPr>
        <w:jc w:val="center"/>
      </w:pPr>
      <w:r>
        <w:rPr>
          <w:rFonts w:hAnsi="Arial"/>
          <w:rFonts w:ascii="Arial"/>
          <w:sz w:val="24"/>
          <w:color w:val="gray"/>
        </w:rPr>
        <w:t xml:space="preserve">DECRETA: </w:t>
      </w:r>
    </w:p>
    <w:p>
      <w:pPr>
        <w:jc w:val="both"/>
      </w:pPr>
      <w:rPr>
        <w:sz w:val="24"/>
        <w:b/>
        <w:color w:val="black"/>
      </w:rPr>
    </w:p>
    <w:p>
      <w:pPr>
        <w:jc w:val="both"/>
      </w:pPr>
      <w:r>
        <w:rPr>
          <w:rFonts w:hAnsi="Arial"/>
          <w:rFonts w:ascii="Arial"/>
          <w:sz w:val="24"/>
          <w:vanish/>
          <w:color w:val="black"/>
        </w:rPr>
        <w:t>&amp;$</w:t>
      </w:r>
      <w:bookmarkStart w:id="47980" w:name="1"/>
      <w:r>
        <w:rPr>
          <w:rFonts w:hAnsi="Arial"/>
          <w:rFonts w:ascii="Arial"/>
          <w:sz w:val="24"/>
          <w:color w:val="navy"/>
        </w:rPr>
        <w:t xml:space="preserve">ARTÍCULO 1o.</w:t>
      </w:r>
      <w:bookmarkEnd w:id="47980"/>
      <w:r>
        <w:rPr>
          <w:rFonts w:hAnsi="Arial"/>
          <w:rFonts w:ascii="Arial"/>
          <w:sz w:val="24"/>
          <w:color w:val="black"/>
        </w:rPr>
        <w:t xml:space="preserve"> Establecer un arancel de cero por ciento (0%) por doce (12) meses, para la importación de los productos clasificados por las siguientes subpartidas arancelarias: </w:t>
      </w:r>
    </w:p>
    <w:tbl>
      <w:tblGrid>
        <w:gridCol w:w="2100"/>
        <w:gridCol w:w="2220"/>
        <w:gridCol w:w="2260"/>
        <w:gridCol w:w="2240"/>
      </w:tblGrid>
      <w:tblPr>
        <w:tblW w:w="8838" w:type="dxa"/>
        <w:tblBorders/>
      </w:tblPr>
      <w:tr>
        <w:trPr/>
        <w:tc>
          <w:tcPr>
            <w:tcW w:w="2114" w:type="dxa"/>
            <w:tcMar/>
            <w:tcBorders>
              <w:top w:val="single" w:sz="1" w:space="0" w:color="auto"/>
              <w:left w:val="single" w:sz="1" w:space="0" w:color="auto"/>
            </w:tcBorders>
          </w:tcPr>
          <w:p>
            <w:pPr>
              <w:jc w:val="both"/>
            </w:pPr>
            <w:r>
              <w:rPr>
                <w:rFonts w:hAnsi="Arial"/>
                <w:rFonts w:ascii="Arial"/>
                <w:sz w:val="20"/>
                <w:color w:val="black"/>
              </w:rPr>
              <w:t xml:space="preserve">2309909000 </w:t>
            </w:r>
          </w:p>
        </w:tc>
        <w:tc>
          <w:tcPr>
            <w:tcW w:w="2218" w:type="dxa"/>
            <w:tcMar/>
            <w:tcBorders>
              <w:top w:val="single" w:sz="1" w:space="0" w:color="auto"/>
              <w:left w:val="single" w:sz="1" w:space="0" w:color="auto"/>
            </w:tcBorders>
          </w:tcPr>
          <w:p>
            <w:pPr>
              <w:jc w:val="both"/>
            </w:pPr>
            <w:r>
              <w:rPr>
                <w:rFonts w:hAnsi="Arial"/>
                <w:rFonts w:ascii="Arial"/>
                <w:sz w:val="20"/>
                <w:color w:val="black"/>
              </w:rPr>
              <w:t xml:space="preserve">3003902000 </w:t>
            </w:r>
          </w:p>
        </w:tc>
        <w:tc>
          <w:tcPr>
            <w:tcW w:w="2253" w:type="dxa"/>
            <w:tcMar/>
            <w:tcBorders>
              <w:top w:val="single" w:sz="1" w:space="0" w:color="auto"/>
              <w:left w:val="single" w:sz="1" w:space="0" w:color="auto"/>
            </w:tcBorders>
          </w:tcPr>
          <w:p>
            <w:pPr>
              <w:jc w:val="both"/>
            </w:pPr>
            <w:r>
              <w:rPr>
                <w:rFonts w:hAnsi="Arial"/>
                <w:rFonts w:ascii="Arial"/>
                <w:sz w:val="20"/>
                <w:color w:val="black"/>
              </w:rPr>
              <w:t xml:space="preserve">3402411000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3808599010 </w:t>
            </w:r>
          </w:p>
        </w:tc>
      </w:tr>
      <w:tr>
        <w:trPr/>
        <w:tc>
          <w:tcPr>
            <w:tcW w:w="2114" w:type="dxa"/>
            <w:tcMar/>
            <w:tcBorders>
              <w:top w:val="single" w:sz="1" w:space="0" w:color="auto"/>
              <w:left w:val="single" w:sz="1" w:space="0" w:color="auto"/>
            </w:tcBorders>
          </w:tcPr>
          <w:p>
            <w:pPr>
              <w:jc w:val="both"/>
            </w:pPr>
            <w:r>
              <w:rPr>
                <w:rFonts w:hAnsi="Arial"/>
                <w:rFonts w:ascii="Arial"/>
                <w:sz w:val="20"/>
                <w:color w:val="black"/>
              </w:rPr>
              <w:t xml:space="preserve">2529100000 </w:t>
            </w:r>
          </w:p>
        </w:tc>
        <w:tc>
          <w:tcPr>
            <w:tcW w:w="2218" w:type="dxa"/>
            <w:tcMar/>
            <w:tcBorders>
              <w:top w:val="single" w:sz="1" w:space="0" w:color="auto"/>
              <w:left w:val="single" w:sz="1" w:space="0" w:color="auto"/>
            </w:tcBorders>
          </w:tcPr>
          <w:p>
            <w:pPr>
              <w:jc w:val="both"/>
            </w:pPr>
            <w:r>
              <w:rPr>
                <w:rFonts w:hAnsi="Arial"/>
                <w:rFonts w:ascii="Arial"/>
                <w:sz w:val="20"/>
                <w:color w:val="black"/>
              </w:rPr>
              <w:t xml:space="preserve">3004102000 </w:t>
            </w:r>
          </w:p>
        </w:tc>
        <w:tc>
          <w:tcPr>
            <w:tcW w:w="2253" w:type="dxa"/>
            <w:tcMar/>
            <w:tcBorders>
              <w:top w:val="single" w:sz="1" w:space="0" w:color="auto"/>
              <w:left w:val="single" w:sz="1" w:space="0" w:color="auto"/>
            </w:tcBorders>
          </w:tcPr>
          <w:p>
            <w:pPr>
              <w:jc w:val="both"/>
            </w:pPr>
            <w:r>
              <w:rPr>
                <w:rFonts w:hAnsi="Arial"/>
                <w:rFonts w:ascii="Arial"/>
                <w:sz w:val="20"/>
                <w:color w:val="black"/>
              </w:rPr>
              <w:t xml:space="preserve">3402419000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3808599020 </w:t>
            </w:r>
          </w:p>
        </w:tc>
      </w:tr>
      <w:tr>
        <w:trPr/>
        <w:tc>
          <w:tcPr>
            <w:tcW w:w="2114" w:type="dxa"/>
            <w:tcMar/>
            <w:tcBorders>
              <w:top w:val="single" w:sz="1" w:space="0" w:color="auto"/>
              <w:left w:val="single" w:sz="1" w:space="0" w:color="auto"/>
            </w:tcBorders>
          </w:tcPr>
          <w:p>
            <w:pPr>
              <w:jc w:val="both"/>
            </w:pPr>
            <w:r>
              <w:rPr>
                <w:rFonts w:hAnsi="Arial"/>
                <w:rFonts w:ascii="Arial"/>
                <w:sz w:val="20"/>
                <w:color w:val="black"/>
              </w:rPr>
              <w:t xml:space="preserve">2804300000 </w:t>
            </w:r>
          </w:p>
        </w:tc>
        <w:tc>
          <w:tcPr>
            <w:tcW w:w="2218" w:type="dxa"/>
            <w:tcMar/>
            <w:tcBorders>
              <w:top w:val="single" w:sz="1" w:space="0" w:color="auto"/>
              <w:left w:val="single" w:sz="1" w:space="0" w:color="auto"/>
            </w:tcBorders>
          </w:tcPr>
          <w:p>
            <w:pPr>
              <w:jc w:val="both"/>
            </w:pPr>
            <w:r>
              <w:rPr>
                <w:rFonts w:hAnsi="Arial"/>
                <w:rFonts w:ascii="Arial"/>
                <w:sz w:val="20"/>
                <w:color w:val="black"/>
              </w:rPr>
              <w:t xml:space="preserve">3004202000 </w:t>
            </w:r>
          </w:p>
        </w:tc>
        <w:tc>
          <w:tcPr>
            <w:tcW w:w="2253" w:type="dxa"/>
            <w:tcMar/>
            <w:tcBorders>
              <w:top w:val="single" w:sz="1" w:space="0" w:color="auto"/>
              <w:left w:val="single" w:sz="1" w:space="0" w:color="auto"/>
            </w:tcBorders>
          </w:tcPr>
          <w:p>
            <w:pPr>
              <w:jc w:val="both"/>
            </w:pPr>
            <w:r>
              <w:rPr>
                <w:rFonts w:hAnsi="Arial"/>
                <w:rFonts w:ascii="Arial"/>
                <w:sz w:val="20"/>
                <w:color w:val="black"/>
              </w:rPr>
              <w:t xml:space="preserve">3402421000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3808599030 </w:t>
            </w:r>
          </w:p>
        </w:tc>
      </w:tr>
      <w:tr>
        <w:trPr/>
        <w:tc>
          <w:tcPr>
            <w:tcW w:w="2114" w:type="dxa"/>
            <w:tcMar/>
            <w:tcBorders>
              <w:top w:val="single" w:sz="1" w:space="0" w:color="auto"/>
              <w:left w:val="single" w:sz="1" w:space="0" w:color="auto"/>
            </w:tcBorders>
          </w:tcPr>
          <w:p>
            <w:pPr>
              <w:jc w:val="both"/>
            </w:pPr>
            <w:r>
              <w:rPr>
                <w:rFonts w:hAnsi="Arial"/>
                <w:rFonts w:ascii="Arial"/>
                <w:sz w:val="20"/>
                <w:color w:val="black"/>
              </w:rPr>
              <w:t xml:space="preserve">2815120000 </w:t>
            </w:r>
          </w:p>
        </w:tc>
        <w:tc>
          <w:tcPr>
            <w:tcW w:w="2218" w:type="dxa"/>
            <w:tcMar/>
            <w:tcBorders>
              <w:top w:val="single" w:sz="1" w:space="0" w:color="auto"/>
              <w:left w:val="single" w:sz="1" w:space="0" w:color="auto"/>
            </w:tcBorders>
          </w:tcPr>
          <w:p>
            <w:pPr>
              <w:jc w:val="both"/>
            </w:pPr>
            <w:r>
              <w:rPr>
                <w:rFonts w:hAnsi="Arial"/>
                <w:rFonts w:ascii="Arial"/>
                <w:sz w:val="20"/>
                <w:color w:val="black"/>
              </w:rPr>
              <w:t xml:space="preserve">3004322000 </w:t>
            </w:r>
          </w:p>
        </w:tc>
        <w:tc>
          <w:tcPr>
            <w:tcW w:w="2253" w:type="dxa"/>
            <w:tcMar/>
            <w:tcBorders>
              <w:top w:val="single" w:sz="1" w:space="0" w:color="auto"/>
              <w:left w:val="single" w:sz="1" w:space="0" w:color="auto"/>
            </w:tcBorders>
          </w:tcPr>
          <w:p>
            <w:pPr>
              <w:jc w:val="both"/>
            </w:pPr>
            <w:r>
              <w:rPr>
                <w:rFonts w:hAnsi="Arial"/>
                <w:rFonts w:ascii="Arial"/>
                <w:sz w:val="20"/>
                <w:color w:val="black"/>
              </w:rPr>
              <w:t xml:space="preserve">3402429000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3808599040 </w:t>
            </w:r>
          </w:p>
        </w:tc>
      </w:tr>
      <w:tr>
        <w:trPr/>
        <w:tc>
          <w:tcPr>
            <w:tcW w:w="2114" w:type="dxa"/>
            <w:tcMar/>
            <w:tcBorders>
              <w:top w:val="single" w:sz="1" w:space="0" w:color="auto"/>
              <w:left w:val="single" w:sz="1" w:space="0" w:color="auto"/>
            </w:tcBorders>
          </w:tcPr>
          <w:p>
            <w:pPr>
              <w:jc w:val="both"/>
            </w:pPr>
            <w:r>
              <w:rPr>
                <w:rFonts w:hAnsi="Arial"/>
                <w:rFonts w:ascii="Arial"/>
                <w:sz w:val="20"/>
                <w:color w:val="black"/>
              </w:rPr>
              <w:t xml:space="preserve">2834291000 </w:t>
            </w:r>
          </w:p>
        </w:tc>
        <w:tc>
          <w:tcPr>
            <w:tcW w:w="2218" w:type="dxa"/>
            <w:tcMar/>
            <w:tcBorders>
              <w:top w:val="single" w:sz="1" w:space="0" w:color="auto"/>
              <w:left w:val="single" w:sz="1" w:space="0" w:color="auto"/>
            </w:tcBorders>
          </w:tcPr>
          <w:p>
            <w:pPr>
              <w:jc w:val="both"/>
            </w:pPr>
            <w:r>
              <w:rPr>
                <w:rFonts w:hAnsi="Arial"/>
                <w:rFonts w:ascii="Arial"/>
                <w:sz w:val="20"/>
                <w:color w:val="black"/>
              </w:rPr>
              <w:t xml:space="preserve">3004392000 </w:t>
            </w:r>
          </w:p>
        </w:tc>
        <w:tc>
          <w:tcPr>
            <w:tcW w:w="2253" w:type="dxa"/>
            <w:tcMar/>
            <w:tcBorders>
              <w:top w:val="single" w:sz="1" w:space="0" w:color="auto"/>
              <w:left w:val="single" w:sz="1" w:space="0" w:color="auto"/>
            </w:tcBorders>
          </w:tcPr>
          <w:p>
            <w:pPr>
              <w:jc w:val="both"/>
            </w:pPr>
            <w:r>
              <w:rPr>
                <w:rFonts w:hAnsi="Arial"/>
                <w:rFonts w:ascii="Arial"/>
                <w:sz w:val="20"/>
                <w:color w:val="black"/>
              </w:rPr>
              <w:t xml:space="preserve">3402491000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3808599060 </w:t>
            </w:r>
          </w:p>
        </w:tc>
      </w:tr>
      <w:tr>
        <w:trPr/>
        <w:tc>
          <w:tcPr>
            <w:tcW w:w="2114" w:type="dxa"/>
            <w:tcMar/>
            <w:tcBorders>
              <w:top w:val="single" w:sz="1" w:space="0" w:color="auto"/>
              <w:left w:val="single" w:sz="1" w:space="0" w:color="auto"/>
            </w:tcBorders>
          </w:tcPr>
          <w:p>
            <w:pPr>
              <w:jc w:val="both"/>
            </w:pPr>
            <w:r>
              <w:rPr>
                <w:rFonts w:hAnsi="Arial"/>
                <w:rFonts w:ascii="Arial"/>
                <w:sz w:val="20"/>
                <w:color w:val="black"/>
              </w:rPr>
              <w:t xml:space="preserve">2835260000 </w:t>
            </w:r>
          </w:p>
        </w:tc>
        <w:tc>
          <w:tcPr>
            <w:tcW w:w="2218" w:type="dxa"/>
            <w:tcMar/>
            <w:tcBorders>
              <w:top w:val="single" w:sz="1" w:space="0" w:color="auto"/>
              <w:left w:val="single" w:sz="1" w:space="0" w:color="auto"/>
            </w:tcBorders>
          </w:tcPr>
          <w:p>
            <w:pPr>
              <w:jc w:val="both"/>
            </w:pPr>
            <w:r>
              <w:rPr>
                <w:rFonts w:hAnsi="Arial"/>
                <w:rFonts w:ascii="Arial"/>
                <w:sz w:val="20"/>
                <w:color w:val="black"/>
              </w:rPr>
              <w:t xml:space="preserve">3004502000 </w:t>
            </w:r>
          </w:p>
        </w:tc>
        <w:tc>
          <w:tcPr>
            <w:tcW w:w="2253" w:type="dxa"/>
            <w:tcMar/>
            <w:tcBorders>
              <w:top w:val="single" w:sz="1" w:space="0" w:color="auto"/>
              <w:left w:val="single" w:sz="1" w:space="0" w:color="auto"/>
            </w:tcBorders>
          </w:tcPr>
          <w:p>
            <w:pPr>
              <w:jc w:val="both"/>
            </w:pPr>
            <w:r>
              <w:rPr>
                <w:rFonts w:hAnsi="Arial"/>
                <w:rFonts w:ascii="Arial"/>
                <w:sz w:val="20"/>
                <w:color w:val="black"/>
              </w:rPr>
              <w:t xml:space="preserve">3402499000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3808599090 </w:t>
            </w:r>
          </w:p>
        </w:tc>
      </w:tr>
      <w:tr>
        <w:trPr/>
        <w:tc>
          <w:tcPr>
            <w:tcW w:w="2114" w:type="dxa"/>
            <w:tcMar/>
            <w:tcBorders>
              <w:top w:val="single" w:sz="1" w:space="0" w:color="auto"/>
              <w:left w:val="single" w:sz="1" w:space="0" w:color="auto"/>
            </w:tcBorders>
          </w:tcPr>
          <w:p>
            <w:pPr>
              <w:jc w:val="both"/>
            </w:pPr>
            <w:r>
              <w:rPr>
                <w:rFonts w:hAnsi="Arial"/>
                <w:rFonts w:ascii="Arial"/>
                <w:sz w:val="20"/>
                <w:color w:val="black"/>
              </w:rPr>
              <w:t xml:space="preserve">2912110000 </w:t>
            </w:r>
          </w:p>
        </w:tc>
        <w:tc>
          <w:tcPr>
            <w:tcW w:w="2218" w:type="dxa"/>
            <w:tcMar/>
            <w:tcBorders>
              <w:top w:val="single" w:sz="1" w:space="0" w:color="auto"/>
              <w:left w:val="single" w:sz="1" w:space="0" w:color="auto"/>
            </w:tcBorders>
          </w:tcPr>
          <w:p>
            <w:pPr>
              <w:jc w:val="both"/>
            </w:pPr>
            <w:r>
              <w:rPr>
                <w:rFonts w:hAnsi="Arial"/>
                <w:rFonts w:ascii="Arial"/>
                <w:sz w:val="20"/>
                <w:color w:val="black"/>
              </w:rPr>
              <w:t xml:space="preserve">3004903000 </w:t>
            </w:r>
          </w:p>
        </w:tc>
        <w:tc>
          <w:tcPr>
            <w:tcW w:w="2253" w:type="dxa"/>
            <w:tcMar/>
            <w:tcBorders>
              <w:top w:val="single" w:sz="1" w:space="0" w:color="auto"/>
              <w:left w:val="single" w:sz="1" w:space="0" w:color="auto"/>
            </w:tcBorders>
          </w:tcPr>
          <w:p>
            <w:pPr>
              <w:jc w:val="both"/>
            </w:pPr>
            <w:r>
              <w:rPr>
                <w:rFonts w:hAnsi="Arial"/>
                <w:rFonts w:ascii="Arial"/>
                <w:sz w:val="20"/>
                <w:color w:val="black"/>
              </w:rPr>
              <w:t xml:space="preserve">3402500000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3824999100 </w:t>
            </w:r>
          </w:p>
        </w:tc>
      </w:tr>
      <w:tr>
        <w:trPr/>
        <w:tc>
          <w:tcPr>
            <w:tcW w:w="2114" w:type="dxa"/>
            <w:tcMar/>
            <w:tcBorders>
              <w:top w:val="single" w:sz="1" w:space="0" w:color="auto"/>
              <w:left w:val="single" w:sz="1" w:space="0" w:color="auto"/>
            </w:tcBorders>
          </w:tcPr>
          <w:p>
            <w:pPr>
              <w:jc w:val="both"/>
            </w:pPr>
            <w:r>
              <w:rPr>
                <w:rFonts w:hAnsi="Arial"/>
                <w:rFonts w:ascii="Arial"/>
                <w:sz w:val="20"/>
                <w:color w:val="black"/>
              </w:rPr>
              <w:t xml:space="preserve">2915502100 </w:t>
            </w:r>
          </w:p>
        </w:tc>
        <w:tc>
          <w:tcPr>
            <w:tcW w:w="2218" w:type="dxa"/>
            <w:tcMar/>
            <w:tcBorders>
              <w:top w:val="single" w:sz="1" w:space="0" w:color="auto"/>
              <w:left w:val="single" w:sz="1" w:space="0" w:color="auto"/>
            </w:tcBorders>
          </w:tcPr>
          <w:p>
            <w:pPr>
              <w:jc w:val="both"/>
            </w:pPr>
            <w:r>
              <w:rPr>
                <w:rFonts w:hAnsi="Arial"/>
                <w:rFonts w:ascii="Arial"/>
                <w:sz w:val="20"/>
                <w:color w:val="black"/>
              </w:rPr>
              <w:t xml:space="preserve">3103900000 </w:t>
            </w:r>
          </w:p>
        </w:tc>
        <w:tc>
          <w:tcPr>
            <w:tcW w:w="2253" w:type="dxa"/>
            <w:tcMar/>
            <w:tcBorders>
              <w:top w:val="single" w:sz="1" w:space="0" w:color="auto"/>
              <w:left w:val="single" w:sz="1" w:space="0" w:color="auto"/>
            </w:tcBorders>
          </w:tcPr>
          <w:p>
            <w:pPr>
              <w:jc w:val="both"/>
            </w:pPr>
            <w:r>
              <w:rPr>
                <w:rFonts w:hAnsi="Arial"/>
                <w:rFonts w:ascii="Arial"/>
                <w:sz w:val="20"/>
                <w:color w:val="black"/>
              </w:rPr>
              <w:t xml:space="preserve">3402909100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3905999000 </w:t>
            </w:r>
          </w:p>
        </w:tc>
      </w:tr>
      <w:tr>
        <w:trPr/>
        <w:tc>
          <w:tcPr>
            <w:tcW w:w="2114" w:type="dxa"/>
            <w:tcMar/>
            <w:tcBorders>
              <w:top w:val="single" w:sz="1" w:space="0" w:color="auto"/>
              <w:left w:val="single" w:sz="1" w:space="0" w:color="auto"/>
            </w:tcBorders>
          </w:tcPr>
          <w:p>
            <w:pPr>
              <w:jc w:val="both"/>
            </w:pPr>
            <w:r>
              <w:rPr>
                <w:rFonts w:hAnsi="Arial"/>
                <w:rFonts w:ascii="Arial"/>
                <w:sz w:val="20"/>
                <w:color w:val="black"/>
              </w:rPr>
              <w:t xml:space="preserve">2918140000 </w:t>
            </w:r>
          </w:p>
        </w:tc>
        <w:tc>
          <w:tcPr>
            <w:tcW w:w="2218" w:type="dxa"/>
            <w:tcMar/>
            <w:tcBorders>
              <w:top w:val="single" w:sz="1" w:space="0" w:color="auto"/>
              <w:left w:val="single" w:sz="1" w:space="0" w:color="auto"/>
            </w:tcBorders>
          </w:tcPr>
          <w:p>
            <w:pPr>
              <w:jc w:val="both"/>
            </w:pPr>
            <w:r>
              <w:rPr>
                <w:rFonts w:hAnsi="Arial"/>
                <w:rFonts w:ascii="Arial"/>
                <w:sz w:val="20"/>
                <w:color w:val="black"/>
              </w:rPr>
              <w:t xml:space="preserve">3402310000 </w:t>
            </w:r>
          </w:p>
        </w:tc>
        <w:tc>
          <w:tcPr>
            <w:tcW w:w="2253" w:type="dxa"/>
            <w:tcMar/>
            <w:tcBorders>
              <w:top w:val="single" w:sz="1" w:space="0" w:color="auto"/>
              <w:left w:val="single" w:sz="1" w:space="0" w:color="auto"/>
            </w:tcBorders>
          </w:tcPr>
          <w:p>
            <w:pPr>
              <w:jc w:val="both"/>
            </w:pPr>
            <w:r>
              <w:rPr>
                <w:rFonts w:hAnsi="Arial"/>
                <w:rFonts w:ascii="Arial"/>
                <w:sz w:val="20"/>
                <w:color w:val="black"/>
              </w:rPr>
              <w:t xml:space="preserve">3808591100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6504000000 </w:t>
            </w:r>
          </w:p>
        </w:tc>
      </w:tr>
      <w:tr>
        <w:trPr/>
        <w:tc>
          <w:tcPr>
            <w:tcW w:w="2114"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2918159000 </w:t>
            </w:r>
          </w:p>
        </w:tc>
        <w:tc>
          <w:tcPr>
            <w:tcW w:w="221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3402391000 </w:t>
            </w:r>
          </w:p>
        </w:tc>
        <w:tc>
          <w:tcPr>
            <w:tcW w:w="2253"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3808591900 </w:t>
            </w:r>
          </w:p>
        </w:tc>
      </w:tr>
    </w:tbl>
    <w:p>
      <w:pPr>
        <w:jc w:val="both"/>
      </w:pPr>
      <w:rPr>
        <w:color w:val="black"/>
      </w:rPr>
    </w:p>
    <w:p>
      <w:pPr>
        <w:jc w:val="both"/>
      </w:pPr>
      <w:r>
        <w:rPr>
          <w:rFonts w:hAnsi="Arial"/>
          <w:rFonts w:ascii="Arial"/>
          <w:sz w:val="24"/>
          <w:vanish/>
          <w:color w:val="black"/>
        </w:rPr>
        <w:t>&amp;$</w:t>
      </w:r>
      <w:bookmarkStart w:id="47981" w:name="2"/>
      <w:r>
        <w:rPr>
          <w:rFonts w:hAnsi="Arial"/>
          <w:rFonts w:ascii="Arial"/>
          <w:sz w:val="24"/>
          <w:color w:val="navy"/>
        </w:rPr>
        <w:t xml:space="preserve">ARTÍCULO 2o.</w:t>
      </w:r>
      <w:bookmarkEnd w:id="47981"/>
      <w:r>
        <w:rPr>
          <w:rFonts w:hAnsi="Arial"/>
          <w:rFonts w:ascii="Arial"/>
          <w:sz w:val="24"/>
          <w:color w:val="black"/>
        </w:rPr>
        <w:t xml:space="preserve"> Ampliar por el término de seis (6) meses, el arancel a cero por ciento (0%) establecido en el Decreto </w:t>
      </w:r>
      <w:r>
        <w:fldChar w:fldCharType="begin"/>
      </w:r>
      <w:r>
        <w:instrText>HYPERLINK "http://www.redjurista.com/document.aspx?ajcode=d0307022&amp;arts=Inicio"</w:instrText>
      </w:r>
      <w:r>
        <w:fldChar w:fldCharType="separate"/>
      </w:r>
      <w:r>
        <w:rPr>
          <w:rFonts w:hAnsi="Arial"/>
          <w:rFonts w:ascii="Arial"/>
          <w:sz w:val="24"/>
          <w:u w:val="single"/>
          <w:color w:val="black"/>
        </w:rPr>
        <w:t>307</w:t>
      </w:r>
      <w:r>
        <w:fldChar w:fldCharType="end"/>
      </w:r>
      <w:r>
        <w:rPr>
          <w:rFonts w:hAnsi="Arial"/>
          <w:rFonts w:ascii="Arial"/>
          <w:sz w:val="24"/>
          <w:u w:val="none"/>
          <w:color w:val="black"/>
        </w:rPr>
        <w:t xml:space="preserve"> de 2022 para la importación de los productos clasificados por las siguientes subpartidas arancelarias:  </w:t>
      </w:r>
    </w:p>
    <w:tbl>
      <w:tblGrid>
        <w:gridCol w:w="1340"/>
        <w:gridCol w:w="1500"/>
        <w:gridCol w:w="1480"/>
        <w:gridCol w:w="1520"/>
        <w:gridCol w:w="1500"/>
        <w:gridCol w:w="1480"/>
      </w:tblGrid>
      <w:tblPr>
        <w:tblW w:w="8838" w:type="dxa"/>
        <w:tblBorders/>
      </w:tblP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0601100000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1103200000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1209240000 </w:t>
            </w:r>
          </w:p>
        </w:tc>
        <w:tc>
          <w:tcPr>
            <w:tcW w:w="1525" w:type="dxa"/>
            <w:tcMar/>
            <w:tcBorders>
              <w:top w:val="single" w:sz="1" w:space="0" w:color="auto"/>
              <w:left w:val="single" w:sz="1" w:space="0" w:color="auto"/>
            </w:tcBorders>
          </w:tcPr>
          <w:p>
            <w:pPr>
              <w:jc w:val="both"/>
            </w:pPr>
            <w:r>
              <w:rPr>
                <w:rFonts w:hAnsi="Arial"/>
                <w:rFonts w:ascii="Arial"/>
                <w:sz w:val="20"/>
                <w:color w:val="black"/>
              </w:rPr>
              <w:t xml:space="preserve">1209914000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1209994000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3101009000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0601200000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1207101000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1209250000 </w:t>
            </w:r>
          </w:p>
        </w:tc>
        <w:tc>
          <w:tcPr>
            <w:tcW w:w="1525" w:type="dxa"/>
            <w:tcMar/>
            <w:tcBorders>
              <w:top w:val="single" w:sz="1" w:space="0" w:color="auto"/>
              <w:left w:val="single" w:sz="1" w:space="0" w:color="auto"/>
            </w:tcBorders>
          </w:tcPr>
          <w:p>
            <w:pPr>
              <w:jc w:val="both"/>
            </w:pPr>
            <w:r>
              <w:rPr>
                <w:rFonts w:hAnsi="Arial"/>
                <w:rFonts w:ascii="Arial"/>
                <w:sz w:val="20"/>
                <w:color w:val="black"/>
              </w:rPr>
              <w:t xml:space="preserve">1209915000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1209999000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3102909000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0703201000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1209100000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1209290000 </w:t>
            </w:r>
          </w:p>
        </w:tc>
        <w:tc>
          <w:tcPr>
            <w:tcW w:w="1525" w:type="dxa"/>
            <w:tcMar/>
            <w:tcBorders>
              <w:top w:val="single" w:sz="1" w:space="0" w:color="auto"/>
              <w:left w:val="single" w:sz="1" w:space="0" w:color="auto"/>
            </w:tcBorders>
          </w:tcPr>
          <w:p>
            <w:pPr>
              <w:jc w:val="both"/>
            </w:pPr>
            <w:r>
              <w:rPr>
                <w:rFonts w:hAnsi="Arial"/>
                <w:rFonts w:ascii="Arial"/>
                <w:sz w:val="20"/>
                <w:color w:val="black"/>
              </w:rPr>
              <w:t xml:space="preserve">1209919000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1904300000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3105100000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0714201000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1209210000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1209911000 </w:t>
            </w:r>
          </w:p>
        </w:tc>
        <w:tc>
          <w:tcPr>
            <w:tcW w:w="1525" w:type="dxa"/>
            <w:tcMar/>
            <w:tcBorders>
              <w:top w:val="single" w:sz="1" w:space="0" w:color="auto"/>
              <w:left w:val="single" w:sz="1" w:space="0" w:color="auto"/>
            </w:tcBorders>
          </w:tcPr>
          <w:p>
            <w:pPr>
              <w:jc w:val="both"/>
            </w:pPr>
            <w:r>
              <w:rPr>
                <w:rFonts w:hAnsi="Arial"/>
                <w:rFonts w:ascii="Arial"/>
                <w:sz w:val="20"/>
                <w:color w:val="black"/>
              </w:rPr>
              <w:t xml:space="preserve">1209991000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2106903000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3502901000 </w:t>
            </w:r>
          </w:p>
        </w:tc>
      </w:tr>
      <w:tr>
        <w:trPr/>
        <w:tc>
          <w:tcPr>
            <w:tcW w:w="1351" w:type="dxa"/>
            <w:tcMar/>
            <w:tcBorders>
              <w:top w:val="single" w:sz="1" w:space="0" w:color="auto"/>
              <w:left w:val="single" w:sz="1" w:space="0" w:color="auto"/>
            </w:tcBorders>
          </w:tcPr>
          <w:p>
            <w:pPr>
              <w:jc w:val="both"/>
            </w:pPr>
            <w:r>
              <w:rPr>
                <w:rFonts w:hAnsi="Arial"/>
                <w:rFonts w:ascii="Arial"/>
                <w:sz w:val="20"/>
                <w:color w:val="black"/>
              </w:rPr>
              <w:t xml:space="preserve">1102901000 </w:t>
            </w:r>
          </w:p>
        </w:tc>
        <w:tc>
          <w:tcPr>
            <w:tcW w:w="1491" w:type="dxa"/>
            <w:tcMar/>
            <w:tcBorders>
              <w:top w:val="single" w:sz="1" w:space="0" w:color="auto"/>
              <w:left w:val="single" w:sz="1" w:space="0" w:color="auto"/>
            </w:tcBorders>
          </w:tcPr>
          <w:p>
            <w:pPr>
              <w:jc w:val="both"/>
            </w:pPr>
            <w:r>
              <w:rPr>
                <w:rFonts w:hAnsi="Arial"/>
                <w:rFonts w:ascii="Arial"/>
                <w:sz w:val="20"/>
                <w:color w:val="black"/>
              </w:rPr>
              <w:t xml:space="preserve">1209220000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1209912000 </w:t>
            </w:r>
          </w:p>
        </w:tc>
        <w:tc>
          <w:tcPr>
            <w:tcW w:w="1525" w:type="dxa"/>
            <w:tcMar/>
            <w:tcBorders>
              <w:top w:val="single" w:sz="1" w:space="0" w:color="auto"/>
              <w:left w:val="single" w:sz="1" w:space="0" w:color="auto"/>
            </w:tcBorders>
          </w:tcPr>
          <w:p>
            <w:pPr>
              <w:jc w:val="both"/>
            </w:pPr>
            <w:r>
              <w:rPr>
                <w:rFonts w:hAnsi="Arial"/>
                <w:rFonts w:ascii="Arial"/>
                <w:sz w:val="20"/>
                <w:color w:val="black"/>
              </w:rPr>
              <w:t xml:space="preserve">1209992000 </w:t>
            </w:r>
          </w:p>
        </w:tc>
        <w:tc>
          <w:tcPr>
            <w:tcW w:w="1490" w:type="dxa"/>
            <w:tcMar/>
            <w:tcBorders>
              <w:top w:val="single" w:sz="1" w:space="0" w:color="auto"/>
              <w:left w:val="single" w:sz="1" w:space="0" w:color="auto"/>
            </w:tcBorders>
          </w:tcPr>
          <w:p>
            <w:pPr>
              <w:jc w:val="both"/>
            </w:pPr>
            <w:r>
              <w:rPr>
                <w:rFonts w:hAnsi="Arial"/>
                <w:rFonts w:ascii="Arial"/>
                <w:sz w:val="20"/>
                <w:color w:val="black"/>
              </w:rPr>
              <w:t xml:space="preserve">2309903000 </w:t>
            </w:r>
          </w:p>
        </w:tc>
        <w:tc>
          <w:tcPr>
            <w:tcW w:w="149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7415100000 </w:t>
            </w:r>
          </w:p>
        </w:tc>
      </w:tr>
      <w:tr>
        <w:trPr/>
        <w:tc>
          <w:tcPr>
            <w:tcW w:w="1351"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1103130000 </w:t>
            </w:r>
          </w:p>
        </w:tc>
        <w:tc>
          <w:tcPr>
            <w:tcW w:w="1491"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1209230000 </w:t>
            </w:r>
          </w:p>
        </w:tc>
        <w:tc>
          <w:tcPr>
            <w:tcW w:w="149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1209913000 </w:t>
            </w:r>
          </w:p>
        </w:tc>
        <w:tc>
          <w:tcPr>
            <w:tcW w:w="1525"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1209993000 </w:t>
            </w:r>
          </w:p>
        </w:tc>
        <w:tc>
          <w:tcPr>
            <w:tcW w:w="149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2814100000 </w:t>
            </w:r>
          </w:p>
        </w:tc>
        <w:tc>
          <w:tcPr>
            <w:tcW w:w="149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8211931000 </w:t>
            </w:r>
          </w:p>
        </w:tc>
      </w:tr>
    </w:tbl>
    <w:p>
      <w:pPr>
        <w:jc w:val="both"/>
      </w:pPr>
      <w:rPr>
        <w:sz w:val="24"/>
        <w:color w:val="black"/>
      </w:rPr>
    </w:p>
    <w:p>
      <w:pPr>
        <w:jc w:val="both"/>
      </w:pPr>
      <w:r>
        <w:rPr>
          <w:rFonts w:hAnsi="Arial"/>
          <w:rFonts w:ascii="Arial"/>
          <w:sz w:val="24"/>
          <w:vanish/>
          <w:color w:val="black"/>
        </w:rPr>
        <w:t>&amp;$</w:t>
      </w:r>
      <w:bookmarkStart w:id="47982" w:name="3"/>
      <w:r>
        <w:rPr>
          <w:rFonts w:hAnsi="Arial"/>
          <w:rFonts w:ascii="Arial"/>
          <w:sz w:val="24"/>
          <w:color w:val="navy"/>
        </w:rPr>
        <w:t xml:space="preserve">ARTÍCULO 3o. </w:t>
      </w:r>
      <w:r>
        <w:rPr>
          <w:rFonts w:hAnsi="Arial"/>
          <w:rFonts w:ascii="Arial"/>
          <w:sz w:val="24"/>
          <w:i/>
          <w:color w:val="navy"/>
        </w:rPr>
        <w:t>VIGENCIA</w:t>
      </w:r>
      <w:r>
        <w:rPr>
          <w:rFonts w:hAnsi="Arial"/>
          <w:rFonts w:ascii="Arial"/>
          <w:sz w:val="24"/>
          <w:color w:val="navy"/>
        </w:rPr>
        <w:t>.</w:t>
      </w:r>
      <w:bookmarkEnd w:id="47982"/>
      <w:r>
        <w:rPr>
          <w:rFonts w:hAnsi="Arial"/>
          <w:rFonts w:ascii="Arial"/>
          <w:sz w:val="24"/>
          <w:color w:val="black"/>
        </w:rPr>
        <w:t xml:space="preserve"> El presente decreto entrará en vigencia a partir del día siguiente a su publicación en el </w:t>
      </w:r>
      <w:r>
        <w:rPr>
          <w:rFonts w:hAnsi="Arial"/>
          <w:rFonts w:ascii="Arial"/>
          <w:sz w:val="24"/>
          <w:b/>
          <w:i/>
          <w:color w:val="black"/>
        </w:rPr>
        <w:t xml:space="preserve">Diario Oficial </w:t>
      </w:r>
      <w:r>
        <w:rPr>
          <w:rFonts w:hAnsi="Arial"/>
          <w:rFonts w:ascii="Arial"/>
          <w:sz w:val="24"/>
          <w:color w:val="black"/>
        </w:rPr>
        <w:t xml:space="preserve">y modifica parcialmente el artículo </w:t>
      </w:r>
      <w:r>
        <w:fldChar w:fldCharType="begin"/>
      </w:r>
      <w:r>
        <w:instrText>HYPERLINK "http://www.redjurista.com/document.aspx?ajcode=d1881021&amp;arts=1"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1881 de 2021 o las normas que lo aclaren, modifiquen o deroguen. </w:t>
      </w:r>
    </w:p>
    <w:p>
      <w:pPr>
        <w:jc w:val="both"/>
      </w:pPr>
      <w:rPr>
        <w:sz w:val="24"/>
        <w:color w:val="black"/>
      </w:rPr>
    </w:p>
    <w:p>
      <w:pPr>
        <w:jc w:val="both"/>
      </w:pPr>
      <w:r>
        <w:rPr>
          <w:rFonts w:hAnsi="Arial"/>
          <w:rFonts w:ascii="Arial"/>
          <w:sz w:val="24"/>
          <w:color w:val="black"/>
        </w:rPr>
        <w:t xml:space="preserve">La medida establecida en el artículo 1o del presente decreto regirá por el término de doce(12) meses a partir de la fecha de entrada en vigencia de este decreto.  </w:t>
      </w:r>
    </w:p>
    <w:p>
      <w:pPr>
        <w:jc w:val="both"/>
      </w:pPr>
      <w:rPr>
        <w:sz w:val="24"/>
        <w:color w:val="black"/>
      </w:rPr>
    </w:p>
    <w:p>
      <w:pPr>
        <w:jc w:val="both"/>
      </w:pPr>
      <w:r>
        <w:rPr>
          <w:rFonts w:hAnsi="Arial"/>
          <w:rFonts w:ascii="Arial"/>
          <w:sz w:val="24"/>
          <w:color w:val="black"/>
        </w:rPr>
        <w:t xml:space="preserve">La medida establecida en el artículo </w:t>
      </w:r>
      <w:r>
        <w:fldChar w:fldCharType="begin"/>
      </w:r>
      <w:r>
        <w:instrText>HYPERLINK "http://www.redjurista.com/document.aspx?ajcode=d0307022&amp;arts=2"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regirá por seis (6) meses y aplicará a partir del vencimiento del término establecido en el Decreto 307 de 2022, sin exceder doce (12) meses. </w:t>
      </w:r>
    </w:p>
    <w:p>
      <w:pPr>
        <w:jc w:val="both"/>
      </w:pPr>
      <w:rPr>
        <w:sz w:val="24"/>
        <w:color w:val="black"/>
      </w:rPr>
    </w:p>
    <w:p>
      <w:pPr>
        <w:jc w:val="both"/>
      </w:pPr>
      <w:r>
        <w:rPr>
          <w:rFonts w:hAnsi="Arial"/>
          <w:rFonts w:ascii="Arial"/>
          <w:sz w:val="24"/>
          <w:color w:val="black"/>
        </w:rPr>
        <w:t xml:space="preserve">El Gobierno nacional evaluará los efectos comerciales de la medida con el fin de determinar la continuidad de la misma. </w:t>
      </w:r>
    </w:p>
    <w:p>
      <w:pPr>
        <w:jc w:val="both"/>
      </w:pPr>
      <w:rPr>
        <w:sz w:val="24"/>
        <w:color w:val="black"/>
      </w:rPr>
    </w:p>
    <w:p>
      <w:pPr>
        <w:jc w:val="center"/>
      </w:pPr>
      <w:r>
        <w:rPr>
          <w:rFonts w:hAnsi="Arial"/>
          <w:rFonts w:ascii="Arial"/>
          <w:sz w:val="24"/>
          <w:color w:val="black"/>
        </w:rPr>
        <w:t xml:space="preserve">Publíquese y cúmplase. </w:t>
      </w:r>
    </w:p>
    <w:p>
      <w:pPr>
        <w:jc w:val="center"/>
      </w:pPr>
      <w:rPr>
        <w:sz w:val="24"/>
        <w:color w:val="black"/>
      </w:rPr>
    </w:p>
    <w:p>
      <w:pPr>
        <w:jc w:val="center"/>
      </w:pPr>
      <w:r>
        <w:rPr>
          <w:rFonts w:hAnsi="Arial"/>
          <w:rFonts w:ascii="Arial"/>
          <w:sz w:val="24"/>
          <w:color w:val="black"/>
        </w:rPr>
        <w:t xml:space="preserve">Dado en Bogotá, D.C., a 4 de abril de 2022. </w:t>
      </w:r>
    </w:p>
    <w:p>
      <w:pPr>
        <w:jc w:val="center"/>
      </w:pPr>
      <w:rPr>
        <w:sz w:val="24"/>
        <w:color w:val="black"/>
      </w:rPr>
    </w:p>
    <w:p>
      <w:pPr>
        <w:jc w:val="center"/>
      </w:pPr>
      <w:r>
        <w:rPr>
          <w:rFonts w:hAnsi="Arial"/>
          <w:rFonts w:ascii="Arial"/>
          <w:sz w:val="24"/>
          <w:color w:val="gray"/>
        </w:rPr>
        <w:t xml:space="preserve">IVÁN DUQUE MÁRQUEZ. </w:t>
      </w:r>
    </w:p>
    <w:p>
      <w:pPr>
        <w:jc w:val="center"/>
      </w:pPr>
      <w:rPr>
        <w:sz w:val="24"/>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JOSÉ MANUEL RESTREPO ABONDANO. </w:t>
      </w:r>
    </w:p>
    <w:p>
      <w:pPr>
        <w:jc w:val="center"/>
      </w:pPr>
      <w:rPr>
        <w:sz w:val="24"/>
        <w:color w:val="black"/>
      </w:rPr>
    </w:p>
    <w:p>
      <w:pPr>
        <w:jc w:val="center"/>
      </w:pPr>
      <w:r>
        <w:rPr>
          <w:rFonts w:hAnsi="Arial"/>
          <w:rFonts w:ascii="Arial"/>
          <w:sz w:val="24"/>
          <w:color w:val="black"/>
        </w:rPr>
        <w:t xml:space="preserve">La Ministra de Comercio, Industria y Turismo, </w:t>
      </w:r>
    </w:p>
    <w:p>
      <w:pPr>
        <w:jc w:val="center"/>
      </w:pPr>
      <w:r>
        <w:rPr>
          <w:rFonts w:hAnsi="Arial"/>
          <w:rFonts w:ascii="Arial"/>
          <w:sz w:val="24"/>
          <w:color w:val="gray"/>
        </w:rPr>
        <w:t xml:space="preserve">MARÍA XIMENA LOMBANA VILLALBA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116"/>
      <w:footerReference w:type="default" r:id="eId7117"/>
      <w:type w:val="continuous"/>
    </w:sectPr>
  </w:body>
</w:document>
</file>

<file path=word/footer_default_71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1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116" Type="http://schemas.openxmlformats.org/officeDocument/2006/relationships/header" Target="header_default_7116.xml" />
<Relationship Id="id0" Type="http://schemas.openxmlformats.org/officeDocument/2006/relationships/image" Target="img/img_id0.png"/>
<Relationship Id="eId7117" Type="http://schemas.openxmlformats.org/officeDocument/2006/relationships/footer" Target="footer_default_71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1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1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