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36.xml" ContentType="application/vnd.openxmlformats-officedocument.wordprocessingml.header+xml"/>
  <Override PartName="/word/footer_default_71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531 DE 2020</w:t>
      </w:r>
    </w:p>
    <w:p>
      <w:pPr>
        <w:jc w:val="center"/>
        <w:outlineLvl w:val="1"/>
      </w:pPr>
      <w:r>
        <w:rPr>
          <w:rFonts w:hAnsi="Arial"/>
          <w:rFonts w:ascii="Arial"/>
          <w:sz w:val="24"/>
          <w:color w:val="black"/>
        </w:rPr>
        <w:t xml:space="preserve">(8 abril)</w:t>
      </w:r>
    </w:p>
    <w:p>
      <w:pPr>
        <w:jc w:val="center"/>
        <w:outlineLvl w:val="1"/>
      </w:pPr>
      <w:r>
        <w:rPr>
          <w:rFonts w:hAnsi="Arial"/>
          <w:rFonts w:ascii="Arial"/>
          <w:sz w:val="24"/>
          <w:color w:val="black"/>
        </w:rPr>
        <w:t xml:space="preserve">Diario Oficial No. 51.282 de 11 de abril 2020</w:t>
      </w:r>
    </w:p>
    <w:p>
      <w:pPr>
        <w:jc w:val="center"/>
        <w:outlineLvl w:val="1"/>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"http://www.redjurista.com/document.aspx?ajcode=d0593020&amp;arts=10"</w:instrText>
      </w:r>
      <w:r>
        <w:fldChar w:fldCharType="separate"/>
      </w:r>
      <w:r>
        <w:rPr>
          <w:rFonts w:hAnsi="Arial"/>
          <w:rFonts w:ascii="Arial"/>
          <w:sz w:val="24"/>
          <w:u w:val="single"/>
          <w:color w:val="black"/>
        </w:rPr>
        <w:t>10</w:t>
      </w:r>
      <w:r>
        <w:fldChar w:fldCharType="end"/>
      </w:r>
      <w:r>
        <w:rPr>
          <w:rFonts w:hAnsi="Arial"/>
          <w:rFonts w:ascii="Arial"/>
          <w:sz w:val="24"/>
          <w:u w:val="none"/>
          <w:color w:val="gray"/>
        </w:rPr>
        <w:t xml:space="preserve"> del Decreto 593 de 2020&gt; </w:t>
      </w:r>
    </w:p>
    <w:p>
      <w:pPr>
        <w:jc w:val="center"/>
        <w:outlineLvl w:val="1"/>
      </w:pPr>
      <w:rPr>
        <w:sz w:val="24"/>
        <w:color w:val="black"/>
      </w:rPr>
    </w:p>
    <w:p>
      <w:pPr>
        <w:jc w:val="center"/>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plena de sus derechos.</w:t>
      </w:r>
    </w:p>
    <w:p>
      <w:pPr>
        <w:jc w:val="both"/>
        <w:outlineLvl w:val="1"/>
      </w:pPr>
      <w:rPr>
        <w:sz w:val="24"/>
        <w:color w:val="black"/>
      </w:rPr>
      <w:br w:type="page"/>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jc w:val="both"/>
        <w:outlineLvl w:val="1"/>
      </w:pPr>
      <w:rPr>
        <w:sz w:val="24"/>
        <w:color w:val="black"/>
      </w:rPr>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complementarías a las previstas en la ley.</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Su ejercicio compete exclusivamente al presidente de la República, a nivel nacional, según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-4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-2 C.P.), dentro del marco constitucional, legal y reglamentario.</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serian inoperantes. También cabe resaltar un argumento homológico, lo cual exige que, en aras de la proporcionalidad sujeto-objeto, este último sea también limitado. ¿Cómo podría un sujeto finito y limitado dominar jurídicamente un objeto absoluto?</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jc w:val="both"/>
        <w:outlineLvl w:val="1"/>
      </w:pPr>
      <w:rPr>
        <w:sz w:val="24"/>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w:t>
      </w:r>
    </w:p>
    <w:p>
      <w:pPr>
        <w:jc w:val="both"/>
        <w:outlineLvl w:val="1"/>
      </w:pPr>
      <w:rPr>
        <w:sz w:val="24"/>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Luego el orden público supone el ejercicio razonable de la libertad.</w:t>
      </w:r>
      <w:r>
        <w:rPr>
          <w:rFonts w:hAnsi="Arial"/>
          <w:rFonts w:ascii="Arial"/>
          <w:sz w:val="24"/>
          <w:b/>
          <w:color w:val="black"/>
        </w:rPr>
        <w:t xml:space="preserve">Es así como el pueblo tiene derecho al orden público, porque éste es de interés general, y como tal, prevalente.</w:t>
      </w:r>
    </w:p>
    <w:p>
      <w:pPr>
        <w:jc w:val="both"/>
        <w:outlineLvl w:val="1"/>
      </w:pPr>
      <w:rPr>
        <w:sz w:val="24"/>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w:t>
      </w:r>
    </w:p>
    <w:p>
      <w:pPr>
        <w:jc w:val="both"/>
        <w:outlineLvl w:val="1"/>
      </w:pPr>
      <w:rPr>
        <w:sz w:val="24"/>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w:t>
      </w:r>
    </w:p>
    <w:p>
      <w:pPr>
        <w:jc w:val="both"/>
        <w:outlineLvl w:val="1"/>
      </w:pPr>
      <w:rPr>
        <w:sz w:val="24"/>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reconocio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principia de dignidad humana".</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relacion sostenible con el ambiente y (iv) Salud Pública: es la responsabilidad estatal y ciudadana de protección de la salud como un derecho esencial, Individual, colectivo y comunitario logrado en función de las condiciones de bienestar y calidad de vida.</w:t>
      </w:r>
    </w:p>
    <w:p>
      <w:pPr>
        <w:jc w:val="both"/>
        <w:outlineLvl w:val="1"/>
      </w:pPr>
      <w:rPr>
        <w:sz w:val="24"/>
        <w:color w:val="black"/>
      </w:rPr>
    </w:p>
    <w:p>
      <w:pPr>
        <w:jc w:val="both"/>
        <w:outlineLvl w:val="1"/>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w:t>
      </w:r>
    </w:p>
    <w:p>
      <w:pPr>
        <w:jc w:val="both"/>
        <w:outlineLvl w:val="1"/>
      </w:pPr>
      <w:rPr>
        <w:sz w:val="24"/>
        <w:color w:val="black"/>
      </w:rPr>
    </w:p>
    <w:p>
      <w:pPr>
        <w:jc w:val="both"/>
        <w:outlineLvl w:val="1"/>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w:t>
      </w:r>
    </w:p>
    <w:p>
      <w:pPr>
        <w:jc w:val="both"/>
        <w:outlineLvl w:val="1"/>
      </w:pPr>
      <w:rPr>
        <w:sz w:val="24"/>
        <w:color w:val="black"/>
      </w:rPr>
    </w:p>
    <w:p>
      <w:pPr>
        <w:jc w:val="both"/>
        <w:outlineLvl w:val="1"/>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w:t>
      </w:r>
    </w:p>
    <w:p>
      <w:pPr>
        <w:jc w:val="both"/>
        <w:outlineLvl w:val="1"/>
      </w:pPr>
      <w:rPr>
        <w:sz w:val="24"/>
        <w:color w:val="black"/>
      </w:rPr>
    </w:p>
    <w:p>
      <w:pPr>
        <w:jc w:val="both"/>
        <w:outlineLvl w:val="1"/>
      </w:pPr>
      <w:r>
        <w:rPr>
          <w:rFonts w:hAnsi="Arial"/>
          <w:rFonts w:ascii="Arial"/>
          <w:sz w:val="24"/>
          <w:color w:val="black"/>
        </w:rPr>
        <w:t xml:space="preserve">Que la Organización Mundial de la Salud -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w:t>
      </w:r>
    </w:p>
    <w:p>
      <w:pPr>
        <w:jc w:val="both"/>
        <w:outlineLvl w:val="1"/>
      </w:pPr>
      <w:rPr>
        <w:sz w:val="24"/>
        <w:color w:val="black"/>
      </w:rPr>
    </w:p>
    <w:p>
      <w:pPr>
        <w:jc w:val="both"/>
        <w:outlineLvl w:val="1"/>
      </w:pPr>
      <w:r>
        <w:rPr>
          <w:rFonts w:hAnsi="Arial"/>
          <w:rFonts w:ascii="Arial"/>
          <w:sz w:val="24"/>
          <w:color w:val="black"/>
        </w:rPr>
        <w:t xml:space="preserve">Que el Coronavirus COVID-19 tiene un comportamiento similar a los coronavlrus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w:t>
      </w:r>
    </w:p>
    <w:p>
      <w:pPr>
        <w:jc w:val="both"/>
        <w:outlineLvl w:val="1"/>
      </w:pPr>
      <w:rPr>
        <w:sz w:val="24"/>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w:t>
      </w:r>
    </w:p>
    <w:p>
      <w:pPr>
        <w:jc w:val="both"/>
        <w:outlineLvl w:val="1"/>
      </w:pPr>
      <w:rPr>
        <w:sz w:val="24"/>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"http://www.redjurista.com/document.aspx?ajcode=dir_presidencia_0003_2020&amp;arts=INICIO"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"http://www.redjurista.com/document.aspx?ajcode=dir_presidencia_0004_2020&amp;arts=INICIO"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"http://www.redjurista.com/document.aspx?ajcode=dir_presidencia_0006_2020&amp;arts=INICIO"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educación superior e instituciones de 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385 de 2020, para suspender los eventos con aforo de más de cincuenta (50) personas.</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"http://www.redjurista.com/document.aspx?ajcode=r_msps_0453_2020&amp;arts=INICIO"</w:instrText>
      </w:r>
      <w:r>
        <w:fldChar w:fldCharType="separate"/>
      </w:r>
      <w:r>
        <w:rPr>
          <w:rFonts w:hAnsi="Arial"/>
          <w:rFonts w:ascii="Arial"/>
          <w:sz w:val="24"/>
          <w:u w:val="single"/>
          <w:color w:val="black"/>
        </w:rPr>
        <w:t>453</w:t>
      </w:r>
      <w:r>
        <w:fldChar w:fldCharType="end"/>
      </w:r>
      <w:r>
        <w:rPr>
          <w:rFonts w:hAnsi="Arial"/>
          <w:rFonts w:ascii="Arial"/>
          <w:sz w:val="24"/>
          <w:u w:val="none"/>
          <w:color w:val="black"/>
        </w:rPr>
        <w:t xml:space="preserve"> del 18 de marzo de 2020, el Ministerio de Protección Social, ordenó la medida sanitaria obligatoria preventiva y de control en todo el territorio nacional, la clausura de los establecimientos y locales comerciales de esparcimiento y diversión; de baile; ocio y entretenimiento y de juegos de azar y apuestas tales como casino, bingos y terminales de juegos de video y precisa que la venta de comidas y bebidas permanecerán cerrados al público y solamente podrán ofrecer estos servicios a través de comercio electrónico o por entrega a domicilio para su consumo fuera de los establecimientos atendiendo las medidas sanitarias a que haya lugar. Adicionalmente, prohíbe el expendido de bebidas alcohólicas para el consumo dentro de los establecimientos, no obstante, permitió la venta de estos productos a través de comercio electrónico o por entrega a domicilio, para su consumo fuera de los establecimientos, exceptuando los servicios prestados en establecimientos hoteleros.</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a.m.) hasta el treinta (30) de mayo de 2020 a las doce de la noche (12:00 p.m.)</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w:t>
      </w:r>
    </w:p>
    <w:p>
      <w:pPr>
        <w:jc w:val="both"/>
        <w:outlineLvl w:val="1"/>
      </w:pPr>
      <w:rPr>
        <w:sz w:val="24"/>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w:t>
      </w:r>
    </w:p>
    <w:p>
      <w:pPr>
        <w:jc w:val="both"/>
        <w:outlineLvl w:val="1"/>
      </w:pPr>
      <w:rPr>
        <w:sz w:val="24"/>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w:t>
      </w:r>
    </w:p>
    <w:p>
      <w:pPr>
        <w:jc w:val="both"/>
        <w:outlineLvl w:val="1"/>
      </w:pPr>
      <w:rPr>
        <w:sz w:val="24"/>
        <w:color w:val="black"/>
      </w:rPr>
    </w:p>
    <w:p>
      <w:pPr>
        <w:jc w:val="both"/>
        <w:outlineLvl w:val="1"/>
      </w:pPr>
      <w:r>
        <w:rPr>
          <w:rFonts w:hAnsi="Arial"/>
          <w:rFonts w:ascii="Arial"/>
          <w:sz w:val="24"/>
          <w:color w:val="black"/>
        </w:rPr>
        <w:t xml:space="preserve">Que mediante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(i) el aislamiento preventivo obligatorio de todas las personas habitantes de la República de Colombia, a partir de las cero horas (00:00 a.m.) del día 25 de marzo de 2020, hasta las cero horas (00:00 a.m.) del día 13 de abril de 2020, (ii) la prohibición del consumo de bebidas embriagantes en espacios abiertos y establecimientos de comercio, hasta el 12 de abril de 2020, (iii) la suspensión de transporte doméstico por vía aérea hasta el 13 de abril de 2020, salvo por emergencia humanitaria; transporte de carga y mercancía; y caso fortuito o fuerza mayor.</w:t>
      </w:r>
    </w:p>
    <w:p>
      <w:pPr>
        <w:jc w:val="both"/>
        <w:outlineLvl w:val="1"/>
      </w:pPr>
      <w:rPr>
        <w:sz w:val="24"/>
        <w:color w:val="black"/>
      </w:rPr>
    </w:p>
    <w:p>
      <w:pPr>
        <w:jc w:val="both"/>
        <w:outlineLvl w:val="1"/>
      </w:pPr>
      <w:r>
        <w:rPr>
          <w:rFonts w:hAnsi="Arial"/>
          <w:rFonts w:ascii="Arial"/>
          <w:sz w:val="24"/>
          <w:color w:val="black"/>
        </w:rPr>
        <w:t xml:space="preserve">Que en el mismo Decreto 457 de 2020, en su artículo </w:t>
      </w:r>
      <w:r>
        <w:fldChar w:fldCharType="begin"/>
      </w:r>
      <w:r>
        <w:instrText>HYPERLINK "http://www.redjurista.com/document.aspx?ajcode=d0457020&amp;arts=3"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se señalaron 34 actividades cuyo desarrollo se debería permitir en medio de la medida de aislamiento, con el fin de garantizar los derechos a la vida y la salud en conexidad con la vida y la supervivencia.</w:t>
      </w:r>
    </w:p>
    <w:p>
      <w:pPr>
        <w:jc w:val="both"/>
        <w:outlineLvl w:val="1"/>
      </w:pPr>
      <w:rPr>
        <w:sz w:val="24"/>
        <w:color w:val="black"/>
      </w:rPr>
    </w:p>
    <w:p>
      <w:pPr>
        <w:jc w:val="both"/>
        <w:outlineLvl w:val="1"/>
      </w:pPr>
      <w:r>
        <w:rPr>
          <w:rFonts w:hAnsi="Arial"/>
          <w:rFonts w:ascii="Arial"/>
          <w:sz w:val="24"/>
          <w:color w:val="black"/>
        </w:rPr>
        <w:t xml:space="preserve">Que de conformidad con lo manifestado por el Ministerio de Salud y Protección Social, a la fecha no existen medidas farmacológicas, como la vacuna y los medicamentos antivlrales que permitan combatir con efectividad el Coronavirus COVID-19, por lo que se requiere adoptar medidas no farmacológicas que tengan un impacto importante en la disminución del riesgo de transmisión del Coronavirus COVID-19 de humano a humano dentro de las cuales se encuentra la higiene respiratoria y el distanciamiento social, medida que además ha sido recomendada por la Organización Mundial de la Salud -OMS-.</w:t>
      </w:r>
    </w:p>
    <w:p>
      <w:pPr>
        <w:jc w:val="both"/>
        <w:outlineLvl w:val="1"/>
      </w:pPr>
      <w:rPr>
        <w:sz w:val="24"/>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cero (0) fallecidos, cifra que ha venido creciendo a nivel país de la siguiente manera: 102 personas contagiadas al 18 de marzo de 2020; 108 personas contagiadas al día 19 de marzo de 2020; 145 personas contagiadas al día 20 de marzo, 196 personas contagiadas al día 21 de marzo, 235 personas contagiadas al 22 de marzo, 306 personas contagiadas al 23 de marzo de 2020; 378 personas contagiadas al día 24 de marzo; 470 personas contagiadas al día 25 de marzo, 491 personas contagiadas al día 26 de marzo, 539 personas contagiadas al día 27 de marzo, 608 personas contagiadas al 28 de marzo, 702 personas contagiadas al 29 de marzo; 798 personas contagiadas al día 30 de marzo; 906 personas contagiadas al día 31 de marzo, 1.065 personas contagiadas al día 1 de abril, 1.161 personas contagiadas al día 2 de abril, 1.267 personas contagiadas al día 3 de abril, 1.406 personas contagiadas al día 4 de abril, 1.485 personas contagiadas al día 5 de abril, 1.579 personas contagiadas al día 6 de abril, 1.780 personas contagiadas al 7 de abril, 2.054 personas contagiadas al 8 de abril de 2020 y cincuenta y cuatro (54) fallecidos a esa fecha.</w:t>
      </w:r>
    </w:p>
    <w:p>
      <w:pPr>
        <w:jc w:val="both"/>
        <w:outlineLvl w:val="1"/>
      </w:pPr>
      <w:rPr>
        <w:sz w:val="24"/>
        <w:color w:val="black"/>
      </w:rPr>
    </w:p>
    <w:p>
      <w:pPr>
        <w:jc w:val="both"/>
        <w:outlineLvl w:val="1"/>
      </w:pPr>
      <w:r>
        <w:rPr>
          <w:rFonts w:hAnsi="Arial"/>
          <w:rFonts w:ascii="Arial"/>
          <w:sz w:val="24"/>
          <w:color w:val="black"/>
        </w:rPr>
        <w:t xml:space="preserve">Que pese a las medidas adoptadas, el Ministerio de Salud y Protección Social reportó el 7 de abril de 2020, 50 muertes y 1.780 casos confirmados en Colombia, distribuidos así: Bogotá D.C. (861), Cundinamarca (60), Antioquia (209), Valle del Cauca (250), Bolívar (63), Atlántico (63), Magdalena (14), Cesar (17), Norte de Santander (26), Santander (14), Cauca (14), Caldas (16), Risaralda (44), Quindío (34), Huila (34), Tolima (15), Meta (14), Casanare (2), San Andrés y Providencia (2), Nariño (7), Boyacá (13), Córdoba (7), Sucre (1) y La Guajira (1).</w:t>
      </w:r>
    </w:p>
    <w:p>
      <w:pPr>
        <w:jc w:val="both"/>
        <w:outlineLvl w:val="1"/>
      </w:pPr>
      <w:rPr>
        <w:sz w:val="24"/>
        <w:color w:val="black"/>
      </w:rPr>
    </w:p>
    <w:p>
      <w:pPr>
        <w:jc w:val="both"/>
        <w:outlineLvl w:val="1"/>
      </w:pPr>
      <w:r>
        <w:rPr>
          <w:rFonts w:hAnsi="Arial"/>
          <w:rFonts w:ascii="Arial"/>
          <w:sz w:val="24"/>
          <w:color w:val="black"/>
        </w:rPr>
        <w:t xml:space="preserve">Que según la Organización Mundial de la Salud - OMS, se ha reportado la siguiente información: (i) en reporte número 57 de fecha 17 de marzo de 2020 a las 10:00 a.m. CET</w:t>
      </w:r>
      <w:r>
        <w:rPr>
          <w:rFonts w:hAnsi="Arial"/>
          <w:rFonts w:ascii="Arial"/>
          <w:sz w:val="24"/>
          <w:vertAlign w:val="superscript"/>
          <w:color w:val="black"/>
        </w:rPr>
        <w:t xml:space="preserve">1 </w:t>
      </w:r>
      <w:r>
        <w:rPr>
          <w:rFonts w:hAnsi="Arial"/>
          <w:rFonts w:ascii="Arial"/>
          <w:sz w:val="24"/>
          <w:color w:val="black"/>
        </w:rPr>
        <w:t xml:space="preserve">señaló que se encuentran confirmados 179.111 casos del nuevo coronavirus COVID-19” y 7.426 fallecidos, (¡i) en reporte número 62 de fecha 21 de marzo de 2020 a las 23:59 p.m. CET señaló que se encuentran confirmados 292.142 casos del nuevo coronavirus COVID- 19 y 12.783 fallecidos, (iii) en reporte número 63 de fecha 23 de marzo de 2020 a las 10:00 a.m. CET señaló que se encuentran confirmados 332.930 casos del nuevo coronavirus COVID-19 y 14.509 fallecidos, y (iv) y en el reporte número 79 de fecha 8 de abril de 2020 a las 10:00 a.m. CET se encuentran confirmados 1,353.361 casos del nuevo coronavirus COVID-19 y 79.235 fallecidos.</w:t>
      </w:r>
    </w:p>
    <w:p>
      <w:pPr>
        <w:jc w:val="both"/>
        <w:outlineLvl w:val="1"/>
      </w:pPr>
      <w:rPr>
        <w:sz w:val="24"/>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marzo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w:t>
      </w:r>
    </w:p>
    <w:p>
      <w:pPr>
        <w:jc w:val="both"/>
        <w:outlineLvl w:val="1"/>
      </w:pPr>
      <w:rPr>
        <w:sz w:val="24"/>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distancíamiento social.</w:t>
      </w:r>
    </w:p>
    <w:p>
      <w:pPr>
        <w:jc w:val="both"/>
        <w:outlineLvl w:val="1"/>
      </w:pPr>
      <w:rPr>
        <w:sz w:val="24"/>
        <w:color w:val="black"/>
      </w:rPr>
    </w:p>
    <w:p>
      <w:pPr>
        <w:jc w:val="both"/>
        <w:outlineLvl w:val="1"/>
      </w:pPr>
      <w:r>
        <w:rPr>
          <w:rFonts w:hAnsi="Arial"/>
          <w:rFonts w:ascii="Arial"/>
          <w:sz w:val="24"/>
          <w:color w:val="black"/>
        </w:rPr>
        <w:t xml:space="preserve">Que así mismo, el Ministerio de Salud y Protección Social en el memorando 202022000077553 del 7 de marzo de 2020, considera que la ampliación del periodo de cuarentena no solo disminuye el riesgo y retarda la propagación de los casos al disminuir la posibilidad de contacto entre las personas, sino que permite coordinar acciones entre el Gobierno nacional, las Entidades Administradoras de Planes de Beneficio - EAPB, las Instituciones Prestadoras de Salud y las entidades territoriales para garantizar el fortalecimiento de la red de prestadores de servicios de salud, con el fin de procurar una atención oportuna y de calidad.</w:t>
      </w:r>
    </w:p>
    <w:p>
      <w:pPr>
        <w:jc w:val="both"/>
        <w:outlineLvl w:val="1"/>
      </w:pPr>
      <w:rPr>
        <w:sz w:val="24"/>
        <w:color w:val="black"/>
      </w:rPr>
    </w:p>
    <w:p>
      <w:pPr>
        <w:jc w:val="both"/>
        <w:outlineLvl w:val="1"/>
      </w:pPr>
      <w:r>
        <w:rPr>
          <w:rFonts w:hAnsi="Arial"/>
          <w:rFonts w:ascii="Arial"/>
          <w:sz w:val="24"/>
          <w:color w:val="black"/>
        </w:rPr>
        <w:t xml:space="preserve">Que la evidencia muestra que la propagación del Coronavirus COVID-19 continúa, a pesar de los esfuerzos estatales y de la sociedad, y dado que en ausencia de medidas farmacológicas como la vacuna y los medicamentos antivirales, los cuales no se encuentran disponibles para este evento toda vez que previamente deberán surtir estrictos protocolos de eficacia y seguridad antes de poder utilizadas masivamente, son las medidas no farmacológicas las que tienen mayor costo-efectividad. Esas medidas incluyen la higiene respiratoria, el distancíamiento social, el autoaislamiento voluntario y la cuarentena, medidas que en concepto del Ministerio de Salud y Protección Social se deben mantener hasta tanto la evaluación del riesgo indique que la situación permite retornar de manera paulatina y con seguimiento de las autoridades, a la cotidianeidad.</w:t>
      </w:r>
    </w:p>
    <w:p>
      <w:pPr>
        <w:jc w:val="both"/>
        <w:outlineLvl w:val="1"/>
      </w:pPr>
      <w:rPr>
        <w:sz w:val="24"/>
        <w:color w:val="black"/>
      </w:rPr>
    </w:p>
    <w:p>
      <w:pPr>
        <w:jc w:val="both"/>
        <w:outlineLvl w:val="1"/>
      </w:pPr>
      <w:r>
        <w:rPr>
          <w:rFonts w:hAnsi="Arial"/>
          <w:rFonts w:ascii="Arial"/>
          <w:sz w:val="24"/>
          <w:color w:val="black"/>
        </w:rPr>
        <w:t xml:space="preserve">Que en igual sentido manifestó el Ministerio de Salud y Protección Social, en el citado memorando 202022000077553 del 7 de marzo de 2020:</w:t>
      </w:r>
    </w:p>
    <w:p>
      <w:pPr>
        <w:jc w:val="both"/>
        <w:outlineLvl w:val="1"/>
      </w:pPr>
      <w:rPr>
        <w:sz w:val="24"/>
        <w:color w:val="black"/>
      </w:rPr>
    </w:p>
    <w:p>
      <w:pPr>
        <w:jc w:val="both"/>
        <w:outlineLvl w:val="1"/>
      </w:pPr>
      <w:r>
        <w:rPr>
          <w:rFonts w:hAnsi="Arial"/>
          <w:rFonts w:ascii="Arial"/>
          <w:sz w:val="24"/>
          <w:color w:val="black"/>
        </w:rPr>
        <w:t xml:space="preserve">“En razón de controlar la transmisión, los beneficios (Sic) extender la cuarentena en el país se reflejarían en la disminución de la velocidad de duplicación de los casos, así como, en el mayor tiempo de preparación de respuesta hospitalaria evitando la sobrecarga al sistema, garantizando una atención con calidad y oportunidad, así como disminuir la severidad de los síntomas de la enfermedad en las personas y la protección del personal sanitario”.</w:t>
      </w:r>
    </w:p>
    <w:p>
      <w:pPr>
        <w:jc w:val="both"/>
        <w:outlineLvl w:val="1"/>
      </w:pPr>
      <w:rPr>
        <w:sz w:val="24"/>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que por su misma naturaleza no deben interrumpirse su pena de afectar el derecho a la vida, a la salud y la supervivencia de los habitantes, y en concordancia con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del Ministerio de Salud y Protección Social, es necesario ordenar un aislamiento preventivo obligatorio para todos los habitantes de la República de Colombia, de acuerdo con las instrucciones que se impartirán para el efecto.</w:t>
      </w:r>
    </w:p>
    <w:p>
      <w:pPr>
        <w:jc w:val="both"/>
        <w:outlineLvl w:val="1"/>
      </w:pPr>
      <w:rPr>
        <w:sz w:val="24"/>
        <w:color w:val="black"/>
      </w:rPr>
    </w:p>
    <w:p>
      <w:pPr>
        <w:jc w:val="both"/>
        <w:outlineLvl w:val="1"/>
      </w:pPr>
      <w:r>
        <w:rPr>
          <w:rFonts w:hAnsi="Arial"/>
          <w:rFonts w:ascii="Arial"/>
          <w:sz w:val="24"/>
          <w:color w:val="black"/>
        </w:rPr>
        <w:t xml:space="preserve">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48144" w:name="1"/>
      <w:r>
        <w:rPr>
          <w:rFonts w:hAnsi="Arial"/>
          <w:rFonts w:ascii="Arial"/>
          <w:sz w:val="24"/>
          <w:color w:val="navy"/>
        </w:rPr>
        <w:t xml:space="preserve">ARTÍCULO 1o. AISLAMIENTO.</w:t>
      </w:r>
      <w:bookmarkEnd w:id="4814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Ordenar el aislamiento preventivo obligatorio de todas las personas habitantes de la República de Colombia, a partir de las cero horas (00:00 a.m.) del día 13 de abril de 2020, hasta las cero horas (00:00 a.m.) del día 27 de abril de 2020, en el marco de la emergencia sanitaria por causa del Coronavirus COVID-19.</w:t>
      </w:r>
    </w:p>
    <w:p>
      <w:pPr>
        <w:jc w:val="both"/>
        <w:outlineLvl w:val="1"/>
      </w:pPr>
      <w:rPr>
        <w:sz w:val="24"/>
        <w:color w:val="black"/>
      </w:rPr>
    </w:p>
    <w:p>
      <w:pPr>
        <w:jc w:val="both"/>
        <w:outlineLvl w:val="1"/>
      </w:pPr>
      <w:r>
        <w:rPr>
          <w:rFonts w:hAnsi="Arial"/>
          <w:rFonts w:ascii="Arial"/>
          <w:sz w:val="24"/>
          <w:color w:val="black"/>
        </w:rPr>
        <w:t xml:space="preserve">Para efectos de lograr el efectivo aislamiento preventivo obligatorio se limita totalmente la libre circulación de personas y vehículos en el territorio nacional, con las excepciones previstas en el artículo </w:t>
      </w:r>
      <w:r>
        <w:fldChar w:fldCharType="begin"/>
      </w:r>
      <w:r>
        <w:instrText>HYPERLINK "http://www.redjurista.com/document.aspx?ajcode=d0531020&amp;arts=3"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w:t>
      </w:r>
    </w:p>
    <w:p>
      <w:rPr>
        <w:color w:val="black"/>
      </w:rPr>
    </w:p>
    <w:p>
      <w:pPr>
        <w:jc w:val="both"/>
      </w:pPr>
      <w:bookmarkStart w:id="48145" w:name="2"/>
      <w:r>
        <w:rPr>
          <w:rFonts w:hAnsi="Arial"/>
          <w:rFonts w:ascii="Arial"/>
          <w:sz w:val="24"/>
          <w:color w:val="navy"/>
        </w:rPr>
        <w:t xml:space="preserve">ARTÍCULO 2o. EJECUCIÓN DE LA MEDIDA DE AISLAMIENTO.</w:t>
      </w:r>
      <w:bookmarkEnd w:id="4814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ordenada en el artículo anterior.</w:t>
      </w:r>
    </w:p>
    <w:p>
      <w:pPr>
        <w:jc w:val="both"/>
        <w:outlineLvl w:val="1"/>
      </w:pPr>
      <w:rPr>
        <w:sz w:val="24"/>
        <w:color w:val="black"/>
      </w:rPr>
    </w:p>
    <w:p>
      <w:pPr>
        <w:jc w:val="both"/>
        <w:outlineLvl w:val="1"/>
      </w:pPr>
      <w:r>
        <w:rPr>
          <w:rFonts w:hAnsi="Arial"/>
          <w:rFonts w:ascii="Arial"/>
          <w:sz w:val="24"/>
          <w:vanish/>
          <w:color w:val="black"/>
        </w:rPr>
        <w:t>&amp;$</w:t>
      </w:r>
      <w:bookmarkStart w:id="48146" w:name="3"/>
      <w:r>
        <w:rPr>
          <w:rFonts w:hAnsi="Arial"/>
          <w:rFonts w:ascii="Arial"/>
          <w:sz w:val="24"/>
          <w:color w:val="navy"/>
        </w:rPr>
        <w:t xml:space="preserve">ARTÍCULO 3o. GARANTÍAS PARA LA MEDIDA DE AISLAMIENTO PREVENTIVO OBLIGATORIO.</w:t>
      </w:r>
      <w:bookmarkEnd w:id="4814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Asistencia y prestación de servicios de salud.</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Adquisición de bienes de primera necesidad -alimentos, bebidas, medicamentos, dispositivos médicos, aseo, limpieza, y mercancías de ordinario consumo en la población-,</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Desplazamiento a servicios bancarios, financieros y de operadores de pago, y a servicios notariales.</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Asistencia y cuidado a niños, niñas, adolescentes, personas mayores de 70 años, personas con discapacidad y enfermos con tratamientos especiales que requieren asistencia de personal capacitado.</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Por causa de fuerza mayor o caso fortuito.</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Las labores de las misiones médicas de la Organización Panamericana de la Salud - OPS- y de todos los organismos internacionales humanitarios y de salud, la prestación de los servicios profesionales, administrativos, operativos y técnicos de salud públicos y privados.</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w:t>
      </w:r>
    </w:p>
    <w:p>
      <w:pPr>
        <w:jc w:val="both"/>
        <w:outlineLvl w:val="1"/>
      </w:pPr>
      <w:rPr>
        <w:sz w:val="24"/>
        <w:color w:val="black"/>
      </w:rPr>
    </w:p>
    <w:p>
      <w:pPr>
        <w:jc w:val="both"/>
        <w:outlineLvl w:val="1"/>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w:t>
      </w:r>
    </w:p>
    <w:p>
      <w:pPr>
        <w:jc w:val="both"/>
        <w:outlineLvl w:val="1"/>
      </w:pPr>
      <w:rPr>
        <w:sz w:val="24"/>
        <w:b/>
        <w:color w:val="black"/>
      </w:rPr>
    </w:p>
    <w:p>
      <w:pPr>
        <w:jc w:val="both"/>
        <w:outlineLvl w:val="1"/>
      </w:pPr>
      <w:r>
        <w:rPr>
          <w:rFonts w:hAnsi="Arial"/>
          <w:rFonts w:ascii="Arial"/>
          <w:sz w:val="24"/>
          <w:b/>
          <w:color w:val="black"/>
        </w:rPr>
        <w:t xml:space="preserve">8. </w:t>
      </w:r>
      <w:r>
        <w:rPr>
          <w:rFonts w:hAnsi="Arial"/>
          <w:rFonts w:ascii="Arial"/>
          <w:sz w:val="24"/>
          <w:color w:val="black"/>
        </w:rPr>
        <w:t xml:space="preserve">Las actividades relacionadas con servicios de emergencia, incluidas las emergencias veterinarias.</w:t>
      </w:r>
    </w:p>
    <w:p>
      <w:pPr>
        <w:jc w:val="both"/>
        <w:outlineLvl w:val="1"/>
      </w:pPr>
      <w:rPr>
        <w:sz w:val="24"/>
        <w:b/>
        <w:color w:val="black"/>
      </w:rPr>
    </w:p>
    <w:p>
      <w:pPr>
        <w:jc w:val="both"/>
        <w:outlineLvl w:val="1"/>
      </w:pPr>
      <w:r>
        <w:rPr>
          <w:rFonts w:hAnsi="Arial"/>
          <w:rFonts w:ascii="Arial"/>
          <w:sz w:val="24"/>
          <w:b/>
          <w:color w:val="black"/>
        </w:rPr>
        <w:t xml:space="preserve">9. </w:t>
      </w:r>
      <w:r>
        <w:rPr>
          <w:rFonts w:hAnsi="Arial"/>
          <w:rFonts w:ascii="Arial"/>
          <w:sz w:val="24"/>
          <w:color w:val="black"/>
        </w:rPr>
        <w:t xml:space="preserve">Los servicios funerarios, entierros y cremaciones.</w:t>
      </w:r>
    </w:p>
    <w:p>
      <w:pPr>
        <w:jc w:val="both"/>
        <w:outlineLvl w:val="1"/>
      </w:pPr>
      <w:rPr>
        <w:sz w:val="24"/>
        <w:b/>
        <w:color w:val="black"/>
      </w:rPr>
    </w:p>
    <w:p>
      <w:pPr>
        <w:jc w:val="both"/>
        <w:outlineLvl w:val="1"/>
      </w:pPr>
      <w:r>
        <w:rPr>
          <w:rFonts w:hAnsi="Arial"/>
          <w:rFonts w:ascii="Arial"/>
          <w:sz w:val="24"/>
          <w:b/>
          <w:color w:val="black"/>
        </w:rPr>
        <w:t xml:space="preserve">10. </w:t>
      </w:r>
      <w:r>
        <w:rPr>
          <w:rFonts w:hAnsi="Arial"/>
          <w:rFonts w:ascii="Arial"/>
          <w:sz w:val="24"/>
          <w:color w:val="black"/>
        </w:rPr>
        <w:t xml:space="preserve">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alimentos y medicinas para mascotas, y demás elementos y bienes necesarios para atender la emergencia sanitaria, así como la cadena de insumos relacionados con la producción de estos bienes.</w:t>
      </w:r>
    </w:p>
    <w:p>
      <w:pPr>
        <w:jc w:val="both"/>
        <w:outlineLvl w:val="1"/>
      </w:pPr>
      <w:rPr>
        <w:sz w:val="24"/>
        <w:color w:val="black"/>
      </w:rPr>
    </w:p>
    <w:p>
      <w:pPr>
        <w:jc w:val="both"/>
        <w:outlineLvl w:val="1"/>
      </w:pPr>
      <w:r>
        <w:rPr>
          <w:rFonts w:hAnsi="Arial"/>
          <w:rFonts w:ascii="Arial"/>
          <w:sz w:val="24"/>
          <w:b/>
          <w:color w:val="black"/>
        </w:rPr>
        <w:t xml:space="preserve">11. </w:t>
      </w:r>
      <w:r>
        <w:rPr>
          <w:rFonts w:hAnsi="Arial"/>
          <w:rFonts w:ascii="Arial"/>
          <w:sz w:val="24"/>
          <w:color w:val="black"/>
        </w:rPr>
        <w:t xml:space="preserve">La cadena de siembra, cosecha, producción, embalaje, importación, exportación, transporte, almacenamiento, distribución y comercialización de semillas, insumos y productos agrícolas, piscícolas, pecuarios y agroquímicos -fertilizantes, plaguicidas, fungicidas, herbicidas-; y alimentos para animales, mantenimiento de la sanidad animal, el funcionamiento de centros de procesamiento primario y secundario de alimentos, la operación de la infraestructura de comercialización, riego mayor y menor para el abastecimiento de agua poblacional y agrícola, y la asistencia técnica. Se garantizará la logística y el transporte de las anteriores actividades.</w:t>
      </w:r>
    </w:p>
    <w:p>
      <w:pPr>
        <w:jc w:val="both"/>
        <w:outlineLvl w:val="1"/>
      </w:pPr>
      <w:rPr>
        <w:sz w:val="24"/>
        <w:color w:val="black"/>
      </w:rPr>
    </w:p>
    <w:p>
      <w:pPr>
        <w:jc w:val="both"/>
        <w:outlineLvl w:val="1"/>
      </w:pPr>
      <w:r>
        <w:rPr>
          <w:rFonts w:hAnsi="Arial"/>
          <w:rFonts w:ascii="Arial"/>
          <w:sz w:val="24"/>
          <w:b/>
          <w:color w:val="black"/>
        </w:rPr>
        <w:t xml:space="preserve">12. </w:t>
      </w:r>
      <w:r>
        <w:rPr>
          <w:rFonts w:hAnsi="Arial"/>
          <w:rFonts w:ascii="Arial"/>
          <w:sz w:val="24"/>
          <w:color w:val="black"/>
        </w:rPr>
        <w:t xml:space="preserve">La comercialización presencial de productos de primera necesidad se hará en mercados de abastos, bodegas, mercados, supermercados mayoristas y minoristas y mercados al detal en establecimientos y locales comerciales a nivel nacional, y podrán comercializar sus productos mediante plataformas de comercio electrónico y/o para entrega a domicilio.</w:t>
      </w:r>
    </w:p>
    <w:p>
      <w:pPr>
        <w:jc w:val="both"/>
      </w:pPr>
      <w:rPr>
        <w:color w:val="black"/>
      </w:rPr>
    </w:p>
    <w:p>
      <w:pPr>
        <w:jc w:val="both"/>
        <w:outlineLvl w:val="1"/>
      </w:pPr>
      <w:r>
        <w:rPr>
          <w:rFonts w:hAnsi="Arial"/>
          <w:rFonts w:ascii="Arial"/>
          <w:sz w:val="24"/>
          <w:b/>
          <w:color w:val="black"/>
        </w:rPr>
        <w:t xml:space="preserve">13. </w:t>
      </w:r>
      <w:r>
        <w:rPr>
          <w:rFonts w:hAnsi="Arial"/>
          <w:rFonts w:ascii="Arial"/>
          <w:sz w:val="24"/>
          <w:color w:val="black"/>
        </w:rPr>
        <w:t xml:space="preserve">Las actividades de los servidores públicos y contratistas del Estado que sean estrictamente necesarias para prevenir, mitigar y atender la emergencia sanitaria por causa del Coronavirus COVID-19, y garantizar el funcionamiento de los servicios indispensables del Estado.</w:t>
      </w:r>
    </w:p>
    <w:p>
      <w:rPr>
        <w:color w:val="black"/>
      </w:rPr>
    </w:p>
    <w:p>
      <w:pPr>
        <w:jc w:val="both"/>
        <w:outlineLvl w:val="1"/>
      </w:pPr>
      <w:r>
        <w:rPr>
          <w:rFonts w:hAnsi="Arial"/>
          <w:rFonts w:ascii="Arial"/>
          <w:sz w:val="24"/>
          <w:b/>
          <w:color w:val="black"/>
        </w:rPr>
        <w:t xml:space="preserve">14. </w:t>
      </w:r>
      <w:r>
        <w:rPr>
          <w:rFonts w:hAnsi="Arial"/>
          <w:rFonts w:ascii="Arial"/>
          <w:sz w:val="24"/>
          <w:color w:val="black"/>
        </w:rPr>
        <w:t xml:space="preserve">Las actividades del personal de las misiones diplomáticas y consulares debidamente acreditas ante el Estado colombiano, estrictamente necesarias para prevenir, mitigar y atender la emergencia sanitaria por causa del Coronavirus COVID-19.</w:t>
      </w:r>
    </w:p>
    <w:p>
      <w:pPr>
        <w:jc w:val="both"/>
        <w:outlineLvl w:val="1"/>
      </w:pPr>
      <w:rPr>
        <w:sz w:val="24"/>
        <w:color w:val="black"/>
      </w:rPr>
    </w:p>
    <w:p>
      <w:pPr>
        <w:jc w:val="both"/>
        <w:outlineLvl w:val="1"/>
      </w:pPr>
      <w:r>
        <w:rPr>
          <w:rFonts w:hAnsi="Arial"/>
          <w:rFonts w:ascii="Arial"/>
          <w:sz w:val="24"/>
          <w:b/>
          <w:color w:val="black"/>
        </w:rPr>
        <w:t xml:space="preserve">15. </w:t>
      </w:r>
      <w:r>
        <w:rPr>
          <w:rFonts w:hAnsi="Arial"/>
          <w:rFonts w:ascii="Arial"/>
          <w:sz w:val="24"/>
          <w:color w:val="black"/>
        </w:rPr>
        <w:t xml:space="preserve">Las actividades de las Fuerzas Militares, la Policía Nacional y organismos de seguridad del Estado, así como de la industria militar y de defensa.</w:t>
      </w:r>
    </w:p>
    <w:p>
      <w:pPr>
        <w:jc w:val="both"/>
      </w:pPr>
      <w:rPr>
        <w:color w:val="black"/>
      </w:rPr>
    </w:p>
    <w:p>
      <w:pPr>
        <w:jc w:val="both"/>
        <w:outlineLvl w:val="1"/>
      </w:pPr>
      <w:r>
        <w:rPr>
          <w:rFonts w:hAnsi="Arial"/>
          <w:rFonts w:ascii="Arial"/>
          <w:sz w:val="24"/>
          <w:b/>
          <w:color w:val="black"/>
        </w:rPr>
        <w:t xml:space="preserve">16. </w:t>
      </w:r>
      <w:r>
        <w:rPr>
          <w:rFonts w:hAnsi="Arial"/>
          <w:rFonts w:ascii="Arial"/>
          <w:sz w:val="24"/>
          <w:color w:val="black"/>
        </w:rPr>
        <w:t xml:space="preserve">Las actividades de los puertos de servicio público y privado, exclusivamente para el transporte de carga.</w:t>
      </w:r>
    </w:p>
    <w:p>
      <w:pPr>
        <w:jc w:val="both"/>
        <w:outlineLvl w:val="1"/>
      </w:pPr>
      <w:rPr>
        <w:sz w:val="24"/>
        <w:color w:val="black"/>
      </w:rPr>
    </w:p>
    <w:p>
      <w:pPr>
        <w:jc w:val="both"/>
        <w:outlineLvl w:val="1"/>
      </w:pPr>
      <w:r>
        <w:rPr>
          <w:rFonts w:hAnsi="Arial"/>
          <w:rFonts w:ascii="Arial"/>
          <w:sz w:val="24"/>
          <w:b/>
          <w:color w:val="black"/>
        </w:rPr>
        <w:t xml:space="preserve">17. </w:t>
      </w:r>
      <w:r>
        <w:rPr>
          <w:rFonts w:hAnsi="Arial"/>
          <w:rFonts w:ascii="Arial"/>
          <w:sz w:val="24"/>
          <w:color w:val="black"/>
        </w:rPr>
        <w:t xml:space="preserve">Las actividades de dragado marítimo y fluvial.</w:t>
      </w:r>
    </w:p>
    <w:p>
      <w:pPr>
        <w:jc w:val="both"/>
      </w:pPr>
      <w:rPr>
        <w:color w:val="black"/>
      </w:rPr>
    </w:p>
    <w:p>
      <w:pPr>
        <w:jc w:val="both"/>
        <w:outlineLvl w:val="1"/>
      </w:pPr>
      <w:r>
        <w:rPr>
          <w:rFonts w:hAnsi="Arial"/>
          <w:rFonts w:ascii="Arial"/>
          <w:sz w:val="24"/>
          <w:b/>
          <w:color w:val="black"/>
        </w:rPr>
        <w:t xml:space="preserve">18. </w:t>
      </w:r>
      <w:r>
        <w:rPr>
          <w:rFonts w:hAnsi="Arial"/>
          <w:rFonts w:ascii="Arial"/>
          <w:sz w:val="24"/>
          <w:color w:val="black"/>
        </w:rPr>
        <w:t xml:space="preserve">La ejecución de obras de infraestructura de transporte y obra pública, así como la cadena de suministros de materiales e insumos relacionados con la ejecución de las mismas.</w:t>
      </w:r>
    </w:p>
    <w:p>
      <w:rPr>
        <w:color w:val="black"/>
      </w:rPr>
    </w:p>
    <w:p>
      <w:pPr>
        <w:jc w:val="both"/>
        <w:outlineLvl w:val="1"/>
      </w:pPr>
      <w:r>
        <w:rPr>
          <w:rFonts w:hAnsi="Arial"/>
          <w:rFonts w:ascii="Arial"/>
          <w:sz w:val="24"/>
          <w:b/>
          <w:color w:val="black"/>
        </w:rPr>
        <w:t xml:space="preserve">19. </w:t>
      </w:r>
      <w:r>
        <w:rPr>
          <w:rFonts w:hAnsi="Arial"/>
          <w:rFonts w:ascii="Arial"/>
          <w:sz w:val="24"/>
          <w:color w:val="black"/>
        </w:rPr>
        <w:t xml:space="preserve">La revisión y atención de emergencias y afectaciones viales, y las obras de infraestructura que no pueden suspenderse.</w:t>
      </w:r>
    </w:p>
    <w:p>
      <w:pPr>
        <w:jc w:val="both"/>
        <w:outlineLvl w:val="1"/>
      </w:pPr>
      <w:rPr>
        <w:sz w:val="24"/>
        <w:color w:val="black"/>
      </w:rPr>
    </w:p>
    <w:p>
      <w:pPr>
        <w:jc w:val="both"/>
        <w:outlineLvl w:val="1"/>
      </w:pPr>
      <w:r>
        <w:rPr>
          <w:rFonts w:hAnsi="Arial"/>
          <w:rFonts w:ascii="Arial"/>
          <w:sz w:val="24"/>
          <w:b/>
          <w:color w:val="black"/>
        </w:rPr>
        <w:t xml:space="preserve">20. </w:t>
      </w:r>
      <w:r>
        <w:rPr>
          <w:rFonts w:hAnsi="Arial"/>
          <w:rFonts w:ascii="Arial"/>
          <w:sz w:val="24"/>
          <w:color w:val="black"/>
        </w:rPr>
        <w:t xml:space="preserve">La intervención de obras civiles y de construcción, las cuales, por su estado de avance de obra o de sus características, presenten riesgos de estabilidad técnica, amenaza de colapso o requieran acciones de reforzamiento estructural.</w:t>
      </w:r>
    </w:p>
    <w:p>
      <w:pPr>
        <w:jc w:val="both"/>
      </w:pPr>
      <w:rPr>
        <w:color w:val="black"/>
      </w:rPr>
    </w:p>
    <w:p>
      <w:pPr>
        <w:jc w:val="both"/>
      </w:pPr>
      <w:r>
        <w:rPr>
          <w:rFonts w:hAnsi="Arial"/>
          <w:rFonts w:ascii="Arial"/>
          <w:sz w:val="24"/>
          <w:b/>
          <w:color w:val="black"/>
        </w:rPr>
        <w:t xml:space="preserve">21. </w:t>
      </w:r>
      <w:r>
        <w:rPr>
          <w:rFonts w:hAnsi="Arial"/>
          <w:rFonts w:ascii="Arial"/>
          <w:sz w:val="24"/>
          <w:color w:val="black"/>
        </w:rPr>
        <w:t xml:space="preserve">La construcción de infraestructura de salud estrictamente necesaria para prevenir, mitigar y atender la emergencia sanitaria par causa del Coronavirus COVID-19.</w:t>
      </w:r>
    </w:p>
    <w:p>
      <w:pPr>
        <w:jc w:val="both"/>
        <w:outlineLvl w:val="1"/>
      </w:pPr>
      <w:rPr>
        <w:sz w:val="24"/>
        <w:color w:val="black"/>
      </w:rPr>
    </w:p>
    <w:p>
      <w:pPr>
        <w:jc w:val="both"/>
        <w:outlineLvl w:val="1"/>
      </w:pPr>
      <w:r>
        <w:rPr>
          <w:rFonts w:hAnsi="Arial"/>
          <w:rFonts w:ascii="Arial"/>
          <w:sz w:val="24"/>
          <w:b/>
          <w:color w:val="black"/>
        </w:rPr>
        <w:t xml:space="preserve">22. </w:t>
      </w:r>
      <w:r>
        <w:rPr>
          <w:rFonts w:hAnsi="Arial"/>
          <w:rFonts w:ascii="Arial"/>
          <w:sz w:val="24"/>
          <w:color w:val="black"/>
        </w:rPr>
        <w:t xml:space="preserve">Las actividades necesarias para la operación aérea y aeroportuaria de conformidad con lo establecido en el artículo </w:t>
      </w:r>
      <w:r>
        <w:fldChar w:fldCharType="begin"/>
      </w:r>
      <w:r>
        <w:instrText>HYPERLINK "http://www.redjurista.com/document.aspx?ajcode=d0531020&amp;arts=5"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b/>
          <w:color w:val="black"/>
        </w:rPr>
        <w:t xml:space="preserve">23. </w:t>
      </w:r>
      <w:r>
        <w:rPr>
          <w:rFonts w:hAnsi="Arial"/>
          <w:rFonts w:ascii="Arial"/>
          <w:sz w:val="24"/>
          <w:color w:val="black"/>
        </w:rPr>
        <w:t xml:space="preserve">La comercialización de los productos de los establecimientos y locales gastronómicos mediante plataformas de comercio electrónico o por entrega a domicilio. Los restaurantes ubicados dentro de las instalaciones hoteleras solo podrán prestar servicios a sus huéspedes.</w:t>
      </w:r>
    </w:p>
    <w:p>
      <w:pPr>
        <w:jc w:val="both"/>
        <w:outlineLvl w:val="1"/>
      </w:pPr>
      <w:rPr>
        <w:sz w:val="24"/>
        <w:b/>
        <w:color w:val="black"/>
      </w:rPr>
    </w:p>
    <w:p>
      <w:pPr>
        <w:jc w:val="both"/>
        <w:outlineLvl w:val="1"/>
      </w:pPr>
      <w:r>
        <w:rPr>
          <w:rFonts w:hAnsi="Arial"/>
          <w:rFonts w:ascii="Arial"/>
          <w:sz w:val="24"/>
          <w:b/>
          <w:color w:val="black"/>
        </w:rPr>
        <w:t xml:space="preserve">24. </w:t>
      </w:r>
      <w:r>
        <w:rPr>
          <w:rFonts w:hAnsi="Arial"/>
          <w:rFonts w:ascii="Arial"/>
          <w:sz w:val="24"/>
          <w:color w:val="black"/>
        </w:rPr>
        <w:t xml:space="preserve">Las actividades de la industria hotelera para atender a sus huéspedes, estrictamente necesarias para prevenir, mitigar y atender la emergencia sanitaria por causa del Coronavirus COVID-19.</w:t>
      </w:r>
    </w:p>
    <w:p>
      <w:pPr>
        <w:jc w:val="both"/>
        <w:outlineLvl w:val="1"/>
      </w:pPr>
      <w:rPr>
        <w:sz w:val="24"/>
        <w:b/>
        <w:color w:val="black"/>
      </w:rPr>
    </w:p>
    <w:p>
      <w:pPr>
        <w:jc w:val="both"/>
        <w:outlineLvl w:val="1"/>
      </w:pPr>
      <w:r>
        <w:rPr>
          <w:rFonts w:hAnsi="Arial"/>
          <w:rFonts w:ascii="Arial"/>
          <w:sz w:val="24"/>
          <w:b/>
          <w:color w:val="black"/>
        </w:rPr>
        <w:t xml:space="preserve">25. </w:t>
      </w:r>
      <w:r>
        <w:rPr>
          <w:rFonts w:hAnsi="Arial"/>
          <w:rFonts w:ascii="Arial"/>
          <w:sz w:val="24"/>
          <w:color w:val="black"/>
        </w:rPr>
        <w:t xml:space="preserve">El funcionamiento de la infraestructura crítica -computadores, sistemas computacionales, redes de comunicaciones, datos e información cuya destrucción o interferencia puede debilitar o impactar en la seguridad de la economía, salud pública o la combinación de ellas.</w:t>
      </w:r>
    </w:p>
    <w:p>
      <w:pPr>
        <w:jc w:val="both"/>
        <w:outlineLvl w:val="1"/>
      </w:pPr>
      <w:rPr>
        <w:sz w:val="24"/>
        <w:b/>
        <w:color w:val="black"/>
      </w:rPr>
    </w:p>
    <w:p>
      <w:pPr>
        <w:jc w:val="both"/>
        <w:outlineLvl w:val="1"/>
      </w:pPr>
      <w:r>
        <w:rPr>
          <w:rFonts w:hAnsi="Arial"/>
          <w:rFonts w:ascii="Arial"/>
          <w:sz w:val="24"/>
          <w:b/>
          <w:color w:val="black"/>
        </w:rPr>
        <w:t xml:space="preserve">26. </w:t>
      </w:r>
      <w:r>
        <w:rPr>
          <w:rFonts w:hAnsi="Arial"/>
          <w:rFonts w:ascii="Arial"/>
          <w:sz w:val="24"/>
          <w:color w:val="black"/>
        </w:rPr>
        <w:t xml:space="preserve">El funcionamiento y operación de los centros de llamadas, los centros de contactos, los centros de soporte técnico y los centros de procesamiento de datos que presten servicios en el territorio nacional y de las plataformas de comercio electrónico.</w:t>
      </w:r>
    </w:p>
    <w:p>
      <w:pPr>
        <w:jc w:val="both"/>
        <w:outlineLvl w:val="1"/>
      </w:pPr>
      <w:rPr>
        <w:sz w:val="24"/>
        <w:b/>
        <w:color w:val="black"/>
      </w:rPr>
    </w:p>
    <w:p>
      <w:pPr>
        <w:jc w:val="both"/>
        <w:outlineLvl w:val="1"/>
      </w:pPr>
      <w:r>
        <w:rPr>
          <w:rFonts w:hAnsi="Arial"/>
          <w:rFonts w:ascii="Arial"/>
          <w:sz w:val="24"/>
          <w:b/>
          <w:color w:val="black"/>
        </w:rPr>
        <w:t xml:space="preserve">27. </w:t>
      </w:r>
      <w:r>
        <w:rPr>
          <w:rFonts w:hAnsi="Arial"/>
          <w:rFonts w:ascii="Arial"/>
          <w:sz w:val="24"/>
          <w:color w:val="black"/>
        </w:rPr>
        <w:t xml:space="preserve">El funcionamiento de la prestación de los servicios de vigilancia y seguridad privada, los servicios carcelarios y penitenciarios y de empresas que prestan el servicio de limpieza y aseo en edificaciones públicas, zonas comunes de edificaciones y las edificaciones en las que se desarrollen las actividades de que trata el presente artículo.</w:t>
      </w:r>
    </w:p>
    <w:p>
      <w:pPr>
        <w:jc w:val="both"/>
        <w:outlineLvl w:val="1"/>
      </w:pPr>
      <w:rPr>
        <w:sz w:val="24"/>
        <w:b/>
        <w:color w:val="black"/>
      </w:rPr>
    </w:p>
    <w:p>
      <w:pPr>
        <w:jc w:val="both"/>
        <w:outlineLvl w:val="1"/>
      </w:pPr>
      <w:r>
        <w:rPr>
          <w:rFonts w:hAnsi="Arial"/>
          <w:rFonts w:ascii="Arial"/>
          <w:sz w:val="24"/>
          <w:b/>
          <w:color w:val="black"/>
        </w:rPr>
        <w:t xml:space="preserve">28. </w:t>
      </w:r>
      <w:r>
        <w:rPr>
          <w:rFonts w:hAnsi="Arial"/>
          <w:rFonts w:ascii="Arial"/>
          <w:sz w:val="24"/>
          <w:color w:val="black"/>
        </w:rPr>
        <w:t xml:space="preserve">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(ii) de la cadena logística de insumos, suministros para la producción, el abastecimiento, importación, exportación y suministro de hidrocarburos, combustibles líquidos, biocombustibles, gas natural, gas licuado de petróleo -GLP-, (lII) de la cadena logística de insumos, suministros para la producción, el abastecimiento, importación, exportación y suministro de minerales, y (iv) el servicio de internet y telefonía.</w:t>
      </w:r>
    </w:p>
    <w:p>
      <w:pPr>
        <w:jc w:val="both"/>
      </w:pPr>
      <w:rPr>
        <w:color w:val="black"/>
      </w:rPr>
    </w:p>
    <w:p>
      <w:pPr>
        <w:jc w:val="both"/>
      </w:pPr>
      <w:r>
        <w:rPr>
          <w:rFonts w:hAnsi="Arial"/>
          <w:rFonts w:ascii="Arial"/>
          <w:sz w:val="24"/>
          <w:b/>
          <w:color w:val="black"/>
        </w:rPr>
        <w:t xml:space="preserve">29. </w:t>
      </w:r>
      <w:r>
        <w:rPr>
          <w:rFonts w:hAnsi="Arial"/>
          <w:rFonts w:ascii="Arial"/>
          <w:sz w:val="24"/>
          <w:color w:val="black"/>
        </w:rPr>
        <w:t xml:space="preserve">La prestación de servicios bancarios y financieros, de operadores postales de pago, centrales de riesgo, transporte de valores y actividades notariales.</w:t>
      </w:r>
    </w:p>
    <w:p>
      <w:pPr>
        <w:jc w:val="both"/>
        <w:outlineLvl w:val="1"/>
      </w:pPr>
      <w:rPr>
        <w:sz w:val="24"/>
        <w:color w:val="black"/>
      </w:rPr>
    </w:p>
    <w:p>
      <w:pPr>
        <w:jc w:val="both"/>
        <w:outlineLvl w:val="1"/>
      </w:pPr>
      <w:r>
        <w:rPr>
          <w:rFonts w:hAnsi="Arial"/>
          <w:rFonts w:ascii="Arial"/>
          <w:sz w:val="24"/>
          <w:color w:val="black"/>
        </w:rPr>
        <w:t xml:space="preserve">El Superintendente de Notariado y Registro determinará los horarios y turnos en los cuales se prestará el servicio notarial, garantizando la prestación del servicio a las personas más vulnerables y a las personas de especial protección constitucional.</w:t>
      </w:r>
    </w:p>
    <w:p>
      <w:pPr>
        <w:jc w:val="both"/>
        <w:outlineLvl w:val="1"/>
      </w:pPr>
      <w:rPr>
        <w:sz w:val="24"/>
        <w:b/>
        <w:color w:val="black"/>
      </w:rPr>
    </w:p>
    <w:p>
      <w:pPr>
        <w:jc w:val="both"/>
        <w:outlineLvl w:val="1"/>
      </w:pPr>
      <w:r>
        <w:rPr>
          <w:rFonts w:hAnsi="Arial"/>
          <w:rFonts w:ascii="Arial"/>
          <w:sz w:val="24"/>
          <w:b/>
          <w:color w:val="black"/>
        </w:rPr>
        <w:t xml:space="preserve">30. </w:t>
      </w:r>
      <w:r>
        <w:rPr>
          <w:rFonts w:hAnsi="Arial"/>
          <w:rFonts w:ascii="Arial"/>
          <w:sz w:val="24"/>
          <w:color w:val="black"/>
        </w:rPr>
        <w:t xml:space="preserve">El funcionamiento de los servicios postales, de mensajería, radio, televisión, prensa y distribución de los medios de comunicación.</w:t>
      </w:r>
    </w:p>
    <w:p>
      <w:pPr>
        <w:jc w:val="both"/>
        <w:outlineLvl w:val="1"/>
      </w:pPr>
      <w:rPr>
        <w:sz w:val="24"/>
        <w:b/>
        <w:color w:val="black"/>
      </w:rPr>
    </w:p>
    <w:p>
      <w:pPr>
        <w:jc w:val="both"/>
        <w:outlineLvl w:val="1"/>
      </w:pPr>
      <w:r>
        <w:rPr>
          <w:rFonts w:hAnsi="Arial"/>
          <w:rFonts w:ascii="Arial"/>
          <w:sz w:val="24"/>
          <w:b/>
          <w:color w:val="black"/>
        </w:rPr>
        <w:t xml:space="preserve">31. </w:t>
      </w:r>
      <w:r>
        <w:rPr>
          <w:rFonts w:hAnsi="Arial"/>
          <w:rFonts w:ascii="Arial"/>
          <w:sz w:val="24"/>
          <w:color w:val="black"/>
        </w:rPr>
        <w:t xml:space="preserve">El abastecimiento y distribución de bienes de primera necesidad -alimentos, bebidas, medicamentos, dispositivos médicos, aseo, limpieza, y mercancías de ordinario consumo en la población- en virtud de programas sociales del Estado y de personas privadas.</w:t>
      </w:r>
    </w:p>
    <w:p>
      <w:pPr>
        <w:jc w:val="both"/>
        <w:outlineLvl w:val="1"/>
      </w:pPr>
      <w:rPr>
        <w:sz w:val="24"/>
        <w:b/>
        <w:color w:val="black"/>
      </w:rPr>
    </w:p>
    <w:p>
      <w:pPr>
        <w:jc w:val="both"/>
        <w:outlineLvl w:val="1"/>
      </w:pPr>
      <w:r>
        <w:rPr>
          <w:rFonts w:hAnsi="Arial"/>
          <w:rFonts w:ascii="Arial"/>
          <w:sz w:val="24"/>
          <w:b/>
          <w:color w:val="black"/>
        </w:rPr>
        <w:t xml:space="preserve">32. </w:t>
      </w:r>
      <w:r>
        <w:rPr>
          <w:rFonts w:hAnsi="Arial"/>
          <w:rFonts w:ascii="Arial"/>
          <w:sz w:val="24"/>
          <w:color w:val="black"/>
        </w:rPr>
        <w:t xml:space="preserve">Las actividades del sector interreligioso relacionadas con los programas institucionales de emergencia, ayuda humanitaria, espiritual y psicológica.</w:t>
      </w:r>
    </w:p>
    <w:p>
      <w:pPr>
        <w:jc w:val="both"/>
        <w:outlineLvl w:val="1"/>
      </w:pPr>
      <w:rPr>
        <w:sz w:val="24"/>
        <w:b/>
        <w:color w:val="black"/>
      </w:rPr>
    </w:p>
    <w:p>
      <w:pPr>
        <w:jc w:val="both"/>
        <w:outlineLvl w:val="1"/>
      </w:pPr>
      <w:r>
        <w:rPr>
          <w:rFonts w:hAnsi="Arial"/>
          <w:rFonts w:ascii="Arial"/>
          <w:sz w:val="24"/>
          <w:b/>
          <w:color w:val="black"/>
        </w:rPr>
        <w:t xml:space="preserve">33. </w:t>
      </w:r>
      <w:r>
        <w:rPr>
          <w:rFonts w:hAnsi="Arial"/>
          <w:rFonts w:ascii="Arial"/>
          <w:sz w:val="24"/>
          <w:color w:val="black"/>
        </w:rPr>
        <w:t xml:space="preserve">Las actividades estrictamente necesarias para operar y realizar los mantenimientos indispensables de empresas, plantas industriales o minas, del sector público o privado, que por la naturaleza de su proceso productivo requieran mantener su operación ininterrumpidamente.</w:t>
      </w:r>
    </w:p>
    <w:p>
      <w:pPr>
        <w:jc w:val="both"/>
      </w:pPr>
      <w:rPr>
        <w:color w:val="black"/>
      </w:rPr>
    </w:p>
    <w:p>
      <w:pPr>
        <w:jc w:val="both"/>
      </w:pPr>
      <w:r>
        <w:rPr>
          <w:rFonts w:hAnsi="Arial"/>
          <w:rFonts w:ascii="Arial"/>
          <w:sz w:val="24"/>
          <w:b/>
          <w:color w:val="black"/>
        </w:rPr>
        <w:t xml:space="preserve">34. </w:t>
      </w:r>
      <w:r>
        <w:rPr>
          <w:rFonts w:hAnsi="Arial"/>
          <w:rFonts w:ascii="Arial"/>
          <w:sz w:val="24"/>
          <w:color w:val="black"/>
        </w:rPr>
        <w:t xml:space="preserve">Las actividades de los operadores de pagos de salarios, honorarios, pensiones, prestaciones económicas públicos y privados; beneficios económicos periódicos sociales -BEPS-, y los correspondientes a los sistemas y subsistemas de Seguridad Social y Protección Social.</w:t>
      </w:r>
    </w:p>
    <w:p>
      <w:pPr>
        <w:jc w:val="both"/>
        <w:outlineLvl w:val="1"/>
      </w:pPr>
      <w:rPr>
        <w:sz w:val="24"/>
        <w:color w:val="black"/>
      </w:rPr>
    </w:p>
    <w:p>
      <w:pPr>
        <w:jc w:val="both"/>
        <w:outlineLvl w:val="1"/>
      </w:pPr>
      <w:r>
        <w:rPr>
          <w:rFonts w:hAnsi="Arial"/>
          <w:rFonts w:ascii="Arial"/>
          <w:sz w:val="24"/>
          <w:b/>
          <w:color w:val="black"/>
        </w:rPr>
        <w:t>35.</w:t>
      </w:r>
      <w:r>
        <w:rPr>
          <w:rFonts w:hAnsi="Arial"/>
          <w:rFonts w:ascii="Arial"/>
          <w:sz w:val="24"/>
          <w:color w:val="black"/>
        </w:rPr>
        <w:t xml:space="preserve"> El desplazamiento estrictamente necesario del personal directivo y docente de las instituciones educativas públicas y privadas, para prevenir, mitigar y atender la emergencia sanitaria par causa del Coronavirus COVID-19.</w:t>
      </w:r>
    </w:p>
    <w:p>
      <w:pPr>
        <w:jc w:val="both"/>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personas que desarrollen las actividades antes mencionadas deberán estar acreditadas o identificadas en el ejercicio de sus funciones.</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b/>
          <w:color w:val="black"/>
        </w:rPr>
        <w:t xml:space="preserve"> </w:t>
      </w:r>
      <w:r>
        <w:rPr>
          <w:rFonts w:hAnsi="Arial"/>
          <w:rFonts w:ascii="Arial"/>
          <w:sz w:val="24"/>
          <w:color w:val="black"/>
        </w:rPr>
        <w:t xml:space="preserve">Se permitirá la circulación de una sola persona por núcleo familiar para realizar las actividades descritas en los numerales 2 y 3.</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Cuando una persona de las relacionadas en el numeral 4 deba salir de su lugar de residencia o aislamiento, podrá hacerlo acompañado de una persona que le sirva de apoyo.</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&lt;Parágrafo eliminado por el artículo </w:t>
      </w:r>
      <w:r>
        <w:fldChar w:fldCharType="begin"/>
      </w:r>
      <w:r>
        <w:instrText>HYPERLINK "http://www.redjurista.com/document.aspx?ajcode=d0536020&amp;arts=1"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536 de 2020&gt; </w:t>
      </w:r>
    </w:p>
    <w:p>
      <w:pPr>
        <w:jc w:val="both"/>
      </w:pPr>
      <w:rPr>
        <w:sz w:val="24"/>
        <w:color w:val="black"/>
      </w:rPr>
    </w:p>
    <w:p>
      <w:pPr>
        <w:jc w:val="both"/>
        <w:outlineLvl w:val="1"/>
      </w:pPr>
      <w:r>
        <w:rPr>
          <w:rFonts w:hAnsi="Arial"/>
          <w:rFonts w:ascii="Arial"/>
          <w:sz w:val="24"/>
          <w:color w:val="navy"/>
        </w:rPr>
        <w:t xml:space="preserve">PARÁGRAFO 6.</w:t>
      </w:r>
      <w:r>
        <w:rPr>
          <w:rFonts w:hAnsi="Arial"/>
          <w:rFonts w:ascii="Arial"/>
          <w:sz w:val="24"/>
          <w:color w:val="black"/>
        </w:rPr>
        <w:t xml:space="preserve"> Las personas que desarrollen las actividades mencionadas en el presente artículo deberán cumplir con los protocolos de bioseguridad que establezca el Ministerio de Salud y Protección Social para el control de la pandemia del Coronavirus COVID-19. Así mismo, deberán atender las instrucciones que para evitar la propagación del COVID-19 adopten o expidan los diferentes ministerios y entidades del orden nacional y territorial.</w:t>
      </w:r>
    </w:p>
    <w:p>
      <w:pPr>
        <w:jc w:val="both"/>
        <w:outlineLvl w:val="1"/>
      </w:pPr>
      <w:rPr>
        <w:sz w:val="24"/>
        <w:color w:val="black"/>
      </w:rPr>
    </w:p>
    <w:p>
      <w:pPr>
        <w:jc w:val="both"/>
        <w:outlineLvl w:val="1"/>
      </w:pPr>
      <w:r>
        <w:rPr>
          <w:rFonts w:hAnsi="Arial"/>
          <w:rFonts w:ascii="Arial"/>
          <w:sz w:val="24"/>
          <w:color w:val="navy"/>
        </w:rPr>
        <w:t xml:space="preserve">PARÁGRAFO 7.</w:t>
      </w:r>
      <w:r>
        <w:rPr>
          <w:rFonts w:hAnsi="Arial"/>
          <w:rFonts w:ascii="Arial"/>
          <w:sz w:val="24"/>
          <w:color w:val="black"/>
        </w:rPr>
        <w:t xml:space="preserve"> Las excepciones que de manera adicional se consideren necesarias adicionar par parte de los gobernadores y alcaldes deben ser previamente informadas y coordinadas con el Ministerio del Interior.</w:t>
      </w:r>
    </w:p>
    <w:p>
      <w:pPr>
        <w:jc w:val="both"/>
      </w:pPr>
      <w:rPr>
        <w:b/>
        <w:color w:val="black"/>
      </w:rPr>
    </w:p>
    <w:p>
      <w:pPr>
        <w:jc w:val="both"/>
        <w:outlineLvl w:val="1"/>
      </w:pPr>
      <w:r>
        <w:rPr>
          <w:rFonts w:hAnsi="Arial"/>
          <w:rFonts w:ascii="Arial"/>
          <w:sz w:val="24"/>
          <w:vanish/>
          <w:color w:val="black"/>
        </w:rPr>
        <w:t>&amp;$</w:t>
      </w:r>
      <w:bookmarkStart w:id="48147" w:name="4"/>
      <w:r>
        <w:rPr>
          <w:rFonts w:hAnsi="Arial"/>
          <w:rFonts w:ascii="Arial"/>
          <w:sz w:val="24"/>
          <w:color w:val="navy"/>
        </w:rPr>
        <w:t xml:space="preserve">ARTÍCULO 4o. MOVILIDAD.</w:t>
      </w:r>
      <w:bookmarkEnd w:id="4814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artículo anterior.</w:t>
      </w:r>
    </w:p>
    <w:p>
      <w:pPr>
        <w:jc w:val="both"/>
        <w:outlineLvl w:val="1"/>
      </w:pPr>
      <w:rPr>
        <w:sz w:val="24"/>
        <w:color w:val="black"/>
      </w:rPr>
    </w:p>
    <w:p>
      <w:pPr>
        <w:jc w:val="both"/>
        <w:outlineLvl w:val="1"/>
      </w:pPr>
      <w:r>
        <w:rPr>
          <w:rFonts w:hAnsi="Arial"/>
          <w:rFonts w:ascii="Arial"/>
          <w:sz w:val="24"/>
          <w:color w:val="black"/>
        </w:rPr>
        <w:t xml:space="preserve">Se deberá garantizar el transporte de carga, el almacenamiento y logística para la carga de Importaciones y exportaciones.</w:t>
      </w:r>
    </w:p>
    <w:p>
      <w:pPr>
        <w:jc w:val="both"/>
      </w:pPr>
      <w:rPr>
        <w:color w:val="black"/>
      </w:rPr>
    </w:p>
    <w:p>
      <w:pPr>
        <w:jc w:val="both"/>
        <w:outlineLvl w:val="1"/>
      </w:pPr>
      <w:r>
        <w:rPr>
          <w:rFonts w:hAnsi="Arial"/>
          <w:rFonts w:ascii="Arial"/>
          <w:sz w:val="24"/>
          <w:vanish/>
          <w:color w:val="black"/>
        </w:rPr>
        <w:t>&amp;$</w:t>
      </w:r>
      <w:bookmarkStart w:id="48148" w:name="5"/>
      <w:r>
        <w:rPr>
          <w:rFonts w:hAnsi="Arial"/>
          <w:rFonts w:ascii="Arial"/>
          <w:sz w:val="24"/>
          <w:color w:val="navy"/>
        </w:rPr>
        <w:t xml:space="preserve">ARTÍCULO 5o. SUSPENSIÓN DE TRANSPORTE DOMÉSTICO POR VÍA AÉREA.</w:t>
      </w:r>
      <w:bookmarkEnd w:id="4814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Suspender a partir de las cero horas (00:00 a.m.) del día 13 de abril de 2020, hasta las cero horas (00:00 a.m.) del día 27 de abril de 2020, el transporte doméstico por vía aérea.</w:t>
      </w:r>
    </w:p>
    <w:p>
      <w:pPr>
        <w:jc w:val="both"/>
        <w:outlineLvl w:val="1"/>
      </w:pPr>
      <w:rPr>
        <w:sz w:val="24"/>
        <w:color w:val="black"/>
      </w:rPr>
    </w:p>
    <w:p>
      <w:pPr>
        <w:jc w:val="both"/>
        <w:outlineLvl w:val="1"/>
      </w:pPr>
      <w:r>
        <w:rPr>
          <w:rFonts w:hAnsi="Arial"/>
          <w:rFonts w:ascii="Arial"/>
          <w:sz w:val="24"/>
          <w:color w:val="black"/>
        </w:rPr>
        <w:t xml:space="preserve">Sólo se permitirá el transporte doméstico por vía aérea, en los siguientes casos:</w:t>
      </w:r>
    </w:p>
    <w:p>
      <w:pPr>
        <w:jc w:val="both"/>
        <w:outlineLvl w:val="1"/>
      </w:pPr>
      <w:rPr>
        <w:sz w:val="24"/>
        <w:color w:val="black"/>
      </w:rPr>
    </w:p>
    <w:p>
      <w:pPr>
        <w:jc w:val="both"/>
        <w:outlineLvl w:val="1"/>
      </w:pPr>
      <w:r>
        <w:rPr>
          <w:rFonts w:hAnsi="Arial"/>
          <w:rFonts w:ascii="Arial"/>
          <w:sz w:val="24"/>
          <w:color w:val="black"/>
        </w:rPr>
        <w:t xml:space="preserve">1. Emergencia humanitaria.</w:t>
      </w:r>
    </w:p>
    <w:p>
      <w:pPr>
        <w:jc w:val="both"/>
        <w:outlineLvl w:val="1"/>
      </w:pPr>
      <w:r>
        <w:rPr>
          <w:rFonts w:hAnsi="Arial"/>
          <w:rFonts w:ascii="Arial"/>
          <w:sz w:val="24"/>
          <w:color w:val="black"/>
        </w:rPr>
        <w:t xml:space="preserve">2. El transporte de carga y mercancía.</w:t>
      </w:r>
    </w:p>
    <w:p>
      <w:pPr>
        <w:jc w:val="both"/>
        <w:outlineLvl w:val="1"/>
      </w:pPr>
      <w:r>
        <w:rPr>
          <w:rFonts w:hAnsi="Arial"/>
          <w:rFonts w:ascii="Arial"/>
          <w:sz w:val="24"/>
          <w:color w:val="black"/>
        </w:rPr>
        <w:t xml:space="preserve">3. Caso fortuito o fuerza mayor.</w:t>
      </w:r>
    </w:p>
    <w:p>
      <w:pPr>
        <w:jc w:val="both"/>
        <w:outlineLvl w:val="1"/>
      </w:pPr>
      <w:rPr>
        <w:sz w:val="24"/>
        <w:color w:val="black"/>
      </w:rPr>
    </w:p>
    <w:p>
      <w:pPr>
        <w:jc w:val="both"/>
        <w:outlineLvl w:val="1"/>
      </w:pPr>
      <w:r>
        <w:rPr>
          <w:rFonts w:hAnsi="Arial"/>
          <w:rFonts w:ascii="Arial"/>
          <w:sz w:val="24"/>
          <w:vanish/>
          <w:color w:val="black"/>
        </w:rPr>
        <w:t>&amp;$</w:t>
      </w:r>
      <w:bookmarkStart w:id="48149" w:name="6"/>
      <w:r>
        <w:rPr>
          <w:rFonts w:hAnsi="Arial"/>
          <w:rFonts w:ascii="Arial"/>
          <w:sz w:val="24"/>
          <w:color w:val="navy"/>
        </w:rPr>
        <w:t xml:space="preserve">ARTÍCULO 6o. PROHIBICIÓN DE CONSUMO DE BEBIDAS EMBRIAGANTES.</w:t>
      </w:r>
      <w:bookmarkEnd w:id="4814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las cero horas (00:00 a.m.) del día 13 de abril de 2020, hasta las cero horas (00:00 a.m.) del día 27 de abril de 2020. No queda prohibido el expendio de bebidas embriagantes.</w:t>
      </w:r>
    </w:p>
    <w:p>
      <w:pPr>
        <w:jc w:val="both"/>
        <w:outlineLvl w:val="1"/>
      </w:pPr>
      <w:rPr>
        <w:sz w:val="24"/>
        <w:b/>
        <w:color w:val="black"/>
      </w:rPr>
    </w:p>
    <w:p>
      <w:pPr>
        <w:jc w:val="both"/>
        <w:outlineLvl w:val="1"/>
      </w:pPr>
      <w:r>
        <w:rPr>
          <w:rFonts w:hAnsi="Arial"/>
          <w:rFonts w:ascii="Arial"/>
          <w:sz w:val="24"/>
          <w:b/>
          <w:vanish/>
          <w:color w:val="black"/>
        </w:rPr>
        <w:t>&amp;$</w:t>
      </w:r>
      <w:bookmarkStart w:id="48150" w:name="7"/>
      <w:r>
        <w:rPr>
          <w:rFonts w:hAnsi="Arial"/>
          <w:rFonts w:ascii="Arial"/>
          <w:sz w:val="24"/>
          <w:color w:val="navy"/>
        </w:rPr>
        <w:t xml:space="preserve">ARTÍCULO 7o. GARANTÍAS PARA EL PERSONAL MÉDICO Y DEL SECTOR SALUD.</w:t>
      </w:r>
      <w:bookmarkEnd w:id="4815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w:t>
      </w:r>
    </w:p>
    <w:p>
      <w:pPr>
        <w:jc w:val="both"/>
        <w:outlineLvl w:val="1"/>
      </w:pPr>
      <w:rPr>
        <w:sz w:val="24"/>
        <w:b/>
        <w:color w:val="black"/>
      </w:rPr>
    </w:p>
    <w:p>
      <w:pPr>
        <w:jc w:val="both"/>
        <w:outlineLvl w:val="1"/>
      </w:pPr>
      <w:r>
        <w:rPr>
          <w:rFonts w:hAnsi="Arial"/>
          <w:rFonts w:ascii="Arial"/>
          <w:sz w:val="24"/>
          <w:b/>
          <w:vanish/>
          <w:color w:val="black"/>
        </w:rPr>
        <w:t>&amp;$</w:t>
      </w:r>
      <w:bookmarkStart w:id="48151" w:name="8"/>
      <w:r>
        <w:rPr>
          <w:rFonts w:hAnsi="Arial"/>
          <w:rFonts w:ascii="Arial"/>
          <w:sz w:val="24"/>
          <w:color w:val="navy"/>
        </w:rPr>
        <w:t xml:space="preserve">ARTÍCULO 8o. INOBSERVANCIA DE LAS MEDIDAS.</w:t>
      </w:r>
      <w:bookmarkEnd w:id="4815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"http://www.redjurista.com/document.aspx?ajcode=d0593020&amp;arts=10"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del Decreto 593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w:t>
      </w:r>
      <w:r>
        <w:rPr>
          <w:rFonts w:hAnsi="Arial"/>
          <w:rFonts w:ascii="Arial"/>
          <w:sz w:val="24"/>
          <w:b/>
          <w:u w:val="none"/>
          <w:color w:val="black"/>
        </w:rPr>
        <w:t xml:space="preserve">o l</w:t>
      </w:r>
      <w:r>
        <w:rPr>
          <w:rFonts w:hAnsi="Arial"/>
          <w:rFonts w:ascii="Arial"/>
          <w:sz w:val="24"/>
          <w:u w:val="none"/>
          <w:color w:val="black"/>
        </w:rPr>
        <w:t xml:space="preserve">a norma que sustituya, modifique o derogue.</w:t>
      </w:r>
    </w:p>
    <w:p>
      <w:pPr>
        <w:jc w:val="both"/>
        <w:outlineLvl w:val="1"/>
      </w:pPr>
      <w:rPr>
        <w:sz w:val="24"/>
        <w:color w:val="black"/>
      </w:rPr>
    </w:p>
    <w:p>
      <w:pPr>
        <w:jc w:val="both"/>
        <w:outlineLvl w:val="1"/>
      </w:pPr>
      <w:r>
        <w:rPr>
          <w:rFonts w:hAnsi="Arial"/>
          <w:rFonts w:ascii="Arial"/>
          <w:sz w:val="24"/>
          <w:color w:val="black"/>
        </w:rPr>
        <w:t xml:space="preserve">Los gobernadores y alcaldes que omitan el cumplimiento de lo dispuesto en este decreto, serán sujetos de las sanciones a que haya lugar.</w:t>
      </w:r>
    </w:p>
    <w:p>
      <w:pPr>
        <w:jc w:val="both"/>
      </w:pPr>
      <w:rPr>
        <w:color w:val="black"/>
      </w:rPr>
    </w:p>
    <w:p>
      <w:pPr>
        <w:jc w:val="both"/>
        <w:outlineLvl w:val="1"/>
      </w:pPr>
      <w:r>
        <w:rPr>
          <w:rFonts w:hAnsi="Arial"/>
          <w:rFonts w:ascii="Arial"/>
          <w:sz w:val="24"/>
          <w:b/>
          <w:vanish/>
          <w:color w:val="black"/>
        </w:rPr>
        <w:t>&amp;$</w:t>
      </w:r>
      <w:bookmarkStart w:id="48152" w:name="9"/>
      <w:r>
        <w:rPr>
          <w:rFonts w:hAnsi="Arial"/>
          <w:rFonts w:ascii="Arial"/>
          <w:sz w:val="24"/>
          <w:color w:val="navy"/>
        </w:rPr>
        <w:t xml:space="preserve">ARTÍCULO 9o. VIGENCIA.</w:t>
      </w:r>
      <w:bookmarkEnd w:id="48152"/>
      <w:r>
        <w:rPr>
          <w:rFonts w:hAnsi="Arial"/>
          <w:rFonts w:ascii="Arial"/>
          <w:sz w:val="24"/>
          <w:color w:val="black"/>
        </w:rPr>
        <w:t xml:space="preserve"> El presente Decreto rige a partir de las cero horas (00:00 a.m.) del día 13 de abril de 2020 y deroga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w:t>
      </w:r>
    </w:p>
    <w:p>
      <w:pPr>
        <w:jc w:val="both"/>
        <w:outlineLvl w:val="1"/>
      </w:pPr>
      <w:rPr>
        <w:sz w:val="24"/>
        <w:color w:val="black"/>
      </w:rPr>
    </w:p>
    <w:p>
      <w:pPr>
        <w:jc w:val="center"/>
        <w:outlineLvl w:val="1"/>
      </w:pPr>
      <w:r>
        <w:rPr>
          <w:rFonts w:hAnsi="Arial"/>
          <w:rFonts w:ascii="Arial"/>
          <w:sz w:val="24"/>
          <w:color w:val="black"/>
        </w:rPr>
        <w:t xml:space="preserve">PUBLIQUESE Y CUMPLASE</w:t>
      </w:r>
    </w:p>
    <w:p>
      <w:pPr>
        <w:jc w:val="center"/>
        <w:outlineLvl w:val="1"/>
      </w:pPr>
      <w:r>
        <w:rPr>
          <w:rFonts w:hAnsi="Arial"/>
          <w:rFonts w:ascii="Arial"/>
          <w:sz w:val="24"/>
          <w:color w:val="black"/>
        </w:rPr>
        <w:t xml:space="preserve">Dada en Bogotá D.C. a los,</w:t>
      </w:r>
    </w:p>
    <w:p>
      <w:pPr>
        <w:jc w:val="center"/>
        <w:outlineLvl w:val="1"/>
      </w:pPr>
      <w:rPr>
        <w:sz w:val="24"/>
        <w:color w:val="black"/>
      </w:rPr>
    </w:p>
    <w:p>
      <w:pPr>
        <w:jc w:val="center"/>
        <w:outlineLvl w:val="1"/>
      </w:pPr>
      <w:r>
        <w:rPr>
          <w:rFonts w:hAnsi="Arial"/>
          <w:rFonts w:ascii="Arial"/>
          <w:sz w:val="24"/>
          <w:color w:val="gray"/>
        </w:rPr>
        <w:t xml:space="preserve">IVAN DUQUE MARQUEZ</w:t>
      </w:r>
    </w:p>
    <w:p>
      <w:pPr>
        <w:jc w:val="center"/>
        <w:outlineLvl w:val="1"/>
      </w:pPr>
      <w:rPr>
        <w:sz w:val="24"/>
        <w:color w:val="black"/>
      </w:rPr>
    </w:p>
    <w:p>
      <w:pPr>
        <w:jc w:val="center"/>
        <w:outlineLvl w:val="1"/>
      </w:pPr>
      <w:r>
        <w:rPr>
          <w:rFonts w:hAnsi="Arial"/>
          <w:rFonts w:ascii="Arial"/>
          <w:sz w:val="24"/>
          <w:color w:val="black"/>
        </w:rPr>
        <w:t xml:space="preserve">LA MINISTRA DEL INTERIOR,</w:t>
      </w:r>
    </w:p>
    <w:p>
      <w:pPr>
        <w:jc w:val="center"/>
        <w:outlineLvl w:val="1"/>
      </w:pPr>
      <w:r>
        <w:rPr>
          <w:rFonts w:hAnsi="Arial"/>
          <w:rFonts w:ascii="Arial"/>
          <w:sz w:val="24"/>
          <w:color w:val="gray"/>
        </w:rPr>
        <w:t xml:space="preserve">ALICIA VICTORIA ARANGO OLMOZ</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ALBERTO CARRASQUILLA BARRERA</w:t>
      </w:r>
    </w:p>
    <w:p>
      <w:pPr>
        <w:jc w:val="center"/>
        <w:outlineLvl w:val="1"/>
      </w:pPr>
      <w:rPr>
        <w:sz w:val="24"/>
        <w:color w:val="black"/>
      </w:rPr>
      <w:br w:type="page"/>
    </w:p>
    <w:p>
      <w:pPr>
        <w:jc w:val="center"/>
        <w:outlineLvl w:val="1"/>
      </w:pPr>
      <w:r>
        <w:rPr>
          <w:rFonts w:hAnsi="Arial"/>
          <w:rFonts w:ascii="Arial"/>
          <w:sz w:val="24"/>
          <w:color w:val="black"/>
        </w:rPr>
        <w:t xml:space="preserve">LA MINISTRA DE JUSTICIA Y DEL DERECHO,</w:t>
      </w:r>
    </w:p>
    <w:p>
      <w:pPr>
        <w:jc w:val="center"/>
        <w:outlineLvl w:val="1"/>
      </w:pPr>
      <w:r>
        <w:rPr>
          <w:rFonts w:hAnsi="Arial"/>
          <w:rFonts w:ascii="Arial"/>
          <w:sz w:val="24"/>
          <w:color w:val="gray"/>
        </w:rPr>
        <w:t xml:space="preserve">MARGARITA LEONOR CABELLO BLANCO</w:t>
      </w:r>
    </w:p>
    <w:p>
      <w:pPr>
        <w:jc w:val="center"/>
        <w:outlineLvl w:val="1"/>
      </w:pPr>
      <w:rPr>
        <w:sz w:val="24"/>
        <w:color w:val="black"/>
      </w:rPr>
    </w:p>
    <w:p>
      <w:pPr>
        <w:jc w:val="center"/>
        <w:outlineLvl w:val="1"/>
      </w:pPr>
      <w:r>
        <w:rPr>
          <w:rFonts w:hAnsi="Arial"/>
          <w:rFonts w:ascii="Arial"/>
          <w:sz w:val="24"/>
          <w:color w:val="black"/>
        </w:rPr>
        <w:t xml:space="preserve">EL MINISTRO DE DEFENSA NACIONAL,</w:t>
      </w:r>
    </w:p>
    <w:p>
      <w:pPr>
        <w:jc w:val="center"/>
        <w:outlineLvl w:val="1"/>
      </w:pPr>
      <w:r>
        <w:rPr>
          <w:rFonts w:hAnsi="Arial"/>
          <w:rFonts w:ascii="Arial"/>
          <w:sz w:val="24"/>
          <w:color w:val="gray"/>
        </w:rPr>
        <w:t xml:space="preserve">CARLOS HOLMES TRUJILLO GARCIA</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RODOLFO ENRIQUE ZEA NAVARRO</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w:t>
      </w:r>
    </w:p>
    <w:p>
      <w:pPr>
        <w:jc w:val="center"/>
        <w:outlineLvl w:val="1"/>
      </w:pPr>
      <w:br w:type="page"/>
      <w:r>
        <w:rPr>
          <w:rFonts w:hAnsi="Arial"/>
          <w:rFonts w:ascii="Arial"/>
          <w:sz w:val="24"/>
          <w:color w:val="gray"/>
        </w:rPr>
        <w:t xml:space="preserve">FERNANDO RUIZ GOMEZ</w:t>
      </w:r>
    </w:p>
    <w:p>
      <w:pPr>
        <w:jc w:val="center"/>
        <w:outlineLvl w:val="1"/>
      </w:pPr>
      <w:rPr>
        <w:sz w:val="24"/>
        <w:color w:val="black"/>
      </w:rPr>
    </w:p>
    <w:p>
      <w:pPr>
        <w:jc w:val="center"/>
        <w:outlineLvl w:val="1"/>
      </w:pPr>
      <w:r>
        <w:rPr>
          <w:rFonts w:hAnsi="Arial"/>
          <w:rFonts w:ascii="Arial"/>
          <w:sz w:val="24"/>
          <w:color w:val="black"/>
        </w:rPr>
        <w:t xml:space="preserve">EL MINISTRO DE TRABAJO,</w:t>
      </w:r>
    </w:p>
    <w:p>
      <w:pPr>
        <w:jc w:val="center"/>
        <w:outlineLvl w:val="1"/>
      </w:pPr>
      <w:r>
        <w:rPr>
          <w:rFonts w:hAnsi="Arial"/>
          <w:rFonts w:ascii="Arial"/>
          <w:sz w:val="24"/>
          <w:color w:val="gray"/>
        </w:rPr>
        <w:t xml:space="preserve">ANGEL CUSTODIO CABRERA BAEZ</w:t>
      </w:r>
    </w:p>
    <w:p>
      <w:pPr>
        <w:jc w:val="center"/>
        <w:outlineLvl w:val="1"/>
      </w:pPr>
      <w:rPr>
        <w:sz w:val="24"/>
        <w:color w:val="black"/>
      </w:rPr>
    </w:p>
    <w:p>
      <w:pPr>
        <w:jc w:val="center"/>
        <w:outlineLvl w:val="1"/>
      </w:pPr>
      <w:r>
        <w:rPr>
          <w:rFonts w:hAnsi="Arial"/>
          <w:rFonts w:ascii="Arial"/>
          <w:sz w:val="24"/>
          <w:color w:val="black"/>
        </w:rPr>
        <w:t xml:space="preserve">LA MINISTRA DE MINAS Y ENERGIA,</w:t>
      </w:r>
    </w:p>
    <w:p>
      <w:pPr>
        <w:jc w:val="center"/>
        <w:outlineLvl w:val="1"/>
      </w:pPr>
      <w:r>
        <w:rPr>
          <w:rFonts w:hAnsi="Arial"/>
          <w:rFonts w:ascii="Arial"/>
          <w:sz w:val="24"/>
          <w:color w:val="gray"/>
        </w:rPr>
        <w:t xml:space="preserve">MARÍA FERNANDA SUÁREZ LONDOÑO</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JOSE MANUEL RESTREPO ABONDANO</w:t>
      </w:r>
    </w:p>
    <w:p>
      <w:pPr>
        <w:jc w:val="center"/>
        <w:outlineLvl w:val="1"/>
      </w:pPr>
      <w:rPr>
        <w:sz w:val="24"/>
        <w:color w:val="black"/>
      </w:rPr>
    </w:p>
    <w:p>
      <w:pPr>
        <w:jc w:val="center"/>
        <w:outlineLvl w:val="1"/>
      </w:pPr>
      <w:r>
        <w:rPr>
          <w:rFonts w:hAnsi="Arial"/>
          <w:rFonts w:ascii="Arial"/>
          <w:sz w:val="24"/>
          <w:color w:val="black"/>
        </w:rPr>
        <w:t xml:space="preserve">LA MINISTRA DE EDUCACIÓN NACIONAL,</w:t>
      </w:r>
    </w:p>
    <w:p>
      <w:pPr>
        <w:jc w:val="center"/>
        <w:outlineLvl w:val="1"/>
      </w:pPr>
      <w:r>
        <w:rPr>
          <w:rFonts w:hAnsi="Arial"/>
          <w:rFonts w:ascii="Arial"/>
          <w:sz w:val="24"/>
          <w:color w:val="gray"/>
        </w:rPr>
        <w:t xml:space="preserve">MARIA VICTORIA ANGULO GONZALEZ</w:t>
      </w:r>
    </w:p>
    <w:p>
      <w:pPr>
        <w:jc w:val="center"/>
        <w:outlineLvl w:val="1"/>
      </w:pPr>
      <w:rPr>
        <w:sz w:val="24"/>
        <w:color w:val="black"/>
      </w:rPr>
    </w:p>
    <w:p>
      <w:pPr>
        <w:jc w:val="center"/>
        <w:outlineLvl w:val="1"/>
      </w:pPr>
      <w:r>
        <w:rPr>
          <w:rFonts w:hAnsi="Arial"/>
          <w:rFonts w:ascii="Arial"/>
          <w:sz w:val="24"/>
          <w:color w:val="black"/>
        </w:rPr>
        <w:t xml:space="preserve">EL MINISTRO DE VIVIENDA, CIUDAD Y TERRITORIO</w:t>
      </w:r>
    </w:p>
    <w:p>
      <w:pPr>
        <w:jc w:val="center"/>
        <w:outlineLvl w:val="1"/>
      </w:pPr>
      <w:r>
        <w:rPr>
          <w:rFonts w:hAnsi="Arial"/>
          <w:rFonts w:ascii="Arial"/>
          <w:sz w:val="24"/>
          <w:color w:val="gray"/>
        </w:rPr>
        <w:t xml:space="preserve">JONATHAN MALAGON GONZALEZ</w:t>
      </w:r>
    </w:p>
    <w:p>
      <w:pPr>
        <w:jc w:val="center"/>
        <w:outlineLvl w:val="1"/>
      </w:pPr>
      <w:rPr>
        <w:sz w:val="24"/>
        <w:color w:val="black"/>
      </w:rPr>
      <w:br w:type="page"/>
    </w:p>
    <w:p>
      <w:pPr>
        <w:jc w:val="center"/>
        <w:outlineLvl w:val="1"/>
      </w:pPr>
      <w:r>
        <w:rPr>
          <w:rFonts w:hAnsi="Arial"/>
          <w:rFonts w:ascii="Arial"/>
          <w:sz w:val="24"/>
          <w:color w:val="black"/>
        </w:rPr>
        <w:t xml:space="preserve">LA MINISTRA DE TECNOLOGÍAS DE LA INFORMACIÓN Y LAS COMUNICACIONES,</w:t>
      </w:r>
    </w:p>
    <w:p>
      <w:pPr>
        <w:jc w:val="center"/>
        <w:outlineLvl w:val="1"/>
      </w:pPr>
      <w:r>
        <w:rPr>
          <w:rFonts w:hAnsi="Arial"/>
          <w:rFonts w:ascii="Arial"/>
          <w:sz w:val="24"/>
          <w:color w:val="gray"/>
        </w:rPr>
        <w:t xml:space="preserve">SYLVIA CRISTINA CONSTAIN RENGIFO</w:t>
      </w:r>
    </w:p>
    <w:p>
      <w:pPr>
        <w:jc w:val="center"/>
        <w:outlineLvl w:val="1"/>
      </w:pPr>
      <w:rPr>
        <w:sz w:val="24"/>
        <w:color w:val="black"/>
      </w:rPr>
    </w:p>
    <w:p>
      <w:pPr>
        <w:jc w:val="center"/>
        <w:outlineLvl w:val="1"/>
      </w:pPr>
      <w:r>
        <w:rPr>
          <w:rFonts w:hAnsi="Arial"/>
          <w:rFonts w:ascii="Arial"/>
          <w:sz w:val="24"/>
          <w:color w:val="black"/>
        </w:rPr>
        <w:t xml:space="preserve">LA MINISTRA DE TRANSPORTE,</w:t>
      </w:r>
    </w:p>
    <w:p>
      <w:pPr>
        <w:jc w:val="center"/>
        <w:outlineLvl w:val="1"/>
      </w:pPr>
      <w:r>
        <w:rPr>
          <w:rFonts w:hAnsi="Arial"/>
          <w:rFonts w:ascii="Arial"/>
          <w:sz w:val="24"/>
          <w:color w:val="gray"/>
        </w:rPr>
        <w:t xml:space="preserve">ÁNGELA MIARÍA OROZCO GÓMEZ</w:t>
      </w:r>
    </w:p>
    <w:p>
      <w:pPr>
        <w:jc w:val="center"/>
        <w:outlineLvl w:val="1"/>
      </w:pPr>
      <w:rPr>
        <w:sz w:val="24"/>
        <w:color w:val="black"/>
      </w:rPr>
    </w:p>
    <w:p>
      <w:pPr>
        <w:jc w:val="center"/>
        <w:outlineLvl w:val="1"/>
      </w:pPr>
      <w:r>
        <w:rPr>
          <w:rFonts w:hAnsi="Arial"/>
          <w:rFonts w:ascii="Arial"/>
          <w:sz w:val="24"/>
          <w:color w:val="black"/>
        </w:rPr>
        <w:t xml:space="preserve">EL DIRECTOR DEL DEPARTAMENTO ADMINISTRATIVO DE LA FUNCIÓN PÚBLICA</w:t>
      </w:r>
    </w:p>
    <w:p>
      <w:pPr>
        <w:jc w:val="center"/>
        <w:outlineLvl w:val="1"/>
      </w:pPr>
      <w:r>
        <w:rPr>
          <w:rFonts w:hAnsi="Arial"/>
          <w:rFonts w:ascii="Arial"/>
          <w:sz w:val="24"/>
          <w:color w:val="gray"/>
        </w:rPr>
        <w:t xml:space="preserve">FERNANDO ANTONIO GRILLO RUBIANO</w:t>
      </w:r>
    </w:p>
    <w:p>
      <w:pPr>
        <w:jc w:val="both"/>
        <w:outlineLvl w:val="1"/>
      </w:pPr>
      <w:rPr>
        <w:sz w:val="24"/>
        <w:color w:val="gray"/>
      </w:rPr>
    </w:p>
    <w:p>
      <w:pPr>
        <w:jc w:val="both"/>
        <w:outlineLvl w:val="1"/>
      </w:pPr>
      <w:r>
        <w:rPr>
          <w:rFonts w:hAnsi="Arial"/>
          <w:rFonts w:ascii="Arial"/>
          <w:sz w:val="16"/>
          <w:b/>
          <w:color w:val="black"/>
        </w:rPr>
        <w:t xml:space="preserve">NOTAS AL FINAL: </w:t>
      </w:r>
    </w:p>
    <w:p>
      <w:pPr>
        <w:jc w:val="both"/>
        <w:outlineLvl w:val="1"/>
      </w:pPr>
      <w:rPr>
        <w:sz w:val="16"/>
        <w:b/>
        <w:color w:val="black"/>
      </w:rPr>
    </w:p>
    <w:p>
      <w:pPr>
        <w:jc w:val="both"/>
        <w:outlineLvl w:val="1"/>
      </w:pPr>
      <w:r>
        <w:rPr>
          <w:rFonts w:hAnsi="Arial"/>
          <w:rFonts w:ascii="Arial"/>
          <w:sz w:val="16"/>
          <w:b/>
          <w:vanish/>
          <w:color w:val="black"/>
        </w:rPr>
        <w:t>&amp;$</w:t>
      </w:r>
      <w:bookmarkStart w:id="48153" w:name="NF1"/>
      <w:r>
        <w:rPr>
          <w:rFonts w:hAnsi="Arial"/>
          <w:rFonts w:ascii="Arial"/>
          <w:sz w:val="16"/>
          <w:b/>
          <w:color w:val="navy"/>
        </w:rPr>
        <w:t>1.</w:t>
      </w:r>
      <w:bookmarkEnd w:id="48153"/>
      <w:r>
        <w:rPr>
          <w:rFonts w:hAnsi="Arial"/>
          <w:rFonts w:ascii="Arial"/>
          <w:sz w:val="16"/>
          <w:b/>
          <w:color w:val="black"/>
        </w:rPr>
        <w:t xml:space="preserve"> CET-Central European Tiem</w:t>
      </w:r>
    </w:p>
    <w:sectPr>
      <w:cols w:num="1" w.space="720"/>
      <w:pgSz w:w="12240" w:h="15840"/>
      <w:pgMar w:top="1134" w:right="1134" w:left="1134" w:bottom="1417" w:header="254" w:footer="254"/>
      <w:headerReference w:type="default" r:id="eId7136"/>
      <w:footerReference w:type="default" r:id="eId7137"/>
      <w:type w:val="continuous"/>
    </w:sectPr>
  </w:body>
</w:document>
</file>

<file path=word/footer_default_71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71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styles>
</file>

<file path=word/_rels/document.xml.rels><?xml version="1.0" encoding="UTF-8" standalone="yes"?><Relationships xmlns="http://schemas.openxmlformats.org/package/2006/relationships">
<Relationship Id="eId7136" Type="http://schemas.openxmlformats.org/officeDocument/2006/relationships/header" Target="header_default_7136.xml" />
<Relationship Id="id0" Type="http://schemas.openxmlformats.org/officeDocument/2006/relationships/image" Target="img/img_id0.png"/>
<Relationship Id="eId7137" Type="http://schemas.openxmlformats.org/officeDocument/2006/relationships/footer" Target="footer_default_71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