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48.xml" ContentType="application/vnd.openxmlformats-officedocument.wordprocessingml.header+xml"/>
  <Override PartName="/word/footer_default_71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vanish/>
          <w:color w:val="gray"/>
        </w:rPr>
        <w:t>&amp;&amp;</w:t>
      </w:r>
      <w:r>
        <w:rPr>
          <w:rFonts w:hAnsi="Arial"/>
          <w:rFonts w:ascii="Arial"/>
          <w:sz w:val="24"/>
          <w:b/>
          <w:color w:val="gray"/>
        </w:rPr>
        <w:t xml:space="preserve">DECRETO &lt;LEGISLATIVO&gt; 539 DE 2020</w:t>
      </w:r>
    </w:p>
    <w:p>
      <w:pPr>
        <w:jc w:val="center"/>
        <w:outlineLvl w:val="1"/>
      </w:pPr>
      <w:r>
        <w:rPr>
          <w:rFonts w:hAnsi="Arial"/>
          <w:rFonts w:ascii="Arial"/>
          <w:sz w:val="24"/>
          <w:color w:val="black"/>
        </w:rPr>
        <w:t xml:space="preserve">(abril 13)</w:t>
      </w:r>
    </w:p>
    <w:p>
      <w:pPr>
        <w:jc w:val="center"/>
        <w:outlineLvl w:val="1"/>
      </w:pPr>
      <w:r>
        <w:rPr>
          <w:rFonts w:hAnsi="Arial"/>
          <w:rFonts w:ascii="Arial"/>
          <w:sz w:val="24"/>
          <w:color w:val="black"/>
        </w:rPr>
        <w:t xml:space="preserve">Diario Oficial No. 51.284 de 13 de abril 2020</w:t>
      </w:r>
    </w:p>
    <w:p>
      <w:pPr>
        <w:jc w:val="center"/>
        <w:outlineLvl w:val="1"/>
        <w:tabs>
          <w:tab w:val="left" w:leader="none" w:pos="8840"/>
        </w:tabs>
      </w:pPr>
      <w:rPr>
        <w:sz w:val="24"/>
        <w:color w:val="black"/>
      </w:rPr>
    </w:p>
    <w:p>
      <w:pPr>
        <w:jc w:val="center"/>
        <w:outlineLvl w:val="1"/>
        <w:keepNext/>
        <w:tabs>
          <w:tab w:val="left" w:leader="none" w:pos="8840"/>
        </w:tabs>
      </w:pPr>
      <w:r>
        <w:rPr>
          <w:rFonts w:hAnsi="Arial"/>
          <w:rFonts w:ascii="Arial"/>
          <w:sz w:val="24"/>
          <w:color w:val="gray"/>
        </w:rPr>
        <w:t xml:space="preserve">MINISTERIO DE SALUD Y DE PROTECCIÓN SOCIAL</w:t>
      </w:r>
    </w:p>
    <w:p>
      <w:pPr>
        <w:jc w:val="center"/>
        <w:outlineLvl w:val="1"/>
      </w:pPr>
      <w:rPr>
        <w:sz w:val="24"/>
        <w:color w:val="gray"/>
      </w:rPr>
    </w:p>
    <w:p>
      <w:pPr>
        <w:jc w:val="center"/>
      </w:pPr>
      <w:r>
        <w:rPr>
          <w:rFonts w:hAnsi="Arial"/>
          <w:rFonts w:ascii="Arial"/>
          <w:sz w:val="24"/>
          <w:color w:val="black"/>
        </w:rPr>
        <w:t xml:space="preserve">Por el cual se adoptan medidas de bioseguridad para mitigar, evitar la propagación y realizar el adecuado manejo de la pandemia del Coronavirus COVID-19, en el marco del Estado de Emergencia Económica, Social y Ecológica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en concordancia con la Ley </w:t>
      </w:r>
      <w:r>
        <w:fldChar w:fldCharType="begin"/>
      </w:r>
      <w:r>
        <w:instrText>HYPERLINK "http://www.redjurista.com/document.aspx?ajcode=l0137_94&amp;arts=INICIO"</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1994, y el Decreto Ley </w:t>
      </w:r>
      <w:r>
        <w:fldChar w:fldCharType="begin"/>
      </w:r>
      <w:r>
        <w:instrText>HYPERLINK "http://www.redjurista.com/document.aspx?ajcode=d0417020&amp;arts=INICIO"</w:instrText>
      </w:r>
      <w:r>
        <w:fldChar w:fldCharType="separate"/>
      </w:r>
      <w:r>
        <w:rPr>
          <w:rFonts w:hAnsi="Arial"/>
          <w:rFonts w:ascii="Arial"/>
          <w:sz w:val="24"/>
          <w:u w:val="single"/>
          <w:color w:val="black"/>
        </w:rPr>
        <w:t>417</w:t>
      </w:r>
      <w:r>
        <w:fldChar w:fldCharType="end"/>
      </w:r>
      <w:r>
        <w:rPr>
          <w:rFonts w:hAnsi="Arial"/>
          <w:rFonts w:ascii="Arial"/>
          <w:sz w:val="24"/>
          <w:u w:val="none"/>
          <w:color w:val="black"/>
        </w:rPr>
        <w:t xml:space="preserve"> del 17 de marzo de 2020 "Por el cual se declara un Estado de Emergencia Económica, Social y Ecológica en todo el territorio nacional”,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b/>
        <w:color w:val="black"/>
      </w:rPr>
    </w:p>
    <w:p>
      <w:pPr>
        <w:jc w:val="both"/>
        <w:outlineLvl w:val="1"/>
      </w:pPr>
      <w:r>
        <w:rPr>
          <w:rFonts w:hAnsi="Arial"/>
          <w:rFonts w:ascii="Arial"/>
          <w:sz w:val="24"/>
          <w:color w:val="black"/>
        </w:rPr>
        <w:t xml:space="preserve">Que en los términos del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el Presidente de la República, con la firma de todos los ministros, en caso de que sobrevengan hechos distintos de los previstos 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ibídem, que perturben o amenacen perturbar en forma grave e inminente el orden económico, social y ecológico del país, o que constituyan grave calamidad pública, podrá declarar el Estado de Emergencia Económica, Social y Ecológica.</w:t>
      </w:r>
    </w:p>
    <w:p>
      <w:pPr>
        <w:jc w:val="both"/>
        <w:outlineLvl w:val="1"/>
      </w:pPr>
      <w:rPr>
        <w:sz w:val="24"/>
        <w:b/>
        <w:color w:val="black"/>
      </w:rPr>
    </w:p>
    <w:p>
      <w:pPr>
        <w:jc w:val="both"/>
        <w:outlineLvl w:val="1"/>
      </w:pPr>
      <w:r>
        <w:rPr>
          <w:rFonts w:hAnsi="Arial"/>
          <w:rFonts w:ascii="Arial"/>
          <w:sz w:val="24"/>
          <w:color w:val="black"/>
        </w:rPr>
        <w:t xml:space="preserve">Que, según la misma norma constitucional, una vez declarado el estado de Emergencia Económica, Social y Ecológica, el Presidente, con la firma de todos los ministros, podrá dictar decretos con fuerza de ley destinados exclusivamente a conjurar la crisis y a impedir la extensión de sus efectos.</w:t>
      </w:r>
    </w:p>
    <w:p>
      <w:pPr>
        <w:jc w:val="both"/>
        <w:outlineLvl w:val="1"/>
      </w:pPr>
      <w:rPr>
        <w:sz w:val="24"/>
        <w:b/>
        <w:color w:val="black"/>
      </w:rPr>
    </w:p>
    <w:p>
      <w:pPr>
        <w:jc w:val="both"/>
        <w:outlineLvl w:val="1"/>
      </w:pPr>
      <w:r>
        <w:rPr>
          <w:rFonts w:hAnsi="Arial"/>
          <w:rFonts w:ascii="Arial"/>
          <w:sz w:val="24"/>
          <w:color w:val="black"/>
        </w:rPr>
        <w:t xml:space="preserve">Que estos decretos deberán referirse a materias que tengan relación directa y específica con el estado de Emergencia Económica, Social y Ecológica, y podrán, en forma transitoria, establecer nuevos tributos o modificar los existentes.</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"http://www.redjurista.com/document.aspx?ajcode=d0417020&amp;arts=INICIO"</w:instrText>
      </w:r>
      <w:r>
        <w:fldChar w:fldCharType="separate"/>
      </w:r>
      <w:r>
        <w:rPr>
          <w:rFonts w:hAnsi="Arial"/>
          <w:rFonts w:ascii="Arial"/>
          <w:sz w:val="24"/>
          <w:u w:val="single"/>
          <w:color w:val="black"/>
        </w:rPr>
        <w:t>417</w:t>
      </w:r>
      <w:r>
        <w:fldChar w:fldCharType="end"/>
      </w:r>
      <w:r>
        <w:rPr>
          <w:rFonts w:hAnsi="Arial"/>
          <w:rFonts w:ascii="Arial"/>
          <w:sz w:val="24"/>
          <w:u w:val="none"/>
          <w:color w:val="black"/>
        </w:rPr>
        <w:t xml:space="preserve"> del 17 de marzo de 2020, se declaró el estado de emergencia económica, social y ecológica en todo el territorio nacional, por el término de treinta (30) días calendario, con el fin de conjurar la grave calamidad pública que afecta al país por causa del Coronavirus COVID-19.</w:t>
      </w:r>
    </w:p>
    <w:p>
      <w:pPr>
        <w:jc w:val="both"/>
        <w:outlineLvl w:val="1"/>
      </w:pPr>
      <w:rPr>
        <w:sz w:val="24"/>
        <w:b/>
        <w:color w:val="black"/>
      </w:rPr>
    </w:p>
    <w:p>
      <w:pPr>
        <w:jc w:val="both"/>
        <w:outlineLvl w:val="1"/>
      </w:pPr>
      <w:r>
        <w:rPr>
          <w:rFonts w:hAnsi="Arial"/>
          <w:rFonts w:ascii="Arial"/>
          <w:sz w:val="24"/>
          <w:color w:val="black"/>
        </w:rPr>
        <w:t xml:space="preserve">Que dentro de las razones generales tenidas en cuenta para la adopción de dicha medida, se incluyeron las siguientes:</w:t>
      </w:r>
    </w:p>
    <w:p>
      <w:pPr>
        <w:jc w:val="both"/>
        <w:outlineLvl w:val="1"/>
      </w:pPr>
      <w:rPr>
        <w:sz w:val="24"/>
        <w:b/>
        <w:color w:val="black"/>
      </w:rPr>
    </w:p>
    <w:p>
      <w:pPr>
        <w:jc w:val="both"/>
        <w:outlineLvl w:val="1"/>
      </w:pPr>
      <w:r>
        <w:rPr>
          <w:rFonts w:hAnsi="Arial"/>
          <w:rFonts w:ascii="Arial"/>
          <w:sz w:val="24"/>
          <w:color w:val="black"/>
        </w:rPr>
        <w:t xml:space="preserve">Que el 30 de enero de 2020, la Organización Mundial de la Salud (o en adelanta OMS) identificó el Coronavirus COVID-19 y declaró este brote como emergencia de salud pública de importancia internacional.</w:t>
      </w:r>
    </w:p>
    <w:p>
      <w:pPr>
        <w:jc w:val="both"/>
        <w:outlineLvl w:val="1"/>
      </w:pPr>
      <w:rPr>
        <w:sz w:val="24"/>
        <w:color w:val="black"/>
      </w:rPr>
    </w:p>
    <w:p>
      <w:pPr>
        <w:jc w:val="both"/>
        <w:outlineLvl w:val="1"/>
      </w:pPr>
      <w:r>
        <w:rPr>
          <w:rFonts w:hAnsi="Arial"/>
          <w:rFonts w:ascii="Arial"/>
          <w:sz w:val="24"/>
          <w:color w:val="black"/>
        </w:rPr>
        <w:t xml:space="preserve">Que el 6 de marzo de 2020 el Ministerio de Salud y de la Protección Social dio a conocer el primer caso de brote de enfermedad por Coronavírus COVID-19 en el territorio nacional.</w:t>
      </w:r>
    </w:p>
    <w:p>
      <w:pPr>
        <w:jc w:val="both"/>
        <w:outlineLvl w:val="1"/>
      </w:pPr>
      <w:rPr>
        <w:sz w:val="24"/>
        <w:b/>
        <w:color w:val="black"/>
      </w:rPr>
    </w:p>
    <w:p>
      <w:pPr>
        <w:jc w:val="both"/>
        <w:outlineLvl w:val="1"/>
      </w:pPr>
      <w:r>
        <w:rPr>
          <w:rFonts w:hAnsi="Arial"/>
          <w:rFonts w:ascii="Arial"/>
          <w:sz w:val="24"/>
          <w:color w:val="black"/>
        </w:rPr>
        <w:t xml:space="preserve">Que el 9 de marzo de 2020, la Organización Mundial de la Salud solicitó a los países la adopción de medidas prematuras, con el objetivo de detener la transmisión y prevenir la propagación del virus.</w:t>
      </w:r>
    </w:p>
    <w:p>
      <w:pPr>
        <w:jc w:val="both"/>
        <w:outlineLvl w:val="1"/>
      </w:pPr>
      <w:rPr>
        <w:sz w:val="24"/>
        <w:b/>
        <w:color w:val="black"/>
      </w:rPr>
    </w:p>
    <w:p>
      <w:pPr>
        <w:jc w:val="both"/>
        <w:outlineLvl w:val="1"/>
      </w:pPr>
      <w:r>
        <w:rPr>
          <w:rFonts w:hAnsi="Arial"/>
          <w:rFonts w:ascii="Arial"/>
          <w:sz w:val="24"/>
          <w:color w:val="black"/>
        </w:rPr>
        <w:t xml:space="preserve">Que el 11 de marzo de 2020, la Organización Mundial de la Salud declaró el brote de enfermedad por coronavírus COVID-19 como una pandemia, esencialmente por la velocidad de su propagación y la escala de trasmisión, puesto que a esa fecha se habían notificado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w:t>
      </w:r>
    </w:p>
    <w:p>
      <w:pPr>
        <w:jc w:val="both"/>
        <w:outlineLvl w:val="1"/>
      </w:pPr>
      <w:rPr>
        <w:sz w:val="24"/>
        <w:b/>
        <w:color w:val="black"/>
      </w:rPr>
    </w:p>
    <w:p>
      <w:pPr>
        <w:jc w:val="both"/>
        <w:outlineLvl w:val="1"/>
      </w:pPr>
      <w:r>
        <w:rPr>
          <w:rFonts w:hAnsi="Arial"/>
          <w:rFonts w:ascii="Arial"/>
          <w:sz w:val="24"/>
          <w:color w:val="black"/>
        </w:rPr>
        <w:t xml:space="preserve">Que, según la OMS, la pandemia del Coronavírus COVID-19, es una emergencia sanitaria y social mundial, que requiere una acción efectiva e inmediata de los gobiernos, las personas y las empresas.</w:t>
      </w:r>
    </w:p>
    <w:p>
      <w:pPr>
        <w:jc w:val="both"/>
        <w:outlineLvl w:val="1"/>
      </w:pPr>
      <w:rPr>
        <w:sz w:val="24"/>
        <w:b/>
        <w:color w:val="black"/>
      </w:rPr>
    </w:p>
    <w:p>
      <w:pPr>
        <w:jc w:val="both"/>
        <w:outlineLvl w:val="1"/>
      </w:pPr>
      <w:r>
        <w:rPr>
          <w:rFonts w:hAnsi="Arial"/>
          <w:rFonts w:ascii="Arial"/>
          <w:sz w:val="24"/>
          <w:color w:val="black"/>
        </w:rPr>
        <w:t xml:space="preserve">Que mediante la Resolución No. 000</w:t>
      </w:r>
      <w:r>
        <w:fldChar w:fldCharType="begin"/>
      </w:r>
      <w:r>
        <w:instrText>HYPERLINK "http://www.redjurista.com/document.aspx?ajcode=r_msps_0380_2020&amp;arts=INICIO"</w:instrText>
      </w:r>
      <w:r>
        <w:fldChar w:fldCharType="separate"/>
      </w:r>
      <w:r>
        <w:rPr>
          <w:rFonts w:hAnsi="Arial"/>
          <w:rFonts w:ascii="Arial"/>
          <w:sz w:val="24"/>
          <w:u w:val="single"/>
          <w:color w:val="black"/>
        </w:rPr>
        <w:t>0380</w:t>
      </w:r>
      <w:r>
        <w:fldChar w:fldCharType="end"/>
      </w:r>
      <w:r>
        <w:rPr>
          <w:rFonts w:hAnsi="Arial"/>
          <w:rFonts w:ascii="Arial"/>
          <w:sz w:val="24"/>
          <w:u w:val="none"/>
          <w:color w:val="black"/>
        </w:rPr>
        <w:t xml:space="preserve"> del 10 de marzo de 2020, el Ministerio de Salud y Protección Social adoptó, entre otras, medidas preventivas sanitarias de aislamiento y cuarentena por 14 días de las personas que, a partir de la entrada en vigencia de la precitada resolución, arribaran a Colombia desde la República Popular China, Francia, Italia y España.</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el ministro de Salud y Protección Social, de acuerdo con lo establecido en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declaró el estado de emergencia sanitaria por causa del Coronavírus COVID- 19 en todo el territorio nacional hasta el 30 de mayo de 2020 y, en consecuencia, adoptó una serie de medidas con el objeto de prevenir y controlar la propagación del Coronavírus COVID-19 y mitigar sus efectos.</w:t>
      </w:r>
    </w:p>
    <w:p>
      <w:pPr>
        <w:jc w:val="both"/>
        <w:outlineLvl w:val="1"/>
      </w:pPr>
      <w:rPr>
        <w:sz w:val="24"/>
        <w:b/>
        <w:color w:val="black"/>
      </w:rPr>
    </w:p>
    <w:p>
      <w:pPr>
        <w:jc w:val="both"/>
        <w:outlineLvl w:val="1"/>
      </w:pPr>
      <w:r>
        <w:rPr>
          <w:rFonts w:hAnsi="Arial"/>
          <w:rFonts w:ascii="Arial"/>
          <w:sz w:val="24"/>
          <w:color w:val="black"/>
        </w:rPr>
        <w:t xml:space="preserve">Que el vertiginoso escalamiento del brote del Coronavírus COVID-19, hasta configurar una pandemia, representa actualmente una amenaza global a la salud pública, con afectaciones al sistema económico, de magnitudes impredecibles e incalculables, de la cual Colombia no podrá estar exenta.</w:t>
      </w:r>
    </w:p>
    <w:p>
      <w:pPr>
        <w:jc w:val="both"/>
        <w:outlineLvl w:val="1"/>
      </w:pPr>
      <w:rPr>
        <w:sz w:val="24"/>
        <w:b/>
        <w:color w:val="black"/>
      </w:rPr>
    </w:p>
    <w:p>
      <w:pPr>
        <w:jc w:val="both"/>
        <w:outlineLvl w:val="1"/>
      </w:pPr>
      <w:r>
        <w:rPr>
          <w:rFonts w:hAnsi="Arial"/>
          <w:rFonts w:ascii="Arial"/>
          <w:sz w:val="24"/>
          <w:color w:val="black"/>
        </w:rPr>
        <w:t xml:space="preserve">Que la expansión en el territorio nacional del brote de enfermedad por el Coronavírus COVID-19, cuyo crecimiento exponencial es imprevisible, sumado a los efectos económicos negativos que se han venido evidenciando, es un hecho que, además de ser una grave calamidad pública, constituye en una grave afectación al orden económico y social del país, que justificó la declaratoria del Estado de Emergencia Económica y Social.</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Coronavírus COVID-19 y 0 fallecidos, cifra que ha venido creciendo a nivel país de la siguiente manera; 102 personas contagiadas al 18 de marzo de 2020; 108 personas contagiadas al día 19 de marzo de 2020; 145 personas contagiadas al día 20 de marzo, 196 personas contagiadas al día 21 de marzo, 235 personas contagiadas al 22 de marzo, 306 personas contagiadas al 23 de marzo de 2020; 378 personas contagiadas al día 24 de marzo; 470 personas contagiadas al día 25 de marzo, 491 personas contagiadas al día 26 de marzo, 539 personas contagiadas al día 27 de marzo, 608 personas contagiadas al 28 de marzo, 702 personas contagiadas al 29 de marzo; 798 personas contagiadas al día 30 de marzo; 906 personas contagiadas al día 31 de marzo, 1,065 personas contagiadas al día 1 de abril, 1.161 personas contagiadas al día 2 de abril, 1.267 personas contagiadas al día 3 de abril, 1,406 personas contagiadas al día 4 de abril, 1,485 personas contagiadas al día 5 de abril, 1,579 personas contagiadas al día 6 de abril, 1.780 personas contagiadas al 7 de abril, 2.054 personas contagiadas al 8 de abril, 2,223 personas contagiadas al 9 de abril, 2,473 personas contagiadas al día 10 de abril, 2,709 personas contagiadas al 11 de abril, 2.776 personas contagiadas al 12 de abril y cien (109) fallecidos a esa fecha.</w:t>
      </w:r>
    </w:p>
    <w:p>
      <w:pPr>
        <w:jc w:val="both"/>
        <w:outlineLvl w:val="1"/>
      </w:pPr>
      <w:rPr>
        <w:sz w:val="24"/>
        <w:b/>
        <w:color w:val="black"/>
      </w:rPr>
    </w:p>
    <w:p>
      <w:pPr>
        <w:jc w:val="both"/>
        <w:outlineLvl w:val="1"/>
      </w:pPr>
      <w:r>
        <w:rPr>
          <w:rFonts w:hAnsi="Arial"/>
          <w:rFonts w:ascii="Arial"/>
          <w:sz w:val="24"/>
          <w:color w:val="black"/>
        </w:rPr>
        <w:t xml:space="preserve">Que pese a las medidas adoptadas, el Ministerio de Salud y Protección Social reportó el 12 de abril de 2020 109 muertes y 2.776 casos confirmados en Colombia, distribuidos así: Bogotá D.C, (1,186), Cundinamarca (112), Antioquia (260), Valle del Cauca (489), Bolívar (123), Atlántico (88), Magdalena (61), Cesar (32), Norte de Santander (43), Santander (29), Cauca (19), Caldas (34), Rísaralda (60), Quindío (47), Huila (52), Tolima (23), Meta (21), Casanare (7), San Andrés y Providencia (5), Nariño (38), Boyacá (31), Córdoba (13), Sucre (1) y La Guajira (1), Chocó (1).</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 QMS, se ha reportado la siguiente información; (i) en reporte número 57 de fecha 17 de marzo de 2020 a las 10:00 a.m. CET</w:t>
      </w:r>
      <w:r>
        <w:fldChar w:fldCharType="begin"/>
      </w:r>
      <w:r>
        <w:instrText>HYPERLINK "http://www.redjurista.com/document.aspx?ajcode=d0539020&amp;arts=NF1"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señaló que se encuentran confirmados 179.111 casos del nuevo coronavirus COVID-19 y 7.426 fallecidos, (ii) en reporte número 62 de fecha 21 de marzo de 2020 a las 23:59 p.m. CET señaló que se encuentran confirmados 292.142 casos del nuevo coronavirus COVID-19 y 12.783 fallecidos, (iii) en reporte número 63 de fecha 23 de marzo de 2020 a las 10:00 a.m. CET señaló que se encuentran confirmados 332.930 casos del nuevo coronavirus COVID-19 y 14.509 fallecidos, (iv) en el reporte número 79 de fecha 8 de abril de 2020 a las 10:00 a.m. CET se encuentran confirmados 1.353.361 casos del nuevo coronavirus COVID-19 y 79.235 fallecidos, (v) en el reporte número 80 del 9 de abril de 2020 a las 10:00 a.m. CET señaló que se encuentran confirmados 1.436.198 casos del nuevo coronavirus COVID-19 y 85,521 fallecidos, (vi) en el reporte número 81 del 10 de abril de 2020 a las 10:00 a.m. CET señaló que se encuentran confirmados 1,521,252 casos del nuevo coronavirus COVID-19 y 92.798 fallecidos, (vii) en el reporte número 82 del 11 de abril de 2020 a las 10:00 a.m. CET señaló que se encuentran confirmados 1,610,909 casos del nuevo coronavirus COVID-19 y 99.690 muertes, y (vii) en el reporte número 83 del 12 de abril de 2020 a las 10:00 a.m, CET señaló que se encuentran confirmados 1.696.588 casos del nuevo coronavirus COVID-19 y 105.952 fallecidos.</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 OMS, en reporte de fecha 11 de abril de 2020 a las 19:00 GMT-5, - hora del Meridiano de Greenwich-, se encuentran confirmados 1.699.595 casos, 106,138 fallecidos y 213 países, áreas o territorios con casos del nuevo coronavirus COVID-19.</w:t>
      </w:r>
    </w:p>
    <w:p>
      <w:pPr>
        <w:jc w:val="both"/>
        <w:outlineLvl w:val="1"/>
      </w:pPr>
      <w:rPr>
        <w:sz w:val="24"/>
        <w:b/>
        <w:color w:val="black"/>
      </w:rPr>
      <w:br w:type="page"/>
    </w:p>
    <w:p>
      <w:pPr>
        <w:jc w:val="both"/>
        <w:outlineLvl w:val="1"/>
      </w:pPr>
      <w:r>
        <w:rPr>
          <w:rFonts w:hAnsi="Arial"/>
          <w:rFonts w:ascii="Arial"/>
          <w:sz w:val="24"/>
          <w:color w:val="black"/>
        </w:rPr>
        <w:t xml:space="preserve">Que el Fondo Monetario Internacional mediante Comunicado de Prensa 20/114 del 27 de marzo de 2020, publicó la “Declaración conjunta del Presidente del Comité Monetario y Financiero Internacional y la Directora Gerente del Fondo Monetario Internacional”, la cual expresa:</w:t>
      </w:r>
    </w:p>
    <w:p>
      <w:pPr>
        <w:jc w:val="both"/>
        <w:outlineLvl w:val="1"/>
      </w:pPr>
      <w:rPr>
        <w:sz w:val="24"/>
        <w:b/>
        <w:color w:val="black"/>
      </w:rPr>
    </w:p>
    <w:p>
      <w:pPr>
        <w:jc w:val="both"/>
        <w:outlineLvl w:val="1"/>
      </w:pPr>
      <w:r>
        <w:rPr>
          <w:rFonts w:hAnsi="Arial"/>
          <w:rFonts w:ascii="Arial"/>
          <w:sz w:val="24"/>
          <w:color w:val="black"/>
        </w:rPr>
        <w:t xml:space="preserve">“[...] Estamos en una situación sin precedentes en la que una pandemia mundial se ha convertido en una crisis económica y financiera. Dada la interrupción repentina de la actividad económica, el producto mundial se contraerá en 2020. Los países miembros ya han tomado medidas extraordinarias para salvar vidas y salvaguardar la actividad económica. Pero es necesario hacer más. Se debe dar prioridad al apoyo fiscal focalizado para los hogares y las empresas vulnerables a fin de acelerar y afianzar la recuperación en 2021</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"http://www.redjurista.com/document.aspx?ajcode=l0137_94&amp;arts=47"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Estatutaria 137 de 1994 faculta al Gobierno nacional para que en virtud de la declaración del Estado de Emergencia, pueda dictar decretos con fuerza de ley, destinados exclusivamente a conjurar la crisis y a impedir la extensión de sus efectos, siempre que (i) dichos decretos se refieran a materias que tengan relación directa y específica con dicho Estado, (ii) su finalidad esté encaminada a conjurar las causas de la perturbación y a impedir la extensión de sus efectos, (iii) las medidas adoptadas sean necesarias para alcanzar los fines que dieron lugar a la declaratoria de Estado de Excepción correspondiente, y (iv) cuando se trate de decretos legislativos que suspendan leyes se expresen las razones por las cuales son incompatibles con el correspondiente Estado de Excepción.</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en el comunicado de fecha de 18 de marzo de 2020 sobre el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citado comunicado insta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Constitución Política prevé que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outlineLvl w:val="1"/>
      </w:pPr>
      <w:rPr>
        <w:sz w:val="24"/>
        <w:b/>
        <w:color w:val="black"/>
      </w:rPr>
    </w:p>
    <w:p>
      <w:pPr>
        <w:jc w:val="both"/>
        <w:outlineLvl w:val="1"/>
      </w:pPr>
      <w:r>
        <w:rPr>
          <w:rFonts w:hAnsi="Arial"/>
          <w:rFonts w:ascii="Arial"/>
          <w:sz w:val="24"/>
          <w:color w:val="black"/>
        </w:rPr>
        <w:t xml:space="preserve">Que la Ley 1751 de 2015 “Por medio de la cual se regula el derecho fundamental a la salud y se dictan otras disposiciones” en su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establece dentro de las obligaciones del Estado, que el mismo, “es responsable de respetar, proteger y garantizar el goce efectivo del derecho fundamental a la salud, como uno de los elementos fundamentales del Estado Social de Derecho”.</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385 de 2020, para suspender los eventos con aforo de más de cincuenta (50) personas</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"http://www.redjurista.com/document.aspx?ajcode=r_msps_0453_2020&amp;arts=INICIO"</w:instrText>
      </w:r>
      <w:r>
        <w:fldChar w:fldCharType="separate"/>
      </w:r>
      <w:r>
        <w:rPr>
          <w:rFonts w:hAnsi="Arial"/>
          <w:rFonts w:ascii="Arial"/>
          <w:sz w:val="24"/>
          <w:u w:val="single"/>
          <w:color w:val="black"/>
        </w:rPr>
        <w:t>453</w:t>
      </w:r>
      <w:r>
        <w:fldChar w:fldCharType="end"/>
      </w:r>
      <w:r>
        <w:rPr>
          <w:rFonts w:hAnsi="Arial"/>
          <w:rFonts w:ascii="Arial"/>
          <w:sz w:val="24"/>
          <w:u w:val="none"/>
          <w:color w:val="black"/>
        </w:rPr>
        <w:t xml:space="preserve"> del 18 de marzo de 2020, el Ministerio de Protección Social, ordenó la medida sanitaria obligatoria preventiva y de control en todo el territorio nacional, la clausura de los establecimientos y locales comerciales de esparcimiento y diversión; de baile; ocio y entretenimiento y de juegos de azar y apuestas tales como casino, bingos y terminales de juegos de vídeo y precisa que la venta de comidas y bebidas permanecerán cerrados al público y solamente podrán ofrecer estos servicios a través de comercio electrónico o por entrega a domicilio para su consumo fuera de los establecimientos atendiendo las medidas sanitarias a que haya lugar. Adicionalmente, prohíbe el expendido de bebidas alcohólicas para el consumo dentro de los establecimientos, no obstante, permitió la venta de estos productos a través de comercio electrónico o por entrega a domicilio, para su consumo fuera de los establecimientos, exceptuando tos servicios prestados en establecimientos hoteleros.</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a.m.) hasta el treinta (30) de mayo de 2020 a las doce de la noche (12:00 p.m.).</w:t>
      </w:r>
    </w:p>
    <w:p>
      <w:pPr>
        <w:jc w:val="both"/>
        <w:outlineLvl w:val="1"/>
      </w:pPr>
      <w:rPr>
        <w:sz w:val="24"/>
        <w:b/>
        <w:color w:val="black"/>
      </w:rPr>
    </w:p>
    <w:p>
      <w:pPr>
        <w:jc w:val="both"/>
        <w:outlineLvl w:val="1"/>
      </w:pPr>
      <w:r>
        <w:rPr>
          <w:rFonts w:hAnsi="Arial"/>
          <w:rFonts w:ascii="Arial"/>
          <w:sz w:val="24"/>
          <w:color w:val="black"/>
        </w:rPr>
        <w:t xml:space="preserve">Que de conformidad con el numeral 2 del artículo </w:t>
      </w:r>
      <w:r>
        <w:fldChar w:fldCharType="begin"/>
      </w:r>
      <w:r>
        <w:instrText>HYPERLINK "http://www.redjurista.com/document.aspx?ajcode=d4107011&amp;arts=3"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Ley 4107 de 2011 “Por el cual se determinan tos objetivos y la estructura del Ministerio de Salud y Protección Social y se integra el Sector Administrativo de Salud y Protección Social”, es función del Ministerio de Salud y Protección Social “Formular la política, dirigir, orientar, adoptar y evaluar la ejecución, planes, programas y proyectos del Gobierno Nacional en materia de salud, salud pública, riesgos profesionales, y de control de los riesgos provenientes de enfermedades comunes, ambientales, sanitarias y psicosociales, que afecten a las personas, grupos, familias o comunidades”.</w:t>
      </w:r>
    </w:p>
    <w:p>
      <w:pPr>
        <w:jc w:val="both"/>
        <w:outlineLvl w:val="1"/>
      </w:pPr>
      <w:rPr>
        <w:sz w:val="24"/>
        <w:b/>
        <w:color w:val="black"/>
      </w:rPr>
      <w:br w:type="page"/>
    </w:p>
    <w:p>
      <w:pPr>
        <w:jc w:val="both"/>
        <w:outlineLvl w:val="1"/>
      </w:pPr>
      <w:r>
        <w:rPr>
          <w:rFonts w:hAnsi="Arial"/>
          <w:rFonts w:ascii="Arial"/>
          <w:sz w:val="24"/>
          <w:color w:val="black"/>
        </w:rPr>
        <w:t xml:space="preserve">Que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“Por la cual se expide el Plan Nacional de Desarrollo 2014-2018 “Todos por un nuevo país”, artículo que no fue derogado por el artículo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 “por el cual se expide el Plan Nacional de Desarrollo 2018-2022. “Pacto por Colombia, Pacto por la Equidad”, establece que el Ministerio de Salud y Protección Social podrá declarar la emergencia sanitaria y determinará las acciones que se requieran para superar las circunstancias que generaron la emergencia sanitaria y/o eventos catastróficos con el fin de garantizar la existencia y disponibilidad de talento humano, bienes y servicios de salud, de conformidad con la reglamentación que para el efecto expida el Gobierno Nacional. Cuando las acciones requeridas para superar dichas circunstancias tengan que ver con bienes en salud, la regulación que se expida deberá fundamentarse en razones de urgencia extrema.</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"http://www.redjurista.com/document.aspx?ajcode=d0780016&amp;arts=2.8.8.1.4.2"</w:instrText>
      </w:r>
      <w:r>
        <w:fldChar w:fldCharType="separate"/>
      </w:r>
      <w:r>
        <w:rPr>
          <w:rFonts w:hAnsi="Arial"/>
          <w:rFonts w:ascii="Arial"/>
          <w:sz w:val="24"/>
          <w:u w:val="single"/>
          <w:color w:val="black"/>
        </w:rPr>
        <w:t>2.8.8.1.4.2</w:t>
      </w:r>
      <w:r>
        <w:fldChar w:fldCharType="end"/>
      </w:r>
      <w:r>
        <w:rPr>
          <w:rFonts w:hAnsi="Arial"/>
          <w:rFonts w:ascii="Arial"/>
          <w:sz w:val="24"/>
          <w:u w:val="none"/>
          <w:color w:val="black"/>
        </w:rPr>
        <w:t xml:space="preserve"> del Decreto 780 de 2016, son autoridades sanitarias de vigilancia en salud pública el Ministerio de Salud y Protección Social, el Instituto Nacional de Salud (INS), el Instituto Nacional de Vigilancia de Medicamentos y Alimentos (Invima), las Direcciones Territoriales de Salud, y todas aquellas entidades que de acuerdo con la ley ejerzan funciones de vigilancia y control sanitario, las cuales deben adoptar medidas sanitarias que garanticen la protección de la salud pública y el cumplimiento de lo dispuesto en esta norma, así como adelantar los procedimientos y aplicar las sanciones a que hubiere lugar.</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"http://www.redjurista.com/document.aspx?ajcode=l0715001&amp;arts=43"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"http://www.redjurista.com/document.aspx?ajcode=l0715001&amp;arts=44"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715 de 2001 corresponde a los departamentos y municipios dirigir, coordinar y vigilar el sector salud y el Sistema General de Seguridad Social en Salud en el territorio de su jurisdicción, atendiendo las disposiciones nacionales sobre la materia.</w:t>
      </w:r>
    </w:p>
    <w:p>
      <w:pPr>
        <w:jc w:val="both"/>
        <w:outlineLvl w:val="1"/>
      </w:pPr>
      <w:rPr>
        <w:sz w:val="24"/>
        <w:b/>
        <w:color w:val="black"/>
      </w:rPr>
    </w:p>
    <w:p>
      <w:pPr>
        <w:jc w:val="both"/>
        <w:outlineLvl w:val="1"/>
      </w:pPr>
      <w:r>
        <w:rPr>
          <w:rFonts w:hAnsi="Arial"/>
          <w:rFonts w:ascii="Arial"/>
          <w:sz w:val="24"/>
          <w:color w:val="black"/>
        </w:rPr>
        <w:t xml:space="preserve">Que mediante la Resolución </w:t>
      </w:r>
      <w:r>
        <w:fldChar w:fldCharType="begin"/>
      </w:r>
      <w:r>
        <w:instrText>HYPERLINK "http://www.redjurista.com/document.aspx?ajcode=r_msps_0536_2020&amp;arts=INICIO"</w:instrText>
      </w:r>
      <w:r>
        <w:fldChar w:fldCharType="separate"/>
      </w:r>
      <w:r>
        <w:rPr>
          <w:rFonts w:hAnsi="Arial"/>
          <w:rFonts w:ascii="Arial"/>
          <w:sz w:val="24"/>
          <w:u w:val="single"/>
          <w:color w:val="black"/>
        </w:rPr>
        <w:t>536</w:t>
      </w:r>
      <w:r>
        <w:fldChar w:fldCharType="end"/>
      </w:r>
      <w:r>
        <w:rPr>
          <w:rFonts w:hAnsi="Arial"/>
          <w:rFonts w:ascii="Arial"/>
          <w:sz w:val="24"/>
          <w:u w:val="none"/>
          <w:color w:val="black"/>
        </w:rPr>
        <w:t xml:space="preserve"> del 31 de marzo de 2020 el Ministerio de Salud y Protección Social adoptó el “Plan de acción para la prestación de servicios de salud durante las etapas de contención y mitigación de la pandemia por SARS-CoV-2 (COVID-19)'', el cual es de obligatorio cumplimiento por parte de los Integrantes del Sistema General de Seguridad Social en Salud y los Regímenes Especial y de Excepción; el cual puede ser consultado en la página web del Ministerio de Salud y Protección Social en el micro sitio Coronavírus - Documentos técnicos.</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Coronavírus COVID- 19, entro otras, la adopción de medidas de distanciamiento social.</w:t>
      </w:r>
    </w:p>
    <w:p>
      <w:pPr>
        <w:jc w:val="both"/>
        <w:outlineLvl w:val="1"/>
      </w:pPr>
      <w:rPr>
        <w:sz w:val="24"/>
        <w:b/>
        <w:color w:val="black"/>
      </w:rPr>
    </w:p>
    <w:p>
      <w:pPr>
        <w:jc w:val="both"/>
        <w:outlineLvl w:val="1"/>
      </w:pPr>
      <w:r>
        <w:rPr>
          <w:rFonts w:hAnsi="Arial"/>
          <w:rFonts w:ascii="Arial"/>
          <w:sz w:val="24"/>
          <w:color w:val="black"/>
        </w:rPr>
        <w:t xml:space="preserve">Que la evidencia muestra que la propagación del Coronavírus COVID-19 continúa, a pesar de los esfuerzos estatales y de la sociedad, y dado que, en ausencia de medidas farmacológicas como la vacuna y los medicamentos antivirales, los cuales no se encuentran disponibles para este evento toda vez que previamente deberán surtir estrictos protocolos de eficacia y seguridad antes de poder utilizadas masivamente, son las medidas no farmacológicas las que tienen mayor costo- efectividad. Esas medidas incluyen la higiene respiratoria, el distanciamiento social,</w:t>
      </w:r>
    </w:p>
    <w:p>
      <w:pPr>
        <w:jc w:val="both"/>
        <w:outlineLvl w:val="1"/>
      </w:pPr>
      <w:rPr>
        <w:sz w:val="24"/>
        <w:b/>
        <w:color w:val="black"/>
      </w:rPr>
      <w:br w:type="page"/>
    </w:p>
    <w:p>
      <w:pPr>
        <w:jc w:val="both"/>
        <w:outlineLvl w:val="1"/>
      </w:pPr>
      <w:r>
        <w:rPr>
          <w:rFonts w:hAnsi="Arial"/>
          <w:rFonts w:ascii="Arial"/>
          <w:sz w:val="24"/>
          <w:color w:val="black"/>
        </w:rPr>
        <w:t xml:space="preserve">el autoaislamiento voluntario y la cuarentena, medidas que en concepto del Ministerio de Salud y Protección Social se deben mantener hasta tanto la evaluación del riesgo indique que la situación permite retomar de manera paulatina y con seguimiento de las autoridades, a la cotidianeidad.</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w:t>
      </w:r>
    </w:p>
    <w:p>
      <w:pPr>
        <w:jc w:val="both"/>
        <w:outlineLvl w:val="1"/>
      </w:pPr>
      <w:rPr>
        <w:sz w:val="24"/>
        <w:b/>
        <w:color w:val="black"/>
      </w:rPr>
    </w:p>
    <w:p>
      <w:pPr>
        <w:jc w:val="both"/>
        <w:outlineLvl w:val="1"/>
      </w:pPr>
      <w:r>
        <w:rPr>
          <w:rFonts w:hAnsi="Arial"/>
          <w:rFonts w:ascii="Arial"/>
          <w:sz w:val="24"/>
          <w:color w:val="black"/>
        </w:rPr>
        <w:t xml:space="preserve">Que en igual sentido manifestó el Ministerio de Salud y Protección Social, en el memorando 202022000077553 del 7 de abril de 2020:</w:t>
      </w:r>
    </w:p>
    <w:p>
      <w:pPr>
        <w:jc w:val="both"/>
        <w:outlineLvl w:val="1"/>
      </w:pPr>
      <w:rPr>
        <w:sz w:val="24"/>
        <w:b/>
        <w:color w:val="black"/>
      </w:rPr>
    </w:p>
    <w:p>
      <w:pPr>
        <w:jc w:val="both"/>
        <w:outlineLvl w:val="1"/>
      </w:pPr>
      <w:r>
        <w:rPr>
          <w:rFonts w:hAnsi="Arial"/>
          <w:rFonts w:ascii="Arial"/>
          <w:sz w:val="24"/>
          <w:color w:val="black"/>
        </w:rPr>
        <w:t xml:space="preserve">“En razón de controlar la transmisión, los beneficios (Sic) extender la cuarentena en el país se reflejarían en la disminución de la velocidad de duplicación de los casos, así como, en el mayor tiempo de preparación de respuesta hospitalaria evitando la sobrecarga al sistema, garantizando una atención con calidad y oportunidad, así como disminuir la severidad de los síntomas de la enfermedad en las personas y la protección del personal sanitario”.</w:t>
      </w:r>
    </w:p>
    <w:p>
      <w:pPr>
        <w:jc w:val="both"/>
        <w:outlineLvl w:val="1"/>
      </w:pPr>
      <w:rPr>
        <w:sz w:val="24"/>
        <w:b/>
        <w:color w:val="black"/>
      </w:rPr>
    </w:p>
    <w:p>
      <w:pPr>
        <w:jc w:val="both"/>
        <w:outlineLvl w:val="1"/>
      </w:pPr>
      <w:r>
        <w:rPr>
          <w:rFonts w:hAnsi="Arial"/>
          <w:rFonts w:ascii="Arial"/>
          <w:sz w:val="24"/>
          <w:color w:val="black"/>
        </w:rPr>
        <w:t xml:space="preserve">Que mediante la Circular Conjunta. 000</w:t>
      </w:r>
      <w:r>
        <w:fldChar w:fldCharType="begin"/>
      </w:r>
      <w:r>
        <w:instrText>HYPERLINK "http://www.redjurista.com/document.aspx?ajcode=c_msps-mt-mtra_0003_2020&amp;arts=INICIO"</w:instrText>
      </w:r>
      <w:r>
        <w:fldChar w:fldCharType="separate"/>
      </w:r>
      <w:r>
        <w:rPr>
          <w:rFonts w:hAnsi="Arial"/>
          <w:rFonts w:ascii="Arial"/>
          <w:sz w:val="24"/>
          <w:u w:val="single"/>
          <w:color w:val="black"/>
        </w:rPr>
        <w:t>0003</w:t>
      </w:r>
      <w:r>
        <w:fldChar w:fldCharType="end"/>
      </w:r>
      <w:r>
        <w:rPr>
          <w:rFonts w:hAnsi="Arial"/>
          <w:rFonts w:ascii="Arial"/>
          <w:sz w:val="24"/>
          <w:u w:val="none"/>
          <w:color w:val="black"/>
        </w:rPr>
        <w:t xml:space="preserve"> del 8 de abril de 2020 suscrita por los ministros de Salud y Protección Social, Transporte y Trabajo se impartieron orientaciones en materia de protección dirigidos al personal de los proyectos de Infraestructura de transporte que continúan su ejecución durante la emergencia sanitaria, para prevenir, reducir la exposición y mitigar el riesgo de exposición y contagio por infección respiratoria aguda por el coronavirus COVID-19.</w:t>
      </w:r>
    </w:p>
    <w:p>
      <w:pPr>
        <w:jc w:val="both"/>
        <w:outlineLvl w:val="1"/>
      </w:pPr>
      <w:rPr>
        <w:sz w:val="24"/>
        <w:b/>
        <w:color w:val="black"/>
      </w:rPr>
    </w:p>
    <w:p>
      <w:pPr>
        <w:jc w:val="both"/>
        <w:outlineLvl w:val="1"/>
      </w:pPr>
      <w:r>
        <w:rPr>
          <w:rFonts w:hAnsi="Arial"/>
          <w:rFonts w:ascii="Arial"/>
          <w:sz w:val="24"/>
          <w:color w:val="black"/>
        </w:rPr>
        <w:t xml:space="preserve">Que mediante la Circular Conjunta 000</w:t>
      </w:r>
      <w:r>
        <w:fldChar w:fldCharType="begin"/>
      </w:r>
      <w:r>
        <w:instrText>HYPERLINK "http://www.redjurista.com/document.aspx?ajcode=c_msps-mt-mtra_0004_2020&amp;arts=INICIO"</w:instrText>
      </w:r>
      <w:r>
        <w:fldChar w:fldCharType="separate"/>
      </w:r>
      <w:r>
        <w:rPr>
          <w:rFonts w:hAnsi="Arial"/>
          <w:rFonts w:ascii="Arial"/>
          <w:sz w:val="24"/>
          <w:u w:val="single"/>
          <w:color w:val="black"/>
        </w:rPr>
        <w:t>0004</w:t>
      </w:r>
      <w:r>
        <w:fldChar w:fldCharType="end"/>
      </w:r>
      <w:r>
        <w:rPr>
          <w:rFonts w:hAnsi="Arial"/>
          <w:rFonts w:ascii="Arial"/>
          <w:sz w:val="24"/>
          <w:u w:val="none"/>
          <w:color w:val="black"/>
        </w:rPr>
        <w:t xml:space="preserve"> del 9 de abril de 2020 suscrita por los ministros de Salud y Protección Social, Transporte y Trabajo se impartieron orientaciones en materia de protección dirigidos a conductores y operadores de la cadena logística de transporte de carga terrestre y fluvial, empresas y conductores de servicio público de transporte terrestre automotor de pasajeros por carretera, especial, individual, masivo, colectivo, mixto, transporte por cable, terminales de transporte terrestre, transporte férreo, entes gestores y concesionarios de los sistemas de transporte masivo, que continúan su ejecución durante la emergencia sanitaria, para prevenir, reducir la exposición y mitigar el riesgo de exposición y contagio por infección respiratoria aguda por el coronavirus COVID-19.</w:t>
      </w:r>
    </w:p>
    <w:p>
      <w:pPr>
        <w:jc w:val="both"/>
        <w:outlineLvl w:val="1"/>
      </w:pPr>
      <w:rPr>
        <w:sz w:val="24"/>
        <w:b/>
        <w:color w:val="black"/>
      </w:rPr>
    </w:p>
    <w:p>
      <w:pPr>
        <w:jc w:val="both"/>
        <w:outlineLvl w:val="1"/>
      </w:pPr>
      <w:r>
        <w:rPr>
          <w:rFonts w:hAnsi="Arial"/>
          <w:rFonts w:ascii="Arial"/>
          <w:sz w:val="24"/>
          <w:color w:val="black"/>
        </w:rPr>
        <w:t xml:space="preserve">Que mediante la Circular Conjunta </w:t>
      </w:r>
      <w:r>
        <w:fldChar w:fldCharType="begin"/>
      </w:r>
      <w:r>
        <w:instrText>HYPERLINK "http://www.redjurista.com/document.aspx?ajcode=c_msps-mt-mtra_0001_2020&amp;arts=INICIO"</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del 11 de abril de 2020 suscrita por los ministros de Salud y Protección Social, Transporte y Trabajo se impartieron orientaciones en materia de protección, dirigidas a todo el personal que labora en proyectos del sector de la construcción de edificaciones (residenciales y no residenciales) que se encuentren en estado de ejecución durante la emergencia sanitaria, dentro de las actividades propias del proyecto, así como en su cadena de suministros y materiales, para prevenir, reducir la exposición y mitigar el riesgo de contagio por el coronavírus COVID-19.</w:t>
      </w:r>
    </w:p>
    <w:p>
      <w:pPr>
        <w:jc w:val="both"/>
        <w:outlineLvl w:val="1"/>
      </w:pPr>
      <w:rPr>
        <w:sz w:val="24"/>
        <w:b/>
        <w:color w:val="black"/>
      </w:rPr>
    </w:p>
    <w:p>
      <w:pPr>
        <w:jc w:val="both"/>
        <w:outlineLvl w:val="1"/>
      </w:pPr>
      <w:r>
        <w:rPr>
          <w:rFonts w:hAnsi="Arial"/>
          <w:rFonts w:ascii="Arial"/>
          <w:sz w:val="24"/>
          <w:color w:val="black"/>
        </w:rPr>
        <w:t xml:space="preserve">Que la legislación vigente no asigna al Ministerio de Salud y Protección Social la competencia de expedir con carácter vinculante protocolos técnicos y científicos sobre bioseguridad distintos al sector salud.</w:t>
      </w:r>
    </w:p>
    <w:p>
      <w:pPr>
        <w:jc w:val="both"/>
        <w:outlineLvl w:val="1"/>
      </w:pPr>
      <w:rPr>
        <w:sz w:val="24"/>
        <w:b/>
        <w:color w:val="black"/>
      </w:rPr>
    </w:p>
    <w:p>
      <w:pPr>
        <w:jc w:val="both"/>
        <w:outlineLvl w:val="1"/>
      </w:pPr>
      <w:r>
        <w:rPr>
          <w:rFonts w:hAnsi="Arial"/>
          <w:rFonts w:ascii="Arial"/>
          <w:sz w:val="24"/>
          <w:color w:val="black"/>
        </w:rPr>
        <w:t xml:space="preserve">Que es necesario evitar la duplicidad de autoridades Involucradas en el desarrollo de las competencias de diseño, implementación y ejecución de planes de acción o expedición de protocolos que sobre bioseguridad se requieran para para mitigar, evitar la propagación y realizar el adecuado manejo de la pandemia del Coronavírus COVID-19</w:t>
      </w:r>
    </w:p>
    <w:p>
      <w:pPr>
        <w:jc w:val="both"/>
        <w:outlineLvl w:val="1"/>
      </w:pPr>
      <w:rPr>
        <w:sz w:val="24"/>
        <w:b/>
        <w:color w:val="black"/>
      </w:rPr>
    </w:p>
    <w:p>
      <w:pPr>
        <w:jc w:val="both"/>
        <w:outlineLvl w:val="1"/>
      </w:pPr>
      <w:r>
        <w:rPr>
          <w:rFonts w:hAnsi="Arial"/>
          <w:rFonts w:ascii="Arial"/>
          <w:sz w:val="24"/>
          <w:color w:val="black"/>
        </w:rPr>
        <w:t xml:space="preserve">Que se requiere actuar de manera coordinada y unificada para mitigar, evitar la propagación y realizar el adecuado manejo de la pandemia del Coronavirus COVID- 19.</w:t>
      </w:r>
    </w:p>
    <w:p>
      <w:pPr>
        <w:jc w:val="both"/>
        <w:outlineLvl w:val="1"/>
      </w:pPr>
      <w:rPr>
        <w:sz w:val="24"/>
        <w:b/>
        <w:color w:val="black"/>
      </w:rPr>
    </w:p>
    <w:p>
      <w:pPr>
        <w:jc w:val="both"/>
        <w:outlineLvl w:val="1"/>
      </w:pPr>
      <w:r>
        <w:rPr>
          <w:rFonts w:hAnsi="Arial"/>
          <w:rFonts w:ascii="Arial"/>
          <w:sz w:val="24"/>
          <w:color w:val="black"/>
        </w:rPr>
        <w:t xml:space="preserve">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navy"/>
        </w:rPr>
        <w:t>&amp;$</w:t>
      </w:r>
      <w:bookmarkStart w:id="48372" w:name="1"/>
      <w:r>
        <w:rPr>
          <w:rFonts w:hAnsi="Arial"/>
          <w:rFonts w:ascii="Arial"/>
          <w:sz w:val="24"/>
          <w:color w:val="navy"/>
        </w:rPr>
        <w:t xml:space="preserve">ARTÍCULO 1o. PROTOCOLOS DE BIOSEGURIDAD.</w:t>
      </w:r>
      <w:bookmarkEnd w:id="48372"/>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w:t>
      </w:r>
    </w:p>
    <w:p>
      <w:pPr>
        <w:jc w:val="both"/>
      </w:pPr>
      <w:rPr>
        <w:color w:val="black"/>
      </w:rPr>
    </w:p>
    <w:p>
      <w:pPr>
        <w:jc w:val="both"/>
      </w:pPr>
      <w:r>
        <w:rPr>
          <w:rFonts w:hAnsi="Arial"/>
          <w:rFonts w:ascii="Arial"/>
          <w:sz w:val="24"/>
          <w:b/>
          <w:vanish/>
          <w:color w:val="black"/>
        </w:rPr>
        <w:t>&amp;$</w:t>
      </w:r>
      <w:bookmarkStart w:id="48373" w:name="2"/>
      <w:r>
        <w:rPr>
          <w:rFonts w:hAnsi="Arial"/>
          <w:rFonts w:ascii="Arial"/>
          <w:sz w:val="24"/>
          <w:color w:val="navy"/>
        </w:rPr>
        <w:t xml:space="preserve">ARTÍCULO 2o. OBLIGACIONES DE LAS AUTORIDADES TERRITORIALES EN MATERIA DE BIOSEGURIDAD.</w:t>
      </w:r>
      <w:bookmarkEnd w:id="48373"/>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Durante el término de la emergencia sanitaria declarada por el Ministerio de Salud y Protección Social, con ocasión de la pandemia derivada del Coronavirus COVID- 19, los gobernadores y alcaldes estarán sujetos a los protocolos que sobre bioseguridad expida el Ministerio de Salud y Protección Social, en virtud de la facultad otorgada en el artículo anterior.</w:t>
      </w:r>
    </w:p>
    <w:p>
      <w:pPr>
        <w:jc w:val="both"/>
        <w:outlineLvl w:val="1"/>
      </w:pPr>
      <w:rPr>
        <w:sz w:val="24"/>
        <w:b/>
        <w:color w:val="black"/>
      </w:rPr>
    </w:p>
    <w:p>
      <w:pPr>
        <w:jc w:val="both"/>
        <w:outlineLvl w:val="1"/>
      </w:pPr>
      <w:r>
        <w:rPr>
          <w:rFonts w:hAnsi="Arial"/>
          <w:rFonts w:ascii="Arial"/>
          <w:sz w:val="24"/>
          <w:color w:val="black"/>
        </w:rPr>
        <w:t xml:space="preserve">La secretaría municipal o distrital, o la entidad que haga sus veces, que corresponda a la actividad económica, social, o al sector de la administración pública del protocolo que ha de ser implementado, vigilará el cumplimiento del mismo.</w:t>
      </w:r>
    </w:p>
    <w:p>
      <w:rPr>
        <w:color w:val="black"/>
      </w:rPr>
    </w:p>
    <w:p>
      <w:pPr>
        <w:jc w:val="both"/>
      </w:pPr>
      <w:r>
        <w:rPr>
          <w:rFonts w:hAnsi="Arial"/>
          <w:rFonts w:ascii="Arial"/>
          <w:sz w:val="24"/>
          <w:b/>
          <w:vanish/>
          <w:color w:val="black"/>
        </w:rPr>
        <w:t>&amp;$</w:t>
      </w:r>
      <w:bookmarkStart w:id="48374" w:name="3"/>
      <w:r>
        <w:rPr>
          <w:rFonts w:hAnsi="Arial"/>
          <w:rFonts w:ascii="Arial"/>
          <w:sz w:val="24"/>
          <w:color w:val="navy"/>
        </w:rPr>
        <w:t xml:space="preserve">ARTÍCULO 3o. VIGENCIA.</w:t>
      </w:r>
      <w:bookmarkEnd w:id="48374"/>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El presente Decreto Legislativo rige a partir de su publicación.</w:t>
      </w:r>
    </w:p>
    <w:p>
      <w:pPr>
        <w:jc w:val="both"/>
      </w:pPr>
      <w:rPr>
        <w:color w:val="black"/>
      </w:rPr>
    </w:p>
    <w:p>
      <w:pPr>
        <w:jc w:val="center"/>
        <w:outlineLvl w:val="1"/>
      </w:pPr>
      <w:r>
        <w:rPr>
          <w:rFonts w:hAnsi="Arial"/>
          <w:rFonts w:ascii="Arial"/>
          <w:sz w:val="24"/>
          <w:b/>
          <w:color w:val="black"/>
        </w:rPr>
        <w:t xml:space="preserve">PUBLÍQUESE Y CUMPLASE</w:t>
      </w:r>
    </w:p>
    <w:p>
      <w:pPr>
        <w:jc w:val="center"/>
        <w:outlineLvl w:val="1"/>
      </w:pPr>
      <w:r>
        <w:rPr>
          <w:rFonts w:hAnsi="Arial"/>
          <w:rFonts w:ascii="Arial"/>
          <w:sz w:val="24"/>
          <w:color w:val="black"/>
        </w:rPr>
        <w:t xml:space="preserve">Dado en Bogota ,D,C</w:t>
      </w:r>
    </w:p>
    <w:p>
      <w:pPr>
        <w:jc w:val="center"/>
        <w:outlineLvl w:val="1"/>
      </w:pPr>
      <w:rPr>
        <w:sz w:val="24"/>
        <w:color w:val="black"/>
      </w:rPr>
    </w:p>
    <w:p>
      <w:pPr>
        <w:jc w:val="center"/>
        <w:outlineLvl w:val="1"/>
      </w:pPr>
      <w:r>
        <w:rPr>
          <w:rFonts w:hAnsi="Arial"/>
          <w:rFonts w:ascii="Arial"/>
          <w:sz w:val="24"/>
          <w:color w:val="black"/>
        </w:rPr>
        <w:t xml:space="preserve">MINISTRA DEL INTERIOR</w:t>
      </w:r>
    </w:p>
    <w:p>
      <w:pPr>
        <w:jc w:val="center"/>
        <w:outlineLvl w:val="1"/>
      </w:pPr>
      <w:r>
        <w:rPr>
          <w:rFonts w:hAnsi="Arial"/>
          <w:rFonts w:ascii="Arial"/>
          <w:sz w:val="24"/>
          <w:color w:val="gray"/>
        </w:rPr>
        <w:t xml:space="preserve">ALICIA VICTORIA ARANGO OLMOS</w:t>
      </w:r>
    </w:p>
    <w:p>
      <w:pPr>
        <w:jc w:val="center"/>
        <w:outlineLvl w:val="1"/>
      </w:pPr>
      <w:rPr>
        <w:sz w:val="24"/>
        <w:color w:val="black"/>
      </w:rPr>
    </w:p>
    <w:p>
      <w:pPr>
        <w:jc w:val="center"/>
        <w:outlineLvl w:val="1"/>
      </w:pPr>
      <w:r>
        <w:rPr>
          <w:rFonts w:hAnsi="Arial"/>
          <w:rFonts w:ascii="Arial"/>
          <w:sz w:val="24"/>
          <w:color w:val="black"/>
        </w:rPr>
        <w:t xml:space="preserve">MINISTRA DE RELACIONES EXTERIORES,</w:t>
      </w:r>
    </w:p>
    <w:p>
      <w:pPr>
        <w:jc w:val="center"/>
        <w:outlineLvl w:val="1"/>
      </w:pPr>
      <w:r>
        <w:rPr>
          <w:rFonts w:hAnsi="Arial"/>
          <w:rFonts w:ascii="Arial"/>
          <w:sz w:val="24"/>
          <w:color w:val="gray"/>
        </w:rPr>
        <w:t xml:space="preserve">CLAUDIA BLUM DE BARBERI</w:t>
      </w:r>
    </w:p>
    <w:p>
      <w:pPr>
        <w:jc w:val="center"/>
        <w:outlineLvl w:val="1"/>
      </w:pPr>
      <w:rPr>
        <w:sz w:val="24"/>
        <w:color w:val="black"/>
      </w:rPr>
      <w:br w:type="page"/>
    </w:p>
    <w:p>
      <w:pPr>
        <w:jc w:val="center"/>
        <w:outlineLvl w:val="1"/>
      </w:pPr>
      <w:r>
        <w:rPr>
          <w:rFonts w:hAnsi="Arial"/>
          <w:rFonts w:ascii="Arial"/>
          <w:sz w:val="24"/>
          <w:color w:val="black"/>
        </w:rPr>
        <w:t xml:space="preserve">MINISTRO DE HACIENDA Y CREDITO PUBLICO</w:t>
      </w:r>
    </w:p>
    <w:p>
      <w:pPr>
        <w:jc w:val="center"/>
        <w:outlineLvl w:val="1"/>
      </w:pPr>
      <w:r>
        <w:rPr>
          <w:rFonts w:hAnsi="Arial"/>
          <w:rFonts w:ascii="Arial"/>
          <w:sz w:val="24"/>
          <w:color w:val="gray"/>
        </w:rPr>
        <w:t xml:space="preserve">ALBERTO CARRASQUILLA BARRERA</w:t>
      </w:r>
    </w:p>
    <w:p>
      <w:pPr>
        <w:jc w:val="center"/>
        <w:outlineLvl w:val="1"/>
      </w:pPr>
      <w:rPr>
        <w:sz w:val="24"/>
        <w:color w:val="black"/>
      </w:rPr>
    </w:p>
    <w:p>
      <w:pPr>
        <w:jc w:val="center"/>
        <w:outlineLvl w:val="1"/>
      </w:pPr>
      <w:r>
        <w:rPr>
          <w:rFonts w:hAnsi="Arial"/>
          <w:rFonts w:ascii="Arial"/>
          <w:sz w:val="24"/>
          <w:color w:val="black"/>
        </w:rPr>
        <w:t xml:space="preserve">MINISTRA DE JUSTICIA Y DEL DERECHO,</w:t>
      </w:r>
    </w:p>
    <w:p>
      <w:pPr>
        <w:jc w:val="center"/>
        <w:outlineLvl w:val="1"/>
      </w:pPr>
      <w:r>
        <w:rPr>
          <w:rFonts w:hAnsi="Arial"/>
          <w:rFonts w:ascii="Arial"/>
          <w:sz w:val="24"/>
          <w:color w:val="gray"/>
        </w:rPr>
        <w:t xml:space="preserve">MARGARITA LEONOR CABELLO BLANCO</w:t>
      </w:r>
    </w:p>
    <w:p>
      <w:pPr>
        <w:jc w:val="center"/>
        <w:outlineLvl w:val="1"/>
      </w:pPr>
      <w:rPr>
        <w:sz w:val="24"/>
        <w:color w:val="black"/>
      </w:rPr>
    </w:p>
    <w:p>
      <w:pPr>
        <w:jc w:val="center"/>
        <w:outlineLvl w:val="1"/>
      </w:pPr>
      <w:r>
        <w:rPr>
          <w:rFonts w:hAnsi="Arial"/>
          <w:rFonts w:ascii="Arial"/>
          <w:sz w:val="24"/>
          <w:color w:val="black"/>
        </w:rPr>
        <w:t xml:space="preserve">MINISTRO DE DEFENSA NACIONAL,</w:t>
      </w:r>
    </w:p>
    <w:p>
      <w:pPr>
        <w:jc w:val="center"/>
        <w:outlineLvl w:val="1"/>
      </w:pPr>
      <w:r>
        <w:rPr>
          <w:rFonts w:hAnsi="Arial"/>
          <w:rFonts w:ascii="Arial"/>
          <w:sz w:val="24"/>
          <w:color w:val="gray"/>
        </w:rPr>
        <w:t xml:space="preserve">CARLOS HOLMES TRUJILLO GARCIA</w:t>
      </w:r>
    </w:p>
    <w:p>
      <w:pPr>
        <w:jc w:val="center"/>
        <w:outlineLvl w:val="1"/>
      </w:pPr>
      <w:rPr>
        <w:sz w:val="24"/>
        <w:color w:val="black"/>
      </w:rPr>
    </w:p>
    <w:p>
      <w:pPr>
        <w:jc w:val="center"/>
        <w:outlineLvl w:val="1"/>
      </w:pPr>
      <w:r>
        <w:rPr>
          <w:rFonts w:hAnsi="Arial"/>
          <w:rFonts w:ascii="Arial"/>
          <w:sz w:val="24"/>
          <w:color w:val="black"/>
        </w:rPr>
        <w:t xml:space="preserve">MINISTRO DE AGRICULTURA Y DESARROLLO RURAL,</w:t>
      </w:r>
    </w:p>
    <w:p>
      <w:pPr>
        <w:jc w:val="center"/>
        <w:outlineLvl w:val="1"/>
      </w:pPr>
      <w:r>
        <w:rPr>
          <w:rFonts w:hAnsi="Arial"/>
          <w:rFonts w:ascii="Arial"/>
          <w:sz w:val="24"/>
          <w:color w:val="gray"/>
        </w:rPr>
        <w:t xml:space="preserve">RODOLFO ENRIQUE ZEA NAVARRO</w:t>
      </w:r>
    </w:p>
    <w:p>
      <w:pPr>
        <w:jc w:val="center"/>
        <w:outlineLvl w:val="1"/>
      </w:pPr>
      <w:rPr>
        <w:sz w:val="24"/>
        <w:color w:val="black"/>
      </w:rPr>
    </w:p>
    <w:p>
      <w:pPr>
        <w:jc w:val="center"/>
        <w:outlineLvl w:val="1"/>
      </w:pPr>
      <w:r>
        <w:rPr>
          <w:rFonts w:hAnsi="Arial"/>
          <w:rFonts w:ascii="Arial"/>
          <w:sz w:val="24"/>
          <w:color w:val="black"/>
        </w:rPr>
        <w:t xml:space="preserve">MINISTRO DE SALUD Y PROTECCIÓN SOCIAL,</w:t>
      </w:r>
    </w:p>
    <w:p>
      <w:pPr>
        <w:jc w:val="center"/>
        <w:outlineLvl w:val="1"/>
      </w:pPr>
      <w:r>
        <w:rPr>
          <w:rFonts w:hAnsi="Arial"/>
          <w:rFonts w:ascii="Arial"/>
          <w:sz w:val="24"/>
          <w:color w:val="gray"/>
        </w:rPr>
        <w:t xml:space="preserve">FERNANDO RUIZ GOMEZ</w:t>
      </w:r>
    </w:p>
    <w:p>
      <w:pPr>
        <w:jc w:val="center"/>
        <w:outlineLvl w:val="1"/>
      </w:pPr>
      <w:rPr>
        <w:sz w:val="24"/>
        <w:color w:val="black"/>
      </w:rPr>
    </w:p>
    <w:p>
      <w:pPr>
        <w:jc w:val="center"/>
        <w:outlineLvl w:val="1"/>
      </w:pPr>
      <w:r>
        <w:rPr>
          <w:rFonts w:hAnsi="Arial"/>
          <w:rFonts w:ascii="Arial"/>
          <w:sz w:val="24"/>
          <w:color w:val="black"/>
        </w:rPr>
        <w:t xml:space="preserve">MINISTRO DEL TRABAJO,</w:t>
      </w:r>
    </w:p>
    <w:p>
      <w:pPr>
        <w:jc w:val="center"/>
        <w:outlineLvl w:val="1"/>
      </w:pPr>
      <w:r>
        <w:rPr>
          <w:rFonts w:hAnsi="Arial"/>
          <w:rFonts w:ascii="Arial"/>
          <w:sz w:val="24"/>
          <w:color w:val="gray"/>
        </w:rPr>
        <w:t xml:space="preserve">ÁNGEL CUSTODIO CABRERA BÁEZ</w:t>
      </w:r>
    </w:p>
    <w:p>
      <w:pPr>
        <w:jc w:val="center"/>
        <w:outlineLvl w:val="1"/>
      </w:pPr>
      <w:rPr>
        <w:sz w:val="24"/>
        <w:color w:val="black"/>
      </w:rPr>
    </w:p>
    <w:p>
      <w:pPr>
        <w:jc w:val="center"/>
        <w:outlineLvl w:val="1"/>
      </w:pPr>
      <w:r>
        <w:rPr>
          <w:rFonts w:hAnsi="Arial"/>
          <w:rFonts w:ascii="Arial"/>
          <w:sz w:val="24"/>
          <w:color w:val="black"/>
        </w:rPr>
        <w:t xml:space="preserve">MINISTRA DE MINAS Y ENERGÍA,</w:t>
      </w:r>
    </w:p>
    <w:p>
      <w:pPr>
        <w:jc w:val="center"/>
        <w:outlineLvl w:val="1"/>
      </w:pPr>
      <w:r>
        <w:rPr>
          <w:rFonts w:hAnsi="Arial"/>
          <w:rFonts w:ascii="Arial"/>
          <w:sz w:val="24"/>
          <w:color w:val="gray"/>
        </w:rPr>
        <w:t xml:space="preserve">MARÍA FERNANDA SUÁREZ LONDOÑO</w:t>
      </w:r>
    </w:p>
    <w:p>
      <w:pPr>
        <w:jc w:val="center"/>
        <w:outlineLvl w:val="1"/>
      </w:pPr>
      <w:rPr>
        <w:sz w:val="24"/>
        <w:color w:val="black"/>
      </w:rPr>
    </w:p>
    <w:p>
      <w:pPr>
        <w:jc w:val="center"/>
        <w:outlineLvl w:val="1"/>
      </w:pPr>
      <w:r>
        <w:rPr>
          <w:rFonts w:hAnsi="Arial"/>
          <w:rFonts w:ascii="Arial"/>
          <w:sz w:val="24"/>
          <w:color w:val="black"/>
        </w:rPr>
        <w:t xml:space="preserve">MINISTRO DE COMERCIO, INDUSTRIA Y TURISMO</w:t>
      </w:r>
    </w:p>
    <w:p>
      <w:pPr>
        <w:jc w:val="center"/>
        <w:outlineLvl w:val="1"/>
      </w:pPr>
      <w:r>
        <w:rPr>
          <w:rFonts w:hAnsi="Arial"/>
          <w:rFonts w:ascii="Arial"/>
          <w:sz w:val="24"/>
          <w:color w:val="gray"/>
        </w:rPr>
        <w:t xml:space="preserve">JOSÉ MANUEL RESTREPO ABONDANO</w:t>
      </w:r>
    </w:p>
    <w:p>
      <w:pPr>
        <w:jc w:val="center"/>
        <w:outlineLvl w:val="1"/>
      </w:pPr>
      <w:rPr>
        <w:sz w:val="24"/>
        <w:color w:val="black"/>
      </w:rPr>
    </w:p>
    <w:p>
      <w:pPr>
        <w:jc w:val="center"/>
        <w:outlineLvl w:val="1"/>
      </w:pPr>
      <w:r>
        <w:rPr>
          <w:rFonts w:hAnsi="Arial"/>
          <w:rFonts w:ascii="Arial"/>
          <w:sz w:val="24"/>
          <w:color w:val="black"/>
        </w:rPr>
        <w:t xml:space="preserve">MINISTRA DE EDUCACIÓN NACIONAL,</w:t>
      </w:r>
    </w:p>
    <w:p>
      <w:pPr>
        <w:jc w:val="center"/>
        <w:outlineLvl w:val="1"/>
      </w:pPr>
      <w:r>
        <w:rPr>
          <w:rFonts w:hAnsi="Arial"/>
          <w:rFonts w:ascii="Arial"/>
          <w:sz w:val="24"/>
          <w:color w:val="gray"/>
        </w:rPr>
        <w:t xml:space="preserve">MARIA VICTORIA ANGULO GONZALES</w:t>
      </w:r>
    </w:p>
    <w:p>
      <w:pPr>
        <w:jc w:val="center"/>
        <w:outlineLvl w:val="1"/>
      </w:pPr>
      <w:rPr>
        <w:sz w:val="24"/>
        <w:color w:val="black"/>
      </w:rPr>
      <w:br w:type="page"/>
    </w:p>
    <w:p>
      <w:pPr>
        <w:jc w:val="center"/>
        <w:outlineLvl w:val="1"/>
      </w:pPr>
      <w:r>
        <w:rPr>
          <w:rFonts w:hAnsi="Arial"/>
          <w:rFonts w:ascii="Arial"/>
          <w:sz w:val="24"/>
          <w:color w:val="black"/>
        </w:rPr>
        <w:t xml:space="preserve">MINISTRO DE AMBIENTE Y DESARROLLO SOSTENIBLE,</w:t>
      </w:r>
    </w:p>
    <w:p>
      <w:pPr>
        <w:jc w:val="center"/>
        <w:outlineLvl w:val="1"/>
      </w:pPr>
      <w:r>
        <w:rPr>
          <w:rFonts w:hAnsi="Arial"/>
          <w:rFonts w:ascii="Arial"/>
          <w:sz w:val="24"/>
          <w:color w:val="gray"/>
        </w:rPr>
        <w:t xml:space="preserve">RICARDO JOSÉ LOZANO PICÓN</w:t>
      </w:r>
    </w:p>
    <w:p>
      <w:pPr>
        <w:jc w:val="center"/>
        <w:outlineLvl w:val="1"/>
      </w:pPr>
      <w:rPr>
        <w:sz w:val="24"/>
        <w:color w:val="black"/>
      </w:rPr>
    </w:p>
    <w:p>
      <w:pPr>
        <w:jc w:val="center"/>
        <w:outlineLvl w:val="1"/>
      </w:pPr>
      <w:r>
        <w:rPr>
          <w:rFonts w:hAnsi="Arial"/>
          <w:rFonts w:ascii="Arial"/>
          <w:sz w:val="24"/>
          <w:color w:val="black"/>
        </w:rPr>
        <w:t xml:space="preserve">MINISTRO DE VIVIENDA, CUIDAD Y TERRITORIO</w:t>
      </w:r>
    </w:p>
    <w:p>
      <w:pPr>
        <w:jc w:val="center"/>
        <w:outlineLvl w:val="1"/>
      </w:pPr>
      <w:r>
        <w:rPr>
          <w:rFonts w:hAnsi="Arial"/>
          <w:rFonts w:ascii="Arial"/>
          <w:sz w:val="24"/>
          <w:color w:val="gray"/>
        </w:rPr>
        <w:t xml:space="preserve">JONATHAN MALAGÓN GONZÁLES</w:t>
      </w:r>
    </w:p>
    <w:p>
      <w:pPr>
        <w:jc w:val="center"/>
        <w:outlineLvl w:val="1"/>
      </w:pPr>
      <w:rPr>
        <w:sz w:val="24"/>
        <w:color w:val="black"/>
      </w:rPr>
    </w:p>
    <w:p>
      <w:pPr>
        <w:jc w:val="center"/>
        <w:outlineLvl w:val="1"/>
      </w:pPr>
      <w:r>
        <w:rPr>
          <w:rFonts w:hAnsi="Arial"/>
          <w:rFonts w:ascii="Arial"/>
          <w:sz w:val="24"/>
          <w:color w:val="black"/>
        </w:rPr>
        <w:t xml:space="preserve">MINISTRA DE TEGNOLOGÍAS DE LA INFORMACIÓN Y LAS </w:t>
      </w:r>
      <w:r>
        <w:rPr>
          <w:rFonts w:hAnsi="Arial"/>
          <w:rFonts w:ascii="Arial"/>
          <w:sz w:val="24"/>
          <w:color w:val="gray"/>
        </w:rPr>
        <w:t>COMUNICACIONES</w:t>
      </w:r>
    </w:p>
    <w:p>
      <w:pPr>
        <w:jc w:val="center"/>
        <w:outlineLvl w:val="1"/>
      </w:pPr>
      <w:r>
        <w:rPr>
          <w:rFonts w:hAnsi="Arial"/>
          <w:rFonts w:ascii="Arial"/>
          <w:sz w:val="24"/>
          <w:color w:val="gray"/>
        </w:rPr>
        <w:t xml:space="preserve">SYLVIA CRISTINA CONSTAÍN RENGIFO</w:t>
      </w:r>
    </w:p>
    <w:p>
      <w:pPr>
        <w:jc w:val="center"/>
        <w:outlineLvl w:val="1"/>
      </w:pPr>
      <w:rPr>
        <w:sz w:val="24"/>
        <w:color w:val="black"/>
      </w:rPr>
    </w:p>
    <w:p>
      <w:pPr>
        <w:jc w:val="center"/>
        <w:outlineLvl w:val="1"/>
      </w:pPr>
      <w:r>
        <w:rPr>
          <w:rFonts w:hAnsi="Arial"/>
          <w:rFonts w:ascii="Arial"/>
          <w:sz w:val="24"/>
          <w:color w:val="black"/>
        </w:rPr>
        <w:t xml:space="preserve">MINISTRA DE TRANSPORTE,</w:t>
      </w:r>
    </w:p>
    <w:p>
      <w:pPr>
        <w:jc w:val="center"/>
        <w:outlineLvl w:val="1"/>
      </w:pPr>
      <w:br w:type="page"/>
      <w:r>
        <w:rPr>
          <w:rFonts w:hAnsi="Arial"/>
          <w:rFonts w:ascii="Arial"/>
          <w:sz w:val="24"/>
          <w:color w:val="gray"/>
        </w:rPr>
        <w:t xml:space="preserve">ANGELA MARÍA OROZCO GÓMEZ</w:t>
      </w:r>
    </w:p>
    <w:p>
      <w:pPr>
        <w:jc w:val="center"/>
        <w:outlineLvl w:val="1"/>
      </w:pPr>
      <w:rPr>
        <w:sz w:val="24"/>
        <w:color w:val="black"/>
      </w:rPr>
    </w:p>
    <w:p>
      <w:pPr>
        <w:jc w:val="center"/>
        <w:outlineLvl w:val="1"/>
      </w:pPr>
      <w:r>
        <w:rPr>
          <w:rFonts w:hAnsi="Arial"/>
          <w:rFonts w:ascii="Arial"/>
          <w:sz w:val="24"/>
          <w:color w:val="black"/>
        </w:rPr>
        <w:t xml:space="preserve">MINISTRA DE CULTURA,</w:t>
      </w:r>
    </w:p>
    <w:p>
      <w:pPr>
        <w:jc w:val="center"/>
        <w:outlineLvl w:val="1"/>
      </w:pPr>
      <w:r>
        <w:rPr>
          <w:rFonts w:hAnsi="Arial"/>
          <w:rFonts w:ascii="Arial"/>
          <w:sz w:val="24"/>
          <w:color w:val="gray"/>
        </w:rPr>
        <w:t xml:space="preserve">CARMEN INÉS VÁSQUEZ CAMACHO</w:t>
      </w:r>
    </w:p>
    <w:p>
      <w:pPr>
        <w:jc w:val="center"/>
        <w:outlineLvl w:val="1"/>
      </w:pPr>
      <w:rPr>
        <w:sz w:val="24"/>
        <w:color w:val="black"/>
      </w:rPr>
    </w:p>
    <w:p>
      <w:pPr>
        <w:jc w:val="center"/>
        <w:outlineLvl w:val="1"/>
      </w:pPr>
      <w:r>
        <w:rPr>
          <w:rFonts w:hAnsi="Arial"/>
          <w:rFonts w:ascii="Arial"/>
          <w:sz w:val="24"/>
          <w:color w:val="black"/>
        </w:rPr>
        <w:t xml:space="preserve">MINISTRA DE CIENCIA, TECNOLOGÍA E INNOVACIÓN,</w:t>
      </w:r>
    </w:p>
    <w:p>
      <w:pPr>
        <w:jc w:val="center"/>
        <w:outlineLvl w:val="1"/>
      </w:pPr>
      <w:r>
        <w:rPr>
          <w:rFonts w:hAnsi="Arial"/>
          <w:rFonts w:ascii="Arial"/>
          <w:sz w:val="24"/>
          <w:color w:val="gray"/>
        </w:rPr>
        <w:t xml:space="preserve">MABEL GISELA TORRES TORRES</w:t>
      </w:r>
    </w:p>
    <w:p>
      <w:pPr>
        <w:jc w:val="center"/>
        <w:outlineLvl w:val="1"/>
      </w:pPr>
      <w:rPr>
        <w:sz w:val="24"/>
        <w:color w:val="black"/>
      </w:rPr>
    </w:p>
    <w:p>
      <w:pPr>
        <w:jc w:val="center"/>
        <w:outlineLvl w:val="1"/>
      </w:pPr>
      <w:r>
        <w:rPr>
          <w:rFonts w:hAnsi="Arial"/>
          <w:rFonts w:ascii="Arial"/>
          <w:sz w:val="24"/>
          <w:color w:val="black"/>
        </w:rPr>
        <w:t xml:space="preserve">MINISTRO DEL DEPORTE,</w:t>
      </w:r>
    </w:p>
    <w:p>
      <w:pPr>
        <w:jc w:val="center"/>
        <w:outlineLvl w:val="1"/>
      </w:pPr>
      <w:r>
        <w:rPr>
          <w:rFonts w:hAnsi="Arial"/>
          <w:rFonts w:ascii="Arial"/>
          <w:sz w:val="24"/>
          <w:color w:val="gray"/>
        </w:rPr>
        <w:t xml:space="preserve">ERNESTO LUCENA BARRERO</w:t>
      </w:r>
    </w:p>
    <w:p>
      <w:pPr>
        <w:jc w:val="both"/>
        <w:outlineLvl w:val="1"/>
      </w:pPr>
      <w:rPr>
        <w:sz w:val="24"/>
        <w:color w:val="black"/>
      </w:rPr>
    </w:p>
    <w:p>
      <w:pPr>
        <w:jc w:val="both"/>
        <w:outlineLvl w:val="1"/>
      </w:pPr>
      <w:r>
        <w:rPr>
          <w:rFonts w:hAnsi="Arial"/>
          <w:rFonts w:ascii="Arial"/>
          <w:sz w:val="20"/>
          <w:vanish/>
          <w:color w:val="black"/>
        </w:rPr>
        <w:t>&amp;$</w:t>
      </w:r>
      <w:bookmarkStart w:id="48375" w:name="NF"/>
      <w:r>
        <w:rPr>
          <w:rFonts w:hAnsi="Arial"/>
          <w:rFonts w:ascii="Arial"/>
          <w:sz w:val="20"/>
          <w:color w:val="navy"/>
        </w:rPr>
        <w:t xml:space="preserve">&lt;NOTAS DE PIE DE PAGINA&gt;.</w:t>
      </w:r>
    </w:p>
    <w:p>
      <w:pPr>
        <w:jc w:val="both"/>
        <w:outlineLvl w:val="1"/>
      </w:pPr>
      <w:bookmarkEnd w:id="48375"/>
    </w:p>
    <w:p>
      <w:pPr>
        <w:jc w:val="both"/>
        <w:outlineLvl w:val="1"/>
      </w:pPr>
      <w:r>
        <w:rPr>
          <w:rFonts w:hAnsi="Arial"/>
          <w:rFonts w:ascii="Arial"/>
          <w:sz w:val="20"/>
          <w:vanish/>
          <w:color w:val="black"/>
        </w:rPr>
        <w:t>&amp;$</w:t>
      </w:r>
      <w:bookmarkStart w:id="48376" w:name="NF1"/>
      <w:r>
        <w:rPr>
          <w:rFonts w:hAnsi="Arial"/>
          <w:rFonts w:ascii="Arial"/>
          <w:sz w:val="20"/>
          <w:color w:val="navy"/>
        </w:rPr>
        <w:t>1.</w:t>
      </w:r>
      <w:bookmarkEnd w:id="48376"/>
      <w:r>
        <w:rPr>
          <w:rFonts w:hAnsi="Arial"/>
          <w:rFonts w:ascii="Arial"/>
          <w:sz w:val="20"/>
          <w:color w:val="black"/>
        </w:rPr>
        <w:t xml:space="preserve"> CET-Central European Time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148"/>
      <w:footerReference w:type="default" r:id="eId7149"/>
      <w:type w:val="continuous"/>
    </w:sectPr>
  </w:body>
</w:document>
</file>

<file path=word/footer_default_71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71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u w:val="single"/>
    <w:color w:val="gray"/>
  </w:rPr>
  <w:rPr>
    <w:rFonts w:hAnsi="Arial"/>
    <w:rFonts w:ascii="Arial"/>
    <w:sz w:val="24"/>
    <w:vanish/>
    <w:color w:val="navy"/>
  </w:rPr>
  <w:rPr>
    <w:rFonts w:hAnsi="Arial"/>
    <w:rFonts w:ascii="Arial"/>
    <w:sz w:val="24"/>
    <w:color w:val="navy"/>
  </w:rPr>
  <w:rPr>
    <w:rFonts w:hAnsi="Arial"/>
    <w:rFonts w:ascii="Arial"/>
    <w:sz w:val="24"/>
    <w:u w:val="single"/>
    <w:color w:val="gray"/>
  </w:rPr>
  <w:rPr>
    <w:rFonts w:hAnsi="Arial"/>
    <w:rFonts w:ascii="Arial"/>
    <w:sz w:val="24"/>
    <w:u w:val="single"/>
    <w:color w:val="gray"/>
  </w:rPr>
  <w:rPr>
    <w:rFonts w:hAnsi="Arial"/>
    <w:rFonts w:ascii="Arial"/>
    <w:sz w:val="24"/>
    <w:b/>
    <w:vanish/>
    <w:color w:val="black"/>
  </w:rPr>
  <w:rPr>
    <w:rFonts w:hAnsi="Arial"/>
    <w:rFonts w:ascii="Arial"/>
    <w:sz w:val="24"/>
    <w:color w:val="navy"/>
  </w:rPr>
  <w:rPr>
    <w:rFonts w:hAnsi="Arial"/>
    <w:rFonts w:ascii="Arial"/>
    <w:sz w:val="24"/>
    <w:u w:val="single"/>
    <w:color w:val="gray"/>
  </w:rPr>
  <w:rPr>
    <w:rFonts w:hAnsi="Arial"/>
    <w:rFonts w:ascii="Arial"/>
    <w:sz w:val="24"/>
    <w:u w:val="single"/>
    <w:color w:val="gray"/>
  </w:rPr>
  <w:rPr>
    <w:rFonts w:hAnsi="Arial"/>
    <w:rFonts w:ascii="Arial"/>
    <w:sz w:val="24"/>
    <w:b/>
    <w:vanish/>
    <w:color w:val="black"/>
  </w:rPr>
  <w:rPr>
    <w:rFonts w:hAnsi="Arial"/>
    <w:rFonts w:ascii="Arial"/>
    <w:sz w:val="24"/>
    <w:color w:val="navy"/>
  </w:rPr>
  <w:rPr>
    <w:rFonts w:hAnsi="Arial"/>
    <w:rFonts w:ascii="Arial"/>
    <w:sz w:val="24"/>
    <w:u w:val="single"/>
    <w:color w:val="gray"/>
  </w:rPr>
  <w:rPr>
    <w:rFonts w:hAnsi="Arial"/>
    <w:rFonts w:ascii="Arial"/>
    <w:sz w:val="24"/>
    <w:u w:val="single"/>
    <w:color w:val="gray"/>
  </w:rPr>
  <w:rPr>
    <w:rFonts w:hAnsi="Arial"/>
    <w:rFonts w:ascii="Arial"/>
    <w:sz w:val="20"/>
    <w:vanish/>
    <w:color w:val="black"/>
  </w:rPr>
  <w:rPr>
    <w:rFonts w:hAnsi="Arial"/>
    <w:rFonts w:ascii="Arial"/>
    <w:sz w:val="20"/>
    <w:color w:val="navy"/>
  </w:rPr>
  <w:rPr>
    <w:rFonts w:hAnsi="Arial"/>
    <w:rFonts w:ascii="Arial"/>
    <w:sz w:val="20"/>
    <w:vanish/>
    <w:color w:val="black"/>
  </w:rPr>
  <w:rPr>
    <w:rFonts w:hAnsi="Arial"/>
    <w:rFonts w:ascii="Arial"/>
    <w:sz w:val="20"/>
    <w:color w:val="navy"/>
  </w:rPr>
</w:styles>
</file>

<file path=word/_rels/document.xml.rels><?xml version="1.0" encoding="UTF-8" standalone="yes"?><Relationships xmlns="http://schemas.openxmlformats.org/package/2006/relationships">
<Relationship Id="eId7148" Type="http://schemas.openxmlformats.org/officeDocument/2006/relationships/header" Target="header_default_7148.xml" />
<Relationship Id="id0" Type="http://schemas.openxmlformats.org/officeDocument/2006/relationships/image" Target="img/img_id0.png"/>
<Relationship Id="eId7149" Type="http://schemas.openxmlformats.org/officeDocument/2006/relationships/footer" Target="footer_default_71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