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36.xml" ContentType="application/vnd.openxmlformats-officedocument.wordprocessingml.header+xml"/>
  <Override PartName="/word/footer_default_74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990 DE 2020</w:t>
      </w:r>
    </w:p>
    <w:p>
      <w:pPr>
        <w:jc w:val="center"/>
      </w:pPr>
      <w:r>
        <w:rPr>
          <w:rFonts w:hAnsi="Arial"/>
          <w:rFonts w:ascii="Arial"/>
          <w:sz w:val="24"/>
          <w:color w:val="black"/>
        </w:rPr>
        <w:t xml:space="preserve">(julio 9)</w:t>
      </w:r>
    </w:p>
    <w:p>
      <w:pPr>
        <w:jc w:val="center"/>
      </w:pPr>
      <w:r>
        <w:rPr>
          <w:rFonts w:hAnsi="Arial"/>
          <w:rFonts w:ascii="Arial"/>
          <w:sz w:val="24"/>
          <w:color w:val="black"/>
        </w:rPr>
        <w:t xml:space="preserve">Diario Oficial No. 51.370 de 09 de julio de 2020</w:t>
      </w:r>
    </w:p>
    <w:p>
      <w:pPr>
        <w:jc w:val="center"/>
      </w:pPr>
      <w:rPr>
        <w:sz w:val="24"/>
        <w:color w:val="black"/>
      </w:rPr>
    </w:p>
    <w:p>
      <w:pPr>
        <w:jc w:val="center"/>
        <w:outlineLvl w:val="1"/>
      </w:pPr>
      <w:r>
        <w:rPr>
          <w:rFonts w:hAnsi="Arial"/>
          <w:rFonts w:ascii="Arial"/>
          <w:sz w:val="24"/>
          <w:color w:val="gray"/>
        </w:rPr>
        <w:t xml:space="preserve">MINISTERIO DEL INTERIOR</w:t>
      </w:r>
    </w:p>
    <w:p>
      <w:pPr>
        <w:jc w:val="center"/>
        <w:outlineLvl w:val="1"/>
      </w:pPr>
      <w:rPr>
        <w:sz w:val="24"/>
        <w:color w:val="black"/>
      </w:rPr>
    </w:p>
    <w:p>
      <w:pPr>
        <w:jc w:val="center"/>
        <w:outlineLvl w:val="1"/>
      </w:pPr>
      <w:r>
        <w:rPr>
          <w:rFonts w:hAnsi="Arial"/>
          <w:rFonts w:ascii="Arial"/>
          <w:sz w:val="24"/>
          <w:color w:val="black"/>
        </w:rPr>
        <w:t xml:space="preserve">&lt;Vigente hasta hasta las cero horas (00:00) del día 1 de agosto de 2020&gt; </w:t>
      </w:r>
    </w:p>
    <w:p>
      <w:pPr>
        <w:jc w:val="center"/>
        <w:outlineLvl w:val="1"/>
      </w:pPr>
      <w:rPr>
        <w:sz w:val="24"/>
        <w:color w:val="black"/>
      </w:rPr>
    </w:p>
    <w:p>
      <w:pPr>
        <w:jc w:val="center"/>
        <w:outlineLvl w:val="1"/>
      </w:pPr>
      <w:r>
        <w:rPr>
          <w:rFonts w:hAnsi="Arial"/>
          <w:rFonts w:ascii="Arial"/>
          <w:sz w:val="24"/>
          <w:color w:val="gray"/>
        </w:rPr>
        <w:t xml:space="preserve">&lt;NOTA DE VIGENCIA: 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del Decreto 1076 de 2020&gt; </w:t>
      </w:r>
    </w:p>
    <w:p>
      <w:pPr>
        <w:jc w:val="center"/>
        <w:outlineLvl w:val="1"/>
      </w:pPr>
      <w:rPr>
        <w:sz w:val="24"/>
        <w:color w:val="black"/>
      </w:rPr>
    </w:p>
    <w:p>
      <w:pPr>
        <w:jc w:val="center"/>
        <w:outlineLvl w:val="1"/>
      </w:pPr>
      <w:r>
        <w:rPr>
          <w:rFonts w:hAnsi="Arial"/>
          <w:rFonts w:ascii="Arial"/>
          <w:sz w:val="24"/>
          <w:color w:val="black"/>
        </w:rPr>
        <w:t xml:space="preserve">Por el cual se imparten instrucciones en virtud de la emergencia sanitaria generada por la pandemia del Coronavirus COVID-19, y el mantenimiento del orden público.</w:t>
      </w:r>
    </w:p>
    <w:p>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las facultades Constitucionales y legales en especial las que le confieren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w:t>
      </w:r>
    </w:p>
    <w:p>
      <w:pPr>
        <w:jc w:val="both"/>
      </w:pPr>
      <w:rPr>
        <w:sz w:val="24"/>
        <w:color w:val="black"/>
      </w:rPr>
    </w:p>
    <w:p>
      <w:pPr>
        <w:jc w:val="both"/>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corresponde al presidente de la República conservar el orden público en todo el territorio nacional.</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w:t>
      </w:r>
    </w:p>
    <w:p>
      <w:pPr>
        <w:jc w:val="both"/>
      </w:pPr>
      <w:rPr>
        <w:sz w:val="24"/>
        <w:color w:val="black"/>
      </w:rPr>
    </w:p>
    <w:p>
      <w:pPr>
        <w:jc w:val="both"/>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 </w:t>
      </w:r>
      <w:r>
        <w:rPr>
          <w:rFonts w:hAnsi="Arial"/>
          <w:rFonts w:ascii="Arial"/>
          <w:sz w:val="24"/>
          <w:b/>
          <w:color w:val="black"/>
        </w:rPr>
        <w:t xml:space="preserve">proteger el interés público, </w:t>
      </w:r>
      <w:r>
        <w:rPr>
          <w:rFonts w:hAnsi="Arial"/>
          <w:rFonts w:ascii="Arial"/>
          <w:sz w:val="24"/>
          <w:color w:val="black"/>
        </w:rPr>
        <w:t xml:space="preserve">la seguridad nacional, </w:t>
      </w:r>
      <w:r>
        <w:rPr>
          <w:rFonts w:hAnsi="Arial"/>
          <w:rFonts w:ascii="Arial"/>
          <w:sz w:val="24"/>
          <w:b/>
          <w:color w:val="black"/>
        </w:rPr>
        <w:t xml:space="preserve">el orden público, la salud y la moral públicas, </w:t>
      </w:r>
      <w:r>
        <w:rPr>
          <w:rFonts w:hAnsi="Arial"/>
          <w:rFonts w:ascii="Arial"/>
          <w:sz w:val="24"/>
          <w:color w:val="black"/>
        </w:rPr>
        <w:t xml:space="preserve">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w:t>
      </w:r>
    </w:p>
    <w:p>
      <w:pPr>
        <w:jc w:val="both"/>
      </w:pPr>
      <w:rPr>
        <w:sz w:val="24"/>
        <w:color w:val="black"/>
      </w:rPr>
    </w:p>
    <w:p>
      <w:pPr>
        <w:jc w:val="both"/>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pleno de sus derechos.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garantizarán los servicios de seguridad social integral.</w:t>
      </w:r>
    </w:p>
    <w:p>
      <w:pPr>
        <w:jc w:val="both"/>
      </w:pPr>
      <w:rPr>
        <w:sz w:val="24"/>
        <w:color w:val="black"/>
      </w:rPr>
    </w:p>
    <w:p>
      <w:pPr>
        <w:jc w:val="both"/>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w:t>
      </w:r>
    </w:p>
    <w:p>
      <w:pPr>
        <w:jc w:val="both"/>
      </w:pPr>
      <w:rPr>
        <w:sz w:val="24"/>
        <w:color w:val="black"/>
      </w:rPr>
    </w:p>
    <w:p>
      <w:pPr>
        <w:jc w:val="both"/>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w:t>
      </w:r>
    </w:p>
    <w:p>
      <w:pPr>
        <w:jc w:val="both"/>
        <w:outlineLvl w:val="1"/>
      </w:pPr>
      <w:rPr>
        <w:sz w:val="24"/>
        <w:color w:val="black"/>
      </w:rPr>
    </w:p>
    <w:p>
      <w:pPr>
        <w:jc w:val="both"/>
        <w:outlineLvl w:val="1"/>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w:t>
      </w:r>
    </w:p>
    <w:p>
      <w:pPr>
        <w:jc w:val="both"/>
        <w:outlineLvl w:val="1"/>
      </w:pPr>
      <w:rPr>
        <w:sz w:val="24"/>
        <w:color w:val="black"/>
      </w:rPr>
    </w:p>
    <w:p>
      <w:pPr>
        <w:jc w:val="both"/>
        <w:outlineLvl w:val="1"/>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w:t>
      </w:r>
      <w:r>
        <w:rPr>
          <w:rFonts w:hAnsi="Arial"/>
          <w:rFonts w:ascii="Arial"/>
          <w:sz w:val="24"/>
          <w:b/>
          <w:color w:val="black"/>
        </w:rPr>
        <w:t xml:space="preserve">Su ejercicio compete exclusivamente al presidente de la República, a nivel nacional, según el artículo </w:t>
      </w:r>
      <w:r>
        <w:fldChar w:fldCharType="begin"/>
      </w:r>
      <w:r>
        <w:instrText>HYPERLINK "http://www.redjurista.com/document.aspx?ajcode=cons_p91&amp;arts=189-4"</w:instrText>
      </w:r>
      <w:r>
        <w:fldChar w:fldCharType="separate"/>
      </w:r>
      <w:r>
        <w:rPr>
          <w:rFonts w:hAnsi="Arial"/>
          <w:rFonts w:ascii="Arial"/>
          <w:sz w:val="24"/>
          <w:b/>
          <w:u w:val="single"/>
          <w:color w:val="black"/>
        </w:rPr>
        <w:t>189-4</w:t>
      </w:r>
      <w:r>
        <w:fldChar w:fldCharType="end"/>
      </w:r>
      <w:r>
        <w:rPr>
          <w:rFonts w:hAnsi="Arial"/>
          <w:rFonts w:ascii="Arial"/>
          <w:sz w:val="24"/>
          <w:b/>
          <w:u w:val="none"/>
          <w:color w:val="black"/>
        </w:rPr>
        <w:t xml:space="preserve"> de la Carta, y en las entidades territoriales a los gobernadores y los alcaldes quienes ejercen la función de policía (artículos </w:t>
      </w:r>
      <w:r>
        <w:fldChar w:fldCharType="begin"/>
      </w:r>
      <w:r>
        <w:instrText>HYPERLINK "http://www.redjurista.com/document.aspx?ajcode=cons_p91&amp;arts=303"</w:instrText>
      </w:r>
      <w:r>
        <w:fldChar w:fldCharType="separate"/>
      </w:r>
      <w:r>
        <w:rPr>
          <w:rFonts w:hAnsi="Arial"/>
          <w:rFonts w:ascii="Arial"/>
          <w:sz w:val="24"/>
          <w:b/>
          <w:u w:val="single"/>
          <w:color w:val="black"/>
        </w:rPr>
        <w:t>303</w:t>
      </w:r>
      <w:r>
        <w:fldChar w:fldCharType="end"/>
      </w:r>
      <w:r>
        <w:rPr>
          <w:rFonts w:hAnsi="Arial"/>
          <w:rFonts w:ascii="Arial"/>
          <w:sz w:val="24"/>
          <w:b/>
          <w:u w:val="none"/>
          <w:color w:val="black"/>
        </w:rPr>
        <w:t xml:space="preserve"> y </w:t>
      </w:r>
      <w:r>
        <w:fldChar w:fldCharType="begin"/>
      </w:r>
      <w:r>
        <w:instrText>HYPERLINK "http://www.redjurista.com/document.aspx?ajcode=cons_p91&amp;arts=315-2"</w:instrText>
      </w:r>
      <w:r>
        <w:fldChar w:fldCharType="separate"/>
      </w:r>
      <w:r>
        <w:rPr>
          <w:rFonts w:hAnsi="Arial"/>
          <w:rFonts w:ascii="Arial"/>
          <w:sz w:val="24"/>
          <w:b/>
          <w:u w:val="single"/>
          <w:color w:val="black"/>
        </w:rPr>
        <w:t>315-2</w:t>
      </w:r>
      <w:r>
        <w:fldChar w:fldCharType="end"/>
      </w:r>
      <w:r>
        <w:rPr>
          <w:rFonts w:hAnsi="Arial"/>
          <w:rFonts w:ascii="Arial"/>
          <w:sz w:val="24"/>
          <w:b/>
          <w:u w:val="none"/>
          <w:color w:val="black"/>
        </w:rPr>
        <w:t xml:space="preserve"> C. P.), dentro del marco constitucional, legal y reglamentario.</w:t>
      </w:r>
    </w:p>
    <w:p>
      <w:pPr>
        <w:jc w:val="both"/>
        <w:outlineLvl w:val="1"/>
      </w:pPr>
      <w:rPr>
        <w:sz w:val="24"/>
        <w:color w:val="black"/>
      </w:rPr>
    </w:p>
    <w:p>
      <w:pPr>
        <w:jc w:val="both"/>
        <w:outlineLvl w:val="1"/>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w:t>
      </w:r>
    </w:p>
    <w:p>
      <w:pPr>
        <w:jc w:val="both"/>
        <w:outlineLvl w:val="1"/>
      </w:pPr>
      <w:rPr>
        <w:sz w:val="24"/>
        <w:color w:val="black"/>
      </w:rPr>
    </w:p>
    <w:p>
      <w:pPr>
        <w:jc w:val="both"/>
        <w:outlineLvl w:val="1"/>
      </w:pPr>
      <w:r>
        <w:rPr>
          <w:rFonts w:hAnsi="Arial"/>
          <w:rFonts w:ascii="Arial"/>
          <w:sz w:val="24"/>
          <w:color w:val="black"/>
        </w:rPr>
        <w:t xml:space="preserve">"5.1 Los derechos fundamentales no son absolutos</w:t>
      </w:r>
    </w:p>
    <w:p>
      <w:pPr>
        <w:jc w:val="both"/>
        <w:outlineLvl w:val="1"/>
      </w:pPr>
      <w:rPr>
        <w:sz w:val="24"/>
        <w:color w:val="black"/>
      </w:rPr>
    </w:p>
    <w:p>
      <w:pPr>
        <w:jc w:val="both"/>
        <w:outlineLvl w:val="1"/>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También cabe resaltar un argumento homológico, lo cual exige que, en aras de la proporcionalidad sujeto-objeto, este último sea también limitado. ¿Cómo podría un sujeto finito y limitado dominar jurídicamente un objeto absoluto?</w:t>
      </w:r>
    </w:p>
    <w:p>
      <w:pPr>
        <w:jc w:val="both"/>
        <w:outlineLvl w:val="1"/>
      </w:pPr>
      <w:rPr>
        <w:sz w:val="24"/>
        <w:color w:val="black"/>
      </w:rPr>
    </w:p>
    <w:p>
      <w:pPr>
        <w:jc w:val="both"/>
        <w:outlineLvl w:val="1"/>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w:t>
      </w:r>
    </w:p>
    <w:p>
      <w:pPr>
        <w:jc w:val="both"/>
        <w:outlineLvl w:val="1"/>
      </w:pPr>
      <w:rPr>
        <w:sz w:val="24"/>
        <w:color w:val="black"/>
      </w:rPr>
    </w:p>
    <w:p>
      <w:pPr>
        <w:jc w:val="both"/>
        <w:outlineLvl w:val="1"/>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éste queda o violado o suspendido. </w:t>
      </w:r>
    </w:p>
    <w:p>
      <w:pPr>
        <w:jc w:val="both"/>
        <w:outlineLvl w:val="1"/>
      </w:pPr>
      <w:rPr>
        <w:sz w:val="24"/>
        <w:color w:val="black"/>
      </w:rPr>
    </w:p>
    <w:p>
      <w:pPr>
        <w:jc w:val="both"/>
        <w:outlineLvl w:val="1"/>
      </w:pPr>
      <w:r>
        <w:rPr>
          <w:rFonts w:hAnsi="Arial"/>
          <w:rFonts w:ascii="Arial"/>
          <w:sz w:val="24"/>
          <w:color w:val="black"/>
        </w:rPr>
        <w:t xml:space="preserve">5.1.2 El orden público como derecho ciudadano </w:t>
      </w:r>
    </w:p>
    <w:p>
      <w:pPr>
        <w:jc w:val="both"/>
        <w:outlineLvl w:val="1"/>
      </w:pPr>
      <w:rPr>
        <w:sz w:val="24"/>
        <w:color w:val="black"/>
      </w:rPr>
    </w:p>
    <w:p>
      <w:pPr>
        <w:jc w:val="both"/>
        <w:outlineLvl w:val="1"/>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 </w:t>
      </w:r>
      <w:r>
        <w:rPr>
          <w:rFonts w:hAnsi="Arial"/>
          <w:rFonts w:ascii="Arial"/>
          <w:sz w:val="24"/>
          <w:b/>
          <w:color w:val="black"/>
        </w:rPr>
        <w:t xml:space="preserve">Luego el orden público supone el ejercicio razonable de la libertad. Es así como el pueblo tiene derecho al orden público, porque éste es de interés general, y como tal, prevalente. </w:t>
      </w:r>
    </w:p>
    <w:p>
      <w:pPr>
        <w:jc w:val="both"/>
        <w:outlineLvl w:val="1"/>
      </w:pPr>
      <w:rPr>
        <w:sz w:val="24"/>
        <w:color w:val="black"/>
      </w:rPr>
    </w:p>
    <w:p>
      <w:pPr>
        <w:jc w:val="both"/>
        <w:outlineLvl w:val="1"/>
      </w:pPr>
      <w:r>
        <w:rPr>
          <w:rFonts w:hAnsi="Arial"/>
          <w:rFonts w:ascii="Arial"/>
          <w:sz w:val="24"/>
          <w:color w:val="black"/>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éste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 </w:t>
      </w:r>
    </w:p>
    <w:p>
      <w:pPr>
        <w:jc w:val="both"/>
        <w:outlineLvl w:val="1"/>
      </w:pPr>
      <w:rPr>
        <w:sz w:val="24"/>
        <w:color w:val="black"/>
      </w:rPr>
    </w:p>
    <w:p>
      <w:pPr>
        <w:jc w:val="both"/>
        <w:outlineLvl w:val="1"/>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 </w:t>
      </w:r>
    </w:p>
    <w:p>
      <w:pPr>
        <w:jc w:val="both"/>
        <w:outlineLvl w:val="1"/>
      </w:pPr>
      <w:rPr>
        <w:sz w:val="24"/>
        <w:color w:val="black"/>
      </w:rPr>
    </w:p>
    <w:p>
      <w:pPr>
        <w:jc w:val="both"/>
        <w:outlineLvl w:val="1"/>
      </w:pPr>
      <w:r>
        <w:rPr>
          <w:rFonts w:hAnsi="Arial"/>
          <w:rFonts w:ascii="Arial"/>
          <w:sz w:val="24"/>
          <w:color w:val="black"/>
        </w:rPr>
        <w:t xml:space="preserve">"La importancia constitucional de la media ambiente sano, elemento necesario para la convivencia social, tal como expresamente lo reconoció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arden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 orden público.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asignan la Constitución, la ley, las ordenanzas, los acuerdos y las que le fueren delegadas por el presidente de la República o gobernador respectivo, y en relación con el orden público, (i) conservar el orden público en el municipio, de conformidad con la ley y las instrucciones del presidente de la República y del respectivo gobernador.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 la Constitución, la ley y el Código Nacional de Seguridad y Convivencia Ciudadana; (iii) impartir instrucciones a los alcaldes y gobernadores para preservar y restablecer la convivencia. </w:t>
      </w:r>
    </w:p>
    <w:p>
      <w:pPr>
        <w:jc w:val="both"/>
        <w:outlineLvl w:val="1"/>
      </w:pPr>
      <w:rPr>
        <w:sz w:val="24"/>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 </w:t>
      </w:r>
    </w:p>
    <w:p>
      <w:pPr>
        <w:jc w:val="both"/>
        <w:outlineLvl w:val="1"/>
      </w:pPr>
      <w:rPr>
        <w:sz w:val="24"/>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"http://www.redjurista.com/document.aspx?ajcode=l1801016&amp;arts=6"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relación sostenible con el ambiente y (iv) Salud Pública: es la responsabilidad estatal y ciudadana de protección de la salud como un derecho esencial, individual, colectivo y comunitario logrado en función de las condiciones de bienestar y calidad de vida. </w:t>
      </w:r>
    </w:p>
    <w:p>
      <w:pPr>
        <w:jc w:val="both"/>
        <w:outlineLvl w:val="1"/>
      </w:pPr>
      <w:rPr>
        <w:sz w:val="24"/>
        <w:color w:val="black"/>
      </w:rPr>
    </w:p>
    <w:p>
      <w:pPr>
        <w:jc w:val="both"/>
        <w:outlineLvl w:val="1"/>
      </w:pPr>
      <w:r>
        <w:rPr>
          <w:rFonts w:hAnsi="Arial"/>
          <w:rFonts w:ascii="Arial"/>
          <w:sz w:val="24"/>
          <w:color w:val="black"/>
        </w:rPr>
        <w:t xml:space="preserve">Que la Ley Estatutaria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regula el derecho fundamental a la salud y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que el Estado es responsable de respetar, proteger y garantizar el goce efectivo del derecho fundamental a la salud, como uno de los elementos fundamentales del Estado Social de Derecho. </w:t>
      </w:r>
    </w:p>
    <w:p>
      <w:pPr>
        <w:jc w:val="both"/>
        <w:outlineLvl w:val="1"/>
      </w:pPr>
      <w:rPr>
        <w:sz w:val="24"/>
        <w:color w:val="black"/>
      </w:rPr>
    </w:p>
    <w:p>
      <w:pPr>
        <w:jc w:val="both"/>
        <w:outlineLvl w:val="1"/>
      </w:pPr>
      <w:r>
        <w:rPr>
          <w:rFonts w:hAnsi="Arial"/>
          <w:rFonts w:ascii="Arial"/>
          <w:sz w:val="24"/>
          <w:color w:val="black"/>
        </w:rPr>
        <w:t xml:space="preserve">Que de acuerdo al documento técnico expedido por la Dirección de Epidemiologia y Demografía del Ministerio de Salud y Protección Social, mediante memorando 202022000077553 del 7 de marzo de 2020, una epidemia tiene tres fases, a saber: (i)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 </w:t>
      </w:r>
    </w:p>
    <w:p>
      <w:pPr>
        <w:jc w:val="both"/>
        <w:outlineLvl w:val="1"/>
      </w:pPr>
      <w:rPr>
        <w:sz w:val="24"/>
        <w:color w:val="black"/>
      </w:rPr>
    </w:p>
    <w:p>
      <w:pPr>
        <w:jc w:val="both"/>
        <w:outlineLvl w:val="1"/>
      </w:pPr>
      <w:r>
        <w:rPr>
          <w:rFonts w:hAnsi="Arial"/>
          <w:rFonts w:ascii="Arial"/>
          <w:sz w:val="24"/>
          <w:color w:val="black"/>
        </w:rPr>
        <w:t xml:space="preserve">Que en Colombia la fase de contención se inició el 6 de marzo de 2020 cuando se confirmó la presencia del primer caso en el país, de esta manera, dentro de la fase de contención, el 20 de marzo del mismo año se inició una cuarentena con el fin de controlar la velocidad de aparición de los casos. </w:t>
      </w:r>
    </w:p>
    <w:p>
      <w:pPr>
        <w:jc w:val="both"/>
        <w:outlineLvl w:val="1"/>
      </w:pPr>
      <w:rPr>
        <w:sz w:val="24"/>
        <w:color w:val="black"/>
      </w:rPr>
    </w:p>
    <w:p>
      <w:pPr>
        <w:jc w:val="both"/>
        <w:outlineLvl w:val="1"/>
      </w:pPr>
      <w:r>
        <w:rPr>
          <w:rFonts w:hAnsi="Arial"/>
          <w:rFonts w:ascii="Arial"/>
          <w:sz w:val="24"/>
          <w:color w:val="black"/>
        </w:rPr>
        <w:t xml:space="preserve">Que la Organización Mundial de la Salud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 </w:t>
      </w:r>
    </w:p>
    <w:p>
      <w:pPr>
        <w:jc w:val="both"/>
        <w:outlineLvl w:val="1"/>
      </w:pPr>
      <w:rPr>
        <w:sz w:val="24"/>
        <w:color w:val="black"/>
      </w:rPr>
    </w:p>
    <w:p>
      <w:pPr>
        <w:jc w:val="both"/>
        <w:outlineLvl w:val="1"/>
      </w:pPr>
      <w:r>
        <w:rPr>
          <w:rFonts w:hAnsi="Arial"/>
          <w:rFonts w:ascii="Arial"/>
          <w:sz w:val="24"/>
          <w:color w:val="black"/>
        </w:rPr>
        <w:t xml:space="preserve">Que el Coronavirus COVID-19 tiene un comportamiento similar a los coronavirus del Síndrome Respiratorio de Oriente Medio (MERS) y del Síndrome Respiratorio Agudo Grave (SARS), en los cuales se ha identificado que los mecanismos de transmisión son: gotas respiratorias al toser y estornudar, ii) contacto indirecto por superficies inanimadas, y iii) aerosoles por microgotas, y se ha establecido que tiene una mayor velocidad de contagio.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 </w:t>
      </w:r>
    </w:p>
    <w:p>
      <w:pPr>
        <w:jc w:val="both"/>
        <w:outlineLvl w:val="1"/>
      </w:pPr>
      <w:rPr>
        <w:sz w:val="24"/>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"http://www.redjurista.com/document.aspx?ajcode=r_msps_0450_2020&amp;arts=INICIO"</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del 17 de marzo de 2020 del Ministerio de Salud y Protección Social, se modificó el numeral 2.1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385 de 2020, para suspender los eventos con aforo de más de cincuenta (50) personas.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en el marco de la emergencia sanitaria por causa del Coronavirus COVID-19, adoptó mediante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del 18 de marzo de 2020, la medida sanitaria obligatoria de aislamiento preventivo, para proteger a los adultos mayores de 70 años, ordenando el aislamiento preventivo para las personas mayores de setenta (70) años, a partir del veinte (20) de marzo de 2020 a las siete de la mañana (7:00 a. m.) hasta el treinta (30) de mayo de 2020 a las doce de la noche (12:00 p. m.).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con el objeto de continuar con la garantía de la debida protección a la vida, la integridad física y la salud de los habitantes en todo el territorio nacional: (i) prorrogó la emergencia sanitaria declarada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hasta el 31 de agosto de 2020, (ii) extendió hasta el 31 de agosto de 2020, las medidas sanitarias de aislamiento y cuarentena preventivo para las personas mayores de 70 años, previsto en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 2020, y (iii) extendió hasta el 31 de agosto de 2020 la medida sanitaria obligatoria de cierre parcial de actividades en centros vida y centros día, a excepción del servicio de alimentación, que deberá ser prestado de manera domiciliaria. </w:t>
      </w:r>
    </w:p>
    <w:p>
      <w:pPr>
        <w:jc w:val="both"/>
        <w:outlineLvl w:val="1"/>
      </w:pPr>
      <w:rPr>
        <w:sz w:val="24"/>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se ordenó cerrar la frontera terrestre y fluvial con la República Bolivariana de Venezuela, a partir de las 5:00 a. m. horas del 14 de marzo de 2020 hasta el 30 de mayo de 2020. </w:t>
      </w:r>
    </w:p>
    <w:p>
      <w:pPr>
        <w:jc w:val="both"/>
        <w:outlineLvl w:val="1"/>
      </w:pPr>
      <w:rPr>
        <w:sz w:val="24"/>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de 2020, se ordenó cerrar la frontera terrestre y fluvial con la República de Panamá, República del Ecuador, República del Perú, y la República Federativa de Brasil a partir de las 00:00 a. m. horas del 17 de marzo de 2020 hasta el 30 de mayo de 2020. </w:t>
      </w:r>
    </w:p>
    <w:p>
      <w:pPr>
        <w:jc w:val="both"/>
        <w:outlineLvl w:val="1"/>
      </w:pPr>
      <w:rPr>
        <w:sz w:val="24"/>
        <w:color w:val="black"/>
      </w:rPr>
    </w:p>
    <w:p>
      <w:pPr>
        <w:jc w:val="both"/>
        <w:outlineLvl w:val="1"/>
      </w:pPr>
      <w:r>
        <w:rPr>
          <w:rFonts w:hAnsi="Arial"/>
          <w:rFonts w:ascii="Arial"/>
          <w:sz w:val="24"/>
          <w:color w:val="black"/>
        </w:rPr>
        <w:t xml:space="preserve">Que de acuerdo con la Organización mundial de la Salud (OMS) existe suficiente evidencia para indicar que el Coronavirus COVID-19 se transmite de persona a persona pudiendo traspasar fronteras geográficas a través de pasajeros infectados, y que se hace necesario adoptar medidas extraordinarias como el cierre de fronteras con todos los Estados limítrofes, con el fin de evitar que sigan ingresando a territorio nacional nuevos casos de portadores del COVID-19, que pongan en riesgo "el orden público y la salud de la población, hasta tanto se supere la emergencia sanitaria, resulta procedente mantener el cierre de fronteras. </w:t>
      </w:r>
    </w:p>
    <w:p>
      <w:pPr>
        <w:jc w:val="both"/>
        <w:outlineLvl w:val="1"/>
      </w:pPr>
      <w:rPr>
        <w:sz w:val="24"/>
        <w:color w:val="black"/>
      </w:rPr>
    </w:p>
    <w:p>
      <w:pPr>
        <w:jc w:val="both"/>
        <w:outlineLvl w:val="1"/>
      </w:pPr>
      <w:r>
        <w:rPr>
          <w:rFonts w:hAnsi="Arial"/>
          <w:rFonts w:ascii="Arial"/>
          <w:sz w:val="24"/>
          <w:color w:val="black"/>
        </w:rPr>
        <w:t xml:space="preserve">Que mediante Circular </w:t>
      </w:r>
      <w:r>
        <w:fldChar w:fldCharType="begin"/>
      </w:r>
      <w:r>
        <w:instrText>HYPERLINK "http://www.redjurista.com/document.aspx?ajcode=c_me_0020_2020&amp;arts=INICIO"</w:instrText>
      </w:r>
      <w:r>
        <w:fldChar w:fldCharType="separate"/>
      </w:r>
      <w:r>
        <w:rPr>
          <w:rFonts w:hAnsi="Arial"/>
          <w:rFonts w:ascii="Arial"/>
          <w:sz w:val="24"/>
          <w:u w:val="single"/>
          <w:color w:val="black"/>
        </w:rPr>
        <w:t>020</w:t>
      </w:r>
      <w:r>
        <w:fldChar w:fldCharType="end"/>
      </w:r>
      <w:r>
        <w:rPr>
          <w:rFonts w:hAnsi="Arial"/>
          <w:rFonts w:ascii="Arial"/>
          <w:sz w:val="24"/>
          <w:u w:val="none"/>
          <w:color w:val="black"/>
        </w:rPr>
        <w:t xml:space="preserve"> del 16 de marzo de 2020, expedida por la Ministra de Educación Nacional, dirigida a gobernadores, alcaldes y secretarios de educación de Entidades Territoriales Certificadas en Educación, en aplicación de lo dispuesto en los numerales 5.1 y 5.2 del artículo </w:t>
      </w:r>
      <w:r>
        <w:fldChar w:fldCharType="begin"/>
      </w:r>
      <w:r>
        <w:instrText>HYPERLINK "http://www.redjurista.com/document.aspx?ajcode=l0115_94&amp;arts=148"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la Ley 115 de 1994, el artículo </w:t>
      </w:r>
      <w:r>
        <w:fldChar w:fldCharType="begin"/>
      </w:r>
      <w:r>
        <w:instrText>HYPERLINK "http://www.redjurista.com/document.aspx?ajcode=l0715001&amp;arts=5"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715 de 2001, y los artículos </w:t>
      </w:r>
      <w:r>
        <w:fldChar w:fldCharType="begin"/>
      </w:r>
      <w:r>
        <w:instrText>HYPERLINK "http://www.redjurista.com/document.aspx?ajcode=d1075015&amp;arts=2.4.3.4.1"</w:instrText>
      </w:r>
      <w:r>
        <w:fldChar w:fldCharType="separate"/>
      </w:r>
      <w:r>
        <w:rPr>
          <w:rFonts w:hAnsi="Arial"/>
          <w:rFonts w:ascii="Arial"/>
          <w:sz w:val="24"/>
          <w:u w:val="single"/>
          <w:color w:val="black"/>
        </w:rPr>
        <w:t>2.4.3.4.1</w:t>
      </w:r>
      <w:r>
        <w:fldChar w:fldCharType="end"/>
      </w:r>
      <w:r>
        <w:rPr>
          <w:rFonts w:hAnsi="Arial"/>
          <w:rFonts w:ascii="Arial"/>
          <w:sz w:val="24"/>
          <w:u w:val="none"/>
          <w:color w:val="black"/>
        </w:rPr>
        <w:t xml:space="preserve">. y </w:t>
      </w:r>
      <w:r>
        <w:fldChar w:fldCharType="begin"/>
      </w:r>
      <w:r>
        <w:instrText>HYPERLINK "http://www.redjurista.com/document.aspx?ajcode=d1075015&amp;arts=2.4.3.4.2"</w:instrText>
      </w:r>
      <w:r>
        <w:fldChar w:fldCharType="separate"/>
      </w:r>
      <w:r>
        <w:rPr>
          <w:rFonts w:hAnsi="Arial"/>
          <w:rFonts w:ascii="Arial"/>
          <w:sz w:val="24"/>
          <w:u w:val="single"/>
          <w:color w:val="black"/>
        </w:rPr>
        <w:t>2.4.3.4.2</w:t>
      </w:r>
      <w:r>
        <w:fldChar w:fldCharType="end"/>
      </w:r>
      <w:r>
        <w:rPr>
          <w:rFonts w:hAnsi="Arial"/>
          <w:rFonts w:ascii="Arial"/>
          <w:sz w:val="24"/>
          <w:u w:val="none"/>
          <w:color w:val="black"/>
        </w:rPr>
        <w:t xml:space="preserve"> del Decreto 1075 de 2015, Único Reglamentario del Sector Administrativo de Educación Nacional, ordenó a las secretarías de educación en todo el territorio nacional ajustar el calendario académico de Educación Preescolar, Básica y Media, para retomar el trabajo académico a partir del 20 de abril de 2020. </w:t>
      </w:r>
    </w:p>
    <w:p>
      <w:pPr>
        <w:jc w:val="both"/>
        <w:outlineLvl w:val="1"/>
      </w:pPr>
      <w:rPr>
        <w:sz w:val="24"/>
        <w:color w:val="black"/>
      </w:rPr>
    </w:p>
    <w:p>
      <w:pPr>
        <w:jc w:val="both"/>
        <w:outlineLvl w:val="1"/>
      </w:pPr>
      <w:r>
        <w:rPr>
          <w:rFonts w:hAnsi="Arial"/>
          <w:rFonts w:ascii="Arial"/>
          <w:sz w:val="24"/>
          <w:color w:val="black"/>
        </w:rPr>
        <w:t xml:space="preserve">Que el Ministerio de Educación Nacional, mediante las Directivas </w:t>
      </w:r>
      <w:r>
        <w:fldChar w:fldCharType="begin"/>
      </w:r>
      <w:r>
        <w:instrText>HYPERLINK "http://www.redjurista.com/document.aspx?ajcode=dir_me_0003_2020&amp;arts=INICIO"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del 20 de marzo de 2020, </w:t>
      </w:r>
      <w:r>
        <w:fldChar w:fldCharType="begin"/>
      </w:r>
      <w:r>
        <w:instrText>HYPERLINK "http://www.redjurista.com/document.aspx?ajcode=dir_me_0004_2020&amp;arts=INICIO"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del 22 de marzo de 2020 y </w:t>
      </w:r>
      <w:r>
        <w:fldChar w:fldCharType="begin"/>
      </w:r>
      <w:r>
        <w:instrText>HYPERLINK "http://www.redjurista.com/document.aspx?ajcode=dir_me_0006_2020&amp;arts=INICIO"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del 25 de marzo de 2020, ha expedido orientaciones a los establecimientos educativos, instituciones de educación superior e instituciones de formación para el trabajo, para convocarlos a evitar en todo caso, el desarrollo de actividades presenciales en las instalaciones educativas, y continuar con el desarrollo de los procesos formativos con el uso y mediación de las tecnologías de la información y las comunicaciones así como al desarrollo de metodologías y esquemas de trabajo desde la casa. </w:t>
      </w:r>
    </w:p>
    <w:p>
      <w:pPr>
        <w:jc w:val="both"/>
        <w:outlineLvl w:val="1"/>
      </w:pPr>
      <w:rPr>
        <w:sz w:val="24"/>
        <w:color w:val="black"/>
      </w:rPr>
    </w:p>
    <w:p>
      <w:pPr>
        <w:jc w:val="both"/>
        <w:outlineLvl w:val="1"/>
      </w:pPr>
      <w:r>
        <w:rPr>
          <w:rFonts w:hAnsi="Arial"/>
          <w:rFonts w:ascii="Arial"/>
          <w:sz w:val="24"/>
          <w:color w:val="black"/>
        </w:rPr>
        <w:t xml:space="preserve">Que mediante la Directiva número </w:t>
      </w:r>
      <w:r>
        <w:fldChar w:fldCharType="begin"/>
      </w:r>
      <w:r>
        <w:instrText>HYPERLINK "http://www.redjurista.com/document.aspx?ajcode=dir_me_0007_2020&amp;arts=INICIO"</w:instrText>
      </w:r>
      <w:r>
        <w:fldChar w:fldCharType="separate"/>
      </w:r>
      <w:r>
        <w:rPr>
          <w:rFonts w:hAnsi="Arial"/>
          <w:rFonts w:ascii="Arial"/>
          <w:sz w:val="24"/>
          <w:u w:val="single"/>
          <w:color w:val="black"/>
        </w:rPr>
        <w:t>07</w:t>
      </w:r>
      <w:r>
        <w:fldChar w:fldCharType="end"/>
      </w:r>
      <w:r>
        <w:rPr>
          <w:rFonts w:hAnsi="Arial"/>
          <w:rFonts w:ascii="Arial"/>
          <w:sz w:val="24"/>
          <w:u w:val="none"/>
          <w:color w:val="black"/>
        </w:rPr>
        <w:t xml:space="preserve"> del 6 de abril de 2020 y la Directiva </w:t>
      </w:r>
      <w:r>
        <w:fldChar w:fldCharType="begin"/>
      </w:r>
      <w:r>
        <w:instrText>HYPERLINK "http://www.redjurista.com/document.aspx?ajcode=dir_me_0010_2020&amp;arts=INICIO"</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7 de abril de 2020 del Ministerio de Educación Nacional se definieron las orientaciones para el manejo de la emergencia por COVID-19 en la prestación del servicio de educación inicial, prescolar, básica y media en colegios e instituciones privadas, en línea con las directrices establecidas en la Directiva </w:t>
      </w:r>
      <w:r>
        <w:fldChar w:fldCharType="begin"/>
      </w:r>
      <w:r>
        <w:instrText>HYPERLINK "http://www.redjurista.com/document.aspx?ajcode=dir_me_0003_2020&amp;arts=INICIO"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del 20 de marzo de 2020, que señalan la continuidad en la prestación del servicio educativo a partir de la implementación de metodologías flexibles aplicables al aprendizaje en casa hasta el 31 de mayo de 2020. </w:t>
      </w:r>
    </w:p>
    <w:p>
      <w:pPr>
        <w:jc w:val="both"/>
        <w:outlineLvl w:val="1"/>
      </w:pPr>
      <w:rPr>
        <w:sz w:val="24"/>
        <w:color w:val="black"/>
      </w:rPr>
    </w:p>
    <w:p>
      <w:pPr>
        <w:jc w:val="both"/>
        <w:outlineLvl w:val="1"/>
      </w:pPr>
      <w:r>
        <w:rPr>
          <w:rFonts w:hAnsi="Arial"/>
          <w:rFonts w:ascii="Arial"/>
          <w:sz w:val="24"/>
          <w:color w:val="black"/>
        </w:rPr>
        <w:t xml:space="preserve">Que mediante la Directiva número </w:t>
      </w:r>
      <w:r>
        <w:fldChar w:fldCharType="begin"/>
      </w:r>
      <w:r>
        <w:instrText>HYPERLINK "http://www.redjurista.com/document.aspx?ajcode=dir_me_0008_2020&amp;arts=INICIO"</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del 6 de abril de 2020 del Ministerio de Educación Nacional, se extendió el alcance hasta el 31 de mayo de 2020 de las medidas tomadas para la atención de la emergencia del COVID-19 en Educación Superior y Educación para el Trabajo y Desarrollo Humano, manteniendo la vigencia de lo dispuesto en las Directivas </w:t>
      </w:r>
      <w:r>
        <w:fldChar w:fldCharType="begin"/>
      </w:r>
      <w:r>
        <w:instrText>HYPERLINK "http://www.redjurista.com/document.aspx?ajcode=dir_me_0002_2020&amp;arts=INICIO"</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w:t>
      </w:r>
      <w:r>
        <w:fldChar w:fldCharType="begin"/>
      </w:r>
      <w:r>
        <w:instrText>HYPERLINK "http://www.redjurista.com/document.aspx?ajcode=dir_me_0004_2020&amp;arts=INICIO"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y </w:t>
      </w:r>
      <w:r>
        <w:fldChar w:fldCharType="begin"/>
      </w:r>
      <w:r>
        <w:instrText>HYPERLINK "http://www.redjurista.com/document.aspx?ajcode=dir_me_0006_2020&amp;arts=INICIO"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del 2020, del Ministerio de Educación Nacional. </w:t>
      </w:r>
    </w:p>
    <w:p>
      <w:pPr>
        <w:jc w:val="both"/>
        <w:outlineLvl w:val="1"/>
      </w:pPr>
      <w:rPr>
        <w:sz w:val="24"/>
        <w:color w:val="black"/>
      </w:rPr>
    </w:p>
    <w:p>
      <w:pPr>
        <w:jc w:val="both"/>
        <w:outlineLvl w:val="1"/>
      </w:pPr>
      <w:r>
        <w:rPr>
          <w:rFonts w:hAnsi="Arial"/>
          <w:rFonts w:ascii="Arial"/>
          <w:sz w:val="24"/>
          <w:color w:val="black"/>
        </w:rPr>
        <w:t xml:space="preserve">Que en el mismo sentido, el Ministerio de Educación Nacional, mediante Directiva número </w:t>
      </w:r>
      <w:r>
        <w:fldChar w:fldCharType="begin"/>
      </w:r>
      <w:r>
        <w:instrText>HYPERLINK "http://www.redjurista.com/document.aspx?ajcode=dir_me_0009_2020&amp;arts=INICIO"</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del 7 de abril de 2020, definió las orientaciones para garantizar la continuidad de las jornadas de trabajo académico en casa en los establecimientos educativos oficiales entre el 20 de abril y el 31 de mayo de 2020, y brindó orientaciones para el uso de los recursos de calidad matricula y de calidad gratuidad del Sistema General de Participaciones en Educación a partir de la caracterización eficiente de la población estudiantil de cada una de ellas. </w:t>
      </w:r>
    </w:p>
    <w:p>
      <w:pPr>
        <w:jc w:val="both"/>
        <w:outlineLvl w:val="1"/>
      </w:pPr>
      <w:rPr>
        <w:sz w:val="24"/>
        <w:color w:val="black"/>
      </w:rPr>
    </w:p>
    <w:p>
      <w:pPr>
        <w:jc w:val="both"/>
        <w:outlineLvl w:val="1"/>
      </w:pPr>
      <w:r>
        <w:rPr>
          <w:rFonts w:hAnsi="Arial"/>
          <w:rFonts w:ascii="Arial"/>
          <w:sz w:val="24"/>
          <w:color w:val="black"/>
        </w:rPr>
        <w:t xml:space="preserve">Que tal como lo ha anunciado el Ministerio de Educación Nacional, para los niveles de Educación Inicial, Preescolar, Básica y Media el servicio educativo se continuará prestando bajo la modalidad de estudio en casa hasta el 31 de julio de 2020, medidas que igualmente se extienden a la Educación Superior, por lo cual estas Instituciones darán inicio en las próximas semanas a la etapa de preparación y evaluación de protocolos para el retorno progresivo de laboratorios prácticos presenciales durante los meses de junio y julio de 2020.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del presidente de la República. </w:t>
      </w:r>
    </w:p>
    <w:p>
      <w:pPr>
        <w:jc w:val="both"/>
        <w:outlineLvl w:val="1"/>
      </w:pPr>
      <w:rPr>
        <w:sz w:val="24"/>
        <w:color w:val="black"/>
      </w:rPr>
    </w:p>
    <w:p>
      <w:pPr>
        <w:jc w:val="both"/>
        <w:outlineLvl w:val="1"/>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 2020 se estableció que en el marco de la emergencia sanitaria por causa del Coronavirus COVID-19, se aplicarán de manera inmediata y preferente sobre las disposiciones de gobernadores y alcaldes las instrucciones, actos, y órdenes del presidente de la República. </w:t>
      </w:r>
    </w:p>
    <w:p>
      <w:pPr>
        <w:jc w:val="both"/>
        <w:outlineLvl w:val="1"/>
      </w:pPr>
      <w:rPr>
        <w:sz w:val="24"/>
        <w:color w:val="black"/>
      </w:rPr>
    </w:p>
    <w:p>
      <w:pPr>
        <w:jc w:val="both"/>
        <w:outlineLvl w:val="1"/>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ordenó el aislamiento preventivo obligatorio de todas las personas habitantes de la República de Colombia, a partir de las cero horas (00:00 a. m.) del día 25 de marzo de 2020, hasta las cero horas (00:00 a. m.) del día 13 de abril de 2020.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se ordenó el aislamiento preventivo obligatorio de todas las personas habitantes de la República de Colombia, a partir de las cero horas (00:00 a. m.) del día 13 de abril de 2020, hasta las cero horas (00:00 a. m.) del día 27 de abril de 2020.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se ordenó el aislamiento preventivo obligatorio de todas las personas habitantes de la República de Colombia, a partir de las cero horas (00:00 a. m.) del día 27 de abril de 2020, hasta las cero horas (00:00 a. m.) del día 11 de mayo de 2020.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se ordenó el aislamiento preventivo obligatorio de todas las personas habitantes de la República de Colombia, a partir de las cero horas (00:00 a. m.) del día 11 de mayo de 2020 hasta las cero horas (00:00 a. m.) del día 25 de mayo de 2020, prorrogado por el Decreto </w:t>
      </w:r>
      <w:r>
        <w:fldChar w:fldCharType="begin"/>
      </w:r>
      <w:r>
        <w:instrText>HYPERLINK "http://www.redjurista.com/document.aspx?ajcode=d0689020&amp;arts=INICIO"</w:instrText>
      </w:r>
      <w:r>
        <w:fldChar w:fldCharType="separate"/>
      </w:r>
      <w:r>
        <w:rPr>
          <w:rFonts w:hAnsi="Arial"/>
          <w:rFonts w:ascii="Arial"/>
          <w:sz w:val="24"/>
          <w:u w:val="single"/>
          <w:color w:val="black"/>
        </w:rPr>
        <w:t>689</w:t>
      </w:r>
      <w:r>
        <w:fldChar w:fldCharType="end"/>
      </w:r>
      <w:r>
        <w:rPr>
          <w:rFonts w:hAnsi="Arial"/>
          <w:rFonts w:ascii="Arial"/>
          <w:sz w:val="24"/>
          <w:u w:val="none"/>
          <w:color w:val="black"/>
        </w:rPr>
        <w:t xml:space="preserve"> del 22 de mayo de 2020 hasta las doce de la noche (12:00 p. m.) del 31 de mayo de 2020.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modificado y prorrogado por los Decretos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 y </w:t>
      </w:r>
      <w:r>
        <w:fldChar w:fldCharType="begin"/>
      </w:r>
      <w:r>
        <w:instrText>HYPERLINK "http://www.redjurista.com/document.aspx?ajcode=d0878020&amp;arts=INICIO"</w:instrText>
      </w:r>
      <w:r>
        <w:fldChar w:fldCharType="separate"/>
      </w:r>
      <w:r>
        <w:rPr>
          <w:rFonts w:hAnsi="Arial"/>
          <w:rFonts w:ascii="Arial"/>
          <w:sz w:val="24"/>
          <w:u w:val="single"/>
          <w:color w:val="black"/>
        </w:rPr>
        <w:t>878</w:t>
      </w:r>
      <w:r>
        <w:fldChar w:fldCharType="end"/>
      </w:r>
      <w:r>
        <w:rPr>
          <w:rFonts w:hAnsi="Arial"/>
          <w:rFonts w:ascii="Arial"/>
          <w:sz w:val="24"/>
          <w:u w:val="none"/>
          <w:color w:val="black"/>
        </w:rPr>
        <w:t xml:space="preserve"> del 25 de junio de 2020, respectivamente, se ordenó el aislamiento preventivo obligatorio de todas las personas habitantes de la República de Colombia, a partir de las cero horas (00:00 a. m.) del día 1 de junio de 2020, hasta las doce de la noche (12:00 p. m.) del 15 de julio de 2020. </w:t>
      </w:r>
    </w:p>
    <w:p>
      <w:pPr>
        <w:jc w:val="both"/>
        <w:outlineLvl w:val="1"/>
      </w:pPr>
      <w:rPr>
        <w:sz w:val="24"/>
        <w:color w:val="black"/>
      </w:rPr>
    </w:p>
    <w:p>
      <w:pPr>
        <w:jc w:val="both"/>
        <w:outlineLvl w:val="1"/>
      </w:pPr>
      <w:r>
        <w:rPr>
          <w:rFonts w:hAnsi="Arial"/>
          <w:rFonts w:ascii="Arial"/>
          <w:sz w:val="24"/>
          <w:color w:val="black"/>
        </w:rPr>
        <w:t xml:space="preserve">Que en el artículo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precitado Decreto 749 del 28 de mayo de 2020 se estableció que, en aras de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casos y actividades allí señaladas. </w:t>
      </w:r>
    </w:p>
    <w:p>
      <w:pPr>
        <w:jc w:val="both"/>
        <w:outlineLvl w:val="1"/>
      </w:pPr>
      <w:rPr>
        <w:sz w:val="24"/>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se estableció que durante el término de la emergencia sanitaria declarada por el Ministerio de Salud y Protección Social, con ocasión de la pandemia derivada del Coronavirus COVID-19,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 </w:t>
      </w:r>
    </w:p>
    <w:p>
      <w:pPr>
        <w:jc w:val="both"/>
        <w:outlineLvl w:val="1"/>
      </w:pPr>
      <w:rPr>
        <w:sz w:val="24"/>
        <w:color w:val="black"/>
      </w:rPr>
    </w:p>
    <w:p>
      <w:pPr>
        <w:jc w:val="both"/>
        <w:outlineLvl w:val="1"/>
      </w:pPr>
      <w:r>
        <w:rPr>
          <w:rFonts w:hAnsi="Arial"/>
          <w:rFonts w:ascii="Arial"/>
          <w:sz w:val="24"/>
          <w:color w:val="black"/>
        </w:rPr>
        <w:t xml:space="preserve">Que así mismo, se determinó en el precitado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que durante el término de la emergencia sanitaria declarada por el Ministerio de Salud y Protección Social, con ocasión de la pandemia derivada del Coronavirus COVID-19, los gobernadores y alcaldes estarán sujetos a los protocolos que sobre bioseguridad expida el Ministerio de Salud y Protección Social. </w:t>
      </w:r>
    </w:p>
    <w:p>
      <w:pPr>
        <w:jc w:val="both"/>
        <w:outlineLvl w:val="1"/>
      </w:pPr>
      <w:rPr>
        <w:sz w:val="24"/>
        <w:color w:val="black"/>
      </w:rPr>
    </w:p>
    <w:p>
      <w:pPr>
        <w:jc w:val="both"/>
        <w:outlineLvl w:val="1"/>
      </w:pPr>
      <w:r>
        <w:rPr>
          <w:rFonts w:hAnsi="Arial"/>
          <w:rFonts w:ascii="Arial"/>
          <w:sz w:val="24"/>
          <w:color w:val="black"/>
        </w:rPr>
        <w:t xml:space="preserve">Que el mismo Decreto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en el inciso segundo del artículo </w:t>
      </w:r>
      <w:r>
        <w:fldChar w:fldCharType="begin"/>
      </w:r>
      <w:r>
        <w:instrText>HYPERLINK "http://www.redjurista.com/document.aspx?ajcode=d0539020&amp;arts=2"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señala que la secretaría municipal o distrital, o la entidad que haga sus veces, que corresponda a la actividad económica, social, o al sector de la administración pública del protocolo que ha de ser implementado, vigilará el cumplimiento del mismo. </w:t>
      </w:r>
    </w:p>
    <w:p>
      <w:pPr>
        <w:jc w:val="both"/>
        <w:outlineLvl w:val="1"/>
      </w:pPr>
      <w:rPr>
        <w:sz w:val="24"/>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"http://www.redjurista.com/document.aspx?ajcode=d0439020&amp;arts=INICIO"</w:instrText>
      </w:r>
      <w:r>
        <w:fldChar w:fldCharType="separate"/>
      </w:r>
      <w:r>
        <w:rPr>
          <w:rFonts w:hAnsi="Arial"/>
          <w:rFonts w:ascii="Arial"/>
          <w:sz w:val="24"/>
          <w:u w:val="single"/>
          <w:color w:val="black"/>
        </w:rPr>
        <w:t>439</w:t>
      </w:r>
      <w:r>
        <w:fldChar w:fldCharType="end"/>
      </w:r>
      <w:r>
        <w:rPr>
          <w:rFonts w:hAnsi="Arial"/>
          <w:rFonts w:ascii="Arial"/>
          <w:sz w:val="24"/>
          <w:u w:val="none"/>
          <w:color w:val="black"/>
        </w:rPr>
        <w:t xml:space="preserve"> del 20 de marzo de 2020, se suspendió el desembarque con fines de ingreso o conexión en territorio colombiano de pasajeros provenientes del exterior por vía aérea, por el término de treinta (30) días calendario a partir de las 00:00 horas del lunes 23 de marzo de 2020, permitiendo únicamente el desembarque en caso de emergencia humanitaria, caso fortuito o fuerza mayor, tripulantes, personal técnico y directivo, y acompañantes de la carga de empresas que transporten carga aérea. </w:t>
      </w:r>
    </w:p>
    <w:p>
      <w:pPr>
        <w:jc w:val="both"/>
        <w:outlineLvl w:val="1"/>
      </w:pPr>
      <w:rPr>
        <w:sz w:val="24"/>
        <w:color w:val="black"/>
      </w:rPr>
    </w:p>
    <w:p>
      <w:pPr>
        <w:jc w:val="both"/>
        <w:outlineLvl w:val="1"/>
      </w:pPr>
      <w:r>
        <w:rPr>
          <w:rFonts w:hAnsi="Arial"/>
          <w:rFonts w:ascii="Arial"/>
          <w:sz w:val="24"/>
          <w:color w:val="black"/>
        </w:rPr>
        <w:t xml:space="preserve">Que así mismo, mediante el artículo </w:t>
      </w:r>
      <w:r>
        <w:fldChar w:fldCharType="begin"/>
      </w:r>
      <w:r>
        <w:instrText>HYPERLINK "http://www.redjurista.com/document.aspx?ajcode=d0569020&amp;arts=5"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Legislativo 569 del 15 de abril de 2020, se estableció que durante el término que dure la emergencia sanitaria declarada por el Ministro de Salud y Protección Social, con ocasión de la pandemia derivada Coronavirus COVID-19, o durante el término de cualquier emergencia sanitaria declarada por el Ministerio de Salud y Protección Social con ocasión de la pandemia derivada del Coronavirus COVID-19, se suspende el desembarque con fines de ingreso o conexión en territorio colombiano, de pasajeros procedentes del exterior, por vía aérea, y solo se permitirá el desembarque en caso de emergencia humanitaria, caso fortuito o fuerza mayor, tripulantes, personal técnico y directivo, y acompañantes de la carga de empresas que transporten carga aérea. </w:t>
      </w:r>
    </w:p>
    <w:p>
      <w:pPr>
        <w:jc w:val="both"/>
        <w:outlineLvl w:val="1"/>
      </w:pPr>
      <w:rPr>
        <w:sz w:val="24"/>
        <w:color w:val="black"/>
      </w:rPr>
    </w:p>
    <w:p>
      <w:pPr>
        <w:jc w:val="both"/>
        <w:outlineLvl w:val="1"/>
      </w:pPr>
      <w:r>
        <w:rPr>
          <w:rFonts w:hAnsi="Arial"/>
          <w:rFonts w:ascii="Arial"/>
          <w:sz w:val="24"/>
          <w:color w:val="black"/>
        </w:rPr>
        <w:t xml:space="preserve">Que la Organización Internacional del Trabajo (OIT) en el comunicado de fecha de 18 de marzo de 2020 sobre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 </w:t>
      </w:r>
    </w:p>
    <w:p>
      <w:pPr>
        <w:jc w:val="both"/>
        <w:outlineLvl w:val="1"/>
      </w:pPr>
      <w:rPr>
        <w:sz w:val="24"/>
        <w:color w:val="black"/>
      </w:rPr>
    </w:p>
    <w:p>
      <w:pPr>
        <w:jc w:val="both"/>
        <w:outlineLvl w:val="1"/>
      </w:pPr>
      <w:r>
        <w:rPr>
          <w:rFonts w:hAnsi="Arial"/>
          <w:rFonts w:ascii="Arial"/>
          <w:sz w:val="24"/>
          <w:color w:val="black"/>
        </w:rPr>
        <w:t xml:space="preserve">Que así mismo la Organización Internacional del Trabajo (OIT) en el referido comunicado estima "[...]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millones en los países de ingresos elevados). 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 </w:t>
      </w:r>
    </w:p>
    <w:p>
      <w:pPr>
        <w:jc w:val="both"/>
        <w:outlineLvl w:val="1"/>
      </w:pPr>
      <w:rPr>
        <w:sz w:val="24"/>
        <w:color w:val="black"/>
      </w:rPr>
    </w:p>
    <w:p>
      <w:pPr>
        <w:jc w:val="both"/>
        <w:outlineLvl w:val="1"/>
      </w:pPr>
      <w:r>
        <w:rPr>
          <w:rFonts w:hAnsi="Arial"/>
          <w:rFonts w:ascii="Arial"/>
          <w:sz w:val="24"/>
          <w:color w:val="black"/>
        </w:rPr>
        <w:t xml:space="preserve">Que en consecuencia la Organización Internacional del Trabajo (OIT) en el comunicado del 30 de junio de 2020 reiteró el llamado a los Estados a adoptar medidas urgentes para (i) estimular la economía y el empleo; (ii) apoyar a las empresas, los empleos y los ingresos; (iii) proteger a los trabajadores en el lugar de trabajo y, (iv) buscar soluciones mediante el diálogo social. </w:t>
      </w:r>
    </w:p>
    <w:p>
      <w:pPr>
        <w:jc w:val="both"/>
        <w:outlineLvl w:val="1"/>
      </w:pPr>
      <w:rPr>
        <w:sz w:val="24"/>
        <w:color w:val="black"/>
      </w:rPr>
    </w:p>
    <w:p>
      <w:pPr>
        <w:jc w:val="both"/>
        <w:outlineLvl w:val="1"/>
      </w:pPr>
      <w:r>
        <w:rPr>
          <w:rFonts w:hAnsi="Arial"/>
          <w:rFonts w:ascii="Arial"/>
          <w:sz w:val="24"/>
          <w:color w:val="black"/>
        </w:rPr>
        <w:t xml:space="preserve">Que de acuerdo con el "Boletín Técnico Gran Encuesta Integrada de Hogares (GEIH) Marzo 2020", de fecha 30 de junio de 2020, el Departamento Administrativo Nacional de Estadística DANE informó: </w:t>
      </w:r>
    </w:p>
    <w:p>
      <w:pPr>
        <w:jc w:val="both"/>
        <w:outlineLvl w:val="1"/>
      </w:pPr>
      <w:rPr>
        <w:sz w:val="24"/>
        <w:color w:val="black"/>
      </w:rPr>
    </w:p>
    <w:p>
      <w:pPr>
        <w:jc w:val="both"/>
        <w:outlineLvl w:val="1"/>
      </w:pPr>
      <w:r>
        <w:rPr>
          <w:rFonts w:hAnsi="Arial"/>
          <w:rFonts w:ascii="Arial"/>
          <w:sz w:val="24"/>
          <w:color w:val="black"/>
        </w:rPr>
        <w:t xml:space="preserve">"Para el mes de mayo de 2020, la tasa de desempleo del total nacional fue 21,4%, lo que significó un aumento de 10,9 puntos porcentuales frente al mismo mes del año pasado (10,5%). </w:t>
      </w: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 la tasa de desempleo en el total de las 13 ciudades y áreas metropolitanas fue 24,5%, lo que representó un aumento de 13,3 puntos porcentuales frente al mismo mes del año pasado (11,2%)". </w:t>
      </w:r>
    </w:p>
    <w:p>
      <w:pPr>
        <w:jc w:val="both"/>
        <w:outlineLvl w:val="1"/>
      </w:pPr>
      <w:rPr>
        <w:sz w:val="24"/>
        <w:color w:val="black"/>
      </w:rPr>
    </w:p>
    <w:p>
      <w:pPr>
        <w:jc w:val="both"/>
        <w:outlineLvl w:val="1"/>
      </w:pPr>
      <w:r>
        <w:rPr>
          <w:rFonts w:hAnsi="Arial"/>
          <w:rFonts w:ascii="Arial"/>
          <w:sz w:val="24"/>
          <w:color w:val="black"/>
        </w:rPr>
        <w:t xml:space="preserve">Que la Oficina de Estudios Económicos del Ministerio de Comercio, Industria y Turismo, en el documento "Proyecciones e impacto en Colombia del COVID-19" de fecha 27 de mayo de 2020, indicó: </w:t>
      </w:r>
    </w:p>
    <w:p>
      <w:pPr>
        <w:jc w:val="both"/>
        <w:outlineLvl w:val="1"/>
      </w:pPr>
      <w:rPr>
        <w:sz w:val="24"/>
        <w:color w:val="black"/>
      </w:rPr>
    </w:p>
    <w:p>
      <w:pPr>
        <w:jc w:val="both"/>
        <w:outlineLvl w:val="1"/>
      </w:pPr>
      <w:r>
        <w:rPr>
          <w:rFonts w:hAnsi="Arial"/>
          <w:rFonts w:ascii="Arial"/>
          <w:sz w:val="24"/>
          <w:color w:val="black"/>
        </w:rPr>
        <w:t xml:space="preserve">"[e]n el mes de marzo, el comercio al por menor cayó 4,8% y se estima que para el final del año la contracción del sector esté entre el 2% y 3% (luego de crecer 6,5% en 2019). </w:t>
      </w:r>
    </w:p>
    <w:p>
      <w:pPr>
        <w:jc w:val="both"/>
        <w:outlineLvl w:val="1"/>
      </w:pPr>
      <w:rPr>
        <w:sz w:val="24"/>
        <w:color w:val="black"/>
      </w:rPr>
    </w:p>
    <w:p>
      <w:pPr>
        <w:jc w:val="both"/>
        <w:outlineLvl w:val="1"/>
      </w:pPr>
      <w:r>
        <w:rPr>
          <w:rFonts w:hAnsi="Arial"/>
          <w:rFonts w:ascii="Arial"/>
          <w:sz w:val="24"/>
          <w:color w:val="black"/>
        </w:rPr>
        <w:t xml:space="preserve">[...]los efectos de las medidas tomadas para contener el COVID-19, empezaron a verse en marzo, mes en el que la producción industrial cayó 8,9%. Se estima que en el mes de abril esta caiga casi el 15% y que al finalizar el año la contracción sea superior al 7%. </w:t>
      </w:r>
    </w:p>
    <w:p>
      <w:pPr>
        <w:jc w:val="both"/>
        <w:outlineLvl w:val="1"/>
      </w:pPr>
      <w:rPr>
        <w:sz w:val="24"/>
        <w:color w:val="black"/>
      </w:rPr>
    </w:p>
    <w:p>
      <w:pPr>
        <w:jc w:val="both"/>
        <w:outlineLvl w:val="1"/>
      </w:pPr>
      <w:r>
        <w:rPr>
          <w:rFonts w:hAnsi="Arial"/>
          <w:rFonts w:ascii="Arial"/>
          <w:sz w:val="24"/>
          <w:color w:val="black"/>
        </w:rPr>
        <w:t xml:space="preserve">En cuanto a las ventas industriales, si bien estas crecieron 4,5% en enero y 3,4% en febrero, en marzo cayeron 8,2%. </w:t>
      </w:r>
    </w:p>
    <w:p>
      <w:pPr>
        <w:jc w:val="both"/>
        <w:outlineLvl w:val="1"/>
      </w:pP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Los ocupados de restaurantes representaron el 6.82% del total de los ocupados en 2019. Se estima que los efectos de la crisis del COVID-19 generarán una contracción en promedio del 37% en el año en esta actividad, con caídas mayores al 60%, entre los meses de junio y octubre.". </w:t>
      </w:r>
    </w:p>
    <w:p>
      <w:pPr>
        <w:jc w:val="both"/>
        <w:outlineLvl w:val="1"/>
      </w:pPr>
      <w:rPr>
        <w:sz w:val="24"/>
        <w:color w:val="black"/>
      </w:rPr>
    </w:p>
    <w:p>
      <w:pPr>
        <w:jc w:val="both"/>
        <w:outlineLvl w:val="1"/>
      </w:pPr>
      <w:r>
        <w:rPr>
          <w:rFonts w:hAnsi="Arial"/>
          <w:rFonts w:ascii="Arial"/>
          <w:sz w:val="24"/>
          <w:color w:val="black"/>
        </w:rPr>
        <w:t xml:space="preserve">Que la Oficina de Estudios Económicos del Ministerio de Comercio, Industria y Turismo, en el documento "Proyecciones e impacto en Colombia del COVID-19" de fecha 7 de julio de 2020, indicó: </w:t>
      </w:r>
    </w:p>
    <w:p>
      <w:pPr>
        <w:jc w:val="both"/>
        <w:outlineLvl w:val="1"/>
      </w:pPr>
      <w:rPr>
        <w:sz w:val="24"/>
        <w:color w:val="black"/>
      </w:rPr>
    </w:p>
    <w:p>
      <w:pPr>
        <w:jc w:val="both"/>
        <w:outlineLvl w:val="1"/>
      </w:pPr>
      <w:r>
        <w:rPr>
          <w:rFonts w:hAnsi="Arial"/>
          <w:rFonts w:ascii="Arial"/>
          <w:sz w:val="24"/>
          <w:color w:val="black"/>
        </w:rPr>
        <w:t xml:space="preserve">"Luego de que el país alcanzara los mayores niveles históricos de ocupación hotelera en 2019 (57,7%), así como durante el período enero-febrero de 2020 (59,1% y 60,4%, respectivamente), en marzo esta solo llegó al 37%, 21,4 p.p. por debajo del mismo mes de 2019. Durante el mes de abril esta fue del 6,1%, 46,4 p.p. por debajo del mismo mes de 2019. Esta cifra es la más baja para un mes de abril en la historia. Para el mes de mayo se proyecta que la ocupación hotelera solo llegue al 3,2%. El daño que ha ocasionado la pandemia sobre este sector es profundo; de reactivarse el turismo a partir del 15 de julio, se estima que la tasa de ocupación hotelera llegue solo a cerca del 28% en todo el año 2020. </w:t>
      </w:r>
    </w:p>
    <w:p>
      <w:pPr>
        <w:jc w:val="both"/>
        <w:outlineLvl w:val="1"/>
      </w:pPr>
      <w:rPr>
        <w:sz w:val="24"/>
        <w:color w:val="black"/>
      </w:rPr>
    </w:p>
    <w:p>
      <w:pPr>
        <w:jc w:val="both"/>
        <w:outlineLvl w:val="1"/>
      </w:pPr>
      <w:r>
        <w:rPr>
          <w:rFonts w:hAnsi="Arial"/>
          <w:rFonts w:ascii="Arial"/>
          <w:sz w:val="24"/>
          <w:color w:val="black"/>
        </w:rPr>
        <w:t xml:space="preserve">El empleo generado por los hoteles (alojamiento) representó el 0,61% del total de ocupados en el país en 2019. Como consecuencia de las medidas para controlar el COVID-19, se estima que los efectos negativos sobre el empleo de este subsector serán significativos. Se proyecta que para las actividades relacionadas con alojamiento la caída en el número de ocupados sea cercana al 46%, afectándose en particular en los meses de junio a octubre con reducciones hasta del 74%. </w:t>
      </w:r>
    </w:p>
    <w:p>
      <w:pPr>
        <w:jc w:val="both"/>
        <w:outlineLvl w:val="1"/>
      </w:pPr>
      <w:rPr>
        <w:sz w:val="24"/>
        <w:color w:val="black"/>
      </w:rPr>
    </w:p>
    <w:p>
      <w:pPr>
        <w:jc w:val="both"/>
        <w:outlineLvl w:val="1"/>
      </w:pPr>
      <w:r>
        <w:rPr>
          <w:rFonts w:hAnsi="Arial"/>
          <w:rFonts w:ascii="Arial"/>
          <w:sz w:val="24"/>
          <w:color w:val="black"/>
        </w:rPr>
        <w:t xml:space="preserve">Que la Oficina Asesora Jurídica del Ministerio de Ambiente y Desarrollo Sostenible, mediante Oficio de fecha 8 de julio de 2020, manifestó: </w:t>
      </w:r>
    </w:p>
    <w:p>
      <w:pPr>
        <w:jc w:val="both"/>
        <w:outlineLvl w:val="1"/>
      </w:pPr>
      <w:rPr>
        <w:sz w:val="24"/>
        <w:color w:val="black"/>
      </w:rPr>
    </w:p>
    <w:p>
      <w:pPr>
        <w:jc w:val="both"/>
        <w:outlineLvl w:val="1"/>
      </w:pPr>
      <w:r>
        <w:rPr>
          <w:rFonts w:hAnsi="Arial"/>
          <w:rFonts w:ascii="Arial"/>
          <w:sz w:val="24"/>
          <w:color w:val="black"/>
        </w:rPr>
        <w:t xml:space="preserve">"Que atendiendo a la nueva realidad generada con las medidas de emergencia sanitaria y el gradual levantamiento del aislamiento preventivo obligatorio, es posible reactivar progresivamente, bajo el estricto acatamiento de las restricciones establecidas por la Autoridad Sanitaria, algunas actividades administrativas suspendidas de las Autoridades Ambientales, que permitan el cumplimiento de los cometidos estatales y el ejercicio de deberes y derechos establecidos en la Constitución y en la Ley, en materia de protección ambiental y de participación en las decisiones que emiten las autoridades ambientales.". </w:t>
      </w:r>
    </w:p>
    <w:p>
      <w:pPr>
        <w:jc w:val="both"/>
        <w:outlineLvl w:val="1"/>
      </w:pPr>
      <w:rPr>
        <w:sz w:val="24"/>
        <w:color w:val="black"/>
      </w:rPr>
    </w:p>
    <w:p>
      <w:pPr>
        <w:jc w:val="both"/>
        <w:outlineLvl w:val="1"/>
      </w:pPr>
      <w:r>
        <w:rPr>
          <w:rFonts w:hAnsi="Arial"/>
          <w:rFonts w:ascii="Arial"/>
          <w:sz w:val="24"/>
          <w:color w:val="black"/>
        </w:rPr>
        <w:t xml:space="preserve">Que la Dirección de la Autoridad Nacional de la Consulta Previa del Ministerio del Interior, mediante Oficio MEM2020-15988-DCP-2500 de fecha 8 de julio de 2020, manifestó: </w:t>
      </w:r>
    </w:p>
    <w:p>
      <w:pPr>
        <w:jc w:val="both"/>
        <w:outlineLvl w:val="1"/>
      </w:pPr>
      <w:rPr>
        <w:sz w:val="24"/>
        <w:color w:val="black"/>
      </w:rPr>
    </w:p>
    <w:p>
      <w:pPr>
        <w:jc w:val="both"/>
        <w:outlineLvl w:val="1"/>
      </w:pPr>
      <w:r>
        <w:rPr>
          <w:rFonts w:hAnsi="Arial"/>
          <w:rFonts w:ascii="Arial"/>
          <w:sz w:val="24"/>
          <w:color w:val="black"/>
        </w:rPr>
        <w:t xml:space="preserve">"La reanudación de las actividades en campo y aquellas necesarias para determinar la procedencia de una consulta o las derivadas de las rutas metodológicas concertadas en los procesos consultivos de decisiones administrativas o legislativas y de proyectos, obras y actividades es necesaria, dado que la realización de importantes proyectos que aportan al desarrollo social, ambiental y económico del país, mitigando el impacto de la crisis generada por el COVID-19 y generando inversión en los territorios, empleo y bienestar para las mismas comunidades, depende de que se adelanten las consultas.". </w:t>
      </w:r>
    </w:p>
    <w:p>
      <w:pPr>
        <w:jc w:val="both"/>
        <w:outlineLvl w:val="1"/>
      </w:pPr>
      <w:rPr>
        <w:sz w:val="24"/>
        <w:color w:val="black"/>
      </w:rPr>
    </w:p>
    <w:p>
      <w:pPr>
        <w:jc w:val="both"/>
        <w:outlineLvl w:val="1"/>
      </w:pPr>
      <w:r>
        <w:rPr>
          <w:rFonts w:hAnsi="Arial"/>
          <w:rFonts w:ascii="Arial"/>
          <w:sz w:val="24"/>
          <w:color w:val="black"/>
        </w:rPr>
        <w:t xml:space="preserve">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dentro de las cuales se encuentra la higiene respiratoria, el distanciamiento social, el autoaislamiento voluntario y la cuarentena, medidas que han sido recomendadas por la Organización Mundial de la Salud (OMS).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reportó el 9 de marzo de 2020, 0 muertes y 3 casos confirmados en Colombia. </w:t>
      </w:r>
    </w:p>
    <w:p>
      <w:pPr>
        <w:jc w:val="both"/>
        <w:outlineLvl w:val="1"/>
      </w:pPr>
      <w:rPr>
        <w:sz w:val="24"/>
        <w:color w:val="black"/>
      </w:rPr>
    </w:p>
    <w:p>
      <w:pPr>
        <w:jc w:val="both"/>
        <w:outlineLvl w:val="1"/>
      </w:pPr>
      <w:r>
        <w:rPr>
          <w:rFonts w:hAnsi="Arial"/>
          <w:rFonts w:ascii="Arial"/>
          <w:sz w:val="24"/>
          <w:color w:val="black"/>
        </w:rPr>
        <w:t xml:space="preserve">Que al 17 de marzo de 2020 el Ministerio de Salud y Protección Social había reportado que en el país se presentaban 75 casos de personas infectadas con el Coronavirus COVID-19 y 0 fallecidos, cifra que ha venido creciendo a nivel país de la siguiente manera: 102 personas contagiadas al 18 de marzo de 2020; 108 personas contagiadas al día 19 de marzo de 2020; 145 personas contagiadas al día 20 de marzo de 2020, 196 personas contagiadas al día 21 de marzo de 2020, 235 personas contagiadas al 22 de marzo de 2020, 306 personas contagiadas al 23 de marzo de 2020; 378 personas contagiadas al día 24 de marzo de 2020; 470 personas contagiadas al día 25 de marzo de 2020, 491 personas contagiadas al día 26 de marzo de 2020, 539 personas contagiadas al día 27 de marzo de 2020, 608 personas contagiadas al 28 de marzo de 2020, 702 personas contagiadas al 29 de marzo de 2020; 798 personas contagiadas al día 30 de marzo de 2020; 906 personas contagiadas al día 31 de marzo de 2020, 1.065 personas contagiadas al día 1o de abril de 2020, 1.161 personas contagiadas al día 2 de abril de 2020, 1.267 personas contagiadas al día 3 de abril de 2020, 1.406 personas contagiadas al día 4 de abril de 2020, 1.485 personas contagiadas al día 5 de abril de 2020, 1.579 personas contagiadas al día 6 de abril de 2020, 1.780 personas contagiadas al 7 de abril de 2020, 2.054 personas contagiadas al 8 de abril de 2020; 2.223 personas contagiadas al 9 de abril de 2020, 2.473 personas contagiadas al día 10 de abril de 2020, 2.709 personas contagiadas al 11 de abril de 2020, 2.776 personas contagiadas al 12 de abril de 2020, 2.852 personas contagiadas al 13 de abril de 2020, 2.979 personas contagiadas al 14 de abril de 2020, 3.105 personas contagiadas al 15 de abril de 2020, 3.233 personas contagiadas al 16 de abril de 2020, 3.439 personas contagiadas al 17 de abril de 2020, 3.621 personas contagiadas al 18 de abril de 2020, 3.792 personas contagiadas al 19 de abril de 2020, 3.977 personas contagiadas al 20 de abril de 2020, 4.149 personas contagiadas al 21 de abril de 2020, 4.356 personas contagiadas al 22 de abril de 2020, 4.561 personas contagiadas al 23 de abril de 2020, 4.881 personas contagiadas al 24 de abril de 2020, 5.142 personas contagiadas al 25 de abril de 2020, 5.379 personas contagiadas al 26 de abril de 2020, 5.597 personas contagiadas al 27 de abril de 2020, 5.949 personas contagiadas al 28 de abril de 2020, 6.211 personas contagiadas al 29 de abril de 2020, 6.507 personas contagiadas al 30 de abril de 2020, 7.006 personas contagiadas al 1o de mayo de 2020, 7.285 personas contagiadas al 2 de mayo de 2020, 7.668 personas contagiadas al 3 de mayo de 2020, 7.973 personas contagiadas al 4 de mayo de 2020, 8.613 personas contagiadas al 5 de mayo de 2020, 8.959 personas contagiadas al 6 de mayo de 2020, 9.456 personas contagiadas al 7 de mayo de 2020, 10.051 personas contagiadas al 8 de mayo de 2020, 10.495 personas contagiadas al 9 de mayo de 2020, 11.063 personas contagiadas al 10 de mayo de 2020, 11.613 personas contagiadas al 11 de mayo de 2020, 12.272 personas contagiadas al 12 de mayo de 2020, 12.930 personas contagiadas al 13 de mayo de 2020, 13.610 personas contagiadas al 14 de mayo de 2020, 14.216 personas contagiadas al 15 de mayo de 2020, 14.939 personas contagiadas al 16 de mayo de 2020, 15.574 personas contagiadas al 17 de mayo de 2020, 16.295 personas contagiadas al 18 de mayo de 2020, 16.935 personas contagiadas al 19 de mayo de 2020, 17.687 personas contagiadas al 20 de mayo de 2020, 18.330 personas contagiadas al 21 de mayo de 2020, 19.131 personas contagiadas al 22 de mayo de 2020, 20.177 personas contagiadas al 23 de mayo de 2020, 21.175 personas contagiadas al 24 de mayo de 2020, 21.981 personas contagiadas al 25 de mayo de 2020, 23.003 personas contagiadas al 26 de mayo de 2020, 24.104 al 27 de mayo de 2020, 25.366 personas contagiadas al 28 de mayo de 2020, 26.688 personas contagiadas al 29 de mayo de 2020, 28.236 personas contagiadas al 30 de mayo de 2020, 29.383 personas contagiadas al 31 de mayo de 2020, 30.493 personas contagiadas al 1o de junio de 2020, 31.833 personas contagiadas al 2 de junio de 2020, 33.354 personas contagiadas al 3 de junio de 2020, 35.120 personas contagiadas al 4 de junio de 2020, 36.635 personas contagiadas al 5 de junio de 2020, 38.027 personas contagiadas al 6 de junio de 2020, 39.236 personas contagiadas al 7 de junio de 2020 y 40.719 personas contagiadas al 8 de junio de 2020, 42.078 personas contagiadas al 9 de junio de 2020, 43.682 personas contagiadas al 10 de junio de 2020, 45.212 personas contagiadas al 11 de junio de 2020, 46.858 personas contagiadas al 12 de junio de 2020, 48.746 personas contagiadas al 13 de junio de 2020, 50.939 personas contagiadas al 14 de junio de 2020, 53.063 personas contagiadas al 15 de junio de 2020, 54.931 personas contagiadas al 16 de junio de 2020, de las cuales hay 32.764 casos activos; 57.046 personas contagiadas al 17 de junio de 2020, de las cuales hay 33.856 casos activos; 60.217 personas contagiadas al 18 de junio de 2020, de las cuales hay 35.587 casos activos; 63.276 personas contagiadas al 19 de junio de 2020, de las cuales hay 37.243 casos activos; 65.633 personas contagiadas al 20 de junio de 2020, de las cuales hay 38.009 casos activos; 68.652 personas contagiadas al 21 de junio de 2020, de las cuales hay 39.055 casos activos; 71.183 personas contagiadas al 22 de junio de 2020, de las cuales hay 39.786 casos activos; 73.572 personas contagiadas al 23 de junio de 2020, de las cuales hay 40.586 casos activos; 77.113 personas contagiadas al 24 de junio de 2020, de las cuales hay 42.828 casos activos; 80.599 personas contagiadas al 25 de junio de 2020, de las cuales hay 44.460 casos activos; 84.442 personas contagiadas al 26 de junio de 2020, de las cuales hay 46.556 casos activos; 88.591 personas contagiadas al 27 de junio de 2020, de las cuales hay 49.238 casos activos; 91.769 personas contagiadas al 28 de junio de 2020, de las cuales hay 50.228 casos activos; 95.043 personas contagiadas al 29 de junio de 2020, de las cuales hay 51.707 casos activos; 97.846 personas contagiadas al 30 de junio de 2020, de las cuales hay 52.279 casos activos; 102.009 personas contagiadas al 1o de julio de 2020, de las cuales hay 54.941 casos activos; 106.110 personas contagiadas al 2 de julio de 2020, de las cuales hay 57.714 casos activos; 109.505 personas contagiadas al 3 de julio de 2020, de las cuales hay 60.156 casos activos; 113.389 personas contagiadas al 4 de julio de 2020, de las cuales hay 62.632 casos activos; 117.110 personas contagiadas al 5 de julio de 2020, de las cuales hay 64.907 casos activos; 120.281 personas contagiadas al 6 de julio de 2020, de las cuales hay 65.459 casos activos; 124.494 personas contagiadas al 7 de julio de 2020, de las cuales hay 68.027 casos activos y cuatro mil trescientos cincuenta y nueve (4.359) fallecidos. </w:t>
      </w:r>
    </w:p>
    <w:p>
      <w:pPr>
        <w:jc w:val="both"/>
        <w:outlineLvl w:val="1"/>
      </w:pPr>
      <w:rPr>
        <w:sz w:val="24"/>
        <w:color w:val="black"/>
      </w:rPr>
    </w:p>
    <w:p>
      <w:pPr>
        <w:jc w:val="both"/>
        <w:outlineLvl w:val="1"/>
      </w:pPr>
      <w:r>
        <w:rPr>
          <w:rFonts w:hAnsi="Arial"/>
          <w:rFonts w:ascii="Arial"/>
          <w:sz w:val="24"/>
          <w:color w:val="black"/>
        </w:rPr>
        <w:t xml:space="preserve">Que pese a las medidas adoptadas, el Ministerio de Salud y Protección Social (I) reportó el 10 de mayo de 2020 463 muertes y 11.063 casos confirmados en Colombia, distribuidos así: Bogotá, D. C. (4.155), Cundinamarca (283), Antioquia (468), Valle del Cauca (1.331), Bolívar (679), Atlántico (970), Magdalena (271), Cesar (72), Norte de Santander (99), Santander (42), Cauca (47), Caldas (100), Risaralda (216), Quindío (67), Huila (178), Tolima (130), Meta (923), Casanare (21), San Andrés y Providencia (6), Nariño (296), Boyacá (67), Córdoba (39), Sucre (4), La Guajira (27), Chocó (28), Caquetá (16) y Amazonas (527); (II) reportó el 11 de mayo de 2020 479 muertes y 11.613 casos confirmados en Colombia, distribuidos así: Bogotá, D. C. (4.305), Cundinamarca (289), Antioquia (474), Valle del Cauca (1.367), Bolívar (742), Atlántico (1.022), Magdalena (284), Cesar (72), Norte de Santander (99), Santander (42), Cauca (51), Caldas (100), Risaralda (216), Quindío (71), Huila (179), Tolima (130), Meta (927), Casanare (21), San Andrés y Providencia (6), Nariño (306), Boyacá (77), Córdoba (39), Sucre (4), La Guajira (27), Chocó (28), Caquetá (16), Amazonas (718), Putumayo (1); y (III) reportó el 7 de julio de 2020 4.359 muertes y 124.494 casos confirmados en Colombia, distribuidos así: Bogotá, D. C. (39.248), Cundinamarca (3.327), Antioquia (6.773), Valle del Cauca (12.445), Bolívar (10.945), Atlántico (28.732), Magdalena (2.308), Cesar (1.341), Norte de Santander (415), Santander (1.064), Cauca (599), Caldas (278), Risaralda (637), Quindío (177), Huila (389), Tolima (1.176), Meta (1.386), Casanare (88), San Andrés y Providencia (28), Nariño (4.077), Boyacá (444), Córdoba (1.187), Sucre (2.003), La Guajira (726), Chocó (2.002), Caquetá (67), Amazonas (2.391), Putumayo (38), Vaupés (28), Arauca (121), Guainía (14), Vichada (1) y Guaviare (39). </w:t>
      </w:r>
    </w:p>
    <w:p>
      <w:pPr>
        <w:jc w:val="both"/>
        <w:outlineLvl w:val="1"/>
      </w:pPr>
      <w:rPr>
        <w:sz w:val="24"/>
        <w:color w:val="black"/>
      </w:rPr>
    </w:p>
    <w:p>
      <w:pPr>
        <w:jc w:val="both"/>
        <w:outlineLvl w:val="1"/>
      </w:pPr>
      <w:r>
        <w:rPr>
          <w:rFonts w:hAnsi="Arial"/>
          <w:rFonts w:ascii="Arial"/>
          <w:sz w:val="24"/>
          <w:color w:val="black"/>
        </w:rPr>
        <w:t xml:space="preserve">Que según la Organización Mundial de la Salud (OMS), se ha reportado la siguiente información: (I) en reporte número 57 de fecha 17 de marzo de 2020 a las 10:00 a. m. CET (Central European Time Zone) señaló que se encuentran confirmados 179.111 casos del nuevo coronavirus COVID-19 y 7.426 fallecidos, (II) en reporte número 62 de fecha 21 de marzo de 2020 a las 23:59 p. m. CET señaló que se encuentran confirmados 292.142 casos del nuevo coronavirus COVID-19 y 12.783 fallecidos, (III) en reporte número 63 de fecha 23 de marzo de 2020 a las 10:00 a. m. CET señaló que se encuentran confirmados 332.930 casos del nuevo coronavirus COVID-19 y 14.509 fallecidos, (IV) en el reporte número 79 de fecha 8 de abril de 2020 a las 10:00 a. m. CET se encuentran confirmados 1.353.361 casos del nuevo coronavirus COVID-19 y 79.235 fallecidos, (V) en el reporte número 80 del 9 de abril de 2020 a las 10:00 a. m. CET señaló que se encuentran confirmados 1.436.198 casos del nuevo coronavirus COVID-19 y 85.521 fallecidos, (VI) en el reporte número 81 del 10 de abril de 2020 a las 10:00 a. m. CET señaló que se encuentran confirmados 1.521.252 casos del nuevo coronavirus COVID-19 y 92.798 fallecidos, (VII) en el reporte número 82 del 11 de abril de 2020 a las 10:00 a. m. CET señaló que se encuentran confirmados 1.610.909 casos del nuevo coronavirus COVID-19 y 99.690 muertes, (VIII) en el reporte número 83 del 12 de abril de 2020 a las 10:00 a. m. CET señaló que se encuentran confirmados 1.696.588 casos del nuevo coronavirus COVID-19 y 105.952 fallecidos, (IX) en el reporte número 84 del 13 de abril de 2020 a las 10:00 a. m. CET señaló que se encuentran confirmados 1.773.084 casos del nuevo coronavirus COVID-19 y 111.652 fallecidos, (X) en el reporte número 85 del 14 de abril de 2020 a las 10:00 a. m. CET señaló que se encuentran confirmados 1.844.863 casos del nuevo coronavirus COVID-19 y 117.021 fallecidos, (XI) en el reporte número 86 del 15 de abril de 2020 a las 10:00 a. m. CET señalo que se encuentran confirmados 1.914.916 casos del nuevo coronavirus COVID-19 y 123.010 fallecidos, (XII) en el reporte número 87 del 16 de abril de 2020 a las 10:00 a. m. CEST [Central European Summer Time] señaló que se encuentran confirmados 1.991.562 casos del nuevo coronavirus COVID-19 y 130.885 fallecidos, (XIII) en el reporte número 88 del 17 de abril de 2020 a las 10:00 a. m. CEST señaló que se encuentran confirmados 2.074.529 casos del nuevo coronavirus COVID-19 y 139.378 fallecidos, (XIV) en el reporte número 89 del 18 de abril de 2020 a las 10:00 a. m. CEST señaló que se encuentran confirmados 2.160.207 casos del nuevo coronavirus COVID-19 y 146.088 fallecidos, (XV) en el reporte número 90 del 19 de abril de 2020 a las 10:00 a. m. CEST señaló que se encuentran confirmados 2.241.778 casos del nuevo coronavirus COVID-19 y 152.551 fallecidos, (XVI) en el reporte número 91 del 20 de abril de 2020 a las 10:00 a. m. CEST señaló que se encuentran confirmados 2.314.621 casos del nuevo coronavirus COVID-19 y 157.847 fallecidos y (XVII) en el reporte número 92 del 21 de abril de 2020 a las 10:00 a. m. CEST señaló que se encuentran confirmados 2.397.217 casos del nuevo coronavirus COVID-19 y 162.956 fallecidos, (XVIII) en el reporte número 93 del 22 de abril de 2020 a las 10:00 a. m. CEST señaló que se encuentran confirmados 2.471.136 casos del nuevo coronavirus COVID-19 y 169.006 fallecidos, (XIX) en el reporte número 94 del 23 de abril de 2020 a las 10:00 a. m. CEST señaló que se encuentran confirmados 2.544.792 casos del nuevo coronavirus COVID-19 y 175.694 fallecidos, (XX) en el reporte número 95 del 24 de abril de 2020 a las 10:00 a. m. CEST señaló que se encuentran confirmados 2.626.321 casos del nuevo coronavirus COVID-19 y 181.938 fallecidos, (XXI) en el reporte número 96 del 25 de abril de 2020 a las 10:00 a. m. CEST señaló que se encuentran confirmados 2.719.896 casos del nuevo coronavirus COVID-19 y 187.705 fallecidos, (XXII) en el reporte número 97 del 26 de abril de 2020 a las 10:00 a. m. CEST señaló que se encuentran confirmados 2.804.796 casos del nuevo coronavirus COVID-19 y 193.710 fallecidos, (XXIII) en el reporte número 98 del 27 de abril de 2020 a las 10:00 a. m. CEST señaló que se encuentran confirmados 2.878.196 casos del nuevo coronavirus COVID-19 y 198.668 fallecidos, (XXIV) en el reporte número 99 del 28 de abril de 2020 a las 10:00 a. m. CEST señaló que se encuentran confirmados 2.954.222 casos del nuevo coronavirus COVID-19 y 202.597 fallecidos, (XXV) en el reporte número 100 del 29 de abril de 2020 a las 10:00 a. m. CEST señaló que se encuentran confirmados 3.018.952 casos del nuevo coronavirus COVID-19 y 207.973 fallecidos, (XXVI) en el reporte número 101 del 30 de abril de 2020 a las 10:00 a. m. CEST señaló que se encuentran confirmados 3.090.445 casos del nuevo coronavirus COVID-19 y 217.769 fallecidos, (XXVII) en el reporte número 102 del 1o de mayo de 2020 a las 10:00 a. m. CEST señaló que se encuentran confirmados 3.175.207 casos del nuevo coronavirus COVID-19 y 224.172 fallecidos, (XXVIII) en el reporte número 103 del 2 de mayo de 2020 a las 3.267.184 casos del nuevo coronavirus COVID-19 y 229.971 fallecidos, (XXIX) en el reporte número 104 del 3 de mayo de 2020 a las 10:00 a. m. CEST señaló que se encuentran confirmados 3.349.786 casos del nuevo coronavirus COVID-19 y 238.628 fallecidos, (XXX) en el reporte número 105 del 4 de mayo de 2020 a las 10:00 a. m. CEST señaló que se encuentran confirmados 3.435.894 casos del nuevo coronavirus COVID-19 y 239.604 fallecidos, (XXXI) en el reporte número 106 del 5 de mayo de 2020 a las 10:00 a. m. CEST señaló que se encuentran confirmados 3.517.345 casos del nuevo coronavirus COVID-19 y 243.401 fallecidos, (XXXII) en el reporte número 107 del 6 de mayo de 2020 a las 10:00 a. m. CEST señaló que se encuentran confirmados 3.588.773 casos del nuevo coronavirus COVID-19 y 247.503 fallecidos, (XXXIII) en el reporte número 108 del 7 de mayo de 2020 a las 10:00 a. m. CEST señaló que se encuentran confirmados 3.672.238 casos del nuevo coronavirus COVID-19 y 254.045 fallecidos, (XXXIV) en el reporte número 109 del 8 de mayo de 2020 a las 10:00 a. m. CEST señaló que se encuentran confirmados 3.759.967 casos del nuevo coronavirus COVID-19 y 259.474 fallecidos, (XXXV) en el reporte número 110 del 9 de mayo de 2020 a las 10:00 a. m. CEST señaló que se encuentran confirmados 3;855.788 casos del nuevo coronavirus COVID-19 y 265.862 fallecidos, (XXXVI) en el reporte número 111 del 10 de mayo de 2020 a las 10:00 a. m. CEST señaló que se encuentran confirmados 3.917.366 casos del nuevo coronavirus COVID-19 y 274.361 fallecidos, (XXXVII) en el reporte número 112 del 11 de mayo de 2020 a las 10:00 a. m. CEST señaló que se encuentran confirmados 4.006.257 casos del nuevo coronavirus COVID-19 y 278.892 fallecidos, (XXXVIII) en el reporte número 113 del 12 de mayo de 2020 a las 10:00 a. m. CEST señaló que se encuentran confirmados 4.088.848 casos del nuevo coronavirus COVID-19 y 283.153 fallecidos, (XXXIX) en el reporte número 114 del 13 de mayo de 2020 a las 10:00 a. m. CEST señaló que se encuentran confirmados 4.170.424 casos del nuevo coronavirus COVID-19 y 287.399 fallecidos, (XL) en el reporte número 115 del 14 de mayo de 2020 a las 10:00 a. m. CEST señaló que se encuentran confirmados 4.248.389 casos del nuevo coronavirus COVID-19 y 294.046 fallecidos, (XLI) en el reporte número 116 del 15 de mayo de 2020 a las 10:00 a. m. CEST señaló que se encuentran confirmados 4.338.658 casos del nuevo coronavirus COVID-19 y 297.119 fallecidos, (XLII) en el reporte número 117 del 16 de mayo de 2020 a las 10:00 a. m. CEST señaló que se encuentran confirmados 4.425.485 casos; del nuevo coronavirus COVID-19 y 302.059 fallecidos, (XLIII) en el reporte número 118 del 17 de mayo de 2020 a las 10:00 a. m. CEST señaló que se encuentran confirmados 4.525.497 casos del nuevo coronavirus COVID-19 y 307.395 fallecidos, (XLIV) en el reporte número 119 del 18 de mayo de 2020 a las 10:00 a. m. CEST señaló que se encuentran confirmados 4.618.821 casos del nuevo coronavirus COVID-19 y 311.847 fallecidos, (XLV) en el reporte número 120 del 19 de mayo de 2020 a las 10:00 a. m. CEST señaló que se encuentran confirmados 4.731.458 casos del nuevo coronavirus COVID-19 y 316.169 fallecidos, (XLVI) en el reporte número 121 del 20 de mayo de 2020 a las 10:00 a. m. CEST señaló que se encuentran confirmados 4.789.205 casos del nuevo coronavirus COVID-19 y 318.789 fallecidos, (XLVII) en el reporte número 122 del 21 de mayo de 2020 a las 10:00 a. m. CEST señaló que se encuentran confirmados 4.893.186 casos del nuevo coronavirus COVID-19 y 323.256 fallecidos, (XLVIII) en él reporte número 123 del 22 de mayo de 2020 señaló que se encuentran confirmadas 4.993.470 casos del nuevo coronavirus COVID-19 y 327.738 fallecidos, (XLIX) en el reporte número 124 del 23 de mayo de 2020 señaló que se encuentran confirmadas 5.103.006 casos del nuevo coronavirus COVID-19 y 333.401 fallecidos, (L) en el reporte número 125 del 24 de mayo de 2020 señaló que se encuentran confirmadas 5.204.508 casos del nuevo coronavirus COVID-19 y 337.687 fallecidos, (LI) en el reporte número 126 del 25 de mayo de 2020 señaló que se encuentran confirmadas 5.304.772 casos del nuevo coronavirus COVID-19 y 342.029 fallecidos, (LII) en el reporte número 127 del 26 de mayo de 2020 señaló que se encuentran confirmados 5.404.512 casos del nuevo coronavirus COVID-19 y 343.514 fallecidos, (LIII) en el reporte número 128 del 27 de mayo de 2020 señaló que se encuentran confirmados 5.488.825 casos del nuevo coronavirus COVID-19 y 349.095 fallecidos, (LIV) en el reporte número 129 del 28 de mayo de 2020 señaló que se encuentran confirmados 5.593.631 casos del nuevo coronavirus COVID-19 y 353.334 fallecidos, (LV) en el reporte número 130 del 29 de mayo de 2020 señaló que se encuentran confirmados 5.701.337 casos del nuevo coronavirus COVID-19 y 357.688 fallecidos, (LVI) en el reporte número 131 del 30 de mayo de 2020 señaló que se encuentran confirmados 5.817.385 casos del nuevo coronavirus COVID-19 y 362.705 fallecidos, (LVII) en el reporte número 132 del 31 de mayo de 2020 señaló que se encuentran confirmados 5.934.936 casos del nuevo coronavirus COVID-19 y 367.166 fallecidos, (LVIII) en el reporte número 133 del 1o de junio de 2020 señaló que se encuentran confirmados 6.057.853 casos del nuevo coronavirus COVID-19 y 371.166 fallecidos, (LIX) en el reporte número 134 del 2 de junio de 2020 señaló que se encuentran confirmados 6.194.533 casos del nuevo coronavirus COVID-19 y 376.320 fallecidos, (LX) en el reporte número 135 del 3 de junio de 2020 señaló que se encuentran confirmados 6.287.771 casos del nuevo coronavirus COVID-19 y 379.941 fallecidos, (LXI) en el reporte número 136 del 4 de junio de 2020 señaló que se encuentran confirmados 6.416.828 casos del nuevo coronavirus COVID-19 y 382.867 fallecidos, (LXII) en el reporte número 137 del 5 de junio de 2020 señaló que se encuentran confirmados 6.535.354 casos del nuevo coronavirus COVID-19 y 387.155 fallecidos, (LXIII) en el reporte número 138 del 6 de junio de 2020 señaló que se encuentran confirmados 6.663.304 casos del nuevo coronavirus COVID-19 y 392.802 fallecidos, (LXIV) en el reporte número 139 del 7 de junio de 2020 señaló que se encuentran confirmados 6.799.713 casos del nuevo coronavirus COVID-19 y 397.388 fallecidos, (LXIV) en el reporte número 140 del 8 de junio de 2020 señaló que se encuentran confirmados 6.931.000 casos del nuevo coronavirus COVID-19 y 400.857 fallecidos, (LXV) en el reporte número 141 del 9 de junio de 2020 señaló que se encuentran confirmados 7.039.918 casos del nuevo coronavirus COVID-19 y 404.396 fallecidos, (LXVI) en el reporte número 142 del 10 de junio de 2020 señaló que se encuentran confirmados 7.145.539 casos del nuevo coronavirus COVID-19 y 408.025 fallecidos, (LXVII) en el reporte número 143 del 11 de junio de 2020 señaló que se encuentran confirmados 7.273.958 casos del nuevo coronavirus COVID-19 y 413.372 fallecidos, (LXVIII) en el reporte número 144 del 12 de junio de 2020 señaló que se encuentran confirmados 7.410.510 casos del nuevo coronavirus COVID-19 y 418.294 fallecidos, (LXIX) en el reporte número 145 del 13 de junio de 2020 señaló que se encuentran confirmados 7.553.182 casos del nuevo coronavirus COVID-19 y 423.349 fallecidos, (LXX) en el reporte número 146 del 14 de junio de 2020 señaló que se encuentran confirmados 7.690.708 casos del nuevo coronavirus COVID-19 y 427.630 fallecidos, (LXXI) en el reporte número 147 del 15 de junio de 2020 señaló que se encuentran confirmados 7.823.289 casos del nuevo coronavirus COVID-19 y 431.541 fallecidos, (LXXII) en el reporte número 148 del 16 de junio de 2020 señaló que se encuentran confirmados 7.941.791 casos del nuevo coronavirus COVID-19 y 434.796 fallecidos, (LXXIII) en el reporte número 149 del 17 de junio de 2020 señaló que se encuentran confirmados 8.061.550 casos del nuevo coronavirus COVID-19 y 440.290 fallecidos, (LXXIV) en el reporte número 150 del 18 de junio de 2020 señaló que se encuentran confirmados 8.242.999 casos del nuevo coronavirus COVID-19 y 445.535 fallecidos, (LXXV) en el reporte número 151 del 19 de junio de 2020 señaló que se encuentran confirmados 8.385.440 casos del nuevo coronavirus COVID-19 y 450.686 fallecidos, (LXXVI) en el reporte número 152 del 20 de junio de 2020 señaló que se encuentran confirmados 8.525.042 casos del nuevo coronavirus COVID-19 y 456.973 fallecidos, (LXXVII) en el reporte número 153 del 21 de junio de 2020 señaló que se encuentran confirmados 8.708.008 casos del nuevo coronavirus COVID-19 y 461.715 fallecidos, (LXXVIII) en el reporte número 154 del 22 de junio de 2020 señaló que se encuentran confirmados 8.860.331 casos del nuevo coronavirus COVID-19 y 465.740 fallecidos, (LXXIX) en el reporte número 155 del 23 de junio de 2020 señaló que se encuentran confirmados 8.993.659 casos del nuevo coronavirus COVID-19 y 469.587 fallecidos, (LXXX) en el reporte número 156 del 24 de junio de 2020 señaló que se encuentran confirmados 9.129.146 casos del nuevo coronavirus COVID-19 y 473.797 fallecidos, (LXXXI) en el reporte número 157 del 25 de junio de 2020 señaló que se encuentran confirmados 9.296.202 casos del nuevo coronavirus COVID-19 y 479.133 fallecidos, (LXXXII) en,el reporte número 158 del 26 de junio de 2020 señaló que se encuentran confirmados 9.473.214 casos del nuevo coronavirus COVID-19 y 484.249 fallecidos, (LXXXIII) en el reporte número 159 del 27 de junio de 2020 señaló que se encuentran confirmados 9.653.048 casos del nuevo coronavirus COVID-19 y 491.128 fallecidos, (LXXXIV) en el reporte número 160 del 28 de junio de 2020 señaló que se encuentran confirmados 9.843.073 casos del nuevo coronavirus COVID-19 y 495.760 fallecidos, (LXXXV) en el reporte número 161 del 29 de junio de 2020 señaló que se encuentran confirmados 10.021,401 casos del nuevo coronavirus COVID-19 y 499.913 fallecidos, (LXXXVI) en el reporte número 162 del 30 de junio de 2020 señaló que se encuentran confirmados 10.185.374 casos del nuevo coronavirus COVID-19 y 503.862 fallecidos, (LXXXVII) en el reporte número 163 del 1o de julio de 2020 señaló que se encuentran confirmados 10.357.662 casos del nuevo coronavirus COVID-19 y 508.055 fallecidos, (LXXXVIII) en el reporte número 164 del 2 de julio de 2020. señaló que se encuentran confirmados 10.533.779 casos del nuevo coronavirus COVID-19 y 512.842 fallecidos, (LXXXIX) en el reporte número 165 del 3 de julio de 2020 señaló que se encuentran confirmados 10.710.005 casos del nuevo coronavirus COVID-19 y 517.877 fallecidos, (XC) en el reporte número 166 del 4 de julio de 2020 señaló que se encuentran confirmados 10.922.324 casos del nuevo coronavirus COVID-19 y 523.011 fallecidos, (XCI) en el reporte número 167 del 5 de julio de 2020 señaló que se encuentran confirmados 11.125.245 casos del nuevo coronavirus COVID-19 y 528.204 fallecidos, (XCII) en el reporte número 168 del 6 de julio de 2020 señaló que se encuentran confirmados 11.327.790 casos del nuevo coronavirus COVID-19 y 532.340 fallecidos, (XCIII) en el reporte número 169 del 7 de julio de 2020 señaló que se encuentran confirmados 11.500.302, casos del nuevo coronavirus COVID-19 y 535.759 fallecidos. </w:t>
      </w:r>
    </w:p>
    <w:p>
      <w:pPr>
        <w:jc w:val="both"/>
        <w:outlineLvl w:val="1"/>
      </w:pPr>
      <w:rPr>
        <w:sz w:val="24"/>
        <w:color w:val="black"/>
      </w:rPr>
    </w:p>
    <w:p>
      <w:pPr>
        <w:jc w:val="both"/>
        <w:outlineLvl w:val="1"/>
      </w:pPr>
      <w:r>
        <w:rPr>
          <w:rFonts w:hAnsi="Arial"/>
          <w:rFonts w:ascii="Arial"/>
          <w:sz w:val="24"/>
          <w:color w:val="black"/>
        </w:rPr>
        <w:t xml:space="preserve">Que según la Organización Mundial de la Salud (OMS), (I) en reporte de fecha 10 de mayo de 2020 a las 19:00 GMT-5, -hora del Meridiano de Greenwich-, se encuentran confirmados 4.006.257 casos, 278.892 fallecidos y 215 países, áreas o territorios con casos del nuevo coronavirus COVID-19; (II) en reporte de fecha 11 de mayo de 2020 a las 19:00 GMT-5, -hora del Meridiano de Greenwich-, se encuentran confirmados 4.088.848 casos, 283.153 fallecidos y 215 países, áreas o territorios con casos del nuevo coronavirus COVID-19; y (III) en reporte de fecha 7 de julio de 2020 a las 19:00 GMT-5, -hora del Meridiano de Greenwichse encuentran confirmados 11.669.259 casos, 539.906 fallecidos y 216 países, áreas o territorios con casos del nuevo coronavirus COVID-19. </w:t>
      </w:r>
    </w:p>
    <w:p>
      <w:pPr>
        <w:jc w:val="both"/>
        <w:outlineLvl w:val="1"/>
      </w:pPr>
      <w:rPr>
        <w:sz w:val="24"/>
        <w:color w:val="black"/>
      </w:rPr>
    </w:p>
    <w:p>
      <w:pPr>
        <w:jc w:val="both"/>
        <w:outlineLvl w:val="1"/>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Coronavirus COVID-19, entre otras, la adopción de medidas de distanciamiento social. </w:t>
      </w:r>
    </w:p>
    <w:p>
      <w:pPr>
        <w:jc w:val="both"/>
        <w:outlineLvl w:val="1"/>
      </w:pPr>
      <w:rPr>
        <w:sz w:val="24"/>
        <w:color w:val="black"/>
      </w:rPr>
    </w:p>
    <w:p>
      <w:pPr>
        <w:jc w:val="both"/>
        <w:outlineLvl w:val="1"/>
      </w:pPr>
      <w:r>
        <w:rPr>
          <w:rFonts w:hAnsi="Arial"/>
          <w:rFonts w:ascii="Arial"/>
          <w:sz w:val="24"/>
          <w:color w:val="black"/>
        </w:rPr>
        <w:t xml:space="preserve">Que de acuerdo con la información suministrada por el Ministerio de Salud y Protección Social mediante memorando 202022000077553 del 7 de abril de 2020, el 31 de marzo de 2020 se alcanzó un total de 906 casos de contagio en el país, de los cuales 144 (15.8%) se encontraban en estudio, fecha para la cual se evidenció que en ese seguimiento en más del 10% de los casos, no fue posible establecer la fuente de infección, por lo cual el país finalizó la etapa de contención e inició la etapa de mitigación de la pandemia del Coronavirus COVID-19.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en memorando 202022000086563 del 24 de abril de 2020, señaló: </w:t>
      </w:r>
    </w:p>
    <w:p>
      <w:pPr>
        <w:jc w:val="both"/>
        <w:outlineLvl w:val="1"/>
      </w:pPr>
      <w:rPr>
        <w:sz w:val="24"/>
        <w:color w:val="black"/>
      </w:rPr>
    </w:p>
    <w:p>
      <w:pPr>
        <w:jc w:val="both"/>
        <w:outlineLvl w:val="1"/>
      </w:pPr>
      <w:r>
        <w:rPr>
          <w:rFonts w:hAnsi="Arial"/>
          <w:rFonts w:ascii="Arial"/>
          <w:sz w:val="24"/>
          <w:color w:val="black"/>
        </w:rPr>
        <w:t xml:space="preserve">"El comportamiento del Coronavirus COVID-19 en Colombia a 23 de abril, de acuerdo con los datos del Instituto Nacional de Salud, muestra que se han confirmado 4561 casos, 927 se han recuperado y 215 han fallecido. A su vez, de los casos confirmados la mayoría, 87,8% se encuentra en manejo domiciliario, debido a su baja severidad, 4,9% se encuentra bajo manejo hospitalario y solo 2,6% se encuentran en unidades de cuidado intensivo. </w:t>
      </w:r>
    </w:p>
    <w:p>
      <w:pPr>
        <w:jc w:val="both"/>
        <w:outlineLvl w:val="1"/>
      </w:pPr>
      <w:rPr>
        <w:sz w:val="24"/>
        <w:color w:val="black"/>
      </w:rPr>
    </w:p>
    <w:p>
      <w:pPr>
        <w:jc w:val="both"/>
        <w:outlineLvl w:val="1"/>
      </w:pPr>
      <w:r>
        <w:rPr>
          <w:rFonts w:hAnsi="Arial"/>
          <w:rFonts w:ascii="Arial"/>
          <w:sz w:val="24"/>
          <w:color w:val="black"/>
        </w:rPr>
        <w:t xml:space="preserve">Como resultado del análisis de la evolución de casos confirmados, según fecha de inicio de síntomas es posible identificar una disminución en el número de casos por día (gráfica 1) y en el número de muertes por día (gráfica 2). La letalidad en Colombia es de 4,25%, menor a la mundial de 7.06%".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en memorando 202022000095703 del 6 de mayo de 2020, señaló: </w:t>
      </w:r>
    </w:p>
    <w:p>
      <w:pPr>
        <w:jc w:val="both"/>
        <w:outlineLvl w:val="1"/>
      </w:pPr>
      <w:rPr>
        <w:sz w:val="24"/>
        <w:color w:val="black"/>
      </w:rPr>
    </w:p>
    <w:p>
      <w:pPr>
        <w:jc w:val="both"/>
        <w:outlineLvl w:val="1"/>
      </w:pPr>
      <w:r>
        <w:rPr>
          <w:rFonts w:hAnsi="Arial"/>
          <w:rFonts w:ascii="Arial"/>
          <w:sz w:val="24"/>
          <w:color w:val="black"/>
        </w:rPr>
        <w:t xml:space="preserve">"De acuerdo con las estimaciones del Instituto Nacional de Salud, el número reproductivo efectivo (Rt), que estima la cantidad de personas que cada paciente infecta y permite calcular la velocidad a la que se está propagando el virus y la población de enfermos en las siguientes semanas, estimado al inicio de la epidemia fue de 2,4, mientras que a la fecha se encuentra en 1,3. </w:t>
      </w:r>
    </w:p>
    <w:p>
      <w:pPr>
        <w:jc w:val="both"/>
        <w:outlineLvl w:val="1"/>
      </w:pPr>
      <w:rPr>
        <w:sz w:val="24"/>
        <w:color w:val="black"/>
      </w:rPr>
    </w:p>
    <w:p>
      <w:pPr>
        <w:jc w:val="both"/>
        <w:outlineLvl w:val="1"/>
      </w:pPr>
      <w:r>
        <w:rPr>
          <w:rFonts w:hAnsi="Arial"/>
          <w:rFonts w:ascii="Arial"/>
          <w:sz w:val="24"/>
          <w:color w:val="black"/>
        </w:rPr>
        <w:t xml:space="preserve">El promedio de casos diarios confirmados por fecha de reporte entre el 6 de marzo y el 5 de mayo de 2020 es de 154. La letalidad, que establece el porcentaje de personas que han fallecido con respecto a los casos identificados como positivos a 5 de mayo de 2020 es de 4,4%. La tasa de letalidad global es de 7,4%. </w:t>
      </w:r>
    </w:p>
    <w:p>
      <w:pPr>
        <w:jc w:val="both"/>
        <w:outlineLvl w:val="1"/>
      </w:pPr>
      <w:rPr>
        <w:sz w:val="24"/>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transcurridas 9 semanas, este valor es de 10,62 días. </w:t>
      </w:r>
    </w:p>
    <w:p>
      <w:pPr>
        <w:jc w:val="both"/>
        <w:outlineLvl w:val="1"/>
      </w:pPr>
      <w:rPr>
        <w:sz w:val="24"/>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en memorando 202022000110123 del 27 de mayo de 2020, señaló: </w:t>
      </w:r>
    </w:p>
    <w:p>
      <w:pPr>
        <w:jc w:val="both"/>
        <w:outlineLvl w:val="1"/>
      </w:pPr>
      <w:rPr>
        <w:sz w:val="24"/>
        <w:color w:val="black"/>
      </w:rPr>
    </w:p>
    <w:p>
      <w:pPr>
        <w:jc w:val="both"/>
        <w:outlineLvl w:val="1"/>
      </w:pPr>
      <w:r>
        <w:rPr>
          <w:rFonts w:hAnsi="Arial"/>
          <w:rFonts w:ascii="Arial"/>
          <w:sz w:val="24"/>
          <w:color w:val="black"/>
        </w:rPr>
        <w:t xml:space="preserve">"De acuerdo con las estimaciones del Instituto Nacional de Salud el promedio de casos diarios confirmados por fecha de reporte, entre el 6 de marzo y el 26 de mayo de 2020 fue de 284. La letalidad, que establece el porcentaje de personas que han fallecido con respecto a los casos identificados como positivos en Colombia a la misma fecha fue de 3.37%. </w:t>
      </w:r>
    </w:p>
    <w:p>
      <w:pPr>
        <w:jc w:val="both"/>
        <w:outlineLvl w:val="1"/>
      </w:pPr>
      <w:rPr>
        <w:sz w:val="24"/>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en la última duplicación que ocurre el 28 de abril, el valor fue de 17,07 días. </w:t>
      </w:r>
    </w:p>
    <w:p>
      <w:pPr>
        <w:jc w:val="both"/>
        <w:outlineLvl w:val="1"/>
      </w:pPr>
      <w:rPr>
        <w:sz w:val="24"/>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en memorando 202022000126153 del 11 de junio de 2020, señaló:</w:t>
      </w:r>
    </w:p>
    <w:p>
      <w:pPr>
        <w:jc w:val="both"/>
        <w:outlineLvl w:val="1"/>
      </w:pPr>
      <w:rPr>
        <w:sz w:val="24"/>
        <w:color w:val="black"/>
      </w:rPr>
    </w:p>
    <w:p>
      <w:pPr>
        <w:jc w:val="both"/>
        <w:outlineLvl w:val="1"/>
      </w:pPr>
      <w:r>
        <w:rPr>
          <w:rFonts w:hAnsi="Arial"/>
          <w:rFonts w:ascii="Arial"/>
          <w:sz w:val="24"/>
          <w:color w:val="black"/>
        </w:rPr>
        <w:t xml:space="preserve">"De acuerdo a la información reportada por el Instituto Nacional de Salud, el promedia de casos diarios confirmados por fecha de reporte, en los últimos siete días, entre el 4 y 10 de junio 2020 es de 1.475. </w:t>
      </w:r>
    </w:p>
    <w:p>
      <w:pPr>
        <w:jc w:val="both"/>
        <w:outlineLvl w:val="1"/>
      </w:pPr>
      <w:rPr>
        <w:sz w:val="24"/>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5 de mayo es de 3,27%. La tasa de letalidad global es de 5.7%. </w:t>
      </w:r>
    </w:p>
    <w:p>
      <w:pPr>
        <w:jc w:val="both"/>
        <w:outlineLvl w:val="1"/>
      </w:pPr>
      <w:rPr>
        <w:sz w:val="24"/>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11.8 % para el 10 de junio de 2020.". </w:t>
      </w:r>
    </w:p>
    <w:p>
      <w:pPr>
        <w:jc w:val="both"/>
        <w:outlineLvl w:val="1"/>
      </w:pPr>
      <w:rPr>
        <w:sz w:val="24"/>
        <w:color w:val="black"/>
      </w:rPr>
    </w:p>
    <w:p>
      <w:pPr>
        <w:jc w:val="both"/>
        <w:outlineLvl w:val="1"/>
      </w:pPr>
      <w:r>
        <w:rPr>
          <w:rFonts w:hAnsi="Arial"/>
          <w:rFonts w:ascii="Arial"/>
          <w:sz w:val="24"/>
          <w:color w:val="black"/>
        </w:rPr>
        <w:t xml:space="preserve">Que el Ministerio del Deporte, en Comunicación 2020EE0010086 del 11 de junio de 2020, manifestó: </w:t>
      </w:r>
    </w:p>
    <w:p>
      <w:pPr>
        <w:jc w:val="both"/>
        <w:outlineLvl w:val="1"/>
      </w:pPr>
      <w:rPr>
        <w:sz w:val="24"/>
        <w:color w:val="black"/>
      </w:rPr>
    </w:p>
    <w:p>
      <w:pPr>
        <w:jc w:val="both"/>
        <w:outlineLvl w:val="1"/>
      </w:pPr>
      <w:r>
        <w:rPr>
          <w:rFonts w:hAnsi="Arial"/>
          <w:rFonts w:ascii="Arial"/>
          <w:sz w:val="24"/>
          <w:color w:val="black"/>
        </w:rPr>
        <w:t xml:space="preserve">"La realización de actividad física al aire libre (prevista en el actual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 2020) es una actividad similar a la práctica de deportes individuales al aire libre, la cual, también presenta un riesgo de contagio bajo. El implementar una medida que permita la práctica de estos deportes, tal como se pretende con la primera solicitud de modificación, supone necesariamente habilitar los espacios en los cuales esos deportistas puedan llevar a cabo la práctica individual y diferenciada. </w:t>
      </w:r>
    </w:p>
    <w:p>
      <w:pPr>
        <w:jc w:val="both"/>
        <w:outlineLvl w:val="1"/>
      </w:pPr>
      <w:rPr>
        <w:sz w:val="24"/>
        <w:color w:val="black"/>
      </w:rPr>
    </w:p>
    <w:p>
      <w:pPr>
        <w:jc w:val="both"/>
        <w:outlineLvl w:val="1"/>
      </w:pPr>
      <w:r>
        <w:rPr>
          <w:rFonts w:hAnsi="Arial"/>
          <w:rFonts w:ascii="Arial"/>
          <w:sz w:val="24"/>
          <w:color w:val="black"/>
        </w:rPr>
        <w:t xml:space="preserve">En efecto, el deporte es una actividad que se encuentra reglamentada y estructurada en condiciones específicas para cada disciplina, razón por la cual su práctica y ejercicio requiere la disposición de los escenarios propios de cada una de las actividades deportivas individuales. </w:t>
      </w:r>
    </w:p>
    <w:p>
      <w:pPr>
        <w:jc w:val="both"/>
        <w:outlineLvl w:val="1"/>
      </w:pPr>
      <w:rPr>
        <w:sz w:val="24"/>
        <w:color w:val="black"/>
      </w:rPr>
    </w:p>
    <w:p>
      <w:pPr>
        <w:jc w:val="both"/>
        <w:outlineLvl w:val="1"/>
      </w:pPr>
      <w:r>
        <w:rPr>
          <w:rFonts w:hAnsi="Arial"/>
          <w:rFonts w:ascii="Arial"/>
          <w:sz w:val="24"/>
          <w:color w:val="black"/>
        </w:rPr>
        <w:t xml:space="preserve">Por otro lado, habilitar los escenarios para la práctica de las disciplinas deportivas no configura un riesgo de contagio, en la medida en que, en espacio abierto, el coronavirus (que es pesado) cae rápidamente al suelo en una distancia no mayor de 2 metros donde prontamente se inactiva y el aire libre se recambia. Por el contrario, en espacios cerrados con poca ventilación hay menos distanciamiento y el virus puede permanecer más tiempo en el aire ya que el mismo volumen de aire es respirado por muchas personas. </w:t>
      </w:r>
    </w:p>
    <w:p>
      <w:pPr>
        <w:jc w:val="both"/>
        <w:outlineLvl w:val="1"/>
      </w:pPr>
      <w:rPr>
        <w:sz w:val="24"/>
        <w:color w:val="black"/>
      </w:rPr>
    </w:p>
    <w:p>
      <w:pPr>
        <w:jc w:val="both"/>
        <w:outlineLvl w:val="1"/>
      </w:pPr>
      <w:r>
        <w:rPr>
          <w:rFonts w:hAnsi="Arial"/>
          <w:rFonts w:ascii="Arial"/>
          <w:sz w:val="24"/>
          <w:color w:val="black"/>
        </w:rPr>
        <w:t xml:space="preserve">Por lo anterior y con el fin de preservar la salud y vida de los deportistas y la población en general, se sugiere habilitar la apertura de los espacios deportivos, como canchas, siempre que dichos escenarios sean a campo abierto y se garantice que la práctica deportiva se haga de forma individual y diferenciada, cumpliendo además, todos los protocolos de bioseguridad elaborados por las diferentes Federaciones Deportivas Nacionales para el reinicio de su actividad en tiempos de pandemia [...]".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en memorando 202022000137233 del 25 de junio de 2020, señaló: </w:t>
      </w:r>
    </w:p>
    <w:p>
      <w:pPr>
        <w:jc w:val="both"/>
        <w:outlineLvl w:val="1"/>
      </w:pPr>
      <w:rPr>
        <w:sz w:val="24"/>
        <w:color w:val="black"/>
      </w:rPr>
    </w:p>
    <w:p>
      <w:pPr>
        <w:jc w:val="both"/>
        <w:outlineLvl w:val="1"/>
      </w:pPr>
      <w:r>
        <w:rPr>
          <w:rFonts w:hAnsi="Arial"/>
          <w:rFonts w:ascii="Arial"/>
          <w:sz w:val="24"/>
          <w:color w:val="black"/>
        </w:rPr>
        <w:t xml:space="preserve">"De acuerdo a la información reportada por el Instituto Nacional de Salud, el promedio de casos diarios confirmados por fecha de reporte, en los últimos siete días, entre el 19 y el 25 de junio de 2020 es de 2.912. </w:t>
      </w:r>
    </w:p>
    <w:p>
      <w:pPr>
        <w:jc w:val="both"/>
        <w:outlineLvl w:val="1"/>
      </w:pPr>
      <w:rPr>
        <w:sz w:val="24"/>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25 de junio es de 3,29%. La tasa de letalidad global es de 5.13%.</w:t>
      </w:r>
      <w:r>
        <w:fldChar w:fldCharType="begin"/>
      </w:r>
      <w:r>
        <w:instrText>HYPERLINK "http://www.redjurista.com/document.aspx?ajcode=d0990020&amp;arts=NF2"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14.9 % para el 24 de junio es de 2020.".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mediante memorando 202020000993541 del 3 de julio de 2020, estableció las siguientes categorías, según la afectación de los municipios por COVID-19: (i) Municipios sin afectación COVID-19, (ii) Municipios de baja afectación, (iii) Municipios de moderada afectación, y (iv) Municipios de alta afectación.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en memorando 202022000147613 del 7 de julio de 2020, señaló: </w:t>
      </w:r>
    </w:p>
    <w:p>
      <w:pPr>
        <w:jc w:val="both"/>
        <w:outlineLvl w:val="1"/>
      </w:pPr>
      <w:rPr>
        <w:sz w:val="24"/>
        <w:color w:val="black"/>
      </w:rPr>
    </w:p>
    <w:p>
      <w:pPr>
        <w:jc w:val="both"/>
        <w:outlineLvl w:val="1"/>
      </w:pPr>
      <w:r>
        <w:rPr>
          <w:rFonts w:hAnsi="Arial"/>
          <w:rFonts w:ascii="Arial"/>
          <w:sz w:val="24"/>
          <w:color w:val="black"/>
        </w:rPr>
        <w:t xml:space="preserve">"De acuerdo a la información reportada por el Instituto Nacional de Salud, el promedio de casos diarios confirmados por fecha de reporte, en los últimos siete días, entre el 29 de junio y el 6 de julio de 2020 es de 3.600. </w:t>
      </w:r>
    </w:p>
    <w:p>
      <w:pPr>
        <w:jc w:val="both"/>
        <w:outlineLvl w:val="1"/>
      </w:pPr>
      <w:rPr>
        <w:sz w:val="24"/>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6 de julio es de 3.5%. La tasa de letalidad global es de 4.6%. Así mismo, a partir de la semana 23, entre el 1 y 7 de junio, la mortalidad por todas las causas muestra un cambio en la tendencia registrando el inicio de un exceso de mortalidad general, que visto por grupos de edad y sexo, es mayor en hombres y mujeres mayores de 60 años. </w:t>
      </w:r>
    </w:p>
    <w:p>
      <w:pPr>
        <w:jc w:val="both"/>
        <w:outlineLvl w:val="1"/>
      </w:pPr>
      <w:rPr>
        <w:sz w:val="24"/>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17.8% para el 6 de julio de 2020.". </w:t>
      </w:r>
    </w:p>
    <w:p>
      <w:pPr>
        <w:jc w:val="both"/>
        <w:outlineLvl w:val="1"/>
      </w:pPr>
      <w:rPr>
        <w:sz w:val="24"/>
        <w:color w:val="black"/>
      </w:rPr>
    </w:p>
    <w:p>
      <w:pPr>
        <w:jc w:val="both"/>
        <w:outlineLvl w:val="1"/>
      </w:pPr>
      <w:r>
        <w:rPr>
          <w:rFonts w:hAnsi="Arial"/>
          <w:rFonts w:ascii="Arial"/>
          <w:sz w:val="24"/>
          <w:color w:val="black"/>
        </w:rPr>
        <w:t xml:space="preserve">Que el Instituto Nacional de Salud mediante Comunicación 2-1000-2020-002748 del 8 de julio de 2020, precisó: </w:t>
      </w:r>
    </w:p>
    <w:p>
      <w:pPr>
        <w:jc w:val="both"/>
        <w:outlineLvl w:val="1"/>
      </w:pPr>
      <w:rPr>
        <w:sz w:val="24"/>
        <w:color w:val="black"/>
      </w:rPr>
    </w:p>
    <w:p>
      <w:pPr>
        <w:jc w:val="both"/>
        <w:outlineLvl w:val="1"/>
      </w:pPr>
      <w:r>
        <w:rPr>
          <w:rFonts w:hAnsi="Arial"/>
          <w:rFonts w:ascii="Arial"/>
          <w:sz w:val="24"/>
          <w:color w:val="black"/>
        </w:rPr>
        <w:t xml:space="preserve">"Las enfermedades transmisibles se contagian dependiendo de: i) la vía de trasmisión (respiratoria, oral, fecal, vectorial, entre otras), ii) el número de contactos entre las personas, iii) la cantidad y el tamaño de la población afectada, y iv) la cantidad de personas susceptibles de contagiarse. </w:t>
      </w:r>
    </w:p>
    <w:p>
      <w:pPr>
        <w:jc w:val="both"/>
        <w:outlineLvl w:val="1"/>
      </w:pPr>
      <w:rPr>
        <w:sz w:val="24"/>
        <w:color w:val="black"/>
      </w:rPr>
    </w:p>
    <w:p>
      <w:pPr>
        <w:jc w:val="both"/>
        <w:outlineLvl w:val="1"/>
      </w:pPr>
      <w:r>
        <w:rPr>
          <w:rFonts w:hAnsi="Arial"/>
          <w:rFonts w:ascii="Arial"/>
          <w:sz w:val="24"/>
          <w:color w:val="black"/>
        </w:rPr>
        <w:t xml:space="preserve">Se puede hacer un seguimiento de los casos nuevos de una enfermedad transmisible que se van presentando a través del tiempo en una población.</w:t>
      </w:r>
    </w:p>
    <w:p>
      <w:pPr>
        <w:jc w:val="both"/>
        <w:outlineLvl w:val="1"/>
      </w:pPr>
      <w:rPr>
        <w:sz w:val="24"/>
        <w:color w:val="black"/>
      </w:rPr>
    </w:p>
    <w:p>
      <w:pPr>
        <w:jc w:val="both"/>
        <w:outlineLvl w:val="1"/>
      </w:pPr>
      <w:r>
        <w:rPr>
          <w:rFonts w:hAnsi="Arial"/>
          <w:rFonts w:ascii="Arial"/>
          <w:sz w:val="24"/>
          <w:color w:val="black"/>
        </w:rPr>
        <w:t xml:space="preserve">Se empieza con pocos casos y, en la medida que pasa el tiempo, se presentan cada vez más casos nuevos hasta llegar un punto máximo (el pico epidemiológico) en el que la proporción de personas susceptibles ha disminuido considerablemente, por lo que el número de casos nuevos empieza a disminuir hasta llegar potencialmente a cero. </w:t>
      </w:r>
    </w:p>
    <w:p>
      <w:pPr>
        <w:jc w:val="both"/>
        <w:outlineLvl w:val="1"/>
      </w:pPr>
      <w:rPr>
        <w:sz w:val="24"/>
        <w:color w:val="black"/>
      </w:rPr>
    </w:p>
    <w:p>
      <w:pPr>
        <w:jc w:val="both"/>
        <w:outlineLvl w:val="1"/>
      </w:pPr>
      <w:r>
        <w:rPr>
          <w:rFonts w:hAnsi="Arial"/>
          <w:rFonts w:ascii="Arial"/>
          <w:sz w:val="24"/>
          <w:color w:val="black"/>
        </w:rPr>
        <w:t xml:space="preserve">Este ejercicio funciona para enfermedades que dejan inmunidad una vez se sufre la enfermedad. Teóricamente no es necesario que toda la población se infecte para que la curva caiga hasta que no se generen nuevos casos, pues una vez la cantidad de susceptibles en la población disminuyan, cada vez es más difícil que un infectado se encuentre y pueda contagiar a un susceptible. </w:t>
      </w:r>
    </w:p>
    <w:p>
      <w:pPr>
        <w:jc w:val="both"/>
        <w:outlineLvl w:val="1"/>
      </w:pPr>
      <w:rPr>
        <w:sz w:val="24"/>
        <w:color w:val="black"/>
      </w:rPr>
    </w:p>
    <w:p>
      <w:pPr>
        <w:jc w:val="both"/>
        <w:outlineLvl w:val="1"/>
      </w:pPr>
      <w:r>
        <w:rPr>
          <w:rFonts w:hAnsi="Arial"/>
          <w:rFonts w:ascii="Arial"/>
          <w:sz w:val="24"/>
          <w:color w:val="black"/>
        </w:rPr>
        <w:t xml:space="preserve">El pico epidemiológico es el momento de la epidemia en que ocurren más casos nuevos y corresponde con la mayor exigencia de los sistemas de salud (durante la epidemia), pues más personas requerirán simultáneamente atención para el tratamiento de la enfermedad y sus complicaciones. </w:t>
      </w:r>
    </w:p>
    <w:p>
      <w:pPr>
        <w:jc w:val="both"/>
        <w:outlineLvl w:val="1"/>
      </w:pPr>
      <w:rPr>
        <w:sz w:val="24"/>
        <w:color w:val="black"/>
      </w:rPr>
    </w:p>
    <w:p>
      <w:pPr>
        <w:jc w:val="both"/>
        <w:outlineLvl w:val="1"/>
      </w:pPr>
      <w:r>
        <w:rPr>
          <w:rFonts w:hAnsi="Arial"/>
          <w:rFonts w:ascii="Arial"/>
          <w:sz w:val="24"/>
          <w:color w:val="black"/>
        </w:rPr>
        <w:t xml:space="preserve">Los modelos matemáticos funcionan con información de las variables: i) tiempo) ii) casos nuevos, iii) el tamaño de la población y iv) las tasas de contacto entre las personas, con esto, se busca poder hacer un pronóstico del probable comportamiento de la epidemia en una población dada. </w:t>
      </w:r>
    </w:p>
    <w:p>
      <w:pPr>
        <w:jc w:val="both"/>
        <w:outlineLvl w:val="1"/>
      </w:pPr>
      <w:rPr>
        <w:sz w:val="24"/>
        <w:color w:val="black"/>
      </w:rPr>
    </w:p>
    <w:p>
      <w:pPr>
        <w:jc w:val="both"/>
        <w:outlineLvl w:val="1"/>
      </w:pPr>
      <w:r>
        <w:rPr>
          <w:rFonts w:hAnsi="Arial"/>
          <w:rFonts w:ascii="Arial"/>
          <w:sz w:val="24"/>
          <w:color w:val="black"/>
        </w:rPr>
        <w:t xml:space="preserve">¿Por qué no se ha llegado al pico epidemiológico de COVID-19 en Colombia? </w:t>
      </w:r>
    </w:p>
    <w:p>
      <w:pPr>
        <w:jc w:val="both"/>
        <w:outlineLvl w:val="1"/>
      </w:pPr>
      <w:rPr>
        <w:sz w:val="24"/>
        <w:color w:val="black"/>
      </w:rPr>
    </w:p>
    <w:p>
      <w:pPr>
        <w:jc w:val="both"/>
        <w:outlineLvl w:val="1"/>
      </w:pPr>
      <w:r>
        <w:rPr>
          <w:rFonts w:hAnsi="Arial"/>
          <w:rFonts w:ascii="Arial"/>
          <w:sz w:val="24"/>
          <w:color w:val="black"/>
        </w:rPr>
        <w:t xml:space="preserve">El escenario del caso base parte de un supuesto de no implementar una intervención, lo que se traduce en un número reproductivo efectivo (Rt) de 2,28. El Rt corresponde al promedio de casos nuevos que genera un caso infectado en una población susceptible. </w:t>
      </w:r>
    </w:p>
    <w:p>
      <w:pPr>
        <w:jc w:val="both"/>
        <w:outlineLvl w:val="1"/>
      </w:pPr>
      <w:rPr>
        <w:sz w:val="24"/>
        <w:color w:val="black"/>
      </w:rPr>
    </w:p>
    <w:p>
      <w:pPr>
        <w:jc w:val="both"/>
        <w:outlineLvl w:val="1"/>
      </w:pPr>
      <w:r>
        <w:rPr>
          <w:rFonts w:hAnsi="Arial"/>
          <w:rFonts w:ascii="Arial"/>
          <w:sz w:val="24"/>
          <w:color w:val="black"/>
        </w:rPr>
        <w:t xml:space="preserve">Con ese valor se estimaba que el pico epidemiológico ocurriría entre la primera y segunda semana de mayo. </w:t>
      </w:r>
    </w:p>
    <w:p>
      <w:pPr>
        <w:jc w:val="both"/>
        <w:outlineLvl w:val="1"/>
      </w:pPr>
      <w:rPr>
        <w:sz w:val="24"/>
        <w:color w:val="black"/>
      </w:rPr>
    </w:p>
    <w:p>
      <w:pPr>
        <w:jc w:val="both"/>
        <w:outlineLvl w:val="1"/>
      </w:pPr>
      <w:r>
        <w:rPr>
          <w:rFonts w:hAnsi="Arial"/>
          <w:rFonts w:ascii="Arial"/>
          <w:sz w:val="24"/>
          <w:color w:val="black"/>
        </w:rPr>
        <w:t xml:space="preserve">Sin embargo, como en Colombia se han implementado diferentes medidas de orden individual y poblacional, estas han disminuido las probabilidades de transmisión de la infección (porque se limita el contacto con el virus o con alguien infectado), por ejemplo, el lavado de manos, uso del tapabocas, distanciamiento social o los aislamientos preventivos obligatorios estrictos. </w:t>
      </w:r>
    </w:p>
    <w:p>
      <w:pPr>
        <w:jc w:val="both"/>
        <w:outlineLvl w:val="1"/>
      </w:pPr>
      <w:rPr>
        <w:sz w:val="24"/>
        <w:color w:val="black"/>
      </w:rPr>
    </w:p>
    <w:p>
      <w:pPr>
        <w:jc w:val="both"/>
        <w:outlineLvl w:val="1"/>
      </w:pP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Con esas mediciones del Rt se puede replicar, en el modelo matemático inicial, la curva de contagios y proyectar cómo sería la dinámica de la trasmisión en el futuro, siempre y cuando se mantengan las condiciones actuales. Es así como proyectando el Rt que se midió para los primeros días de junio (Rt</w:t>
      </w:r>
      <w:r>
        <w:rPr>
          <w:rFonts w:hAnsi="Arial"/>
          <w:rFonts w:ascii="Arial"/>
          <w:sz w:val="20"/>
          <w:color w:val="black"/>
        </w:rPr>
        <w:t xml:space="preserve"> </w:t>
      </w:r>
      <w:r>
        <w:rPr>
          <w:rFonts w:hAnsi="Arial"/>
          <w:rFonts w:ascii="Arial"/>
          <w:sz w:val="24"/>
          <w:color w:val="black"/>
        </w:rPr>
        <w:t xml:space="preserve">= 1,20), se estima la tendencia de aumento diario de casos (por fecha de inicio de síntomas) que el pico se alcanzará a mediados de septiembre de 2020 (...)". </w:t>
      </w:r>
    </w:p>
    <w:p>
      <w:pPr>
        <w:jc w:val="both"/>
        <w:outlineLvl w:val="1"/>
      </w:pPr>
      <w:rPr>
        <w:sz w:val="24"/>
        <w:color w:val="black"/>
      </w:rPr>
    </w:p>
    <w:p>
      <w:pPr>
        <w:jc w:val="both"/>
        <w:outlineLvl w:val="1"/>
      </w:pPr>
      <w:r>
        <w:rPr>
          <w:rFonts w:hAnsi="Arial"/>
          <w:rFonts w:ascii="Arial"/>
          <w:sz w:val="24"/>
          <w:color w:val="black"/>
        </w:rPr>
        <w:t xml:space="preserve">Que mediante Sentencia 061 de 2 de julio de 2020, Radicación 110013343-061- 2020-00111-00, notificada mediante correo electrónico el día 3 de julio de 2020, adicionada y aclarada mediante Sentencia complementaria del 3 de julio de 2020 del Juzgado 61 Administrativo del Circuito Judicial de Bogotá, se resolvió "1. INAPLICAR provisionalmente el numeral 35 del artículo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749 del 28 de mayo de 2020, modificado por el artículo </w:t>
      </w:r>
      <w:r>
        <w:fldChar w:fldCharType="begin"/>
      </w:r>
      <w:r>
        <w:instrText>HYPERLINK "http://www.redjurista.com/document.aspx?ajcode=d0847020&amp;arts=1"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847 del 14 de junio de 2020, hasta que no sea decidida, en sede judicial, la nulidad por inconstitucionalidad o la nulidad simple que deberá ser tramitada por los accionantes dentro de los próximos quince (15) días hábiles en su inciso quinto que dispone: El desarrollo de actividades físicas y de ejercicio al aire libre de los adultos mayores de 70 años, tres (3) veces a la semana, una hora al día". </w:t>
      </w:r>
    </w:p>
    <w:p>
      <w:pPr>
        <w:jc w:val="both"/>
        <w:outlineLvl w:val="1"/>
      </w:pPr>
      <w:rPr>
        <w:sz w:val="24"/>
        <w:color w:val="black"/>
      </w:rPr>
    </w:p>
    <w:p>
      <w:pPr>
        <w:jc w:val="both"/>
        <w:outlineLvl w:val="1"/>
      </w:pPr>
      <w:r>
        <w:rPr>
          <w:rFonts w:hAnsi="Arial"/>
          <w:rFonts w:ascii="Arial"/>
          <w:sz w:val="24"/>
          <w:color w:val="black"/>
        </w:rPr>
        <w:t xml:space="preserve">2. ORDENAR al señor Presidente de la República, Iván Duque Márquez y a la señora ministra del interior, Alicia Victoria Arango Olmos que dentro de las cuarenta y ocho (48) horas siguientes a la notificación de esta providencia, previo consenso con los aquí accionantes, con el Instituto para el Envejecimiento de la Facultad de Medicina de la Pontificia Universidad Javeriana, el Instituto Nacional de Salud, la Asociación Colombiana de Gerontología y Geriatría y la Asociación Colombiana de Sociedades Científicas, expedir el acto administrativo mediante el cual otorga el tiempo para ejercicio físico en exteriores de los adultos mayores de 70 años, teniendo como base las consideraciones de los accionantes y de las ya enunciadas instituciones. </w:t>
      </w:r>
    </w:p>
    <w:p>
      <w:pPr>
        <w:jc w:val="both"/>
        <w:outlineLvl w:val="1"/>
      </w:pPr>
      <w:rPr>
        <w:sz w:val="24"/>
        <w:color w:val="black"/>
      </w:rPr>
    </w:p>
    <w:p>
      <w:pPr>
        <w:jc w:val="both"/>
        <w:outlineLvl w:val="1"/>
      </w:pP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6. En tanto el Presidente de la República expide el acto administrativo mediante el cual otorga el tiempo para ejercicio físico en exteriores de los adultos mayores de 70 años, se entenderá para todos los efectos relacionados con la posibilidad de desarrollo de actividades físicas, de ejercicio al aire libre y práctica deportiva que a los adultos mayores de 70 años les son aplicables las disposiciones contenidas en el inciso segundo del numeral 35 del artículo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749 del 28 de mayo de 2020 modificado por el artículo </w:t>
      </w:r>
      <w:r>
        <w:fldChar w:fldCharType="begin"/>
      </w:r>
      <w:r>
        <w:instrText>HYPERLINK "http://www.redjurista.com/document.aspx?ajcode=d0847020&amp;arts=1"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847 del 14 de junio de 2020. </w:t>
      </w:r>
    </w:p>
    <w:p>
      <w:pPr>
        <w:jc w:val="both"/>
        <w:outlineLvl w:val="1"/>
      </w:pPr>
      <w:rPr>
        <w:sz w:val="24"/>
        <w:color w:val="black"/>
      </w:rPr>
    </w:p>
    <w:p>
      <w:pPr>
        <w:jc w:val="both"/>
        <w:outlineLvl w:val="1"/>
      </w:pPr>
      <w:r>
        <w:rPr>
          <w:rFonts w:hAnsi="Arial"/>
          <w:rFonts w:ascii="Arial"/>
          <w:sz w:val="24"/>
          <w:color w:val="black"/>
        </w:rPr>
        <w:t xml:space="preserve">Así, en aras de aplicar la Regla de confinamiento, sin ningún tipo de distinción, en los términos de esta sentencia, estas personas tendrán una restricción del desarrollo de actividades físicas y de ejercicio al aire libre, por un período máximo de dos (2) horas diarias, igual al de las personas que están en el rango de edad de 18 a 69 años, mientras se llega al consenso citado". </w:t>
      </w:r>
    </w:p>
    <w:p>
      <w:pPr>
        <w:jc w:val="both"/>
        <w:outlineLvl w:val="1"/>
      </w:pPr>
      <w:rPr>
        <w:sz w:val="24"/>
        <w:color w:val="black"/>
      </w:rPr>
    </w:p>
    <w:p>
      <w:pPr>
        <w:jc w:val="both"/>
        <w:outlineLvl w:val="1"/>
      </w:pPr>
      <w:r>
        <w:rPr>
          <w:rFonts w:hAnsi="Arial"/>
          <w:rFonts w:ascii="Arial"/>
          <w:sz w:val="24"/>
          <w:color w:val="black"/>
        </w:rPr>
        <w:t xml:space="preserve">Que el día 6 de julio de 2020 en cumplimiento de lo ordenado por la Sentencia del Juzgado 61 Administrativo del Circuito Judicial de Bogotá se llevó a cabo una sesión virtual, convocada por los Ministerios del Interior y de Salud y Protección Social con el fin de lograr un consenso con los accionantes y con el Instituto para el Envejecimiento de la Facultad de Medicina de la Pontificia Universidad Javeriana, el Instituto Nacional de Salud, la Asociación Colombiana de Gerontología y Geriatría y la Asociación Colombiana de Sociedades Científicas, sin que se llegara a dicho consenso. </w:t>
      </w:r>
    </w:p>
    <w:p>
      <w:pPr>
        <w:jc w:val="both"/>
        <w:outlineLvl w:val="1"/>
      </w:pPr>
      <w:rPr>
        <w:sz w:val="24"/>
        <w:color w:val="black"/>
      </w:rPr>
    </w:p>
    <w:p>
      <w:pPr>
        <w:jc w:val="both"/>
        <w:outlineLvl w:val="1"/>
      </w:pPr>
      <w:r>
        <w:rPr>
          <w:rFonts w:hAnsi="Arial"/>
          <w:rFonts w:ascii="Arial"/>
          <w:sz w:val="24"/>
          <w:color w:val="black"/>
        </w:rPr>
        <w:t xml:space="preserve">Que en tal medida, mientras se resuelve en sede judicial la impugnación a la acción de tutela que fuera presentada el día 8 de julio de 2020 ante el Juzgado 61 Administrativo del Circuito Judicial de Bogotá, se aplicará como lo ordenó el Juzgado, que para todos los efectos relacionados con la posibilidad de desarrollo de actividades físicas, de ejercicio al aire libre y práctica deportiva que los adultos mayores de 70 años tendrán una restricción del desarrollo de actividades físicas y de ejercicio al aire libre por un período máximo de dos (2) horas diarias, igual al de las personas que están en el rango de edad de 18 a 69 años, medida consagrada en el inciso 5 del numeral 35 del artículo 3o del presente decreto que se podrá modificar conforme los pronunciamientos judiciales sobre el asunto. </w:t>
      </w:r>
    </w:p>
    <w:p>
      <w:pPr>
        <w:jc w:val="both"/>
        <w:outlineLvl w:val="1"/>
      </w:pPr>
      <w:rPr>
        <w:sz w:val="24"/>
        <w:color w:val="black"/>
      </w:rPr>
    </w:p>
    <w:p>
      <w:pPr>
        <w:jc w:val="both"/>
        <w:outlineLvl w:val="1"/>
      </w:pPr>
      <w:r>
        <w:rPr>
          <w:rFonts w:hAnsi="Arial"/>
          <w:rFonts w:ascii="Arial"/>
          <w:sz w:val="24"/>
          <w:color w:val="black"/>
        </w:rPr>
        <w:t xml:space="preserve">Que por lo anterior y dadas las circunstancias y medidas de cuidado para preservar la salud y la vida, evitar el contacto y la propagación del Coronavirus COVID-19, garantizar el abastecimiento y disposición de alimentos de primera necesidad y servicios, las actividades que por su misma naturaleza no deben interrumpirse so pena de afectar el derecho a la vida, a la salud, y la supervivencia de los habitantes, así como atender las recomendaciones de la Organización Internacional del Trabajo (OIT) en materia de protección laboral y en concordancia con la emergencia sanitaria declarada por el Ministerio de Salud y Protección Social en todo el territorio nacional hasta el 31 de agosto de 2020, mediante la Resolución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es necesario ordenar un "aislamiento preventivo obligatorio" para todos los habitantes de la República de Colombia, de acuerdo con las instrucciones que se impartirán para el efecto. </w:t>
      </w:r>
    </w:p>
    <w:p>
      <w:pPr>
        <w:jc w:val="both"/>
        <w:outlineLvl w:val="1"/>
      </w:pPr>
      <w:rPr>
        <w:sz w:val="24"/>
        <w:color w:val="black"/>
      </w:rPr>
    </w:p>
    <w:p>
      <w:pPr>
        <w:jc w:val="both"/>
        <w:outlineLvl w:val="1"/>
      </w:pPr>
      <w:r>
        <w:rPr>
          <w:rFonts w:hAnsi="Arial"/>
          <w:rFonts w:ascii="Arial"/>
          <w:sz w:val="24"/>
          <w:color w:val="black"/>
        </w:rPr>
        <w:t xml:space="preserve">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59395" w:name="1"/>
      <w:r>
        <w:rPr>
          <w:rFonts w:hAnsi="Arial"/>
          <w:rFonts w:ascii="Arial"/>
          <w:sz w:val="24"/>
          <w:color w:val="navy"/>
        </w:rPr>
        <w:t xml:space="preserve">ARTÍCULO 1o. AISLAMIENTO.</w:t>
      </w:r>
      <w:bookmarkEnd w:id="59395"/>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Ordenar el aislamiento preventivo obligatorio de todas las personas habitantes de la República de Colombia, a partir de las cero horas (00:00 a. m.) del día 16 de julio de 2020, hasta las cero horas (00:00) del día 1 de agosto de 2020, en el marco de la emergencia sanitaria por causa del Coronavirus COVID-19. </w:t>
      </w:r>
    </w:p>
    <w:p>
      <w:pPr>
        <w:jc w:val="both"/>
        <w:outlineLvl w:val="1"/>
      </w:pPr>
      <w:rPr>
        <w:sz w:val="24"/>
        <w:color w:val="black"/>
      </w:rPr>
    </w:p>
    <w:p>
      <w:pPr>
        <w:jc w:val="both"/>
        <w:outlineLvl w:val="1"/>
      </w:pPr>
      <w:r>
        <w:rPr>
          <w:rFonts w:hAnsi="Arial"/>
          <w:rFonts w:ascii="Arial"/>
          <w:sz w:val="24"/>
          <w:color w:val="black"/>
        </w:rPr>
        <w:t xml:space="preserve">Para efectos de lograr el efectivo aislamiento preventivo obligatorio se limita la libre circulación de personas y vehículos en el territorio nacional, con las excepciones previstas en el presente Decreto. </w:t>
      </w:r>
    </w:p>
    <w:p>
      <w:rPr>
        <w:color w:val="black"/>
      </w:rPr>
    </w:p>
    <w:p>
      <w:pPr>
        <w:jc w:val="both"/>
        <w:outlineLvl w:val="1"/>
      </w:pPr>
      <w:r>
        <w:rPr>
          <w:rFonts w:hAnsi="Arial"/>
          <w:rFonts w:ascii="Arial"/>
          <w:sz w:val="24"/>
          <w:vanish/>
          <w:color w:val="black"/>
        </w:rPr>
        <w:t>&amp;$</w:t>
      </w:r>
      <w:bookmarkStart w:id="59396" w:name="2"/>
      <w:r>
        <w:rPr>
          <w:rFonts w:hAnsi="Arial"/>
          <w:rFonts w:ascii="Arial"/>
          <w:sz w:val="24"/>
          <w:color w:val="navy"/>
        </w:rPr>
        <w:t xml:space="preserve">ARTÍCULO 2o. EJECUCIÓN DE LA MEDIDA DE AISLAMIENTO.</w:t>
      </w:r>
      <w:bookmarkEnd w:id="59396"/>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De conformidad con lo establecido en los artículos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el numeral 1 del literal b) del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ordenar a los gobernadores y alcaldes para que en el marco de sus competencias constitucionales y legales, adopten las instrucciones, actos y órdenes necesarias para la debida ejecución de la medida de aislamiento preventivo obligatorio de todas las personas habitantes de la República de Colombia, adoptada en el artículo anterior. </w:t>
      </w:r>
    </w:p>
    <w:p>
      <w:pPr>
        <w:jc w:val="both"/>
        <w:outlineLvl w:val="1"/>
      </w:pPr>
      <w:rPr>
        <w:sz w:val="24"/>
        <w:color w:val="black"/>
      </w:rPr>
    </w:p>
    <w:p>
      <w:pPr>
        <w:jc w:val="both"/>
        <w:outlineLvl w:val="1"/>
      </w:pPr>
      <w:r>
        <w:rPr>
          <w:rFonts w:hAnsi="Arial"/>
          <w:rFonts w:ascii="Arial"/>
          <w:sz w:val="24"/>
          <w:vanish/>
          <w:color w:val="black"/>
        </w:rPr>
        <w:t>&amp;$</w:t>
      </w:r>
      <w:bookmarkStart w:id="59397" w:name="3"/>
      <w:r>
        <w:rPr>
          <w:rFonts w:hAnsi="Arial"/>
          <w:rFonts w:ascii="Arial"/>
          <w:sz w:val="24"/>
          <w:color w:val="navy"/>
        </w:rPr>
        <w:t xml:space="preserve">ARTÍCULO 3o. GARANTÍAS PARA LA MEDIDA DE AISLAMIENTO.</w:t>
      </w:r>
      <w:bookmarkEnd w:id="59397"/>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siguientes casos o actividades: </w:t>
      </w:r>
    </w:p>
    <w:p>
      <w:pPr>
        <w:jc w:val="both"/>
        <w:outlineLvl w:val="1"/>
      </w:pPr>
      <w:rPr>
        <w:sz w:val="24"/>
        <w:color w:val="black"/>
      </w:rPr>
    </w:p>
    <w:p>
      <w:pPr>
        <w:jc w:val="both"/>
        <w:outlineLvl w:val="1"/>
      </w:pPr>
      <w:r>
        <w:rPr>
          <w:rFonts w:hAnsi="Arial"/>
          <w:rFonts w:ascii="Arial"/>
          <w:sz w:val="24"/>
          <w:color w:val="black"/>
        </w:rPr>
        <w:t xml:space="preserve">1. Asistencia y prestación de servicios de salud. Así mismo, el personal en formación en las diferentes áreas de la salud que sean necesarias para adelantar actividades de salud pública y de salud en general asociada al Coronavirus COVID-19. </w:t>
      </w:r>
    </w:p>
    <w:p>
      <w:pPr>
        <w:jc w:val="both"/>
        <w:outlineLvl w:val="1"/>
      </w:pPr>
      <w:rPr>
        <w:sz w:val="24"/>
        <w:color w:val="black"/>
      </w:rPr>
    </w:p>
    <w:p>
      <w:pPr>
        <w:jc w:val="both"/>
        <w:outlineLvl w:val="1"/>
      </w:pPr>
      <w:r>
        <w:rPr>
          <w:rFonts w:hAnsi="Arial"/>
          <w:rFonts w:ascii="Arial"/>
          <w:sz w:val="24"/>
          <w:color w:val="black"/>
        </w:rPr>
        <w:t xml:space="preserve">2. Adquisición y pago de bienes y servicios. </w:t>
      </w:r>
    </w:p>
    <w:p>
      <w:pPr>
        <w:jc w:val="both"/>
        <w:outlineLvl w:val="1"/>
      </w:pPr>
      <w:rPr>
        <w:sz w:val="24"/>
        <w:color w:val="black"/>
      </w:rPr>
    </w:p>
    <w:p>
      <w:pPr>
        <w:jc w:val="both"/>
        <w:outlineLvl w:val="1"/>
      </w:pPr>
      <w:r>
        <w:rPr>
          <w:rFonts w:hAnsi="Arial"/>
          <w:rFonts w:ascii="Arial"/>
          <w:sz w:val="24"/>
          <w:color w:val="black"/>
        </w:rPr>
        <w:t xml:space="preserve">3. Asistencia y cuidado a niños, niñas, adolescentes, personas mayores de 70 años, personas con discapacidad y enfermos con tratamientos especiales que requieren asistencia de personal capacitado. </w:t>
      </w:r>
    </w:p>
    <w:p>
      <w:pPr>
        <w:jc w:val="both"/>
        <w:outlineLvl w:val="1"/>
      </w:pPr>
      <w:rPr>
        <w:sz w:val="24"/>
        <w:color w:val="black"/>
      </w:rPr>
    </w:p>
    <w:p>
      <w:pPr>
        <w:jc w:val="both"/>
        <w:outlineLvl w:val="1"/>
      </w:pPr>
      <w:r>
        <w:rPr>
          <w:rFonts w:hAnsi="Arial"/>
          <w:rFonts w:ascii="Arial"/>
          <w:sz w:val="24"/>
          <w:color w:val="black"/>
        </w:rPr>
        <w:t xml:space="preserve">4. Por causa de fuerza mayor o caso fortuito. </w:t>
      </w:r>
    </w:p>
    <w:p>
      <w:pPr>
        <w:jc w:val="both"/>
        <w:outlineLvl w:val="1"/>
      </w:pPr>
      <w:rPr>
        <w:sz w:val="24"/>
        <w:color w:val="black"/>
      </w:rPr>
    </w:p>
    <w:p>
      <w:pPr>
        <w:jc w:val="both"/>
        <w:outlineLvl w:val="1"/>
      </w:pPr>
      <w:r>
        <w:rPr>
          <w:rFonts w:hAnsi="Arial"/>
          <w:rFonts w:ascii="Arial"/>
          <w:sz w:val="24"/>
          <w:color w:val="black"/>
        </w:rPr>
        <w:t xml:space="preserve">5. Las labores de las misiones médicas de la Organización Panamericana de la Salud (OPS) y de todos los organismos internacionales humanitarios y de salud en conexidad con la vida, la prestación de los servicios profesionales, administrativos, operativos y técnicos de salud públicos y privados. </w:t>
      </w:r>
    </w:p>
    <w:p>
      <w:pPr>
        <w:jc w:val="both"/>
        <w:outlineLvl w:val="1"/>
      </w:pPr>
      <w:rPr>
        <w:sz w:val="24"/>
        <w:color w:val="black"/>
      </w:rPr>
    </w:p>
    <w:p>
      <w:pPr>
        <w:jc w:val="both"/>
        <w:outlineLvl w:val="1"/>
      </w:pPr>
      <w:r>
        <w:rPr>
          <w:rFonts w:hAnsi="Arial"/>
          <w:rFonts w:ascii="Arial"/>
          <w:sz w:val="24"/>
          <w:color w:val="black"/>
        </w:rPr>
        <w:t xml:space="preserve">6. La cadena de producción, abastecimiento, almacenamiento, transporte, comercialización y distribución de medicamentos, productos farmacéuticos, insumos, productos de limpieza, desinfección y aseo personal para hogares y hospitales, equipos y dispositivos de tecnologías en salud, al igual que el mantenimiento y soporte para garantizar la continua prestación de los servicios de salud. </w:t>
      </w:r>
    </w:p>
    <w:p>
      <w:pPr>
        <w:jc w:val="both"/>
        <w:outlineLvl w:val="1"/>
      </w:pPr>
      <w:rPr>
        <w:sz w:val="24"/>
        <w:color w:val="black"/>
      </w:rPr>
    </w:p>
    <w:p>
      <w:pPr>
        <w:jc w:val="both"/>
        <w:outlineLvl w:val="1"/>
      </w:pPr>
      <w:r>
        <w:rPr>
          <w:rFonts w:hAnsi="Arial"/>
          <w:rFonts w:ascii="Arial"/>
          <w:sz w:val="24"/>
          <w:color w:val="black"/>
        </w:rPr>
        <w:t xml:space="preserve">El funcionamiento de establecimientos y locales comerciales para la comercialización de los medicamentos, productos farmacéuticos, insumos, equipos y dispositivos de tecnologías en salud. </w:t>
      </w:r>
    </w:p>
    <w:p>
      <w:pPr>
        <w:jc w:val="both"/>
        <w:outlineLvl w:val="1"/>
      </w:pPr>
      <w:rPr>
        <w:sz w:val="24"/>
        <w:color w:val="black"/>
      </w:rPr>
    </w:p>
    <w:p>
      <w:pPr>
        <w:jc w:val="both"/>
        <w:outlineLvl w:val="1"/>
      </w:pPr>
      <w:r>
        <w:rPr>
          <w:rFonts w:hAnsi="Arial"/>
          <w:rFonts w:ascii="Arial"/>
          <w:sz w:val="24"/>
          <w:color w:val="black"/>
        </w:rPr>
        <w:t xml:space="preserve">7. Las actividades relacionadas con los servicios de emergencia, incluidas las emergencias veterinarias. </w:t>
      </w:r>
    </w:p>
    <w:p>
      <w:pPr>
        <w:jc w:val="both"/>
        <w:outlineLvl w:val="1"/>
      </w:pPr>
      <w:rPr>
        <w:sz w:val="24"/>
        <w:color w:val="black"/>
      </w:rPr>
    </w:p>
    <w:p>
      <w:pPr>
        <w:jc w:val="both"/>
        <w:outlineLvl w:val="1"/>
      </w:pPr>
      <w:r>
        <w:rPr>
          <w:rFonts w:hAnsi="Arial"/>
          <w:rFonts w:ascii="Arial"/>
          <w:sz w:val="24"/>
          <w:color w:val="black"/>
        </w:rPr>
        <w:t xml:space="preserve">8. Los servicios funerarios, entierros y cremaciones. </w:t>
      </w:r>
    </w:p>
    <w:p>
      <w:pPr>
        <w:jc w:val="both"/>
        <w:outlineLvl w:val="1"/>
      </w:pPr>
      <w:rPr>
        <w:sz w:val="24"/>
        <w:color w:val="black"/>
      </w:rPr>
    </w:p>
    <w:p>
      <w:pPr>
        <w:jc w:val="both"/>
        <w:outlineLvl w:val="1"/>
      </w:pPr>
      <w:r>
        <w:rPr>
          <w:rFonts w:hAnsi="Arial"/>
          <w:rFonts w:ascii="Arial"/>
          <w:sz w:val="24"/>
          <w:color w:val="black"/>
        </w:rPr>
        <w:t xml:space="preserve">9. La cadena de producción, abastecimiento, almacenamiento, transporte, comercialización y distribución de: (i) insumos para producir bienes de primera necesidad; (ii) bienes de primera necesidad -alimentos, bebidas, medicamentos, dispositivos médicos, aseo, limpieza y mercancías de ordinario consumo en la población-, (iii) reactivos de laboratorio, y (iv) alimentos, medicinas y demás productos para mascotas, así como los elementos y bienes necesarios para atender la emergencia sanitaria, así como la cadena de insumos relacionados con la producción de estos bienes. </w:t>
      </w:r>
    </w:p>
    <w:p>
      <w:pPr>
        <w:jc w:val="both"/>
        <w:outlineLvl w:val="1"/>
      </w:pPr>
      <w:rPr>
        <w:sz w:val="24"/>
        <w:color w:val="black"/>
      </w:rPr>
    </w:p>
    <w:p>
      <w:pPr>
        <w:jc w:val="both"/>
        <w:outlineLvl w:val="1"/>
      </w:pPr>
      <w:r>
        <w:rPr>
          <w:rFonts w:hAnsi="Arial"/>
          <w:rFonts w:ascii="Arial"/>
          <w:sz w:val="24"/>
          <w:color w:val="black"/>
        </w:rPr>
        <w:t xml:space="preserve">10. La cadena de siembra, fumigación, cosecha, producción, empaque, embalaje, importación, exportación, transporte, almacenamiento, distribución y comercialización de: semillas, insumos y productos agrícolas, pesqueros, acuícolas, pecuarios y agroquímicos -fertilizantes, plaguicidas, fungicidas, herbicidas-, y alimentos para animales, mantenimiento de la sanidad animal, el funcionamiento de centros de procesamiento primario y secundario de alimentos, la operación de la infraestructura de comercialización, riego mayor y menor para el abastecimiento de agua poblacional y agrícola, y la asistencia técnica. Se garantizará la logística y el transporte de las anteriores actividades. Así mismo, las actividades de mantenimiento de embarcaciones y maquinaria agrícola o pesquera. </w:t>
      </w:r>
    </w:p>
    <w:p>
      <w:pPr>
        <w:jc w:val="both"/>
        <w:outlineLvl w:val="1"/>
      </w:pPr>
      <w:rPr>
        <w:sz w:val="24"/>
        <w:color w:val="black"/>
      </w:rPr>
    </w:p>
    <w:p>
      <w:pPr>
        <w:jc w:val="both"/>
        <w:outlineLvl w:val="1"/>
      </w:pPr>
      <w:r>
        <w:rPr>
          <w:rFonts w:hAnsi="Arial"/>
          <w:rFonts w:ascii="Arial"/>
          <w:sz w:val="24"/>
          <w:color w:val="black"/>
        </w:rPr>
        <w:t xml:space="preserve">11. La comercialización presencial de productos de primera necesidad se hará en, abastos, bodegas, mercados, supermercados mayoristas y minoristas y mercados al detal en establecimientos y locales comerciales a nivel nacional, y podrán comercializar sus productos mediante plataformas de comercio electrónico y/o para entrega a domicilio. </w:t>
      </w:r>
    </w:p>
    <w:p>
      <w:pPr>
        <w:jc w:val="both"/>
        <w:outlineLvl w:val="1"/>
      </w:pPr>
      <w:rPr>
        <w:sz w:val="24"/>
        <w:color w:val="black"/>
      </w:rPr>
    </w:p>
    <w:p>
      <w:pPr>
        <w:jc w:val="both"/>
        <w:outlineLvl w:val="1"/>
      </w:pPr>
      <w:r>
        <w:rPr>
          <w:rFonts w:hAnsi="Arial"/>
          <w:rFonts w:ascii="Arial"/>
          <w:sz w:val="24"/>
          <w:color w:val="black"/>
        </w:rPr>
        <w:t xml:space="preserve">12. Las actividades de los servidores públicos, contratistas del Estado, particulares que ejerzan funciones públicas y demás personal necesario para prevenir, mitigar y atender la emergencia sanitaria por causa del Coronavirus COVID-19, y garantizar el funcionamiento de los servicios del Estado. </w:t>
      </w:r>
    </w:p>
    <w:p>
      <w:pPr>
        <w:jc w:val="both"/>
        <w:outlineLvl w:val="1"/>
      </w:pPr>
      <w:rPr>
        <w:sz w:val="24"/>
        <w:color w:val="black"/>
      </w:rPr>
    </w:p>
    <w:p>
      <w:pPr>
        <w:jc w:val="both"/>
        <w:outlineLvl w:val="1"/>
      </w:pPr>
      <w:r>
        <w:rPr>
          <w:rFonts w:hAnsi="Arial"/>
          <w:rFonts w:ascii="Arial"/>
          <w:sz w:val="24"/>
          <w:color w:val="black"/>
        </w:rPr>
        <w:t xml:space="preserve">13. Las actividades del personal de las misiones diplomáticas y consulares debidamente acreditadas ante el Estado colombiano, estrictamente necesarias para prevenir, mitigar y atender la emergencia sanitaria por causa del Coronavirus COVID-19. </w:t>
      </w:r>
    </w:p>
    <w:p>
      <w:pPr>
        <w:jc w:val="both"/>
        <w:outlineLvl w:val="1"/>
      </w:pPr>
      <w:rPr>
        <w:sz w:val="24"/>
        <w:color w:val="black"/>
      </w:rPr>
    </w:p>
    <w:p>
      <w:pPr>
        <w:jc w:val="both"/>
        <w:outlineLvl w:val="1"/>
      </w:pPr>
      <w:r>
        <w:rPr>
          <w:rFonts w:hAnsi="Arial"/>
          <w:rFonts w:ascii="Arial"/>
          <w:sz w:val="24"/>
          <w:color w:val="black"/>
        </w:rPr>
        <w:t xml:space="preserve">14. Las actividades de las Fuerzas Militares, la Policía Nacional y organismos de seguridad del Estado, así como de la industria militar y de defensa, y los funcionarios de la Fiscalía General de la Nación y el Instituto Nacional de Medicina Legal y Ciencias Forenses. </w:t>
      </w:r>
    </w:p>
    <w:p>
      <w:pPr>
        <w:jc w:val="both"/>
        <w:outlineLvl w:val="1"/>
      </w:pPr>
      <w:rPr>
        <w:sz w:val="24"/>
        <w:color w:val="black"/>
      </w:rPr>
    </w:p>
    <w:p>
      <w:pPr>
        <w:jc w:val="both"/>
        <w:outlineLvl w:val="1"/>
      </w:pPr>
      <w:r>
        <w:rPr>
          <w:rFonts w:hAnsi="Arial"/>
          <w:rFonts w:ascii="Arial"/>
          <w:sz w:val="24"/>
          <w:color w:val="black"/>
        </w:rPr>
        <w:t xml:space="preserve">15. Las actividades de los puertos de servicio público y privado, exclusivamente para transporte de carga. </w:t>
      </w:r>
    </w:p>
    <w:p>
      <w:pPr>
        <w:jc w:val="both"/>
        <w:outlineLvl w:val="1"/>
      </w:pPr>
      <w:rPr>
        <w:sz w:val="24"/>
        <w:color w:val="black"/>
      </w:rPr>
    </w:p>
    <w:p>
      <w:pPr>
        <w:jc w:val="both"/>
        <w:outlineLvl w:val="1"/>
      </w:pPr>
      <w:r>
        <w:rPr>
          <w:rFonts w:hAnsi="Arial"/>
          <w:rFonts w:ascii="Arial"/>
          <w:sz w:val="24"/>
          <w:color w:val="black"/>
        </w:rPr>
        <w:t xml:space="preserve">16. Las actividades de dragado marítimo y fluvial. </w:t>
      </w:r>
    </w:p>
    <w:p>
      <w:pPr>
        <w:jc w:val="both"/>
        <w:outlineLvl w:val="1"/>
      </w:pPr>
      <w:rPr>
        <w:sz w:val="24"/>
        <w:color w:val="black"/>
      </w:rPr>
    </w:p>
    <w:p>
      <w:pPr>
        <w:jc w:val="both"/>
        <w:outlineLvl w:val="1"/>
      </w:pPr>
      <w:r>
        <w:rPr>
          <w:rFonts w:hAnsi="Arial"/>
          <w:rFonts w:ascii="Arial"/>
          <w:sz w:val="24"/>
          <w:color w:val="black"/>
        </w:rPr>
        <w:t xml:space="preserve">17. La ejecución de obras de infraestructura de transporte y obra pública, así como la cadena de suministros de materiales e insumos relacionados con la ejecución de las mismas. </w:t>
      </w:r>
    </w:p>
    <w:p>
      <w:pPr>
        <w:jc w:val="both"/>
        <w:outlineLvl w:val="1"/>
      </w:pPr>
      <w:rPr>
        <w:sz w:val="24"/>
        <w:color w:val="black"/>
      </w:rPr>
    </w:p>
    <w:p>
      <w:pPr>
        <w:jc w:val="both"/>
        <w:outlineLvl w:val="1"/>
      </w:pPr>
      <w:r>
        <w:rPr>
          <w:rFonts w:hAnsi="Arial"/>
          <w:rFonts w:ascii="Arial"/>
          <w:sz w:val="24"/>
          <w:color w:val="black"/>
        </w:rPr>
        <w:t xml:space="preserve">18. Las actividades del sector de la construcción, ejecución de obras civiles y la remodelación en inmuebles, así como el suministro de materiales e insumos exclusivamente destinados a la ejecución de las mismas. </w:t>
      </w:r>
    </w:p>
    <w:p>
      <w:pPr>
        <w:jc w:val="both"/>
        <w:outlineLvl w:val="1"/>
      </w:pPr>
      <w:rPr>
        <w:sz w:val="24"/>
        <w:color w:val="black"/>
      </w:rPr>
    </w:p>
    <w:p>
      <w:pPr>
        <w:jc w:val="both"/>
        <w:outlineLvl w:val="1"/>
      </w:pPr>
      <w:r>
        <w:rPr>
          <w:rFonts w:hAnsi="Arial"/>
          <w:rFonts w:ascii="Arial"/>
          <w:sz w:val="24"/>
          <w:color w:val="black"/>
        </w:rPr>
        <w:t xml:space="preserve">19. La operación aérea y aeroportuaria de conformidad con lo establecido en el artículo 8o del presente decreto, y su respectivo mantenimiento. </w:t>
      </w:r>
    </w:p>
    <w:p>
      <w:pPr>
        <w:jc w:val="both"/>
        <w:outlineLvl w:val="1"/>
      </w:pPr>
      <w:rPr>
        <w:sz w:val="24"/>
        <w:color w:val="black"/>
      </w:rPr>
    </w:p>
    <w:p>
      <w:pPr>
        <w:jc w:val="both"/>
        <w:outlineLvl w:val="1"/>
      </w:pPr>
      <w:r>
        <w:rPr>
          <w:rFonts w:hAnsi="Arial"/>
          <w:rFonts w:ascii="Arial"/>
          <w:sz w:val="24"/>
          <w:color w:val="black"/>
        </w:rPr>
        <w:t xml:space="preserve">20. La comercialización de los productos de los establecimientos y locales gastronómicos, incluyendo los ubicados en hoteles, mediante plataformas de comercio electrónico, por entrega a domicilio y por entrega para llevar. </w:t>
      </w:r>
    </w:p>
    <w:p>
      <w:pPr>
        <w:jc w:val="both"/>
        <w:outlineLvl w:val="1"/>
      </w:pPr>
      <w:rPr>
        <w:sz w:val="24"/>
        <w:color w:val="black"/>
      </w:rPr>
    </w:p>
    <w:p>
      <w:pPr>
        <w:jc w:val="both"/>
        <w:outlineLvl w:val="1"/>
      </w:pPr>
      <w:r>
        <w:rPr>
          <w:rFonts w:hAnsi="Arial"/>
          <w:rFonts w:ascii="Arial"/>
          <w:sz w:val="24"/>
          <w:color w:val="black"/>
        </w:rPr>
        <w:t xml:space="preserve">21. Las actividades de la industria hotelera. </w:t>
      </w:r>
    </w:p>
    <w:p>
      <w:pPr>
        <w:jc w:val="both"/>
        <w:outlineLvl w:val="1"/>
      </w:pPr>
      <w:rPr>
        <w:sz w:val="24"/>
        <w:color w:val="black"/>
      </w:rPr>
    </w:p>
    <w:p>
      <w:pPr>
        <w:jc w:val="both"/>
        <w:outlineLvl w:val="1"/>
      </w:pPr>
      <w:r>
        <w:rPr>
          <w:rFonts w:hAnsi="Arial"/>
          <w:rFonts w:ascii="Arial"/>
          <w:sz w:val="24"/>
          <w:color w:val="black"/>
        </w:rPr>
        <w:t xml:space="preserve">22. El funcionamiento de la infraestructura crítica -computadores, sistemas computacionales, redes de comunicaciones, datos e información- cuya destrucción o interferencia puede debilitar o impactar en la seguridad de la economía, salud pública o la combinación de ellas. </w:t>
      </w:r>
    </w:p>
    <w:p>
      <w:pPr>
        <w:jc w:val="both"/>
        <w:outlineLvl w:val="1"/>
      </w:pPr>
      <w:rPr>
        <w:sz w:val="24"/>
        <w:color w:val="black"/>
      </w:rPr>
    </w:p>
    <w:p>
      <w:pPr>
        <w:jc w:val="both"/>
        <w:outlineLvl w:val="1"/>
      </w:pPr>
      <w:r>
        <w:rPr>
          <w:rFonts w:hAnsi="Arial"/>
          <w:rFonts w:ascii="Arial"/>
          <w:sz w:val="24"/>
          <w:color w:val="black"/>
        </w:rPr>
        <w:t xml:space="preserve">23. El funcionamiento y operación de los centros de llamadas, los centros de contactos, los centros de soporte técnico y los centros de procesamiento de datos que presten servicios en el territorio nacional y de las plataformas de comercio electrónico. </w:t>
      </w:r>
    </w:p>
    <w:p>
      <w:pPr>
        <w:jc w:val="both"/>
        <w:outlineLvl w:val="1"/>
      </w:pPr>
      <w:rPr>
        <w:sz w:val="24"/>
        <w:color w:val="black"/>
      </w:rPr>
    </w:p>
    <w:p>
      <w:pPr>
        <w:jc w:val="both"/>
        <w:outlineLvl w:val="1"/>
      </w:pPr>
      <w:r>
        <w:rPr>
          <w:rFonts w:hAnsi="Arial"/>
          <w:rFonts w:ascii="Arial"/>
          <w:sz w:val="24"/>
          <w:color w:val="black"/>
        </w:rPr>
        <w:t xml:space="preserve">24. El funcionamiento de la prestación de los servicios de vigilancia y seguridad privada, los servicios carcelarios y penitenciarios. </w:t>
      </w:r>
    </w:p>
    <w:p>
      <w:pPr>
        <w:jc w:val="both"/>
        <w:outlineLvl w:val="1"/>
      </w:pPr>
      <w:rPr>
        <w:sz w:val="24"/>
        <w:color w:val="black"/>
      </w:rPr>
    </w:p>
    <w:p>
      <w:pPr>
        <w:jc w:val="both"/>
        <w:outlineLvl w:val="1"/>
      </w:pPr>
      <w:r>
        <w:rPr>
          <w:rFonts w:hAnsi="Arial"/>
          <w:rFonts w:ascii="Arial"/>
          <w:sz w:val="24"/>
          <w:color w:val="black"/>
        </w:rPr>
        <w:t xml:space="preserve">25. El servicio de limpieza y aseo, incluido el doméstico y servicio de lavandería. </w:t>
      </w:r>
    </w:p>
    <w:p>
      <w:pPr>
        <w:jc w:val="both"/>
        <w:outlineLvl w:val="1"/>
      </w:pPr>
      <w:rPr>
        <w:sz w:val="24"/>
        <w:color w:val="black"/>
      </w:rPr>
    </w:p>
    <w:p>
      <w:pPr>
        <w:jc w:val="both"/>
        <w:outlineLvl w:val="1"/>
      </w:pPr>
      <w:r>
        <w:rPr>
          <w:rFonts w:hAnsi="Arial"/>
          <w:rFonts w:ascii="Arial"/>
          <w:sz w:val="24"/>
          <w:color w:val="black"/>
        </w:rPr>
        <w:t xml:space="preserve">26. Las actividades necesarias para garantizar la operación, mantenimiento, almacenamiento y abastecimiento de la prestación de: (i) servicios públicos de acueducto, alcantarillado, energía eléctrica, alumbrado público, aseo (recolección, transporte, aprovechamiento y disposición final, reciclaje, incluyendo los residuos biológicos o sanitarios) y recuperación de materiales; (ii) de la cadena logística de insumos, suministros para la producción, el abastecimiento, importación, exportación y suministro de hidrocarburos, combustibles líquidos, biocombustibles, gas natural, gas licuado de petróleo (GLP), (iii) de la cadena logística de insumos, suministros para la producción, el abastecimiento, importación, exportación y suministro de minerales, así como la operación y mantenimiento de minas, y (iv) el servicio de internet y telefonía. </w:t>
      </w:r>
    </w:p>
    <w:p>
      <w:pPr>
        <w:jc w:val="both"/>
        <w:outlineLvl w:val="1"/>
      </w:pPr>
      <w:rPr>
        <w:sz w:val="24"/>
        <w:color w:val="black"/>
      </w:rPr>
    </w:p>
    <w:p>
      <w:pPr>
        <w:jc w:val="both"/>
        <w:outlineLvl w:val="1"/>
      </w:pPr>
      <w:r>
        <w:rPr>
          <w:rFonts w:hAnsi="Arial"/>
          <w:rFonts w:ascii="Arial"/>
          <w:sz w:val="24"/>
          <w:color w:val="black"/>
        </w:rPr>
        <w:t xml:space="preserve">27. La prestación de servicios: (i) bancarios, (ii) financieros, (iii) de operadores postales de pago, (iv) profesionales de compra y venta de divisas, (v) operaciones de juegos de suerte y azar en la modalidad de novedosos y territoriales de apuestas permanentes, (vi) chance y lotería, (vii) centrales de riesgo, (viii) transporte de valores, (ix) actividades notariales y de registro de instrumentos públicos, (x) expedición de licencias urbanísticas. </w:t>
      </w:r>
    </w:p>
    <w:p>
      <w:pPr>
        <w:jc w:val="both"/>
        <w:outlineLvl w:val="1"/>
      </w:pPr>
      <w:rPr>
        <w:sz w:val="24"/>
        <w:color w:val="black"/>
      </w:rPr>
    </w:p>
    <w:p>
      <w:pPr>
        <w:jc w:val="both"/>
        <w:outlineLvl w:val="1"/>
      </w:pPr>
      <w:r>
        <w:rPr>
          <w:rFonts w:hAnsi="Arial"/>
          <w:rFonts w:ascii="Arial"/>
          <w:sz w:val="24"/>
          <w:color w:val="black"/>
        </w:rPr>
        <w:t xml:space="preserve">El Superintendente de Notariado y Registro determinará los horarios y turnos, en los cuales se prestarán los servicios notariales, garantizando la prestación del servicio a las personas más vulnerables y a las personas de especial protección constitucional. </w:t>
      </w:r>
    </w:p>
    <w:p>
      <w:pPr>
        <w:jc w:val="both"/>
        <w:outlineLvl w:val="1"/>
      </w:pPr>
      <w:rPr>
        <w:sz w:val="24"/>
        <w:color w:val="black"/>
      </w:rPr>
    </w:p>
    <w:p>
      <w:pPr>
        <w:jc w:val="both"/>
        <w:outlineLvl w:val="1"/>
      </w:pPr>
      <w:r>
        <w:rPr>
          <w:rFonts w:hAnsi="Arial"/>
          <w:rFonts w:ascii="Arial"/>
          <w:sz w:val="24"/>
          <w:color w:val="black"/>
        </w:rPr>
        <w:t xml:space="preserve">El Superintendente de Notariado y Registro determinará los horarios, turnos en los cuales se prestarán los servicios por parte de las oficinas de registro de instrumentos públicos. </w:t>
      </w:r>
    </w:p>
    <w:p>
      <w:pPr>
        <w:jc w:val="both"/>
        <w:outlineLvl w:val="1"/>
      </w:pPr>
      <w:rPr>
        <w:sz w:val="24"/>
        <w:color w:val="black"/>
      </w:rPr>
    </w:p>
    <w:p>
      <w:pPr>
        <w:jc w:val="both"/>
        <w:outlineLvl w:val="1"/>
      </w:pPr>
      <w:r>
        <w:rPr>
          <w:rFonts w:hAnsi="Arial"/>
          <w:rFonts w:ascii="Arial"/>
          <w:sz w:val="24"/>
          <w:color w:val="black"/>
        </w:rPr>
        <w:t xml:space="preserve">28. El funcionamiento de los servicios postales, de mensajería, radio, televisión, prensa y distribución de los medios de comunicación. </w:t>
      </w:r>
    </w:p>
    <w:p>
      <w:pPr>
        <w:jc w:val="both"/>
        <w:outlineLvl w:val="1"/>
      </w:pPr>
      <w:rPr>
        <w:sz w:val="24"/>
        <w:color w:val="black"/>
      </w:rPr>
    </w:p>
    <w:p>
      <w:pPr>
        <w:jc w:val="both"/>
        <w:outlineLvl w:val="1"/>
      </w:pPr>
      <w:r>
        <w:rPr>
          <w:rFonts w:hAnsi="Arial"/>
          <w:rFonts w:ascii="Arial"/>
          <w:sz w:val="24"/>
          <w:color w:val="black"/>
        </w:rPr>
        <w:t xml:space="preserve">29. El abastecimiento y distribución de bienes de primera necesidad -alimentos, bebidas, medicamentos, dispositivos médicos, aseo, limpieza, y mercancías de ordinario consumo en la población- en virtud de programas sociales del Estado y de personas privadas. </w:t>
      </w:r>
    </w:p>
    <w:p>
      <w:pPr>
        <w:jc w:val="both"/>
        <w:outlineLvl w:val="1"/>
      </w:pPr>
      <w:rPr>
        <w:sz w:val="24"/>
        <w:color w:val="black"/>
      </w:rPr>
    </w:p>
    <w:p>
      <w:pPr>
        <w:jc w:val="both"/>
        <w:outlineLvl w:val="1"/>
      </w:pPr>
      <w:r>
        <w:rPr>
          <w:rFonts w:hAnsi="Arial"/>
          <w:rFonts w:ascii="Arial"/>
          <w:sz w:val="24"/>
          <w:color w:val="black"/>
        </w:rPr>
        <w:t xml:space="preserve">30. Las actividades del sector interreligioso relacionadas con los programas institucionales de emergencia, ayuda humanitaria, espiritual y psicológica. </w:t>
      </w:r>
    </w:p>
    <w:p>
      <w:pPr>
        <w:jc w:val="both"/>
        <w:outlineLvl w:val="1"/>
      </w:pPr>
      <w:rPr>
        <w:sz w:val="24"/>
        <w:color w:val="black"/>
      </w:rPr>
    </w:p>
    <w:p>
      <w:pPr>
        <w:jc w:val="both"/>
        <w:outlineLvl w:val="1"/>
      </w:pPr>
      <w:r>
        <w:rPr>
          <w:rFonts w:hAnsi="Arial"/>
          <w:rFonts w:ascii="Arial"/>
          <w:sz w:val="24"/>
          <w:color w:val="black"/>
        </w:rPr>
        <w:t xml:space="preserve">31. La cadena de producción, abastecimiento, almacenamiento, reparación, mantenimiento, transporte y distribución de las industrias manufactureras. </w:t>
      </w:r>
    </w:p>
    <w:p>
      <w:pPr>
        <w:jc w:val="both"/>
        <w:outlineLvl w:val="1"/>
      </w:pPr>
      <w:rPr>
        <w:sz w:val="24"/>
        <w:color w:val="black"/>
      </w:rPr>
    </w:p>
    <w:p>
      <w:pPr>
        <w:jc w:val="both"/>
        <w:outlineLvl w:val="1"/>
      </w:pPr>
      <w:r>
        <w:rPr>
          <w:rFonts w:hAnsi="Arial"/>
          <w:rFonts w:ascii="Arial"/>
          <w:sz w:val="24"/>
          <w:color w:val="black"/>
        </w:rPr>
        <w:t xml:space="preserve">32. Comercio al por mayor y al por menor, incluido el funcionamiento de centros comerciales y actividades inmobiliarias. </w:t>
      </w:r>
    </w:p>
    <w:p>
      <w:pPr>
        <w:jc w:val="both"/>
        <w:outlineLvl w:val="1"/>
      </w:pPr>
      <w:rPr>
        <w:sz w:val="24"/>
        <w:color w:val="black"/>
      </w:rPr>
    </w:p>
    <w:p>
      <w:pPr>
        <w:jc w:val="both"/>
        <w:outlineLvl w:val="1"/>
      </w:pPr>
      <w:r>
        <w:rPr>
          <w:rFonts w:hAnsi="Arial"/>
          <w:rFonts w:ascii="Arial"/>
          <w:sz w:val="24"/>
          <w:color w:val="black"/>
        </w:rPr>
        <w:t xml:space="preserve">33. Las actividades de los operadores de pagos de salarios, honorarios, pensiones, prestaciones económicas públicos y privados; Beneficios Económicos Periódicos Sociales (BEPS), y los correspondientes a los sistemas y subsistemas de Seguridad Social y Protección Social. </w:t>
      </w:r>
    </w:p>
    <w:p>
      <w:pPr>
        <w:jc w:val="both"/>
        <w:outlineLvl w:val="1"/>
      </w:pPr>
      <w:rPr>
        <w:sz w:val="24"/>
        <w:color w:val="black"/>
      </w:rPr>
    </w:p>
    <w:p>
      <w:pPr>
        <w:jc w:val="both"/>
        <w:outlineLvl w:val="1"/>
      </w:pPr>
      <w:r>
        <w:rPr>
          <w:rFonts w:hAnsi="Arial"/>
          <w:rFonts w:ascii="Arial"/>
          <w:sz w:val="24"/>
          <w:color w:val="black"/>
        </w:rPr>
        <w:t xml:space="preserve">34. El desplazamiento estrictamente necesario del personal directivo y docente de las instituciones educativas públicas y privadas, para prevenir, mitigar y atender la emergencia sanitaria por causa del Coronavirus COVID-19. </w:t>
      </w:r>
    </w:p>
    <w:p>
      <w:pPr>
        <w:jc w:val="both"/>
        <w:outlineLvl w:val="1"/>
      </w:pPr>
      <w:rPr>
        <w:sz w:val="24"/>
        <w:color w:val="black"/>
      </w:rPr>
    </w:p>
    <w:p>
      <w:pPr>
        <w:jc w:val="both"/>
        <w:outlineLvl w:val="1"/>
      </w:pPr>
      <w:r>
        <w:rPr>
          <w:rFonts w:hAnsi="Arial"/>
          <w:rFonts w:ascii="Arial"/>
          <w:sz w:val="24"/>
          <w:color w:val="black"/>
        </w:rPr>
        <w:t xml:space="preserve">35. De acuerdo con las medidas, instrucciones y horarios que fijen los alcaldes en sus respectivas jurisdicciones territoriales, y en todo caso con sujeción a los protocolos de bioseguridad que para los efectos se establezcan, se permitirá: </w:t>
      </w:r>
    </w:p>
    <w:p>
      <w:pPr>
        <w:jc w:val="both"/>
        <w:outlineLvl w:val="1"/>
      </w:pPr>
      <w:rPr>
        <w:sz w:val="24"/>
        <w:color w:val="black"/>
      </w:rPr>
    </w:p>
    <w:p>
      <w:pPr>
        <w:jc w:val="both"/>
        <w:outlineLvl w:val="1"/>
      </w:pPr>
      <w:r>
        <w:rPr>
          <w:rFonts w:hAnsi="Arial"/>
          <w:rFonts w:ascii="Arial"/>
          <w:sz w:val="24"/>
          <w:color w:val="black"/>
        </w:rPr>
        <w:t xml:space="preserve">El desarrollo de actividades físicas, de ejercicio al aire libre y la práctica deportiva de manera individual de personas que se encuentren en el rango de edad de 18 a 69 años, por un período máximo de dos (2) horas diarias. </w:t>
      </w:r>
    </w:p>
    <w:p>
      <w:pPr>
        <w:jc w:val="both"/>
        <w:outlineLvl w:val="1"/>
      </w:pPr>
      <w:rPr>
        <w:sz w:val="24"/>
        <w:color w:val="black"/>
      </w:rPr>
    </w:p>
    <w:p>
      <w:pPr>
        <w:jc w:val="both"/>
        <w:outlineLvl w:val="1"/>
      </w:pPr>
      <w:r>
        <w:rPr>
          <w:rFonts w:hAnsi="Arial"/>
          <w:rFonts w:ascii="Arial"/>
          <w:sz w:val="24"/>
          <w:color w:val="black"/>
        </w:rPr>
        <w:t xml:space="preserve">El desarrollo de actividades físicas y de ejercicio al aire libre de los niños mayores de 6 años, tres (3) veces a la semana, una (1) hora al día. </w:t>
      </w:r>
    </w:p>
    <w:p>
      <w:pPr>
        <w:jc w:val="both"/>
        <w:outlineLvl w:val="1"/>
      </w:pPr>
      <w:rPr>
        <w:sz w:val="24"/>
        <w:color w:val="black"/>
      </w:rPr>
    </w:p>
    <w:p>
      <w:pPr>
        <w:jc w:val="both"/>
        <w:outlineLvl w:val="1"/>
      </w:pPr>
      <w:r>
        <w:rPr>
          <w:rFonts w:hAnsi="Arial"/>
          <w:rFonts w:ascii="Arial"/>
          <w:sz w:val="24"/>
          <w:color w:val="black"/>
        </w:rPr>
        <w:t xml:space="preserve">El desarrollo de actividades físicas y de ejercicio al aire libre de los niños entre dos (2) y cinco (5) años, tres (3) veces a la semana, media hora al día. </w:t>
      </w:r>
    </w:p>
    <w:p>
      <w:pPr>
        <w:jc w:val="both"/>
        <w:outlineLvl w:val="1"/>
      </w:pPr>
      <w:rPr>
        <w:sz w:val="24"/>
        <w:color w:val="black"/>
      </w:rPr>
    </w:p>
    <w:p>
      <w:pPr>
        <w:jc w:val="both"/>
        <w:outlineLvl w:val="1"/>
      </w:pPr>
      <w:r>
        <w:rPr>
          <w:rFonts w:hAnsi="Arial"/>
          <w:rFonts w:ascii="Arial"/>
          <w:sz w:val="24"/>
          <w:color w:val="black"/>
        </w:rPr>
        <w:t xml:space="preserve">El desarrollo de actividades físicas y de ejercicio al aire libre de los adultos mayores de 70 años, por un período máximo de dos (2) horas diarias. </w:t>
      </w:r>
    </w:p>
    <w:p>
      <w:pPr>
        <w:jc w:val="both"/>
        <w:outlineLvl w:val="1"/>
      </w:pPr>
      <w:rPr>
        <w:sz w:val="24"/>
        <w:color w:val="black"/>
      </w:rPr>
    </w:p>
    <w:p>
      <w:pPr>
        <w:jc w:val="both"/>
        <w:outlineLvl w:val="1"/>
      </w:pPr>
      <w:r>
        <w:rPr>
          <w:rFonts w:hAnsi="Arial"/>
          <w:rFonts w:ascii="Arial"/>
          <w:sz w:val="24"/>
          <w:color w:val="black"/>
        </w:rPr>
        <w:t xml:space="preserve">36. La realización de avalúos de bienes y realización de estudios de títulos que tengan por objeto la constitución de garantías, ante entidades vigiladas por la Superintendencia Financiera de Colombia. </w:t>
      </w:r>
    </w:p>
    <w:p>
      <w:pPr>
        <w:jc w:val="both"/>
        <w:outlineLvl w:val="1"/>
      </w:pPr>
      <w:rPr>
        <w:sz w:val="24"/>
        <w:color w:val="black"/>
      </w:rPr>
    </w:p>
    <w:p>
      <w:pPr>
        <w:jc w:val="both"/>
        <w:outlineLvl w:val="1"/>
      </w:pPr>
      <w:r>
        <w:rPr>
          <w:rFonts w:hAnsi="Arial"/>
          <w:rFonts w:ascii="Arial"/>
          <w:sz w:val="24"/>
          <w:color w:val="black"/>
        </w:rPr>
        <w:t xml:space="preserve">37. El funcionamiento de las comisarías de familia e inspecciones de policía, así como los usuarios de estas. </w:t>
      </w:r>
    </w:p>
    <w:p>
      <w:pPr>
        <w:jc w:val="both"/>
        <w:outlineLvl w:val="1"/>
      </w:pPr>
      <w:rPr>
        <w:sz w:val="24"/>
        <w:color w:val="black"/>
      </w:rPr>
    </w:p>
    <w:p>
      <w:pPr>
        <w:jc w:val="both"/>
        <w:outlineLvl w:val="1"/>
      </w:pPr>
      <w:r>
        <w:rPr>
          <w:rFonts w:hAnsi="Arial"/>
          <w:rFonts w:ascii="Arial"/>
          <w:sz w:val="24"/>
          <w:color w:val="black"/>
        </w:rPr>
        <w:t xml:space="preserve">38. La fabricación, reparación, mantenimiento y compra y venta de repuestos y accesorios de bicicletas convencionales y eléctricas. </w:t>
      </w:r>
    </w:p>
    <w:p>
      <w:pPr>
        <w:jc w:val="both"/>
        <w:outlineLvl w:val="1"/>
      </w:pPr>
      <w:rPr>
        <w:sz w:val="24"/>
        <w:color w:val="black"/>
      </w:rPr>
    </w:p>
    <w:p>
      <w:pPr>
        <w:jc w:val="both"/>
        <w:outlineLvl w:val="1"/>
      </w:pPr>
      <w:r>
        <w:rPr>
          <w:rFonts w:hAnsi="Arial"/>
          <w:rFonts w:ascii="Arial"/>
          <w:sz w:val="24"/>
          <w:color w:val="black"/>
        </w:rPr>
        <w:t xml:space="preserve">39. Parqueaderos públicos para vehículos. </w:t>
      </w:r>
    </w:p>
    <w:p>
      <w:pPr>
        <w:jc w:val="both"/>
        <w:outlineLvl w:val="1"/>
      </w:pPr>
      <w:rPr>
        <w:sz w:val="24"/>
        <w:color w:val="black"/>
      </w:rPr>
    </w:p>
    <w:p>
      <w:pPr>
        <w:jc w:val="both"/>
        <w:outlineLvl w:val="1"/>
      </w:pPr>
      <w:r>
        <w:rPr>
          <w:rFonts w:hAnsi="Arial"/>
          <w:rFonts w:ascii="Arial"/>
          <w:sz w:val="24"/>
          <w:color w:val="black"/>
        </w:rPr>
        <w:t xml:space="preserve">40. Museos y bibliotecas. </w:t>
      </w:r>
    </w:p>
    <w:p>
      <w:pPr>
        <w:jc w:val="both"/>
        <w:outlineLvl w:val="1"/>
      </w:pPr>
      <w:rPr>
        <w:sz w:val="24"/>
        <w:color w:val="black"/>
      </w:rPr>
    </w:p>
    <w:p>
      <w:pPr>
        <w:jc w:val="both"/>
        <w:outlineLvl w:val="1"/>
      </w:pPr>
      <w:r>
        <w:rPr>
          <w:rFonts w:hAnsi="Arial"/>
          <w:rFonts w:ascii="Arial"/>
          <w:sz w:val="24"/>
          <w:color w:val="black"/>
        </w:rPr>
        <w:t xml:space="preserve">41. Laboratorios prácticos y de investigación de las instituciones de educación superior y educación para el trabajo y el desarrollo humano. </w:t>
      </w:r>
    </w:p>
    <w:p>
      <w:pPr>
        <w:jc w:val="both"/>
        <w:outlineLvl w:val="1"/>
      </w:pPr>
      <w:rPr>
        <w:sz w:val="24"/>
        <w:color w:val="black"/>
      </w:rPr>
    </w:p>
    <w:p>
      <w:pPr>
        <w:jc w:val="both"/>
        <w:outlineLvl w:val="1"/>
      </w:pPr>
      <w:r>
        <w:rPr>
          <w:rFonts w:hAnsi="Arial"/>
          <w:rFonts w:ascii="Arial"/>
          <w:sz w:val="24"/>
          <w:color w:val="black"/>
        </w:rPr>
        <w:t xml:space="preserve">42. Actividades profesionales, técnicas y de servicios en general. </w:t>
      </w:r>
    </w:p>
    <w:p>
      <w:pPr>
        <w:jc w:val="both"/>
        <w:outlineLvl w:val="1"/>
      </w:pPr>
      <w:rPr>
        <w:sz w:val="24"/>
        <w:color w:val="black"/>
      </w:rPr>
    </w:p>
    <w:p>
      <w:pPr>
        <w:jc w:val="both"/>
        <w:outlineLvl w:val="1"/>
      </w:pPr>
      <w:r>
        <w:rPr>
          <w:rFonts w:hAnsi="Arial"/>
          <w:rFonts w:ascii="Arial"/>
          <w:sz w:val="24"/>
          <w:color w:val="black"/>
        </w:rPr>
        <w:t xml:space="preserve">43. Servicios de peluquería. </w:t>
      </w:r>
    </w:p>
    <w:p>
      <w:pPr>
        <w:jc w:val="both"/>
        <w:outlineLvl w:val="1"/>
      </w:pPr>
      <w:rPr>
        <w:sz w:val="24"/>
        <w:color w:val="black"/>
      </w:rPr>
    </w:p>
    <w:p>
      <w:pPr>
        <w:jc w:val="both"/>
        <w:outlineLvl w:val="1"/>
      </w:pPr>
      <w:r>
        <w:rPr>
          <w:rFonts w:hAnsi="Arial"/>
          <w:rFonts w:ascii="Arial"/>
          <w:sz w:val="24"/>
          <w:color w:val="black"/>
        </w:rPr>
        <w:t xml:space="preserve">44. El desplazamiento y comparecencia de funcionarios y personas interesadas en la gestión de actividades que garanticen la protección de derechos fundamentales, colectivos y actuaciones administrativas.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personas que desarrollen las actividades antes mencionadas deberán estar acreditadas o identificadas en el ejercicio de sus funciones o actividades.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permitirá la circulación de una sola persona por núcleo familiar para realizar las actividades descritas en el numeral 2.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Cuando una persona de las relacionadas en el numeral 3 deba salir de su lugar de residencia o aislamiento, podrá hacerlo acompañado de una persona que le sirva de apoyo. </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Con el fin de proteger la integridad de las personas, mascotas y animales de compañía, y en atención a medidas fitosanitarias, solo una persona por núcleo familiar podrá sacar a las mascotas o animales de compañía. </w:t>
      </w:r>
    </w:p>
    <w:p>
      <w:pPr>
        <w:jc w:val="both"/>
        <w:outlineLvl w:val="1"/>
      </w:pPr>
      <w:rPr>
        <w:sz w:val="24"/>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Las personas que desarrollen las actividades mencionadas en el presente artículo, para iniciar las respectivas actividades, deberán cumplir con los protocolos de bioseguridad que establezca el Ministerio de Salud y Protección Social para el control de la pandemia del Coronavirus COVID-19. Así mismo, deberán atender las instrucciones que para evitar la propagación del Coronavirus COVID-19 adopten o expidan los diferentes ministerios y entidades del orden nacional y territorial.</w:t>
      </w:r>
    </w:p>
    <w:p>
      <w:pPr>
        <w:jc w:val="both"/>
        <w:outlineLvl w:val="1"/>
      </w:pPr>
      <w:rPr>
        <w:sz w:val="24"/>
        <w:color w:val="black"/>
      </w:rPr>
    </w:p>
    <w:p>
      <w:pPr>
        <w:jc w:val="both"/>
        <w:outlineLvl w:val="1"/>
      </w:pPr>
      <w:r>
        <w:rPr>
          <w:rFonts w:hAnsi="Arial"/>
          <w:rFonts w:ascii="Arial"/>
          <w:sz w:val="24"/>
          <w:color w:val="navy"/>
        </w:rPr>
        <w:t xml:space="preserve">PARÁGRAFO 6o.</w:t>
      </w:r>
      <w:r>
        <w:rPr>
          <w:rFonts w:hAnsi="Arial"/>
          <w:rFonts w:ascii="Arial"/>
          <w:sz w:val="24"/>
          <w:color w:val="black"/>
        </w:rPr>
        <w:t xml:space="preserve"> Las excepciones que se consideren necesarias adicionar por parte de los gobernadores y alcaldes deben ser previamente informadas y coordinadas con el Ministerio del Interior. </w:t>
      </w:r>
    </w:p>
    <w:p>
      <w:pPr>
        <w:jc w:val="both"/>
        <w:outlineLvl w:val="1"/>
      </w:pPr>
      <w:rPr>
        <w:sz w:val="24"/>
        <w:color w:val="black"/>
      </w:rPr>
    </w:p>
    <w:p>
      <w:pPr>
        <w:jc w:val="both"/>
        <w:outlineLvl w:val="1"/>
      </w:pPr>
      <w:r>
        <w:rPr>
          <w:rFonts w:hAnsi="Arial"/>
          <w:rFonts w:ascii="Arial"/>
          <w:sz w:val="24"/>
          <w:color w:val="navy"/>
        </w:rPr>
        <w:t xml:space="preserve">PARÁGRAFO 7o.</w:t>
      </w:r>
      <w:r>
        <w:rPr>
          <w:rFonts w:hAnsi="Arial"/>
          <w:rFonts w:ascii="Arial"/>
          <w:sz w:val="24"/>
          <w:color w:val="black"/>
        </w:rPr>
        <w:t xml:space="preserve"> Los alcaldes con la debida autorización del Ministerio del Interior podrán suspender las actividades o casos establecidos en el presente artículo. </w:t>
      </w:r>
    </w:p>
    <w:p>
      <w:pPr>
        <w:jc w:val="both"/>
        <w:outlineLvl w:val="1"/>
      </w:pPr>
      <w:rPr>
        <w:sz w:val="24"/>
        <w:color w:val="black"/>
      </w:rPr>
    </w:p>
    <w:p>
      <w:pPr>
        <w:jc w:val="both"/>
        <w:outlineLvl w:val="1"/>
      </w:pPr>
      <w:r>
        <w:rPr>
          <w:rFonts w:hAnsi="Arial"/>
          <w:rFonts w:ascii="Arial"/>
          <w:sz w:val="24"/>
          <w:color w:val="black"/>
        </w:rPr>
        <w:t xml:space="preserve">Cuando un municipio presente una variación negativa en el comportamiento de la pandemia del Coronavirus COVID-19 que genere un riesgo excepcional a criterio del Ministerio de Salud y Protección Social, esta entidad enviará al Ministerio del Interior un informe que contenga la descripción de la situación epidemiológica del municipio relacionada con el Coronavirus COVID-19 y las actividades o casos que estarían permitidos para ese municipio, con base en lo cual, el Ministerio del Interior ordenará al alcalde el cierre de las actividades o casos respectivos. </w:t>
      </w:r>
    </w:p>
    <w:p>
      <w:pPr>
        <w:jc w:val="both"/>
        <w:outlineLvl w:val="1"/>
      </w:pPr>
      <w:rPr>
        <w:sz w:val="24"/>
        <w:color w:val="black"/>
      </w:rPr>
    </w:p>
    <w:p>
      <w:pPr>
        <w:jc w:val="both"/>
        <w:outlineLvl w:val="1"/>
      </w:pPr>
      <w:r>
        <w:rPr>
          <w:rFonts w:hAnsi="Arial"/>
          <w:rFonts w:ascii="Arial"/>
          <w:sz w:val="24"/>
          <w:vanish/>
          <w:color w:val="black"/>
        </w:rPr>
        <w:t>&amp;$</w:t>
      </w:r>
      <w:bookmarkStart w:id="59398" w:name="4"/>
      <w:r>
        <w:rPr>
          <w:rFonts w:hAnsi="Arial"/>
          <w:rFonts w:ascii="Arial"/>
          <w:sz w:val="24"/>
          <w:color w:val="navy"/>
        </w:rPr>
        <w:t xml:space="preserve">ARTÍCULO 4o. MEDIDAS PARA MUNICIPIOS SIN AFECTACIÓN O DE BAJA AFECTACIÓN DEL CORONAVIRUS COVID-19.</w:t>
      </w:r>
      <w:bookmarkEnd w:id="59398"/>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Los alcaldes de municipios sin afectación o de baja afectación del Coronavirus COVID-19 podrán solicitar al Ministerio del Interior el levantamiento de la medida de aislamiento preventivo obligatorio en su territorio. Para tal efecto, el Ministerio de Salud y Protección Social deberá haber informado la condición de municipio sin afectación del Coronavirus COVID-19 o de baja afectación del Coronavirus COVID-19. Verificado que se trata de un municipio sin afectación del Coronavirus COVID-19 o de baja afectación del Coronavirus COVID-19, el Ministerio del Interior podrá autorizar el levantamiento de la medida de aislamiento preventivo obligatorio. </w:t>
      </w:r>
    </w:p>
    <w:p>
      <w:pPr>
        <w:jc w:val="both"/>
        <w:outlineLvl w:val="1"/>
      </w:pPr>
      <w:rPr>
        <w:sz w:val="24"/>
        <w:color w:val="black"/>
      </w:rPr>
    </w:p>
    <w:p>
      <w:pPr>
        <w:jc w:val="both"/>
        <w:outlineLvl w:val="1"/>
      </w:pPr>
      <w:r>
        <w:rPr>
          <w:rFonts w:hAnsi="Arial"/>
          <w:rFonts w:ascii="Arial"/>
          <w:sz w:val="24"/>
          <w:color w:val="black"/>
        </w:rPr>
        <w:t xml:space="preserve">En ningún caso los municipios sin afectación o de baja afectación del Coronavirus COVID-19 podrán habilitar los siguientes espacios o actividades presenciales: </w:t>
      </w:r>
    </w:p>
    <w:p>
      <w:pPr>
        <w:jc w:val="both"/>
        <w:outlineLvl w:val="1"/>
      </w:pPr>
      <w:rPr>
        <w:sz w:val="24"/>
        <w:color w:val="black"/>
      </w:rPr>
    </w:p>
    <w:p>
      <w:pPr>
        <w:jc w:val="both"/>
        <w:outlineLvl w:val="1"/>
      </w:pPr>
      <w:r>
        <w:rPr>
          <w:rFonts w:hAnsi="Arial"/>
          <w:rFonts w:ascii="Arial"/>
          <w:sz w:val="24"/>
          <w:color w:val="black"/>
        </w:rPr>
        <w:t xml:space="preserve">1. Eventos de carácter público o privado que impliquen aglomeración de personas, de conformidad con las disposiciones que expida el Ministerio de Salud y Protección Social. </w:t>
      </w:r>
    </w:p>
    <w:p>
      <w:pPr>
        <w:jc w:val="both"/>
        <w:outlineLvl w:val="1"/>
      </w:pPr>
      <w:rPr>
        <w:sz w:val="24"/>
        <w:color w:val="black"/>
      </w:rPr>
    </w:p>
    <w:p>
      <w:pPr>
        <w:jc w:val="both"/>
        <w:outlineLvl w:val="1"/>
      </w:pPr>
      <w:r>
        <w:rPr>
          <w:rFonts w:hAnsi="Arial"/>
          <w:rFonts w:ascii="Arial"/>
          <w:sz w:val="24"/>
          <w:color w:val="black"/>
        </w:rPr>
        <w:t xml:space="preserve">2. Los establecimientos y locales comerciales, de esparcimiento y diversión, bares, discotecas, de baile, ocio y entretenimiento, billares, de juegos de azar y apuestas, tales como casinos, bingos y terminales de juego de video.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todo caso para iniciar cualquier actividad los municipios y distritos sin afectación y de baja afectación de Coronavirus COVID-19 deberán cumplir los protocolos de bioseguridad que establezca el Ministerio de Salud y Protección Social para el control de la pandemia del Coronavirus COVID-19. Así mismo, deberán atender las instrucciones que para evitar la propagación del Coronavirus COVID-19 adopten o expidan los diferentes ministerios y entidades del orden nacional y territorial.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personas que se encuentren en los municipios o distritos sin afectación o de baja afectación del Coronavirus COVID-19, solamente podrán entrar o salir del respectivo municipio con ocasión de los casos o actividades descritos en el artículo 3o del presente decreto, debidamente acreditadas o identificadas en el ejercicio de sus funciones.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Ministerio de Salud y Protección Social establecerán si el municipio o distrito es un municipio sin afectación y de baja afectación del Coronavirus COVID-19, y determinará cuándo un municipio pierde la condición de ser un municipio sin afectación o de baja afectación del Coronavirus COVID-19. </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Cuando un municipio que haya obtenido la autorización del Ministerio del Interior de que trata el inciso primero de este artículo, pierda la condición de ser un municipio sin afectación o de baja afectación del Coronavirus COVID-19, de acuerdo con la información publicada por el Ministerio de Salud y Protección Social en su página web, el municipio quedará sometido a la medida de aislamiento preventivo obligatorio y solamente podrá permitir las actividades establecidas en el artículo 3o del presente decreto. El Ministerio de Salud y Protección Social podrá determinar el cierre de alguna o algunas de esas actividades dependiendo del análisis del comportamiento epidemiológico del municipio correspondiente. </w:t>
      </w:r>
    </w:p>
    <w:p>
      <w:pPr>
        <w:jc w:val="both"/>
        <w:outlineLvl w:val="1"/>
      </w:pPr>
      <w:rPr>
        <w:sz w:val="24"/>
        <w:color w:val="black"/>
      </w:rPr>
    </w:p>
    <w:p>
      <w:pPr>
        <w:jc w:val="both"/>
        <w:outlineLvl w:val="1"/>
      </w:pPr>
      <w:r>
        <w:rPr>
          <w:rFonts w:hAnsi="Arial"/>
          <w:rFonts w:ascii="Arial"/>
          <w:sz w:val="24"/>
          <w:color w:val="black"/>
        </w:rPr>
        <w:t xml:space="preserve">Para tal efecto, el Ministerio de Salud y Protección Social enviará al Ministerio del Interior un informe que contenga la descripción de la situación epidemiológica del municipio relacionada con el Coronavirus COVID-19 y las actividades o casos que estarán restringidos, con base en lo cual el Ministerio del Interior ordenará al alcalde el cierre de las demás actividades o casos. </w:t>
      </w:r>
    </w:p>
    <w:p>
      <w:pPr>
        <w:jc w:val="both"/>
      </w:pPr>
      <w:rPr>
        <w:color w:val="black"/>
      </w:rPr>
    </w:p>
    <w:p>
      <w:pPr>
        <w:jc w:val="both"/>
        <w:outlineLvl w:val="1"/>
      </w:pPr>
      <w:r>
        <w:rPr>
          <w:rFonts w:hAnsi="Arial"/>
          <w:rFonts w:ascii="Arial"/>
          <w:sz w:val="24"/>
          <w:vanish/>
          <w:color w:val="black"/>
        </w:rPr>
        <w:t>&amp;$</w:t>
      </w:r>
      <w:bookmarkStart w:id="59399" w:name="5"/>
      <w:r>
        <w:rPr>
          <w:rFonts w:hAnsi="Arial"/>
          <w:rFonts w:ascii="Arial"/>
          <w:sz w:val="24"/>
          <w:color w:val="navy"/>
        </w:rPr>
        <w:t xml:space="preserve">ARTÍCULO 5o. MEDIDAS EN MUNICIPIOS DE MODERADA AFECTACIÓN Y MUNICIPIOS DE ALTA AFECTACIÓN.</w:t>
      </w:r>
      <w:bookmarkEnd w:id="59399"/>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En ningún municipio de moderada o alta afectación de Coronavirus COVID-19 se podrán habilitar los siguientes espacios o actividades presenciales: </w:t>
      </w:r>
    </w:p>
    <w:p>
      <w:pPr>
        <w:jc w:val="both"/>
        <w:outlineLvl w:val="1"/>
      </w:pPr>
      <w:rPr>
        <w:sz w:val="24"/>
        <w:color w:val="black"/>
      </w:rPr>
    </w:p>
    <w:p>
      <w:pPr>
        <w:jc w:val="both"/>
        <w:outlineLvl w:val="1"/>
      </w:pPr>
      <w:r>
        <w:rPr>
          <w:rFonts w:hAnsi="Arial"/>
          <w:rFonts w:ascii="Arial"/>
          <w:sz w:val="24"/>
          <w:color w:val="black"/>
        </w:rPr>
        <w:t xml:space="preserve">1. Eventos de carácter público o privado que impliquen aglomeración de personas, de conformidad con las disposiciones que expida el Ministerio de Salud y Protección Social. </w:t>
      </w:r>
    </w:p>
    <w:p>
      <w:pPr>
        <w:jc w:val="both"/>
        <w:outlineLvl w:val="1"/>
      </w:pPr>
      <w:rPr>
        <w:sz w:val="24"/>
        <w:color w:val="black"/>
      </w:rPr>
    </w:p>
    <w:p>
      <w:pPr>
        <w:jc w:val="both"/>
        <w:outlineLvl w:val="1"/>
      </w:pPr>
      <w:r>
        <w:rPr>
          <w:rFonts w:hAnsi="Arial"/>
          <w:rFonts w:ascii="Arial"/>
          <w:sz w:val="24"/>
          <w:color w:val="black"/>
        </w:rPr>
        <w:t xml:space="preserve">2. Los establecimientos y locales comerciales, de esparcimiento y diversión, bares, discotecas, de baile, ocio y entretenimiento, billares, de juegos de azar y apuestas tales como casinos, bingos y terminales de juego de video. </w:t>
      </w:r>
    </w:p>
    <w:p>
      <w:pPr>
        <w:jc w:val="both"/>
        <w:outlineLvl w:val="1"/>
      </w:pPr>
      <w:rPr>
        <w:sz w:val="24"/>
        <w:color w:val="black"/>
      </w:rPr>
    </w:p>
    <w:p>
      <w:pPr>
        <w:jc w:val="both"/>
        <w:outlineLvl w:val="1"/>
      </w:pPr>
      <w:r>
        <w:rPr>
          <w:rFonts w:hAnsi="Arial"/>
          <w:rFonts w:ascii="Arial"/>
          <w:sz w:val="24"/>
          <w:color w:val="black"/>
        </w:rPr>
        <w:t xml:space="preserve">3. Los establecimientos y locales gastronómicos permanecerán cerrados y solo podrán ofrecer sus productos a través de comercio electrónico, por entrega a domicilio o por entrega para llevar. </w:t>
      </w:r>
    </w:p>
    <w:p>
      <w:pPr>
        <w:jc w:val="both"/>
        <w:outlineLvl w:val="1"/>
      </w:pPr>
      <w:rPr>
        <w:sz w:val="24"/>
        <w:color w:val="black"/>
      </w:rPr>
    </w:p>
    <w:p>
      <w:pPr>
        <w:jc w:val="both"/>
        <w:outlineLvl w:val="1"/>
      </w:pPr>
      <w:r>
        <w:rPr>
          <w:rFonts w:hAnsi="Arial"/>
          <w:rFonts w:ascii="Arial"/>
          <w:sz w:val="24"/>
          <w:color w:val="black"/>
        </w:rPr>
        <w:t xml:space="preserve">4. Piscinas, spa, sauna, turco, balnearios, parques de atracciones mecánicas y parques infantiles. </w:t>
      </w:r>
    </w:p>
    <w:p>
      <w:pPr>
        <w:jc w:val="both"/>
        <w:outlineLvl w:val="1"/>
      </w:pPr>
      <w:rPr>
        <w:sz w:val="24"/>
        <w:color w:val="black"/>
      </w:rPr>
    </w:p>
    <w:p>
      <w:pPr>
        <w:jc w:val="both"/>
        <w:outlineLvl w:val="1"/>
      </w:pPr>
      <w:r>
        <w:rPr>
          <w:rFonts w:hAnsi="Arial"/>
          <w:rFonts w:ascii="Arial"/>
          <w:sz w:val="24"/>
          <w:color w:val="black"/>
        </w:rPr>
        <w:t xml:space="preserve">5. Cines y teatros.</w:t>
      </w:r>
    </w:p>
    <w:p>
      <w:pPr>
        <w:jc w:val="both"/>
      </w:pPr>
      <w:rPr>
        <w:color w:val="black"/>
      </w:rPr>
    </w:p>
    <w:p>
      <w:pPr>
        <w:jc w:val="both"/>
      </w:pPr>
      <w:r>
        <w:rPr>
          <w:rFonts w:hAnsi="Arial"/>
          <w:rFonts w:ascii="Arial"/>
          <w:sz w:val="24"/>
          <w:color w:val="black"/>
        </w:rPr>
        <w:t xml:space="preserve">6. La práctica deportiva y ejercicio grupal en parques públicos y áreas de recreación, deportes de contacto o que se practiquen en conjunto. </w:t>
      </w:r>
    </w:p>
    <w:p>
      <w:pPr>
        <w:jc w:val="both"/>
        <w:outlineLvl w:val="1"/>
      </w:pPr>
      <w:rPr>
        <w:sz w:val="24"/>
        <w:color w:val="black"/>
      </w:rPr>
    </w:p>
    <w:p>
      <w:pPr>
        <w:jc w:val="both"/>
        <w:outlineLvl w:val="1"/>
      </w:pPr>
      <w:r>
        <w:rPr>
          <w:rFonts w:hAnsi="Arial"/>
          <w:rFonts w:ascii="Arial"/>
          <w:sz w:val="24"/>
          <w:color w:val="black"/>
        </w:rPr>
        <w:t xml:space="preserve">7. Servicios religiosos que impliquen aglomeraciones, salvo que medie autorización por parte del Ministerio del Interior y se cumpla en todo momento con los protocolos emitidos por el Ministerio de Salud y Protección Social para el desarrollo de esta actividad.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piscinas y polideportivos solo podrán utilizarse para la práctica deportiva de manera individual por deportistas profesionales y de alto rendimiento.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 teatros serán únicamente utilizados para realizar actividades creativas, artísticas de las artes escénicas, sin que en ningún momento se permita el ingreso de público, o la realización de actividades grupales o que generen aglomeración.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alcaldes de los municipios y distritos, en coordinación con el Ministerio del Interior, podrán autorizar la implementación de planes piloto en (i) los establecimientos y locales comerciales que presten servicio de comida, para brindar atención al público en el sitio -de manera presencial o a la mesa-, (ii) las actividades de la industria hotelera, (iii) las marinas y actividades náuticas, y (iv) gimnasios, siempre y cuando se cumpla en todo momento con los protocolos de bioseguridad emitidos por el Ministerio de Salud y Protección Social, para el desarrollo de estas actividades. </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Los servicios religiosos que puedan implicar reunión de personas se podrán permitir siempre y cuando medie autorización de los alcaldes en coordinación con el Ministerio del Interior y se cumpla en todo momento con los protocolos de bioseguridad emitidos por el Ministerio de Salud y Protección Social para el desarrollo de esta actividad. </w:t>
      </w:r>
    </w:p>
    <w:p>
      <w:pPr>
        <w:jc w:val="both"/>
        <w:outlineLvl w:val="1"/>
      </w:pPr>
      <w:rPr>
        <w:sz w:val="24"/>
        <w:color w:val="black"/>
      </w:rPr>
    </w:p>
    <w:p>
      <w:pPr>
        <w:jc w:val="both"/>
        <w:outlineLvl w:val="1"/>
      </w:pPr>
      <w:r>
        <w:rPr>
          <w:rFonts w:hAnsi="Arial"/>
          <w:rFonts w:ascii="Arial"/>
          <w:sz w:val="24"/>
          <w:vanish/>
          <w:color w:val="black"/>
        </w:rPr>
        <w:t>&amp;$</w:t>
      </w:r>
      <w:bookmarkStart w:id="59400" w:name="6"/>
      <w:r>
        <w:rPr>
          <w:rFonts w:hAnsi="Arial"/>
          <w:rFonts w:ascii="Arial"/>
          <w:sz w:val="24"/>
          <w:color w:val="navy"/>
        </w:rPr>
        <w:t xml:space="preserve">ARTÍCULO 6o. TELETRABAJO Y TRABAJO EN CASA.</w:t>
      </w:r>
      <w:bookmarkEnd w:id="59400"/>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Durante el tiempo que dure la emergencia sanitaria por causa de la pandemia del Coronavirus COVID-19, las entidades del sector público y privado procurarán que sus empleados o contratistas cuya presencia no sea indispensable en la sede de trabajo, desarrollen las funciones y obligaciones bajo las modalidades de teletrabajo, trabajo en casa u otras similares. </w:t>
      </w:r>
    </w:p>
    <w:p>
      <w:pPr>
        <w:jc w:val="both"/>
        <w:outlineLvl w:val="1"/>
      </w:pPr>
      <w:rPr>
        <w:sz w:val="24"/>
        <w:color w:val="black"/>
      </w:rPr>
    </w:p>
    <w:p>
      <w:pPr>
        <w:jc w:val="both"/>
        <w:outlineLvl w:val="1"/>
      </w:pPr>
      <w:r>
        <w:rPr>
          <w:rFonts w:hAnsi="Arial"/>
          <w:rFonts w:ascii="Arial"/>
          <w:sz w:val="24"/>
          <w:vanish/>
          <w:color w:val="black"/>
        </w:rPr>
        <w:t>&amp;$</w:t>
      </w:r>
      <w:bookmarkStart w:id="59401" w:name="7"/>
      <w:r>
        <w:rPr>
          <w:rFonts w:hAnsi="Arial"/>
          <w:rFonts w:ascii="Arial"/>
          <w:sz w:val="24"/>
          <w:color w:val="navy"/>
        </w:rPr>
        <w:t xml:space="preserve">ARTÍCULO 7o. MOVILIDAD.</w:t>
      </w:r>
      <w:bookmarkEnd w:id="59401"/>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Se deberá garantizar el servicio público de transporte terrestre, por cable, fluvial y marítimo de pasajeros, de servicios postales y distribución de paquetería, en el territorio nacional, que sean estrictamente necesarios para prevenir, mitigar y atender la emergencia sanitaria por causa del Coronavirus COVID-19 y las actividades permitidas en el presente decreto. </w:t>
      </w:r>
    </w:p>
    <w:p>
      <w:pPr>
        <w:jc w:val="both"/>
        <w:outlineLvl w:val="1"/>
      </w:pPr>
      <w:rPr>
        <w:sz w:val="24"/>
        <w:color w:val="black"/>
      </w:rPr>
    </w:p>
    <w:p>
      <w:pPr>
        <w:jc w:val="both"/>
        <w:outlineLvl w:val="1"/>
      </w:pPr>
      <w:r>
        <w:rPr>
          <w:rFonts w:hAnsi="Arial"/>
          <w:rFonts w:ascii="Arial"/>
          <w:sz w:val="24"/>
          <w:color w:val="black"/>
        </w:rPr>
        <w:t xml:space="preserve">Se deberá garantizar el transporte de carga, el almacenamiento y logística para la carga. </w:t>
      </w:r>
    </w:p>
    <w:p>
      <w:pPr>
        <w:jc w:val="both"/>
      </w:pPr>
      <w:rPr>
        <w:color w:val="black"/>
      </w:rPr>
    </w:p>
    <w:p>
      <w:pPr>
        <w:jc w:val="both"/>
        <w:outlineLvl w:val="1"/>
      </w:pPr>
      <w:r>
        <w:rPr>
          <w:rFonts w:hAnsi="Arial"/>
          <w:rFonts w:ascii="Arial"/>
          <w:sz w:val="24"/>
          <w:vanish/>
          <w:color w:val="black"/>
        </w:rPr>
        <w:t>&amp;$</w:t>
      </w:r>
      <w:bookmarkStart w:id="59402" w:name="8"/>
      <w:r>
        <w:rPr>
          <w:rFonts w:hAnsi="Arial"/>
          <w:rFonts w:ascii="Arial"/>
          <w:sz w:val="24"/>
          <w:color w:val="navy"/>
        </w:rPr>
        <w:t xml:space="preserve">ARTÍCULO 8o. SUSPENSIÓN DE TRANSPORTE DOMÉSTICO POR VÍA AÉREA.</w:t>
      </w:r>
      <w:bookmarkEnd w:id="59402"/>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Suspender el transporte doméstico por vía aérea, a partir de las cero horas (00:00 a. m.) del día 16 de julio de 2020, hasta las cero horas (00:00 a. m.) del día 1 de agosto de 2020. </w:t>
      </w:r>
    </w:p>
    <w:p>
      <w:pPr>
        <w:jc w:val="both"/>
        <w:outlineLvl w:val="1"/>
      </w:pPr>
      <w:rPr>
        <w:sz w:val="24"/>
        <w:color w:val="black"/>
      </w:rPr>
    </w:p>
    <w:p>
      <w:pPr>
        <w:jc w:val="both"/>
        <w:outlineLvl w:val="1"/>
      </w:pPr>
      <w:r>
        <w:rPr>
          <w:rFonts w:hAnsi="Arial"/>
          <w:rFonts w:ascii="Arial"/>
          <w:sz w:val="24"/>
          <w:color w:val="black"/>
        </w:rPr>
        <w:t xml:space="preserve">Solo se permitirá el transporte doméstico por vía aérea, en los siguientes casos: </w:t>
      </w:r>
    </w:p>
    <w:p>
      <w:pPr>
        <w:jc w:val="both"/>
        <w:outlineLvl w:val="1"/>
      </w:pPr>
      <w:rPr>
        <w:sz w:val="24"/>
        <w:color w:val="black"/>
      </w:rPr>
    </w:p>
    <w:p>
      <w:pPr>
        <w:jc w:val="both"/>
        <w:outlineLvl w:val="1"/>
      </w:pPr>
      <w:r>
        <w:rPr>
          <w:rFonts w:hAnsi="Arial"/>
          <w:rFonts w:ascii="Arial"/>
          <w:sz w:val="24"/>
          <w:color w:val="black"/>
        </w:rPr>
        <w:t xml:space="preserve">1. Emergencia humanitaria. </w:t>
      </w:r>
    </w:p>
    <w:p>
      <w:pPr>
        <w:jc w:val="both"/>
        <w:outlineLvl w:val="1"/>
      </w:pPr>
      <w:r>
        <w:rPr>
          <w:rFonts w:hAnsi="Arial"/>
          <w:rFonts w:ascii="Arial"/>
          <w:sz w:val="24"/>
          <w:color w:val="black"/>
        </w:rPr>
        <w:t xml:space="preserve">2. El transporte de carga y mercancía. </w:t>
      </w:r>
    </w:p>
    <w:p>
      <w:pPr>
        <w:jc w:val="both"/>
        <w:outlineLvl w:val="1"/>
      </w:pPr>
      <w:r>
        <w:rPr>
          <w:rFonts w:hAnsi="Arial"/>
          <w:rFonts w:ascii="Arial"/>
          <w:sz w:val="24"/>
          <w:color w:val="black"/>
        </w:rPr>
        <w:t xml:space="preserve">3. Caso fortuito o fuerza mayor.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Quienes desarrollen las excepciones establecidas en el presente artículo deberán cumplir con los protocolos de bioseguridad que establezca el Ministerio de Salud y Protección Social para el control del Coronavirus COVID-19 y deberán atender las instrucciones que, para evitar su propagación, adopten o expidan los diferentes ministerios y entidades del orden nacional y territorial.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los municipios y distritos que dentro de su jurisdicción territorial se encuentren localizados aeródromos o aeropuertos, los alcaldes podrán solicitar al Ministerio del Interior, al Ministerio de Transporte y a la Unidad Administrativa Especial de la Aeronáutica Civil la autorización para implementar planes piloto en el transporte doméstico de personas por vía área. </w:t>
      </w:r>
    </w:p>
    <w:p>
      <w:pPr>
        <w:jc w:val="both"/>
        <w:outlineLvl w:val="1"/>
      </w:pPr>
      <w:rPr>
        <w:sz w:val="24"/>
        <w:color w:val="black"/>
      </w:rPr>
    </w:p>
    <w:p>
      <w:pPr>
        <w:jc w:val="both"/>
        <w:outlineLvl w:val="1"/>
      </w:pPr>
      <w:r>
        <w:rPr>
          <w:rFonts w:hAnsi="Arial"/>
          <w:rFonts w:ascii="Arial"/>
          <w:sz w:val="24"/>
          <w:color w:val="black"/>
        </w:rPr>
        <w:t xml:space="preserve">La autorización que otorgarán el Ministerio del Interior, el Ministerio de Transporte y la Unidad Administrativa Especial de la Aeronáutica Civil procederá previa recomendación del Ministerio de Salud y Protección Social y, siempre cuando, los municipios de la ciudad de origen como de la de destino lo hayan solicitado y se cumplan los protocolos de bioseguridad emitidos por el Ministerio de Salud y Protección Social. </w:t>
      </w:r>
    </w:p>
    <w:p>
      <w:pPr>
        <w:jc w:val="both"/>
        <w:outlineLvl w:val="1"/>
      </w:pPr>
      <w:rPr>
        <w:sz w:val="24"/>
        <w:color w:val="black"/>
      </w:rPr>
    </w:p>
    <w:p>
      <w:pPr>
        <w:jc w:val="both"/>
        <w:outlineLvl w:val="1"/>
      </w:pPr>
      <w:r>
        <w:rPr>
          <w:rFonts w:hAnsi="Arial"/>
          <w:rFonts w:ascii="Arial"/>
          <w:sz w:val="24"/>
          <w:vanish/>
          <w:color w:val="black"/>
        </w:rPr>
        <w:t>&amp;$</w:t>
      </w:r>
      <w:bookmarkStart w:id="59403" w:name="9"/>
      <w:r>
        <w:rPr>
          <w:rFonts w:hAnsi="Arial"/>
          <w:rFonts w:ascii="Arial"/>
          <w:sz w:val="24"/>
          <w:color w:val="navy"/>
        </w:rPr>
        <w:t xml:space="preserve">ARTÍCULO 9o. CIERRE DE FRONTERAS.</w:t>
      </w:r>
      <w:bookmarkEnd w:id="59403"/>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Cerrar los pasos marítimos, terrestres y fluviales de frontera con la República de Panamá, República del Ecuador, República del Perú, República Federativa de Brasil y República Bolivariana de Venezuela, a partir de las cero horas (00:00 a. m.) del 16 de julio de 2020, hasta las cero horas (00:00 a. m.) del día 1 de agosto de 2020. </w:t>
      </w:r>
    </w:p>
    <w:p>
      <w:pPr>
        <w:jc w:val="both"/>
        <w:outlineLvl w:val="1"/>
      </w:pPr>
      <w:rPr>
        <w:sz w:val="24"/>
        <w:color w:val="black"/>
      </w:rPr>
    </w:p>
    <w:p>
      <w:pPr>
        <w:jc w:val="both"/>
        <w:outlineLvl w:val="1"/>
      </w:pPr>
      <w:r>
        <w:rPr>
          <w:rFonts w:hAnsi="Arial"/>
          <w:rFonts w:ascii="Arial"/>
          <w:sz w:val="24"/>
          <w:color w:val="black"/>
        </w:rPr>
        <w:t xml:space="preserve">Se exceptúan del cierre de frontera, las siguientes actividades: </w:t>
      </w:r>
    </w:p>
    <w:p>
      <w:pPr>
        <w:jc w:val="both"/>
        <w:outlineLvl w:val="1"/>
      </w:pPr>
      <w:rPr>
        <w:sz w:val="24"/>
        <w:color w:val="black"/>
      </w:rPr>
    </w:p>
    <w:p>
      <w:pPr>
        <w:jc w:val="both"/>
        <w:outlineLvl w:val="1"/>
      </w:pPr>
      <w:r>
        <w:rPr>
          <w:rFonts w:hAnsi="Arial"/>
          <w:rFonts w:ascii="Arial"/>
          <w:sz w:val="24"/>
          <w:color w:val="black"/>
        </w:rPr>
        <w:t xml:space="preserve">1. Emergencia humanitaria. </w:t>
      </w:r>
    </w:p>
    <w:p>
      <w:pPr>
        <w:jc w:val="both"/>
        <w:outlineLvl w:val="1"/>
      </w:pPr>
      <w:r>
        <w:rPr>
          <w:rFonts w:hAnsi="Arial"/>
          <w:rFonts w:ascii="Arial"/>
          <w:sz w:val="24"/>
          <w:color w:val="black"/>
        </w:rPr>
        <w:t xml:space="preserve">2. El transporte de carga y mercancía. </w:t>
      </w:r>
    </w:p>
    <w:p>
      <w:pPr>
        <w:jc w:val="both"/>
        <w:outlineLvl w:val="1"/>
      </w:pPr>
      <w:r>
        <w:rPr>
          <w:rFonts w:hAnsi="Arial"/>
          <w:rFonts w:ascii="Arial"/>
          <w:sz w:val="24"/>
          <w:color w:val="black"/>
        </w:rPr>
        <w:t xml:space="preserve">3. Caso fortuito o fuerza mayor. </w:t>
      </w:r>
    </w:p>
    <w:p>
      <w:pPr>
        <w:jc w:val="both"/>
        <w:outlineLvl w:val="1"/>
      </w:pPr>
      <w:r>
        <w:rPr>
          <w:rFonts w:hAnsi="Arial"/>
          <w:rFonts w:ascii="Arial"/>
          <w:sz w:val="24"/>
          <w:color w:val="black"/>
        </w:rPr>
        <w:t xml:space="preserve">4. La salida del territorio nacional de ciudadanos extranjeros de manera coordinada por la Unidad Administrativa Especial Migración Colombia, con las autoridades distritales y municipales competentes.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Quienes desarrollen las excepciones establecidas en el presente artículo deberán cumplir con los protocolos de bioseguridad que establezca el Ministerio de Salud y Protección Social para el control del Coronavirus COVID-19 y deberán atender las instrucciones que, para evitar su propagación, adopten o expidan los diferentes ministerios y entidades del orden nacional y territorial. </w:t>
      </w:r>
    </w:p>
    <w:p>
      <w:pPr>
        <w:jc w:val="both"/>
        <w:outlineLvl w:val="1"/>
      </w:pPr>
      <w:rPr>
        <w:sz w:val="24"/>
        <w:color w:val="black"/>
      </w:rPr>
    </w:p>
    <w:p>
      <w:pPr>
        <w:jc w:val="both"/>
        <w:outlineLvl w:val="1"/>
      </w:pPr>
      <w:r>
        <w:rPr>
          <w:rFonts w:hAnsi="Arial"/>
          <w:rFonts w:ascii="Arial"/>
          <w:sz w:val="24"/>
          <w:vanish/>
          <w:color w:val="black"/>
        </w:rPr>
        <w:t>&amp;$</w:t>
      </w:r>
      <w:bookmarkStart w:id="59404" w:name="10"/>
      <w:r>
        <w:rPr>
          <w:rFonts w:hAnsi="Arial"/>
          <w:rFonts w:ascii="Arial"/>
          <w:sz w:val="24"/>
          <w:color w:val="navy"/>
        </w:rPr>
        <w:t xml:space="preserve">ARTÍCULO 10. PROHIBICIÓN DE CONSUMO DE BEBIDAS EMBRIAGANTES.</w:t>
      </w:r>
      <w:bookmarkEnd w:id="59404"/>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Ordenar a los alcaldes y gobernadores que en el marco de sus competencias constitucionales y legales prohíban, dentro de su circunscripción territorial, el consumo de bebidas embriagantes en espacios abiertos y establecimientos de comercio, a partir de las cero horas (00:00 a. m.) del día 16 de julio de 2020, hasta las cero horas (00:00 a. m.) del día 1 de agosto de 2020. No queda prohibido el expendio de bebidas embriagantes. </w:t>
      </w:r>
    </w:p>
    <w:p>
      <w:pPr>
        <w:jc w:val="both"/>
        <w:outlineLvl w:val="1"/>
      </w:pPr>
      <w:rPr>
        <w:sz w:val="24"/>
        <w:color w:val="black"/>
      </w:rPr>
    </w:p>
    <w:p>
      <w:pPr>
        <w:jc w:val="both"/>
        <w:outlineLvl w:val="1"/>
      </w:pPr>
      <w:r>
        <w:rPr>
          <w:rFonts w:hAnsi="Arial"/>
          <w:rFonts w:ascii="Arial"/>
          <w:sz w:val="24"/>
          <w:vanish/>
          <w:color w:val="black"/>
        </w:rPr>
        <w:t>&amp;$</w:t>
      </w:r>
      <w:bookmarkStart w:id="59405" w:name="11"/>
      <w:r>
        <w:rPr>
          <w:rFonts w:hAnsi="Arial"/>
          <w:rFonts w:ascii="Arial"/>
          <w:sz w:val="24"/>
          <w:color w:val="navy"/>
        </w:rPr>
        <w:t xml:space="preserve">ARTÍCULO 11. GARANTÍAS PARA EL PERSONAL MÉDICO Y DEL SECTOR SALUD.</w:t>
      </w:r>
      <w:bookmarkEnd w:id="59405"/>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Los gobernadores y alcaldes, en el marco de sus competencias, velarán para que no se impida, obstruya o restrinja el pleno ejercicio de los derechos del personal médico y demás vinculados con la prestación del servicio de salud, ni se ejerzan actos de discriminación en su contra. </w:t>
      </w:r>
    </w:p>
    <w:p>
      <w:pPr>
        <w:jc w:val="both"/>
        <w:outlineLvl w:val="1"/>
      </w:pPr>
      <w:rPr>
        <w:sz w:val="24"/>
        <w:color w:val="black"/>
      </w:rPr>
    </w:p>
    <w:p>
      <w:pPr>
        <w:jc w:val="both"/>
        <w:outlineLvl w:val="1"/>
      </w:pPr>
      <w:r>
        <w:rPr>
          <w:rFonts w:hAnsi="Arial"/>
          <w:rFonts w:ascii="Arial"/>
          <w:sz w:val="24"/>
          <w:vanish/>
          <w:color w:val="black"/>
        </w:rPr>
        <w:t>&amp;$</w:t>
      </w:r>
      <w:bookmarkStart w:id="59406" w:name="12"/>
      <w:r>
        <w:rPr>
          <w:rFonts w:hAnsi="Arial"/>
          <w:rFonts w:ascii="Arial"/>
          <w:sz w:val="24"/>
          <w:color w:val="navy"/>
        </w:rPr>
        <w:t xml:space="preserve">ARTÍCULO 12. INOBSERVANCIA DE LAS MEDIDAS.</w:t>
      </w:r>
      <w:bookmarkEnd w:id="59406"/>
      <w:r>
        <w:rPr>
          <w:rFonts w:hAnsi="Arial"/>
          <w:rFonts w:ascii="Arial"/>
          <w:sz w:val="24"/>
          <w:color w:val="black"/>
        </w:rPr>
        <w:t xml:space="preserve"> </w:t>
      </w:r>
      <w:r>
        <w:rPr>
          <w:rFonts w:hAnsi="Arial"/>
          <w:rFonts w:ascii="Arial"/>
          <w:sz w:val="24"/>
          <w:b/>
          <w:color w:val="black"/>
        </w:rPr>
        <w:t xml:space="preserve">&lt;Decreto derogado a partir del 1 de agosto por el artículo </w:t>
      </w:r>
      <w:r>
        <w:fldChar w:fldCharType="begin"/>
      </w:r>
      <w:r>
        <w:instrText>HYPERLINK "http://www.redjurista.com/document.aspx?ajcode=d1076020&amp;arts=13"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1076 de 2020&gt; </w:t>
      </w:r>
      <w:r>
        <w:rPr>
          <w:rFonts w:hAnsi="Arial"/>
          <w:rFonts w:ascii="Arial"/>
          <w:sz w:val="24"/>
          <w:u w:val="none"/>
          <w:color w:val="black"/>
        </w:rPr>
        <w:t xml:space="preserve">La violación e inobservancia de las medidas adoptadas e instrucciones dadas mediante el presente Decreto, darán lugar a la sanción penal prevista en el artículo </w:t>
      </w:r>
      <w:r>
        <w:fldChar w:fldCharType="begin"/>
      </w:r>
      <w:r>
        <w:instrText>HYPERLINK "http://www.redjurista.com/document.aspx?ajcode=c_penal&amp;arts=368"</w:instrText>
      </w:r>
      <w:r>
        <w:fldChar w:fldCharType="separate"/>
      </w:r>
      <w:r>
        <w:rPr>
          <w:rFonts w:hAnsi="Arial"/>
          <w:rFonts w:ascii="Arial"/>
          <w:sz w:val="24"/>
          <w:u w:val="single"/>
          <w:color w:val="black"/>
        </w:rPr>
        <w:t>368</w:t>
      </w:r>
      <w:r>
        <w:fldChar w:fldCharType="end"/>
      </w:r>
      <w:r>
        <w:rPr>
          <w:rFonts w:hAnsi="Arial"/>
          <w:rFonts w:ascii="Arial"/>
          <w:sz w:val="24"/>
          <w:u w:val="none"/>
          <w:color w:val="black"/>
        </w:rPr>
        <w:t xml:space="preserve"> del Código Penal y a las multas previstas en artículo </w:t>
      </w:r>
      <w:r>
        <w:fldChar w:fldCharType="begin"/>
      </w:r>
      <w:r>
        <w:instrText>HYPERLINK "http://www.redjurista.com/document.aspx?ajcode=d0780016&amp;arts=2.8.8.1.4.21"</w:instrText>
      </w:r>
      <w:r>
        <w:fldChar w:fldCharType="separate"/>
      </w:r>
      <w:r>
        <w:rPr>
          <w:rFonts w:hAnsi="Arial"/>
          <w:rFonts w:ascii="Arial"/>
          <w:sz w:val="24"/>
          <w:u w:val="single"/>
          <w:color w:val="black"/>
        </w:rPr>
        <w:t>2.8.8.1.4.21</w:t>
      </w:r>
      <w:r>
        <w:fldChar w:fldCharType="end"/>
      </w:r>
      <w:r>
        <w:rPr>
          <w:rFonts w:hAnsi="Arial"/>
          <w:rFonts w:ascii="Arial"/>
          <w:sz w:val="24"/>
          <w:u w:val="none"/>
          <w:color w:val="black"/>
        </w:rPr>
        <w:t xml:space="preserve"> del Decreto 780 de 2016, o la norma que sustituya, modifique o derogue. </w:t>
      </w:r>
    </w:p>
    <w:p>
      <w:pPr>
        <w:jc w:val="both"/>
        <w:outlineLvl w:val="1"/>
      </w:pPr>
      <w:rPr>
        <w:sz w:val="24"/>
        <w:color w:val="black"/>
      </w:rPr>
    </w:p>
    <w:p>
      <w:pPr>
        <w:jc w:val="both"/>
        <w:outlineLvl w:val="1"/>
      </w:pPr>
      <w:r>
        <w:rPr>
          <w:rFonts w:hAnsi="Arial"/>
          <w:rFonts w:ascii="Arial"/>
          <w:sz w:val="24"/>
          <w:color w:val="black"/>
        </w:rPr>
        <w:t xml:space="preserve">Los gobernadores y alcaldes que omitan el cumplimiento de lo dispuesto en este decreto, serán sujetos de las sanciones a que haya lugar. </w:t>
      </w:r>
    </w:p>
    <w:p>
      <w:pPr>
        <w:jc w:val="both"/>
        <w:outlineLvl w:val="1"/>
      </w:pPr>
      <w:rPr>
        <w:sz w:val="24"/>
        <w:color w:val="black"/>
      </w:rPr>
    </w:p>
    <w:p>
      <w:pPr>
        <w:jc w:val="both"/>
        <w:outlineLvl w:val="1"/>
      </w:pPr>
      <w:r>
        <w:rPr>
          <w:rFonts w:hAnsi="Arial"/>
          <w:rFonts w:ascii="Arial"/>
          <w:sz w:val="24"/>
          <w:vanish/>
          <w:color w:val="black"/>
        </w:rPr>
        <w:t>&amp;$</w:t>
      </w:r>
      <w:bookmarkStart w:id="59407" w:name="13"/>
      <w:r>
        <w:rPr>
          <w:rFonts w:hAnsi="Arial"/>
          <w:rFonts w:ascii="Arial"/>
          <w:sz w:val="24"/>
          <w:color w:val="navy"/>
        </w:rPr>
        <w:t xml:space="preserve">ARTÍCULO 13. VIGENCIA.</w:t>
      </w:r>
      <w:bookmarkEnd w:id="59407"/>
      <w:r>
        <w:rPr>
          <w:rFonts w:hAnsi="Arial"/>
          <w:rFonts w:ascii="Arial"/>
          <w:sz w:val="24"/>
          <w:color w:val="black"/>
        </w:rPr>
        <w:t xml:space="preserve"> El presente Decreto rige a partir de las cero horas (00:00 a. m.) del día 16 de julio de 2020, y deroga los Decretos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 y </w:t>
      </w:r>
      <w:r>
        <w:fldChar w:fldCharType="begin"/>
      </w:r>
      <w:r>
        <w:instrText>HYPERLINK "http://www.redjurista.com/document.aspx?ajcode=d0878020&amp;arts=INICIO"</w:instrText>
      </w:r>
      <w:r>
        <w:fldChar w:fldCharType="separate"/>
      </w:r>
      <w:r>
        <w:rPr>
          <w:rFonts w:hAnsi="Arial"/>
          <w:rFonts w:ascii="Arial"/>
          <w:sz w:val="24"/>
          <w:u w:val="single"/>
          <w:color w:val="black"/>
        </w:rPr>
        <w:t>878</w:t>
      </w:r>
      <w:r>
        <w:fldChar w:fldCharType="end"/>
      </w:r>
      <w:r>
        <w:rPr>
          <w:rFonts w:hAnsi="Arial"/>
          <w:rFonts w:ascii="Arial"/>
          <w:sz w:val="24"/>
          <w:u w:val="none"/>
          <w:color w:val="black"/>
        </w:rPr>
        <w:t xml:space="preserve"> de 25 de junio de 2020.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9 de julio de 2020. </w:t>
      </w:r>
    </w:p>
    <w:p>
      <w:pPr>
        <w:jc w:val="both"/>
        <w:outlineLvl w:val="1"/>
      </w:pPr>
      <w:rPr>
        <w:sz w:val="24"/>
        <w:color w:val="black"/>
      </w:rPr>
    </w:p>
    <w:p>
      <w:pPr>
        <w:jc w:val="center"/>
        <w:outlineLvl w:val="1"/>
      </w:pPr>
      <w:r>
        <w:rPr>
          <w:rFonts w:hAnsi="Arial"/>
          <w:rFonts w:ascii="Arial"/>
          <w:sz w:val="24"/>
          <w:color w:val="gray"/>
        </w:rPr>
        <w:t xml:space="preserve">IVÁN DUQUE MÁRQUEZ. </w:t>
      </w:r>
    </w:p>
    <w:p>
      <w:pPr>
        <w:jc w:val="center"/>
        <w:outlineLvl w:val="1"/>
      </w:pPr>
      <w:rPr>
        <w:sz w:val="24"/>
        <w:color w:val="black"/>
      </w:rPr>
    </w:p>
    <w:p>
      <w:pPr>
        <w:jc w:val="center"/>
        <w:outlineLvl w:val="1"/>
      </w:pPr>
      <w:r>
        <w:rPr>
          <w:rFonts w:hAnsi="Arial"/>
          <w:rFonts w:ascii="Arial"/>
          <w:sz w:val="24"/>
          <w:color w:val="black"/>
        </w:rPr>
        <w:t xml:space="preserve">La Ministra del Interior, </w:t>
      </w:r>
    </w:p>
    <w:p>
      <w:pPr>
        <w:jc w:val="center"/>
        <w:outlineLvl w:val="1"/>
      </w:pPr>
      <w:r>
        <w:rPr>
          <w:rFonts w:hAnsi="Arial"/>
          <w:rFonts w:ascii="Arial"/>
          <w:sz w:val="24"/>
          <w:color w:val="gray"/>
        </w:rPr>
        <w:t xml:space="preserve">ALICIA VICTORIA ARANGO OLMOS </w:t>
      </w:r>
    </w:p>
    <w:p>
      <w:pPr>
        <w:jc w:val="center"/>
        <w:outlineLvl w:val="1"/>
      </w:pPr>
      <w:rPr>
        <w:sz w:val="24"/>
        <w:color w:val="black"/>
      </w:rPr>
    </w:p>
    <w:p>
      <w:pPr>
        <w:jc w:val="center"/>
        <w:outlineLvl w:val="1"/>
      </w:pPr>
      <w:r>
        <w:rPr>
          <w:rFonts w:hAnsi="Arial"/>
          <w:rFonts w:ascii="Arial"/>
          <w:sz w:val="24"/>
          <w:color w:val="black"/>
        </w:rPr>
        <w:t xml:space="preserve">La Ministra de Relaciones Exteriores, </w:t>
      </w:r>
    </w:p>
    <w:p>
      <w:pPr>
        <w:jc w:val="center"/>
        <w:outlineLvl w:val="1"/>
      </w:pPr>
      <w:r>
        <w:rPr>
          <w:rFonts w:hAnsi="Arial"/>
          <w:rFonts w:ascii="Arial"/>
          <w:sz w:val="24"/>
          <w:color w:val="gray"/>
        </w:rPr>
        <w:t xml:space="preserve">CLAUDIA BLUM DE BARBERI </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color w:val="black"/>
      </w:rPr>
    </w:p>
    <w:p>
      <w:pPr>
        <w:jc w:val="center"/>
        <w:outlineLvl w:val="1"/>
      </w:pPr>
      <w:r>
        <w:rPr>
          <w:rFonts w:hAnsi="Arial"/>
          <w:rFonts w:ascii="Arial"/>
          <w:sz w:val="24"/>
          <w:color w:val="black"/>
        </w:rPr>
        <w:t xml:space="preserve">La Ministra de Justicia y del Derecho, </w:t>
      </w:r>
    </w:p>
    <w:p>
      <w:pPr>
        <w:jc w:val="center"/>
        <w:outlineLvl w:val="1"/>
      </w:pPr>
      <w:r>
        <w:rPr>
          <w:rFonts w:hAnsi="Arial"/>
          <w:rFonts w:ascii="Arial"/>
          <w:sz w:val="24"/>
          <w:color w:val="gray"/>
        </w:rPr>
        <w:t xml:space="preserve">MARGARITA LEONOR CABELLO BLANCO </w:t>
      </w:r>
    </w:p>
    <w:p>
      <w:pPr>
        <w:jc w:val="center"/>
        <w:outlineLvl w:val="1"/>
      </w:pPr>
      <w:rPr>
        <w:sz w:val="24"/>
        <w:color w:val="black"/>
      </w:rPr>
    </w:p>
    <w:p>
      <w:pPr>
        <w:jc w:val="center"/>
        <w:outlineLvl w:val="1"/>
      </w:pPr>
      <w:r>
        <w:rPr>
          <w:rFonts w:hAnsi="Arial"/>
          <w:rFonts w:ascii="Arial"/>
          <w:sz w:val="24"/>
          <w:color w:val="black"/>
        </w:rPr>
        <w:t xml:space="preserve">El Ministro de Defensa Nacional, </w:t>
      </w:r>
    </w:p>
    <w:p>
      <w:pPr>
        <w:jc w:val="center"/>
        <w:outlineLvl w:val="1"/>
      </w:pPr>
      <w:r>
        <w:rPr>
          <w:rFonts w:hAnsi="Arial"/>
          <w:rFonts w:ascii="Arial"/>
          <w:sz w:val="24"/>
          <w:color w:val="gray"/>
        </w:rPr>
        <w:t xml:space="preserve">CARLOS HOLMES TRUJILLO GARCÍA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ENRIQUE ZEA NAVARRO </w:t>
      </w:r>
    </w:p>
    <w:p>
      <w:pPr>
        <w:jc w:val="center"/>
        <w:outlineLvl w:val="1"/>
      </w:pPr>
      <w:rPr>
        <w:sz w:val="24"/>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 </w:t>
      </w:r>
    </w:p>
    <w:p>
      <w:pPr>
        <w:jc w:val="center"/>
        <w:outlineLvl w:val="1"/>
      </w:pPr>
      <w:rPr>
        <w:sz w:val="24"/>
        <w:color w:val="black"/>
      </w:rPr>
    </w:p>
    <w:p>
      <w:pPr>
        <w:jc w:val="center"/>
        <w:outlineLvl w:val="1"/>
      </w:pPr>
      <w:r>
        <w:rPr>
          <w:rFonts w:hAnsi="Arial"/>
          <w:rFonts w:ascii="Arial"/>
          <w:sz w:val="24"/>
          <w:color w:val="black"/>
        </w:rPr>
        <w:t xml:space="preserve">El Ministro de Trabajo, </w:t>
      </w:r>
    </w:p>
    <w:p>
      <w:pPr>
        <w:jc w:val="center"/>
        <w:outlineLvl w:val="1"/>
      </w:pPr>
      <w:r>
        <w:rPr>
          <w:rFonts w:hAnsi="Arial"/>
          <w:rFonts w:ascii="Arial"/>
          <w:sz w:val="24"/>
          <w:color w:val="gray"/>
        </w:rPr>
        <w:t xml:space="preserve">ÁNGEL CUSTODIO CABRERA BÁEZ </w:t>
      </w:r>
    </w:p>
    <w:p>
      <w:pPr>
        <w:jc w:val="center"/>
        <w:outlineLvl w:val="1"/>
      </w:pPr>
      <w:rPr>
        <w:sz w:val="24"/>
        <w:color w:val="black"/>
      </w:rPr>
    </w:p>
    <w:p>
      <w:pPr>
        <w:jc w:val="center"/>
        <w:outlineLvl w:val="1"/>
      </w:pPr>
      <w:r>
        <w:rPr>
          <w:rFonts w:hAnsi="Arial"/>
          <w:rFonts w:ascii="Arial"/>
          <w:sz w:val="24"/>
          <w:color w:val="black"/>
        </w:rPr>
        <w:t xml:space="preserve">El Ministro de Minas y Energía, </w:t>
      </w:r>
    </w:p>
    <w:p>
      <w:pPr>
        <w:jc w:val="center"/>
        <w:outlineLvl w:val="1"/>
      </w:pPr>
      <w:r>
        <w:rPr>
          <w:rFonts w:hAnsi="Arial"/>
          <w:rFonts w:ascii="Arial"/>
          <w:sz w:val="24"/>
          <w:color w:val="gray"/>
        </w:rPr>
        <w:t xml:space="preserve">DIEGO MESA PUYO </w:t>
      </w:r>
    </w:p>
    <w:p>
      <w:pPr>
        <w:jc w:val="center"/>
        <w:outlineLvl w:val="1"/>
      </w:pPr>
      <w:rPr>
        <w:sz w:val="24"/>
        <w:color w:val="black"/>
      </w:rPr>
    </w:p>
    <w:p>
      <w:pPr>
        <w:jc w:val="center"/>
        <w:outlineLvl w:val="1"/>
      </w:pPr>
      <w:r>
        <w:rPr>
          <w:rFonts w:hAnsi="Arial"/>
          <w:rFonts w:ascii="Arial"/>
          <w:sz w:val="24"/>
          <w:color w:val="black"/>
        </w:rPr>
        <w:t xml:space="preserve">El Ministro de Comercio, Industria y Turismo, </w:t>
      </w:r>
    </w:p>
    <w:p>
      <w:pPr>
        <w:jc w:val="center"/>
        <w:outlineLvl w:val="1"/>
      </w:pPr>
      <w:r>
        <w:rPr>
          <w:rFonts w:hAnsi="Arial"/>
          <w:rFonts w:ascii="Arial"/>
          <w:sz w:val="24"/>
          <w:color w:val="gray"/>
        </w:rPr>
        <w:t xml:space="preserve">JOSÉ MANUEL RESTREPO ABONDANO </w:t>
      </w:r>
    </w:p>
    <w:p>
      <w:pPr>
        <w:jc w:val="center"/>
        <w:outlineLvl w:val="1"/>
      </w:pPr>
      <w:rPr>
        <w:sz w:val="24"/>
        <w:color w:val="black"/>
      </w:rPr>
    </w:p>
    <w:p>
      <w:pPr>
        <w:jc w:val="center"/>
        <w:outlineLvl w:val="1"/>
      </w:pPr>
      <w:r>
        <w:rPr>
          <w:rFonts w:hAnsi="Arial"/>
          <w:rFonts w:ascii="Arial"/>
          <w:sz w:val="24"/>
          <w:color w:val="black"/>
        </w:rPr>
        <w:t xml:space="preserve">La Ministra de Educación Nacional, </w:t>
      </w:r>
    </w:p>
    <w:p>
      <w:pPr>
        <w:jc w:val="center"/>
        <w:outlineLvl w:val="1"/>
      </w:pPr>
      <w:r>
        <w:rPr>
          <w:rFonts w:hAnsi="Arial"/>
          <w:rFonts w:ascii="Arial"/>
          <w:sz w:val="24"/>
          <w:color w:val="gray"/>
        </w:rPr>
        <w:t xml:space="preserve">MARÍA VICTORIA ANGULO GONZÁLEZ </w:t>
      </w:r>
    </w:p>
    <w:p>
      <w:pPr>
        <w:jc w:val="center"/>
        <w:outlineLvl w:val="1"/>
      </w:pPr>
      <w:rPr>
        <w:sz w:val="24"/>
        <w:color w:val="black"/>
      </w:rPr>
    </w:p>
    <w:p>
      <w:pPr>
        <w:jc w:val="center"/>
        <w:outlineLvl w:val="1"/>
      </w:pPr>
      <w:r>
        <w:rPr>
          <w:rFonts w:hAnsi="Arial"/>
          <w:rFonts w:ascii="Arial"/>
          <w:sz w:val="24"/>
          <w:color w:val="black"/>
        </w:rPr>
        <w:t xml:space="preserve">La Viceministra de Políticas y Normalización Ambiental encargada de las funciones del despacho del Ministro de Ambiente y Desarrollo Sostenible, </w:t>
      </w:r>
    </w:p>
    <w:p>
      <w:pPr>
        <w:jc w:val="center"/>
        <w:outlineLvl w:val="1"/>
      </w:pPr>
      <w:r>
        <w:rPr>
          <w:rFonts w:hAnsi="Arial"/>
          <w:rFonts w:ascii="Arial"/>
          <w:sz w:val="24"/>
          <w:color w:val="gray"/>
        </w:rPr>
        <w:t xml:space="preserve">MARÍA CLAUDIA GARCÍA DÁVILA </w:t>
      </w:r>
    </w:p>
    <w:p>
      <w:pPr>
        <w:jc w:val="center"/>
        <w:outlineLvl w:val="1"/>
      </w:pPr>
      <w:rPr>
        <w:sz w:val="24"/>
        <w:color w:val="black"/>
      </w:rPr>
    </w:p>
    <w:p>
      <w:pPr>
        <w:jc w:val="center"/>
        <w:outlineLvl w:val="1"/>
      </w:pPr>
      <w:r>
        <w:rPr>
          <w:rFonts w:hAnsi="Arial"/>
          <w:rFonts w:ascii="Arial"/>
          <w:sz w:val="24"/>
          <w:color w:val="black"/>
        </w:rPr>
        <w:t xml:space="preserve">El Ministro de Vivienda, Ciudad y Territorio, </w:t>
      </w:r>
    </w:p>
    <w:p>
      <w:pPr>
        <w:jc w:val="center"/>
        <w:outlineLvl w:val="1"/>
      </w:pPr>
      <w:r>
        <w:rPr>
          <w:rFonts w:hAnsi="Arial"/>
          <w:rFonts w:ascii="Arial"/>
          <w:sz w:val="24"/>
          <w:color w:val="gray"/>
        </w:rPr>
        <w:t xml:space="preserve">JONATHAN MALAGÓN GONZÁLEZ </w:t>
      </w:r>
    </w:p>
    <w:p>
      <w:pPr>
        <w:jc w:val="center"/>
        <w:outlineLvl w:val="1"/>
      </w:pPr>
      <w:rPr>
        <w:sz w:val="24"/>
        <w:color w:val="black"/>
      </w:rPr>
    </w:p>
    <w:p>
      <w:pPr>
        <w:jc w:val="center"/>
        <w:outlineLvl w:val="1"/>
      </w:pPr>
      <w:r>
        <w:rPr>
          <w:rFonts w:hAnsi="Arial"/>
          <w:rFonts w:ascii="Arial"/>
          <w:sz w:val="24"/>
          <w:color w:val="black"/>
        </w:rPr>
        <w:t xml:space="preserve">La Ministra de Tecnologías de la Información y las Comunicaciones, </w:t>
      </w:r>
    </w:p>
    <w:p>
      <w:pPr>
        <w:jc w:val="center"/>
        <w:outlineLvl w:val="1"/>
      </w:pPr>
      <w:r>
        <w:rPr>
          <w:rFonts w:hAnsi="Arial"/>
          <w:rFonts w:ascii="Arial"/>
          <w:sz w:val="24"/>
          <w:color w:val="gray"/>
        </w:rPr>
        <w:t xml:space="preserve">KAREN CECILIA ABUDINEN ABUCHAIBE </w:t>
      </w:r>
    </w:p>
    <w:p>
      <w:pPr>
        <w:jc w:val="center"/>
        <w:outlineLvl w:val="1"/>
      </w:pPr>
      <w:rPr>
        <w:sz w:val="24"/>
        <w:color w:val="black"/>
      </w:rPr>
    </w:p>
    <w:p>
      <w:pPr>
        <w:jc w:val="center"/>
        <w:outlineLvl w:val="1"/>
      </w:pPr>
      <w:r>
        <w:rPr>
          <w:rFonts w:hAnsi="Arial"/>
          <w:rFonts w:ascii="Arial"/>
          <w:sz w:val="24"/>
          <w:color w:val="black"/>
        </w:rPr>
        <w:t xml:space="preserve">La Ministra de Transporte, </w:t>
      </w:r>
    </w:p>
    <w:p>
      <w:pPr>
        <w:jc w:val="center"/>
        <w:outlineLvl w:val="1"/>
      </w:pPr>
      <w:r>
        <w:rPr>
          <w:rFonts w:hAnsi="Arial"/>
          <w:rFonts w:ascii="Arial"/>
          <w:sz w:val="24"/>
          <w:color w:val="gray"/>
        </w:rPr>
        <w:t xml:space="preserve">ÁNGELA MARÍA OROZCO GÓMEZ </w:t>
      </w:r>
    </w:p>
    <w:p>
      <w:pPr>
        <w:jc w:val="center"/>
        <w:outlineLvl w:val="1"/>
      </w:pPr>
      <w:rPr>
        <w:sz w:val="24"/>
        <w:color w:val="black"/>
      </w:rPr>
    </w:p>
    <w:p>
      <w:pPr>
        <w:jc w:val="center"/>
        <w:outlineLvl w:val="1"/>
      </w:pPr>
      <w:r>
        <w:rPr>
          <w:rFonts w:hAnsi="Arial"/>
          <w:rFonts w:ascii="Arial"/>
          <w:sz w:val="24"/>
          <w:color w:val="black"/>
        </w:rPr>
        <w:t xml:space="preserve">El Ministro del Deporte, </w:t>
      </w:r>
    </w:p>
    <w:p>
      <w:pPr>
        <w:jc w:val="center"/>
        <w:outlineLvl w:val="1"/>
      </w:pPr>
      <w:r>
        <w:rPr>
          <w:rFonts w:hAnsi="Arial"/>
          <w:rFonts w:ascii="Arial"/>
          <w:sz w:val="24"/>
          <w:color w:val="gray"/>
        </w:rPr>
        <w:t xml:space="preserve">ERNESTO LUCENA BARRERO </w:t>
      </w:r>
    </w:p>
    <w:p>
      <w:pPr>
        <w:jc w:val="center"/>
        <w:outlineLvl w:val="1"/>
      </w:pPr>
      <w:rPr>
        <w:sz w:val="24"/>
        <w:color w:val="black"/>
      </w:rPr>
    </w:p>
    <w:p>
      <w:pPr>
        <w:jc w:val="center"/>
        <w:outlineLvl w:val="1"/>
      </w:pPr>
      <w:r>
        <w:rPr>
          <w:rFonts w:hAnsi="Arial"/>
          <w:rFonts w:ascii="Arial"/>
          <w:sz w:val="24"/>
          <w:color w:val="black"/>
        </w:rPr>
        <w:t xml:space="preserve">El Viceministro de la Creatividad y la Economía Naranja, encargado de las funciones del despacho de la Ministra de Cultura, </w:t>
      </w:r>
    </w:p>
    <w:p>
      <w:pPr>
        <w:jc w:val="center"/>
        <w:outlineLvl w:val="1"/>
      </w:pPr>
      <w:r>
        <w:rPr>
          <w:rFonts w:hAnsi="Arial"/>
          <w:rFonts w:ascii="Arial"/>
          <w:sz w:val="24"/>
          <w:color w:val="gray"/>
        </w:rPr>
        <w:t xml:space="preserve">PEDRO FELIPE BUITRAGO RESTREPO </w:t>
      </w:r>
    </w:p>
    <w:p>
      <w:pPr>
        <w:jc w:val="center"/>
        <w:outlineLvl w:val="1"/>
      </w:pPr>
      <w:rPr>
        <w:sz w:val="24"/>
        <w:color w:val="black"/>
      </w:rPr>
    </w:p>
    <w:p>
      <w:pPr>
        <w:jc w:val="center"/>
        <w:outlineLvl w:val="1"/>
      </w:pPr>
      <w:r>
        <w:rPr>
          <w:rFonts w:hAnsi="Arial"/>
          <w:rFonts w:ascii="Arial"/>
          <w:sz w:val="24"/>
          <w:color w:val="black"/>
        </w:rPr>
        <w:t xml:space="preserve">El Director del Departamento Administrativo de la Función Pública, </w:t>
      </w:r>
    </w:p>
    <w:p>
      <w:pPr>
        <w:jc w:val="center"/>
        <w:outlineLvl w:val="1"/>
      </w:pPr>
      <w:r>
        <w:rPr>
          <w:rFonts w:hAnsi="Arial"/>
          <w:rFonts w:ascii="Arial"/>
          <w:sz w:val="24"/>
          <w:color w:val="gray"/>
        </w:rPr>
        <w:t xml:space="preserve">FERNANDO ANTONIO GRILLO RUBIANO.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436"/>
      <w:footerReference w:type="default" r:id="eId7437"/>
      <w:type w:val="continuous"/>
    </w:sectPr>
  </w:body>
</w:document>
</file>

<file path=word/footer_default_74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36</w:t>
      <w:fldChar w:fldCharType="end"/>
    </w:r>
  </w:p>
</w:ftr>
</file>

<file path=word/header_default_74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436" Type="http://schemas.openxmlformats.org/officeDocument/2006/relationships/header" Target="header_default_7436.xml" />
<Relationship Id="id0" Type="http://schemas.openxmlformats.org/officeDocument/2006/relationships/image" Target="img/img_id0.png"/>
<Relationship Id="eId7437" Type="http://schemas.openxmlformats.org/officeDocument/2006/relationships/footer" Target="footer_default_74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