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7472.xml" ContentType="application/vnd.openxmlformats-officedocument.wordprocessingml.header+xml"/>
  <Override PartName="/word/footer_default_7473.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vanish/>
          <w:color w:val="black"/>
        </w:rPr>
        <w:t>&amp;</w:t>
      </w:r>
      <w:r>
        <w:rPr>
          <w:rFonts w:hAnsi="Arial"/>
          <w:rFonts w:ascii="Arial"/>
          <w:sz w:val="24"/>
          <w:b/>
          <w:color w:val="gray"/>
        </w:rPr>
        <w:t xml:space="preserve">DECRETO 1070 DE 2015</w:t>
      </w:r>
    </w:p>
    <w:p>
      <w:pPr>
        <w:jc w:val="center"/>
      </w:pPr>
      <w:r>
        <w:rPr>
          <w:rFonts w:hAnsi="Arial"/>
          <w:rFonts w:ascii="Arial"/>
          <w:sz w:val="24"/>
          <w:color w:val="black"/>
        </w:rPr>
        <w:t xml:space="preserve">(mayo 26)</w:t>
      </w:r>
    </w:p>
    <w:p>
      <w:pPr>
        <w:jc w:val="center"/>
      </w:pPr>
      <w:r>
        <w:rPr>
          <w:rFonts w:hAnsi="Arial"/>
          <w:rFonts w:ascii="Arial"/>
          <w:sz w:val="24"/>
          <w:color w:val="black"/>
        </w:rPr>
        <w:t xml:space="preserve">Diario Oficial No. 49.523 de 26 de mayo de 2015</w:t>
      </w:r>
    </w:p>
    <w:p>
      <w:pPr>
        <w:jc w:val="center"/>
      </w:pPr>
      <w:rPr>
        <w:sz w:val="24"/>
        <w:color w:val="black"/>
      </w:rPr>
    </w:p>
    <w:p>
      <w:pPr>
        <w:jc w:val="center"/>
      </w:pPr>
      <w:r>
        <w:rPr>
          <w:rFonts w:hAnsi="Arial"/>
          <w:rFonts w:ascii="Arial"/>
          <w:sz w:val="24"/>
          <w:color w:val="gray"/>
        </w:rPr>
        <w:t xml:space="preserve">MINISTERIO DE DEFENSA NACIONAL</w:t>
      </w:r>
    </w:p>
    <w:p>
      <w:pPr>
        <w:jc w:val="center"/>
      </w:pPr>
      <w:rPr>
        <w:sz w:val="24"/>
        <w:color w:val="black"/>
      </w:rPr>
    </w:p>
    <w:p>
      <w:pPr>
        <w:jc w:val="center"/>
      </w:pPr>
      <w:r>
        <w:rPr>
          <w:rFonts w:hAnsi="Arial"/>
          <w:rFonts w:ascii="Arial"/>
          <w:sz w:val="24"/>
          <w:color w:val="black"/>
        </w:rPr>
        <w:t xml:space="preserve">Por el cual se expide el Decreto Único Reglamentario del Sector Administrativo de Defensa.</w:t>
      </w:r>
    </w:p>
    <w:p>
      <w:rPr>
        <w:color w:val="black"/>
      </w:rPr>
    </w:p>
    <w:p>
      <w:pPr>
        <w:jc w:val="center"/>
      </w:pPr>
      <w:r>
        <w:rPr>
          <w:rFonts w:hAnsi="Arial"/>
          <w:rFonts w:ascii="Arial"/>
          <w:sz w:val="24"/>
          <w:color w:val="gray"/>
        </w:rPr>
        <w:t xml:space="preserve">EL PRESIDENTE DE LA REPÚBLICA DE COLOMBIA, </w:t>
      </w:r>
    </w:p>
    <w:p>
      <w:pPr>
        <w:jc w:val="center"/>
      </w:pPr>
      <w:rPr>
        <w:sz w:val="24"/>
        <w:color w:val="black"/>
      </w:rPr>
    </w:p>
    <w:p>
      <w:pPr>
        <w:jc w:val="center"/>
      </w:pPr>
      <w:r>
        <w:rPr>
          <w:rFonts w:hAnsi="Arial"/>
          <w:rFonts w:ascii="Arial"/>
          <w:sz w:val="24"/>
          <w:color w:val="black"/>
        </w:rPr>
        <w:t xml:space="preserve">en ejercicio de la facultad que le confiere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y</w:t>
      </w:r>
    </w:p>
    <w:p>
      <w:pPr>
        <w:jc w:val="center"/>
      </w:pPr>
      <w:rPr>
        <w:sz w:val="24"/>
        <w:color w:val="black"/>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la producción normativa ocupa un espacio central en la implementación de políticas públicas, siendo el medio a través del cual se estructuran los instrumentos jurídicos que materializan en gran parte las decisiones del Estado.</w:t>
      </w:r>
    </w:p>
    <w:p>
      <w:pPr>
        <w:jc w:val="both"/>
      </w:pPr>
      <w:rPr>
        <w:sz w:val="24"/>
        <w:color w:val="black"/>
      </w:rPr>
    </w:p>
    <w:p>
      <w:pPr>
        <w:jc w:val="both"/>
      </w:pPr>
      <w:r>
        <w:rPr>
          <w:rFonts w:hAnsi="Arial"/>
          <w:rFonts w:ascii="Arial"/>
          <w:sz w:val="24"/>
          <w:color w:val="black"/>
        </w:rPr>
        <w:t xml:space="preserve">Que la racionalización y simplificación del ordenamiento jurídico es una de las principales herramientas para asegurar la eficiencia económica y social del sistema legal y para afianzar la seguridad jurídica.</w:t>
      </w:r>
    </w:p>
    <w:p>
      <w:pPr>
        <w:jc w:val="both"/>
      </w:pPr>
      <w:rPr>
        <w:sz w:val="24"/>
        <w:color w:val="black"/>
      </w:rPr>
    </w:p>
    <w:p>
      <w:pPr>
        <w:jc w:val="both"/>
      </w:pPr>
      <w:r>
        <w:rPr>
          <w:rFonts w:hAnsi="Arial"/>
          <w:rFonts w:ascii="Arial"/>
          <w:sz w:val="24"/>
          <w:color w:val="black"/>
        </w:rPr>
        <w:t xml:space="preserve">Que constituye una política pública gubernamental la simplificación y compilación orgánica del sistema nacional regulatorio.</w:t>
      </w:r>
    </w:p>
    <w:p>
      <w:pPr>
        <w:jc w:val="both"/>
      </w:pPr>
      <w:rPr>
        <w:sz w:val="24"/>
        <w:color w:val="black"/>
      </w:rPr>
    </w:p>
    <w:p>
      <w:pPr>
        <w:jc w:val="both"/>
      </w:pPr>
      <w:r>
        <w:rPr>
          <w:rFonts w:hAnsi="Arial"/>
          <w:rFonts w:ascii="Arial"/>
          <w:sz w:val="24"/>
          <w:color w:val="black"/>
        </w:rPr>
        <w:t xml:space="preserve">Que la facultad reglamentaria incluye la posibilidad de compilar normas de la misma naturaleza.</w:t>
      </w:r>
    </w:p>
    <w:p>
      <w:pPr>
        <w:jc w:val="both"/>
      </w:pPr>
      <w:rPr>
        <w:sz w:val="24"/>
        <w:color w:val="black"/>
      </w:rPr>
    </w:p>
    <w:p>
      <w:pPr>
        <w:jc w:val="both"/>
      </w:pPr>
      <w:r>
        <w:rPr>
          <w:rFonts w:hAnsi="Arial"/>
          <w:rFonts w:ascii="Arial"/>
          <w:sz w:val="24"/>
          <w:color w:val="black"/>
        </w:rPr>
        <w:t xml:space="preserve">Que por tratarse de un decreto compilatorio de normas reglamentarias preexistentes, las mismas no requieren de consulta previa alguna, dado que las normas fuente cumplieron al momento de su expedición con las regulaciones vigentes sobre la materia.</w:t>
      </w:r>
    </w:p>
    <w:p>
      <w:pPr>
        <w:jc w:val="both"/>
      </w:pPr>
      <w:rPr>
        <w:sz w:val="24"/>
        <w:color w:val="black"/>
      </w:rPr>
    </w:p>
    <w:p>
      <w:pPr>
        <w:jc w:val="both"/>
      </w:pPr>
      <w:r>
        <w:rPr>
          <w:rFonts w:hAnsi="Arial"/>
          <w:rFonts w:ascii="Arial"/>
          <w:sz w:val="24"/>
          <w:color w:val="black"/>
        </w:rPr>
        <w:t xml:space="preserve">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pPr>
        <w:jc w:val="both"/>
      </w:pPr>
      <w:rPr>
        <w:sz w:val="24"/>
        <w:color w:val="black"/>
      </w:rPr>
    </w:p>
    <w:p>
      <w:pPr>
        <w:jc w:val="both"/>
      </w:pPr>
      <w:r>
        <w:rPr>
          <w:rFonts w:hAnsi="Arial"/>
          <w:rFonts w:ascii="Arial"/>
          <w:sz w:val="24"/>
          <w:color w:val="black"/>
        </w:rPr>
        <w:t xml:space="preserve">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w:t>
      </w:r>
    </w:p>
    <w:p>
      <w:pPr>
        <w:jc w:val="both"/>
      </w:pPr>
      <w:rPr>
        <w:sz w:val="24"/>
        <w:color w:val="black"/>
      </w:rPr>
    </w:p>
    <w:p>
      <w:pPr>
        <w:jc w:val="both"/>
      </w:pPr>
      <w:r>
        <w:rPr>
          <w:rFonts w:hAnsi="Arial"/>
          <w:rFonts w:ascii="Arial"/>
          <w:sz w:val="24"/>
          <w:color w:val="black"/>
        </w:rPr>
        <w:t xml:space="preserve">Que la compilación de que trata el presente decreto se contrae a la normatividad vigente al momento de su expedición, sin perjuicio de los efectos ultractivos de disposiciones derogadas a la fecha, de conformidad con el artículo </w:t>
      </w:r>
      <w:r>
        <w:fldChar w:fldCharType="begin"/>
      </w:r>
      <w:r>
        <w:instrText>HYPERLINK "http://www.redjurista.com/document.aspx?ajcode=l0153887&amp;arts=38"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153 de 1887.</w:t>
      </w:r>
    </w:p>
    <w:p>
      <w:pPr>
        <w:jc w:val="both"/>
      </w:pPr>
      <w:rPr>
        <w:sz w:val="24"/>
        <w:color w:val="black"/>
      </w:rPr>
    </w:p>
    <w:p>
      <w:pPr>
        <w:jc w:val="both"/>
      </w:pPr>
      <w:r>
        <w:rPr>
          <w:rFonts w:hAnsi="Arial"/>
          <w:rFonts w:ascii="Arial"/>
          <w:sz w:val="24"/>
          <w:color w:val="black"/>
        </w:rPr>
        <w:t xml:space="preserve">Que por cuanto este decreto constituye un ejercicio de compilación de reglamentaciones preexistentes, los considerandos de los decretos fuente se entienden incorporados a su texto, aunque no se transcriban, para lo cual en cada artículo se indica el origen del mismo.</w:t>
      </w:r>
    </w:p>
    <w:p>
      <w:pPr>
        <w:jc w:val="both"/>
      </w:pPr>
      <w:rPr>
        <w:sz w:val="24"/>
        <w:color w:val="black"/>
      </w:rPr>
    </w:p>
    <w:p>
      <w:pPr>
        <w:jc w:val="both"/>
      </w:pPr>
      <w:r>
        <w:rPr>
          <w:rFonts w:hAnsi="Arial"/>
          <w:rFonts w:ascii="Arial"/>
          <w:sz w:val="24"/>
          <w:color w:val="black"/>
        </w:rPr>
        <w:t xml:space="preserve">Que las normas que integran el Libro 1 de este Decreto no tienen naturaleza reglamentaria, como quiera que se limitan a describir la estructura general administrativa del sector.</w:t>
      </w:r>
    </w:p>
    <w:p>
      <w:pPr>
        <w:jc w:val="both"/>
      </w:pPr>
      <w:rPr>
        <w:sz w:val="24"/>
        <w:color w:val="black"/>
      </w:rPr>
    </w:p>
    <w:p>
      <w:pPr>
        <w:jc w:val="both"/>
      </w:pPr>
      <w:r>
        <w:rPr>
          <w:rFonts w:hAnsi="Arial"/>
          <w:rFonts w:ascii="Arial"/>
          <w:sz w:val="24"/>
          <w:color w:val="black"/>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w:t>
      </w:r>
    </w:p>
    <w:p>
      <w:pPr>
        <w:jc w:val="both"/>
      </w:pPr>
      <w:rPr>
        <w:sz w:val="24"/>
        <w:color w:val="black"/>
      </w:rPr>
    </w:p>
    <w:p>
      <w:pPr>
        <w:jc w:val="both"/>
      </w:pPr>
      <w:r>
        <w:rPr>
          <w:rFonts w:hAnsi="Arial"/>
          <w:rFonts w:ascii="Arial"/>
          <w:sz w:val="24"/>
          <w:color w:val="black"/>
        </w:rPr>
        <w:t xml:space="preserve">Que con el objetivo de compilar y racionalizar las normas de carácter reglamentario que rigen en el sector y contar con un instrumento jurídico único para el mismo, se hace necesario expedir el presente Decreto Reglamentario Único Sectorial.</w:t>
      </w:r>
    </w:p>
    <w:p>
      <w:pPr>
        <w:jc w:val="both"/>
      </w:pPr>
      <w:rPr>
        <w:sz w:val="24"/>
        <w:color w:val="black"/>
      </w:rPr>
    </w:p>
    <w:p>
      <w:pPr>
        <w:jc w:val="both"/>
      </w:pPr>
      <w:r>
        <w:rPr>
          <w:rFonts w:hAnsi="Arial"/>
          <w:rFonts w:ascii="Arial"/>
          <w:sz w:val="24"/>
          <w:color w:val="black"/>
        </w:rPr>
        <w:t xml:space="preserve">Por lo anteriormente expuesto,</w:t>
      </w:r>
    </w:p>
    <w:p>
      <w:pPr>
        <w:jc w:val="both"/>
      </w:pPr>
      <w:rPr>
        <w:sz w:val="24"/>
        <w:color w:val="black"/>
      </w:rPr>
    </w:p>
    <w:p>
      <w:pPr>
        <w:jc w:val="center"/>
      </w:pPr>
      <w:r>
        <w:rPr>
          <w:rFonts w:hAnsi="Arial"/>
          <w:rFonts w:ascii="Arial"/>
          <w:sz w:val="24"/>
          <w:color w:val="gray"/>
        </w:rPr>
        <w:t>DECRETA:</w:t>
      </w:r>
    </w:p>
    <w:p>
      <w:pPr>
        <w:jc w:val="both"/>
      </w:pPr>
      <w:rPr>
        <w:sz w:val="24"/>
        <w:color w:val="black"/>
      </w:rPr>
    </w:p>
    <w:p>
      <w:pPr>
        <w:jc w:val="center"/>
      </w:pPr>
      <w:r>
        <w:rPr>
          <w:rFonts w:hAnsi="Arial"/>
          <w:rFonts w:ascii="Arial"/>
          <w:sz w:val="24"/>
          <w:vanish/>
          <w:color w:val="black"/>
        </w:rPr>
        <w:t>&amp;$</w:t>
      </w:r>
      <w:bookmarkStart w:id="59816" w:name="LIBRO 1"/>
      <w:r>
        <w:rPr>
          <w:rFonts w:hAnsi="Arial"/>
          <w:rFonts w:ascii="Arial"/>
          <w:sz w:val="24"/>
          <w:color w:val="navy"/>
        </w:rPr>
        <w:t xml:space="preserve">LIBRO 1. </w:t>
      </w:r>
    </w:p>
    <w:p>
      <w:pPr>
        <w:jc w:val="center"/>
      </w:pPr>
      <w:r>
        <w:rPr>
          <w:rFonts w:hAnsi="Arial"/>
          <w:rFonts w:ascii="Arial"/>
          <w:sz w:val="24"/>
          <w:color w:val="navy"/>
        </w:rPr>
        <w:t xml:space="preserve">ESTRUCTURA DEL SECTOR DEFENSA.</w:t>
      </w:r>
      <w:bookmarkEnd w:id="5981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17" w:name="PARTE 1.1"/>
      <w:r>
        <w:rPr>
          <w:rFonts w:hAnsi="Arial"/>
          <w:rFonts w:ascii="Arial"/>
          <w:sz w:val="24"/>
          <w:color w:val="navy"/>
        </w:rPr>
        <w:t xml:space="preserve">PARTE 1. </w:t>
      </w:r>
    </w:p>
    <w:p>
      <w:pPr>
        <w:jc w:val="center"/>
      </w:pPr>
      <w:r>
        <w:rPr>
          <w:rFonts w:hAnsi="Arial"/>
          <w:rFonts w:ascii="Arial"/>
          <w:sz w:val="24"/>
          <w:color w:val="navy"/>
        </w:rPr>
        <w:t xml:space="preserve">SECTOR CENTRAL.</w:t>
      </w:r>
      <w:bookmarkEnd w:id="5981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18" w:name="TÍTULO 1.1.1"/>
      <w:r>
        <w:rPr>
          <w:rFonts w:hAnsi="Arial"/>
          <w:rFonts w:ascii="Arial"/>
          <w:sz w:val="24"/>
          <w:color w:val="navy"/>
        </w:rPr>
        <w:t xml:space="preserve">TÍTULO 1. </w:t>
      </w:r>
    </w:p>
    <w:p>
      <w:pPr>
        <w:jc w:val="center"/>
      </w:pPr>
      <w:r>
        <w:rPr>
          <w:rFonts w:hAnsi="Arial"/>
          <w:rFonts w:ascii="Arial"/>
          <w:sz w:val="24"/>
          <w:color w:val="navy"/>
        </w:rPr>
        <w:t xml:space="preserve">CABEZA DEL SECTOR DEFENSA.</w:t>
      </w:r>
      <w:bookmarkEnd w:id="59818"/>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819" w:name="1.1.1.1"/>
      <w:r>
        <w:rPr>
          <w:rFonts w:hAnsi="Arial"/>
          <w:rFonts w:ascii="Arial"/>
          <w:sz w:val="24"/>
          <w:color w:val="navy"/>
        </w:rPr>
        <w:t xml:space="preserve">ARTÍCULO 1.1.1.1. </w:t>
      </w:r>
      <w:r>
        <w:rPr>
          <w:rFonts w:hAnsi="Arial"/>
          <w:rFonts w:ascii="Arial"/>
          <w:sz w:val="24"/>
          <w:i/>
          <w:color w:val="navy"/>
        </w:rPr>
        <w:t xml:space="preserve">EL MINISTERIO DE DEFENSA NACIONAL.</w:t>
      </w:r>
      <w:bookmarkEnd w:id="59819"/>
      <w:r>
        <w:rPr>
          <w:rFonts w:hAnsi="Arial"/>
          <w:rFonts w:ascii="Arial"/>
          <w:sz w:val="24"/>
          <w:b/>
          <w:i/>
          <w:color w:val="black"/>
        </w:rPr>
        <w:t xml:space="preserve"> </w:t>
      </w:r>
      <w:r>
        <w:rPr>
          <w:rFonts w:hAnsi="Arial"/>
          <w:rFonts w:ascii="Arial"/>
          <w:sz w:val="24"/>
          <w:color w:val="black"/>
        </w:rPr>
        <w:t xml:space="preserve">El Sector Administrativo Defensa Nacional está integrado por el Ministerio de Defensa Nacional y sus entidades adscritas y vinculadas.</w:t>
      </w:r>
    </w:p>
    <w:p>
      <w:pPr>
        <w:jc w:val="both"/>
      </w:pPr>
      <w:rPr>
        <w:sz w:val="24"/>
        <w:color w:val="black"/>
      </w:rPr>
    </w:p>
    <w:p>
      <w:pPr>
        <w:jc w:val="both"/>
      </w:pPr>
      <w:r>
        <w:rPr>
          <w:rFonts w:hAnsi="Arial"/>
          <w:rFonts w:ascii="Arial"/>
          <w:sz w:val="24"/>
          <w:color w:val="black"/>
        </w:rPr>
        <w:t xml:space="preserve">El Ministerio de Defensa Nacional tendrá a su cargo la orientación, control y evaluación del ejercicio de las funciones de los organismos y entidades que conforman el Sector Administrativo Defensa Nacional, sin perjuicio de las potestades de decisión que les correspondan así como de su participación en la formulación de la política, en la elaboración de los programas sectoriales y en la ejecución de los mismos.</w:t>
      </w:r>
    </w:p>
    <w:p>
      <w:pPr>
        <w:jc w:val="both"/>
      </w:pPr>
      <w:rPr>
        <w:sz w:val="24"/>
        <w:color w:val="black"/>
      </w:rPr>
    </w:p>
    <w:p>
      <w:pPr>
        <w:jc w:val="both"/>
      </w:pPr>
      <w:r>
        <w:rPr>
          <w:rFonts w:hAnsi="Arial"/>
          <w:rFonts w:ascii="Arial"/>
          <w:sz w:val="24"/>
          <w:i/>
          <w:color w:val="black"/>
        </w:rPr>
        <w:t xml:space="preserve">(Decreto 1512 de 2000 artículo </w:t>
      </w:r>
      <w:r>
        <w:fldChar w:fldCharType="begin"/>
      </w:r>
      <w:r>
        <w:instrText>HYPERLINK "http://www.redjurista.com/document.aspx?ajcode=d1512000&amp;arts=1"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color w:val="black"/>
        </w:rPr>
        <w:t xml:space="preserve">La Dirección del Ministerio de Defensa Nacional está a cargo del Ministro, quien la ejerce con colaboración del Comandante General de las Fuerzas Militares, los Comandantes de Fuerza, el Director General de la Policía Nacional y los Viceministros.</w:t>
      </w:r>
    </w:p>
    <w:p>
      <w:pPr>
        <w:jc w:val="both"/>
      </w:pPr>
      <w:rPr>
        <w:sz w:val="24"/>
        <w:color w:val="black"/>
      </w:rPr>
    </w:p>
    <w:p>
      <w:pPr>
        <w:jc w:val="both"/>
      </w:pPr>
      <w:r>
        <w:rPr>
          <w:rFonts w:hAnsi="Arial"/>
          <w:rFonts w:ascii="Arial"/>
          <w:sz w:val="24"/>
          <w:i/>
          <w:color w:val="black"/>
        </w:rPr>
        <w:t xml:space="preserve">(Decreto 1512 de 2000 artículo </w:t>
      </w:r>
      <w:r>
        <w:fldChar w:fldCharType="begin"/>
      </w:r>
      <w:r>
        <w:instrText>HYPERLINK "http://www.redjurista.com/document.aspx?ajcode=d1512000&amp;arts=2"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Los Decretos </w:t>
      </w:r>
      <w:r>
        <w:fldChar w:fldCharType="begin"/>
      </w:r>
      <w:r>
        <w:instrText>HYPERLINK "http://www.redjurista.com/document.aspx?ajcode=d0049003&amp;arts=INICIO"</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 xml:space="preserve"> de 2003 y </w:t>
      </w:r>
      <w:r>
        <w:fldChar w:fldCharType="begin"/>
      </w:r>
      <w:r>
        <w:instrText>HYPERLINK "http://www.redjurista.com/document.aspx?ajcode=d4481008&amp;arts=INICIO"</w:instrText>
      </w:r>
      <w:r>
        <w:fldChar w:fldCharType="separate"/>
      </w:r>
      <w:r>
        <w:rPr>
          <w:rFonts w:hAnsi="Arial"/>
          <w:rFonts w:ascii="Arial"/>
          <w:sz w:val="24"/>
          <w:i/>
          <w:u w:val="single"/>
          <w:color w:val="black"/>
        </w:rPr>
        <w:t>4481</w:t>
      </w:r>
      <w:r>
        <w:fldChar w:fldCharType="end"/>
      </w:r>
      <w:r>
        <w:rPr>
          <w:rFonts w:hAnsi="Arial"/>
          <w:rFonts w:ascii="Arial"/>
          <w:sz w:val="24"/>
          <w:i/>
          <w:u w:val="none"/>
          <w:color w:val="black"/>
        </w:rPr>
        <w:t xml:space="preserve"> de 2008 incorporaron tres viceministerios más)</w:t>
      </w:r>
    </w:p>
    <w:p>
      <w:rPr>
        <w:color w:val="black"/>
      </w:rPr>
    </w:p>
    <w:p>
      <w:pPr>
        <w:jc w:val="both"/>
      </w:pPr>
      <w:r>
        <w:rPr>
          <w:rFonts w:hAnsi="Arial"/>
          <w:rFonts w:ascii="Arial"/>
          <w:sz w:val="24"/>
          <w:color w:val="black"/>
        </w:rPr>
        <w:t xml:space="preserve">El Presidente de la República, de acuerdo con el numeral 3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Nacional, es el Comandante Supremo de las Fuerzas Armadas de la República y como tal dirige la Fuerza Pública y dispone de ella, directamente o por conducto del Ministro de Defensa Nacional.</w:t>
      </w:r>
    </w:p>
    <w:p>
      <w:pPr>
        <w:jc w:val="both"/>
      </w:pPr>
      <w:rPr>
        <w:sz w:val="24"/>
        <w:color w:val="black"/>
      </w:rPr>
    </w:p>
    <w:p>
      <w:pPr>
        <w:jc w:val="both"/>
      </w:pPr>
      <w:r>
        <w:rPr>
          <w:rFonts w:hAnsi="Arial"/>
          <w:rFonts w:ascii="Arial"/>
          <w:sz w:val="24"/>
          <w:i/>
          <w:color w:val="black"/>
        </w:rPr>
        <w:t xml:space="preserve">(Decreto 1512 de 2000 artículo </w:t>
      </w:r>
      <w:r>
        <w:fldChar w:fldCharType="begin"/>
      </w:r>
      <w:r>
        <w:instrText>HYPERLINK "http://www.redjurista.com/document.aspx?ajcode=d1512000&amp;arts=3"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color w:val="black"/>
        </w:rPr>
        <w:t xml:space="preserve">El Ministerio de Defensa Nacional tiene como objetivos primordiales la formulación y adopción de las políticas, planes generales, programas y proyectos del Sector Administrativo Defensa Nacional, para la defensa de la soberanía, la independencia y la integridad territorial, así como para el mantenimiento del orden constitucional y la garantía de la convivencia democrática.</w:t>
      </w:r>
    </w:p>
    <w:p>
      <w:pPr>
        <w:jc w:val="both"/>
      </w:pPr>
      <w:rPr>
        <w:sz w:val="24"/>
        <w:color w:val="black"/>
      </w:rPr>
    </w:p>
    <w:p>
      <w:pPr>
        <w:jc w:val="both"/>
      </w:pPr>
      <w:r>
        <w:rPr>
          <w:rFonts w:hAnsi="Arial"/>
          <w:rFonts w:ascii="Arial"/>
          <w:sz w:val="24"/>
          <w:i/>
          <w:color w:val="black"/>
        </w:rPr>
        <w:t xml:space="preserve">(Decreto 1512 de 2000 artículo </w:t>
      </w:r>
      <w:r>
        <w:fldChar w:fldCharType="begin"/>
      </w:r>
      <w:r>
        <w:instrText>HYPERLINK "http://www.redjurista.com/document.aspx?ajcode=d1512000&amp;arts=4"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b/>
        <w:color w:val="black"/>
      </w:rPr>
    </w:p>
    <w:p>
      <w:pPr>
        <w:jc w:val="center"/>
      </w:pPr>
      <w:r>
        <w:rPr>
          <w:rFonts w:hAnsi="Arial"/>
          <w:rFonts w:ascii="Arial"/>
          <w:sz w:val="24"/>
          <w:vanish/>
          <w:color w:val="black"/>
        </w:rPr>
        <w:t>&amp;$</w:t>
      </w:r>
      <w:bookmarkStart w:id="59820" w:name="TÍTULO 1.1.2"/>
      <w:r>
        <w:rPr>
          <w:rFonts w:hAnsi="Arial"/>
          <w:rFonts w:ascii="Arial"/>
          <w:sz w:val="24"/>
          <w:color w:val="navy"/>
        </w:rPr>
        <w:t xml:space="preserve">TÍTULO 2. </w:t>
      </w:r>
    </w:p>
    <w:p>
      <w:pPr>
        <w:jc w:val="center"/>
      </w:pPr>
      <w:r>
        <w:rPr>
          <w:rFonts w:hAnsi="Arial"/>
          <w:rFonts w:ascii="Arial"/>
          <w:sz w:val="24"/>
          <w:color w:val="navy"/>
        </w:rPr>
        <w:t xml:space="preserve">ÓRGANOS DE ASESORÍA Y COORDINACIÓN.</w:t>
      </w:r>
      <w:bookmarkEnd w:id="59820"/>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21" w:name="1.1.2.1"/>
      <w:r>
        <w:rPr>
          <w:rFonts w:hAnsi="Arial"/>
          <w:rFonts w:ascii="Arial"/>
          <w:sz w:val="24"/>
          <w:color w:val="navy"/>
        </w:rPr>
        <w:t xml:space="preserve">ARTÍCULO 1.1.2.1. </w:t>
      </w:r>
      <w:r>
        <w:rPr>
          <w:rFonts w:hAnsi="Arial"/>
          <w:rFonts w:ascii="Arial"/>
          <w:sz w:val="24"/>
          <w:i/>
          <w:color w:val="navy"/>
        </w:rPr>
        <w:t xml:space="preserve">ÓRGANOS DE ASESORÍA Y COORDINACIÓN.</w:t>
      </w:r>
      <w:bookmarkEnd w:id="59821"/>
      <w:r>
        <w:rPr>
          <w:rFonts w:hAnsi="Arial"/>
          <w:rFonts w:ascii="Arial"/>
          <w:sz w:val="24"/>
          <w:b/>
          <w:i/>
          <w:color w:val="black"/>
        </w:rPr>
        <w:t xml:space="preserve"> </w:t>
      </w:r>
      <w:r>
        <w:rPr>
          <w:rFonts w:hAnsi="Arial"/>
          <w:rFonts w:ascii="Arial"/>
          <w:sz w:val="24"/>
          <w:color w:val="black"/>
        </w:rPr>
        <w:t xml:space="preserve">Son Órganos de Asesoría y Coordinación del Sector Defensa, los siguientes:</w:t>
      </w:r>
    </w:p>
    <w:p>
      <w:pPr>
        <w:jc w:val="both"/>
      </w:pPr>
      <w:rPr>
        <w:sz w:val="24"/>
        <w:color w:val="black"/>
      </w:rPr>
    </w:p>
    <w:p>
      <w:pPr>
        <w:jc w:val="both"/>
      </w:pPr>
      <w:r>
        <w:rPr>
          <w:rFonts w:hAnsi="Arial"/>
          <w:rFonts w:ascii="Arial"/>
          <w:sz w:val="24"/>
          <w:color w:val="black"/>
        </w:rPr>
        <w:t xml:space="preserve">1. Consejo Superior de Defensa y Seguridad Nacional.</w:t>
      </w:r>
    </w:p>
    <w:p>
      <w:pPr>
        <w:jc w:val="both"/>
      </w:pPr>
      <w:rPr>
        <w:sz w:val="24"/>
        <w:color w:val="black"/>
      </w:rPr>
    </w:p>
    <w:p>
      <w:pPr>
        <w:jc w:val="both"/>
      </w:pPr>
      <w:r>
        <w:rPr>
          <w:rFonts w:hAnsi="Arial"/>
          <w:rFonts w:ascii="Arial"/>
          <w:sz w:val="24"/>
          <w:color w:val="black"/>
        </w:rPr>
        <w:t xml:space="preserve">2. Juntas Asesoras de las Fuerzas Militares y de la Policía Nacional.</w:t>
      </w:r>
    </w:p>
    <w:p>
      <w:pPr>
        <w:jc w:val="both"/>
      </w:pPr>
      <w:rPr>
        <w:sz w:val="24"/>
        <w:color w:val="black"/>
      </w:rPr>
    </w:p>
    <w:p>
      <w:pPr>
        <w:jc w:val="both"/>
      </w:pPr>
      <w:r>
        <w:rPr>
          <w:rFonts w:hAnsi="Arial"/>
          <w:rFonts w:ascii="Arial"/>
          <w:sz w:val="24"/>
          <w:color w:val="black"/>
        </w:rPr>
        <w:t xml:space="preserve">3. Consejo Asesor de la Justicia Penal Militar.</w:t>
      </w:r>
    </w:p>
    <w:p>
      <w:pPr>
        <w:jc w:val="both"/>
      </w:pPr>
      <w:rPr>
        <w:sz w:val="24"/>
        <w:color w:val="black"/>
      </w:rPr>
    </w:p>
    <w:p>
      <w:pPr>
        <w:jc w:val="both"/>
      </w:pPr>
      <w:r>
        <w:rPr>
          <w:rFonts w:hAnsi="Arial"/>
          <w:rFonts w:ascii="Arial"/>
          <w:sz w:val="24"/>
          <w:color w:val="black"/>
        </w:rPr>
        <w:t xml:space="preserve">4. Consejo Nacional de Lucha Contra el Secuestro y demás Atentados contra la Libertad Personal, Conase.</w:t>
      </w:r>
    </w:p>
    <w:p>
      <w:pPr>
        <w:jc w:val="both"/>
      </w:pPr>
      <w:rPr>
        <w:sz w:val="24"/>
        <w:color w:val="black"/>
      </w:rPr>
    </w:p>
    <w:p>
      <w:pPr>
        <w:jc w:val="both"/>
      </w:pPr>
      <w:r>
        <w:rPr>
          <w:rFonts w:hAnsi="Arial"/>
          <w:rFonts w:ascii="Arial"/>
          <w:sz w:val="24"/>
          <w:color w:val="black"/>
        </w:rPr>
        <w:t xml:space="preserve">5. Consejo Superior de Salud de las Fuerzas Militares y la Policía Nacional.</w:t>
      </w:r>
    </w:p>
    <w:p>
      <w:pPr>
        <w:jc w:val="both"/>
      </w:pPr>
      <w:rPr>
        <w:sz w:val="24"/>
        <w:color w:val="black"/>
      </w:rPr>
    </w:p>
    <w:p>
      <w:pPr>
        <w:jc w:val="both"/>
      </w:pPr>
      <w:r>
        <w:rPr>
          <w:rFonts w:hAnsi="Arial"/>
          <w:rFonts w:ascii="Arial"/>
          <w:sz w:val="24"/>
          <w:color w:val="black"/>
        </w:rPr>
        <w:t xml:space="preserve">6. Comité Sectorial de Desarrollo Administrativo.</w:t>
      </w:r>
    </w:p>
    <w:p>
      <w:pPr>
        <w:jc w:val="both"/>
      </w:pPr>
      <w:rPr>
        <w:sz w:val="24"/>
        <w:color w:val="black"/>
      </w:rPr>
    </w:p>
    <w:p>
      <w:pPr>
        <w:jc w:val="both"/>
      </w:pPr>
      <w:r>
        <w:rPr>
          <w:rFonts w:hAnsi="Arial"/>
          <w:rFonts w:ascii="Arial"/>
          <w:sz w:val="24"/>
          <w:color w:val="black"/>
        </w:rPr>
        <w:t xml:space="preserve">7. Comité de Coordinación del Sistema de Control Interno.</w:t>
      </w:r>
    </w:p>
    <w:p>
      <w:pPr>
        <w:jc w:val="both"/>
      </w:pPr>
      <w:rPr>
        <w:sz w:val="24"/>
        <w:color w:val="black"/>
      </w:rPr>
    </w:p>
    <w:p>
      <w:pPr>
        <w:jc w:val="both"/>
      </w:pPr>
      <w:r>
        <w:rPr>
          <w:rFonts w:hAnsi="Arial"/>
          <w:rFonts w:ascii="Arial"/>
          <w:sz w:val="24"/>
          <w:color w:val="black"/>
        </w:rPr>
        <w:t xml:space="preserve">8. Comisión de Personal.</w:t>
      </w:r>
    </w:p>
    <w:p>
      <w:pPr>
        <w:jc w:val="both"/>
      </w:pPr>
      <w:rPr>
        <w:sz w:val="24"/>
        <w:color w:val="black"/>
      </w:rPr>
    </w:p>
    <w:p>
      <w:pPr>
        <w:jc w:val="both"/>
      </w:pPr>
      <w:r>
        <w:rPr>
          <w:rFonts w:hAnsi="Arial"/>
          <w:rFonts w:ascii="Arial"/>
          <w:sz w:val="24"/>
          <w:color w:val="black"/>
        </w:rPr>
        <w:t xml:space="preserve">9. Grupo Social y Empresarial del Sector Defensa "GSED".</w:t>
      </w:r>
    </w:p>
    <w:p>
      <w:pPr>
        <w:jc w:val="both"/>
      </w:pPr>
      <w:rPr>
        <w:sz w:val="24"/>
        <w:color w:val="black"/>
      </w:rPr>
    </w:p>
    <w:p>
      <w:pPr>
        <w:jc w:val="both"/>
      </w:pPr>
      <w:r>
        <w:rPr>
          <w:rFonts w:hAnsi="Arial"/>
          <w:rFonts w:ascii="Arial"/>
          <w:sz w:val="24"/>
          <w:color w:val="black"/>
        </w:rPr>
        <w:t xml:space="preserve">10. Junta Asesora del Grupo Social y Empresarial del Sector Defensa "GSED"</w:t>
      </w:r>
    </w:p>
    <w:p>
      <w:pPr>
        <w:jc w:val="both"/>
      </w:pPr>
      <w:rPr>
        <w:sz w:val="24"/>
        <w:color w:val="black"/>
      </w:rPr>
    </w:p>
    <w:p>
      <w:pPr>
        <w:jc w:val="both"/>
      </w:pPr>
      <w:r>
        <w:rPr>
          <w:rFonts w:hAnsi="Arial"/>
          <w:rFonts w:ascii="Arial"/>
          <w:sz w:val="24"/>
          <w:color w:val="black"/>
        </w:rPr>
        <w:t xml:space="preserve">11. Instancia Interinstitucional de Desminado Humanitario.</w:t>
      </w:r>
    </w:p>
    <w:p>
      <w:pPr>
        <w:jc w:val="both"/>
      </w:pPr>
      <w:rPr>
        <w:sz w:val="24"/>
        <w:color w:val="black"/>
      </w:rPr>
    </w:p>
    <w:p>
      <w:pPr>
        <w:jc w:val="both"/>
      </w:pPr>
      <w:r>
        <w:rPr>
          <w:rFonts w:hAnsi="Arial"/>
          <w:rFonts w:ascii="Arial"/>
          <w:sz w:val="24"/>
          <w:color w:val="black"/>
        </w:rPr>
        <w:t xml:space="preserve">12. Comité Directivo del Fondo de Defensa Técnica y Especializada de los miembros de la Fuerza Pública - FONDETEC.</w:t>
      </w:r>
    </w:p>
    <w:p>
      <w:pPr>
        <w:jc w:val="both"/>
      </w:pPr>
      <w:rPr>
        <w:color w:val="black"/>
      </w:rPr>
    </w:p>
    <w:p>
      <w:pPr>
        <w:jc w:val="both"/>
      </w:pPr>
      <w:r>
        <w:rPr>
          <w:rFonts w:hAnsi="Arial"/>
          <w:rFonts w:ascii="Arial"/>
          <w:sz w:val="24"/>
          <w:color w:val="black"/>
        </w:rPr>
        <w:t xml:space="preserve">13. Junta Directiva del Círculo de Suboficiales de las Fuerzas Militares.</w:t>
      </w:r>
    </w:p>
    <w:p>
      <w:pPr>
        <w:jc w:val="both"/>
      </w:pPr>
      <w:rPr>
        <w:sz w:val="24"/>
        <w:color w:val="black"/>
      </w:rPr>
    </w:p>
    <w:p>
      <w:pPr>
        <w:jc w:val="both"/>
      </w:pPr>
      <w:r>
        <w:rPr>
          <w:rFonts w:hAnsi="Arial"/>
          <w:rFonts w:ascii="Arial"/>
          <w:sz w:val="24"/>
          <w:i/>
          <w:color w:val="black"/>
        </w:rPr>
        <w:t xml:space="preserve">(Decreto 49 de 2003 artículo </w:t>
      </w:r>
      <w:r>
        <w:fldChar w:fldCharType="begin"/>
      </w:r>
      <w:r>
        <w:instrText>HYPERLINK "http://www.redjurista.com/document.aspx?ajcode=d0049003&amp;arts=1"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Modificado por los Decretos </w:t>
      </w:r>
      <w:r>
        <w:fldChar w:fldCharType="begin"/>
      </w:r>
      <w:r>
        <w:instrText>HYPERLINK "http://www.redjurista.com/document.aspx?ajcode=d2369014&amp;arts=INICIO"</w:instrText>
      </w:r>
      <w:r>
        <w:fldChar w:fldCharType="separate"/>
      </w:r>
      <w:r>
        <w:rPr>
          <w:rFonts w:hAnsi="Arial"/>
          <w:rFonts w:ascii="Arial"/>
          <w:sz w:val="24"/>
          <w:i/>
          <w:u w:val="single"/>
          <w:color w:val="black"/>
        </w:rPr>
        <w:t>2369</w:t>
      </w:r>
      <w:r>
        <w:fldChar w:fldCharType="end"/>
      </w:r>
      <w:r>
        <w:rPr>
          <w:rFonts w:hAnsi="Arial"/>
          <w:rFonts w:ascii="Arial"/>
          <w:sz w:val="24"/>
          <w:i/>
          <w:u w:val="none"/>
          <w:color w:val="black"/>
        </w:rPr>
        <w:t xml:space="preserve"> /14, </w:t>
      </w:r>
      <w:r>
        <w:fldChar w:fldCharType="begin"/>
      </w:r>
      <w:r>
        <w:instrText>HYPERLINK "http://www.redjurista.com/document.aspx?ajcode=d1737013&amp;arts=INICIO"</w:instrText>
      </w:r>
      <w:r>
        <w:fldChar w:fldCharType="separate"/>
      </w:r>
      <w:r>
        <w:rPr>
          <w:rFonts w:hAnsi="Arial"/>
          <w:rFonts w:ascii="Arial"/>
          <w:sz w:val="24"/>
          <w:i/>
          <w:u w:val="single"/>
          <w:color w:val="black"/>
        </w:rPr>
        <w:t>1737</w:t>
      </w:r>
      <w:r>
        <w:fldChar w:fldCharType="end"/>
      </w:r>
      <w:r>
        <w:rPr>
          <w:rFonts w:hAnsi="Arial"/>
          <w:rFonts w:ascii="Arial"/>
          <w:sz w:val="24"/>
          <w:i/>
          <w:u w:val="none"/>
          <w:color w:val="black"/>
        </w:rPr>
        <w:t xml:space="preserve"> /13, </w:t>
      </w:r>
      <w:r>
        <w:fldChar w:fldCharType="begin"/>
      </w:r>
      <w:r>
        <w:instrText>HYPERLINK "http://www.redjurista.com/document.aspx?ajcode=d2758012&amp;arts=INICIO"</w:instrText>
      </w:r>
      <w:r>
        <w:fldChar w:fldCharType="separate"/>
      </w:r>
      <w:r>
        <w:rPr>
          <w:rFonts w:hAnsi="Arial"/>
          <w:rFonts w:ascii="Arial"/>
          <w:sz w:val="24"/>
          <w:i/>
          <w:u w:val="single"/>
          <w:color w:val="black"/>
        </w:rPr>
        <w:t>2758</w:t>
      </w:r>
      <w:r>
        <w:fldChar w:fldCharType="end"/>
      </w:r>
      <w:r>
        <w:rPr>
          <w:rFonts w:hAnsi="Arial"/>
          <w:rFonts w:ascii="Arial"/>
          <w:sz w:val="24"/>
          <w:i/>
          <w:u w:val="none"/>
          <w:color w:val="black"/>
        </w:rPr>
        <w:t xml:space="preserve"> /12, </w:t>
      </w:r>
      <w:r>
        <w:fldChar w:fldCharType="begin"/>
      </w:r>
      <w:r>
        <w:instrText>HYPERLINK "http://www.redjurista.com/document.aspx?ajcode=d4890011&amp;arts=INICIO"</w:instrText>
      </w:r>
      <w:r>
        <w:fldChar w:fldCharType="separate"/>
      </w:r>
      <w:r>
        <w:rPr>
          <w:rFonts w:hAnsi="Arial"/>
          <w:rFonts w:ascii="Arial"/>
          <w:sz w:val="24"/>
          <w:i/>
          <w:u w:val="single"/>
          <w:color w:val="black"/>
        </w:rPr>
        <w:t>4890</w:t>
      </w:r>
      <w:r>
        <w:fldChar w:fldCharType="end"/>
      </w:r>
      <w:r>
        <w:rPr>
          <w:rFonts w:hAnsi="Arial"/>
          <w:rFonts w:ascii="Arial"/>
          <w:sz w:val="24"/>
          <w:i/>
          <w:u w:val="none"/>
          <w:color w:val="black"/>
        </w:rPr>
        <w:t xml:space="preserve"> /11, </w:t>
      </w:r>
      <w:r>
        <w:fldChar w:fldCharType="begin"/>
      </w:r>
      <w:r>
        <w:instrText>HYPERLINK "http://www.redjurista.com/document.aspx?ajcode=d4320010&amp;arts=INICIO"</w:instrText>
      </w:r>
      <w:r>
        <w:fldChar w:fldCharType="separate"/>
      </w:r>
      <w:r>
        <w:rPr>
          <w:rFonts w:hAnsi="Arial"/>
          <w:rFonts w:ascii="Arial"/>
          <w:sz w:val="24"/>
          <w:i/>
          <w:u w:val="single"/>
          <w:color w:val="black"/>
        </w:rPr>
        <w:t>4320</w:t>
      </w:r>
      <w:r>
        <w:fldChar w:fldCharType="end"/>
      </w:r>
      <w:r>
        <w:rPr>
          <w:rFonts w:hAnsi="Arial"/>
          <w:rFonts w:ascii="Arial"/>
          <w:sz w:val="24"/>
          <w:i/>
          <w:u w:val="none"/>
          <w:color w:val="black"/>
        </w:rPr>
        <w:t xml:space="preserve"> /10 y </w:t>
      </w:r>
      <w:r>
        <w:fldChar w:fldCharType="begin"/>
      </w:r>
      <w:r>
        <w:instrText>HYPERLINK "http://www.redjurista.com/document.aspx?ajcode=d3123007&amp;arts=INICIO"</w:instrText>
      </w:r>
      <w:r>
        <w:fldChar w:fldCharType="separate"/>
      </w:r>
      <w:r>
        <w:rPr>
          <w:rFonts w:hAnsi="Arial"/>
          <w:rFonts w:ascii="Arial"/>
          <w:sz w:val="24"/>
          <w:i/>
          <w:u w:val="single"/>
          <w:color w:val="black"/>
        </w:rPr>
        <w:t>3123</w:t>
      </w:r>
      <w:r>
        <w:fldChar w:fldCharType="end"/>
      </w:r>
      <w:r>
        <w:rPr>
          <w:rFonts w:hAnsi="Arial"/>
          <w:rFonts w:ascii="Arial"/>
          <w:sz w:val="24"/>
          <w:i/>
          <w:u w:val="none"/>
          <w:color w:val="black"/>
        </w:rPr>
        <w:t xml:space="preserve"> /07)</w:t>
      </w:r>
    </w:p>
    <w:p>
      <w:pPr>
        <w:jc w:val="both"/>
        <w:keepNext/>
      </w:pPr>
      <w:rPr>
        <w:sz w:val="24"/>
        <w:b/>
        <w:color w:val="black"/>
      </w:rPr>
    </w:p>
    <w:p>
      <w:pPr>
        <w:jc w:val="center"/>
        <w:keepNext/>
      </w:pPr>
      <w:r>
        <w:rPr>
          <w:rFonts w:hAnsi="Arial"/>
          <w:rFonts w:ascii="Arial"/>
          <w:sz w:val="24"/>
          <w:vanish/>
          <w:color w:val="black"/>
        </w:rPr>
        <w:t>&amp;$</w:t>
      </w:r>
      <w:bookmarkStart w:id="59822" w:name="PARTE 1.2"/>
      <w:r>
        <w:rPr>
          <w:rFonts w:hAnsi="Arial"/>
          <w:rFonts w:ascii="Arial"/>
          <w:sz w:val="24"/>
          <w:color w:val="navy"/>
        </w:rPr>
        <w:t xml:space="preserve">PARTE 2. </w:t>
      </w:r>
    </w:p>
    <w:p>
      <w:pPr>
        <w:jc w:val="center"/>
        <w:keepNext/>
      </w:pPr>
      <w:r>
        <w:rPr>
          <w:rFonts w:hAnsi="Arial"/>
          <w:rFonts w:ascii="Arial"/>
          <w:sz w:val="24"/>
          <w:color w:val="navy"/>
        </w:rPr>
        <w:t xml:space="preserve">SECTOR DESCENTRALIZADO.</w:t>
      </w:r>
    </w:p>
    <w:p>
      <w:pPr>
        <w:jc w:val="center"/>
        <w:keepNext/>
      </w:pPr>
      <w:bookmarkEnd w:id="59822"/>
    </w:p>
    <w:p>
      <w:pPr>
        <w:jc w:val="center"/>
        <w:keepNext/>
      </w:pPr>
      <w:r>
        <w:rPr>
          <w:rFonts w:hAnsi="Arial"/>
          <w:rFonts w:ascii="Arial"/>
          <w:sz w:val="24"/>
          <w:vanish/>
          <w:color w:val="black"/>
        </w:rPr>
        <w:t>&amp;$</w:t>
      </w:r>
      <w:bookmarkStart w:id="59823" w:name="TÍTULO 1.2.1"/>
      <w:r>
        <w:rPr>
          <w:rFonts w:hAnsi="Arial"/>
          <w:rFonts w:ascii="Arial"/>
          <w:sz w:val="24"/>
          <w:color w:val="navy"/>
        </w:rPr>
        <w:t xml:space="preserve">TÍTULO 1. </w:t>
      </w:r>
    </w:p>
    <w:p>
      <w:pPr>
        <w:jc w:val="center"/>
        <w:keepNext/>
      </w:pPr>
      <w:r>
        <w:rPr>
          <w:rFonts w:hAnsi="Arial"/>
          <w:rFonts w:ascii="Arial"/>
          <w:sz w:val="24"/>
          <w:color w:val="navy"/>
        </w:rPr>
        <w:t xml:space="preserve">ENTIDADES ADSCRITAS.</w:t>
      </w:r>
      <w:bookmarkEnd w:id="59823"/>
      <w:r>
        <w:rPr>
          <w:rFonts w:hAnsi="Arial"/>
          <w:rFonts w:ascii="Arial"/>
          <w:sz w:val="24"/>
          <w:color w:val="black"/>
        </w:rPr>
        <w:t xml:space="preserve"> </w:t>
      </w:r>
    </w:p>
    <w:p>
      <w:pPr>
        <w:jc w:val="center"/>
        <w:keepNext/>
      </w:pPr>
      <w:rPr>
        <w:sz w:val="24"/>
        <w:color w:val="black"/>
      </w:rPr>
    </w:p>
    <w:p>
      <w:pPr>
        <w:jc w:val="center"/>
        <w:keepNext/>
      </w:pPr>
      <w:r>
        <w:rPr>
          <w:rFonts w:hAnsi="Arial"/>
          <w:rFonts w:ascii="Arial"/>
          <w:sz w:val="24"/>
          <w:vanish/>
          <w:color w:val="black"/>
        </w:rPr>
        <w:t>&amp;$</w:t>
      </w:r>
      <w:bookmarkStart w:id="59824" w:name="CAPÍTULO 1.2.1.1"/>
      <w:r>
        <w:rPr>
          <w:rFonts w:hAnsi="Arial"/>
          <w:rFonts w:ascii="Arial"/>
          <w:sz w:val="24"/>
          <w:color w:val="navy"/>
        </w:rPr>
        <w:t xml:space="preserve">CAPÍTULO 1. </w:t>
      </w:r>
    </w:p>
    <w:p>
      <w:pPr>
        <w:jc w:val="center"/>
        <w:keepNext/>
      </w:pPr>
      <w:r>
        <w:rPr>
          <w:rFonts w:hAnsi="Arial"/>
          <w:rFonts w:ascii="Arial"/>
          <w:sz w:val="24"/>
          <w:color w:val="navy"/>
        </w:rPr>
        <w:t>SUPERINTENDENCIA.</w:t>
      </w:r>
      <w:bookmarkEnd w:id="59824"/>
      <w:r>
        <w:rPr>
          <w:rFonts w:hAnsi="Arial"/>
          <w:rFonts w:ascii="Arial"/>
          <w:sz w:val="24"/>
          <w:color w:val="black"/>
        </w:rPr>
        <w:t xml:space="preserve"> </w:t>
      </w:r>
    </w:p>
    <w:p>
      <w:pPr>
        <w:jc w:val="both"/>
        <w:keepNext/>
      </w:pPr>
      <w:rPr>
        <w:sz w:val="24"/>
        <w:color w:val="black"/>
      </w:rPr>
    </w:p>
    <w:p>
      <w:pPr>
        <w:jc w:val="both"/>
        <w:keepNext/>
      </w:pPr>
      <w:r>
        <w:rPr>
          <w:rFonts w:hAnsi="Arial"/>
          <w:rFonts w:ascii="Arial"/>
          <w:sz w:val="24"/>
          <w:vanish/>
          <w:color w:val="black"/>
        </w:rPr>
        <w:t>&amp;$</w:t>
      </w:r>
      <w:bookmarkStart w:id="59825" w:name="1.2.1.1.1"/>
      <w:r>
        <w:rPr>
          <w:rFonts w:hAnsi="Arial"/>
          <w:rFonts w:ascii="Arial"/>
          <w:sz w:val="24"/>
          <w:color w:val="navy"/>
        </w:rPr>
        <w:t xml:space="preserve">ARTÍCULO 1.2.1.1.1</w:t>
      </w:r>
      <w:r>
        <w:rPr>
          <w:rFonts w:hAnsi="Arial"/>
          <w:rFonts w:ascii="Arial"/>
          <w:sz w:val="24"/>
          <w:i/>
          <w:color w:val="navy"/>
        </w:rPr>
        <w:t xml:space="preserve">. LA SUPERINTENDENCIA DE VIGILANCIA Y SEGURIDAD PRIVADA</w:t>
      </w:r>
      <w:r>
        <w:rPr>
          <w:rFonts w:hAnsi="Arial"/>
          <w:rFonts w:ascii="Arial"/>
          <w:sz w:val="24"/>
          <w:color w:val="navy"/>
        </w:rPr>
        <w:t>.</w:t>
      </w:r>
      <w:bookmarkEnd w:id="59825"/>
      <w:r>
        <w:rPr>
          <w:rFonts w:hAnsi="Arial"/>
          <w:rFonts w:ascii="Arial"/>
          <w:sz w:val="24"/>
          <w:color w:val="black"/>
        </w:rPr>
        <w:t xml:space="preserve"> Organismo del orden nacional, de carácter técnico, adscrito al Ministerio de Defensa Nacional, con personería jurídica, autonomía administrativa y financiera.</w:t>
      </w:r>
    </w:p>
    <w:p>
      <w:pPr>
        <w:jc w:val="both"/>
        <w:keepNext/>
      </w:pPr>
      <w:rPr>
        <w:sz w:val="24"/>
        <w:color w:val="black"/>
      </w:rPr>
    </w:p>
    <w:p>
      <w:pPr>
        <w:jc w:val="both"/>
        <w:keepNext/>
      </w:pPr>
      <w:r>
        <w:rPr>
          <w:rFonts w:hAnsi="Arial"/>
          <w:rFonts w:ascii="Arial"/>
          <w:sz w:val="24"/>
          <w:color w:val="black"/>
        </w:rPr>
        <w:t xml:space="preserve">Le corresponde ejercer el control, inspección y vigilancia sobre la industria y los servicios de vigilancia y seguridad privada.</w:t>
      </w:r>
    </w:p>
    <w:p>
      <w:pPr>
        <w:jc w:val="both"/>
        <w:keepNext/>
      </w:pPr>
      <w:rPr>
        <w:sz w:val="24"/>
        <w:color w:val="black"/>
      </w:rPr>
    </w:p>
    <w:p>
      <w:pPr>
        <w:jc w:val="both"/>
        <w:keepNext/>
      </w:pPr>
      <w:r>
        <w:rPr>
          <w:rFonts w:hAnsi="Arial"/>
          <w:rFonts w:ascii="Arial"/>
          <w:sz w:val="24"/>
          <w:i/>
          <w:color w:val="black"/>
        </w:rPr>
        <w:t xml:space="preserve">(Decreto 2355 de 2006 artículos </w:t>
      </w:r>
      <w:r>
        <w:fldChar w:fldCharType="begin"/>
      </w:r>
      <w:r>
        <w:instrText>HYPERLINK "http://www.redjurista.com/document.aspx?ajcode=d2355006&amp;arts=1"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y </w:t>
      </w:r>
      <w:r>
        <w:fldChar w:fldCharType="begin"/>
      </w:r>
      <w:r>
        <w:instrText>HYPERLINK "http://www.redjurista.com/document.aspx?ajcode=d2355006&amp;arts=2"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El parágrafo del artículo </w:t>
      </w:r>
      <w:r>
        <w:fldChar w:fldCharType="begin"/>
      </w:r>
      <w:r>
        <w:instrText>HYPERLINK "http://www.redjurista.com/document.aspx?ajcode=l1151007&amp;arts=76"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 xml:space="preserve"> de la Ley 1151 de 2007, dotó de personería jurídica a la Superintendencia)</w:t>
      </w:r>
    </w:p>
    <w:p>
      <w:pPr>
        <w:jc w:val="both"/>
      </w:pPr>
      <w:rPr>
        <w:color w:val="black"/>
      </w:rPr>
    </w:p>
    <w:p>
      <w:pPr>
        <w:jc w:val="center"/>
      </w:pPr>
      <w:bookmarkStart w:id="59826" w:name="CAPÍTULO 1.2.1.2"/>
      <w:r>
        <w:rPr>
          <w:rFonts w:hAnsi="Arial"/>
          <w:rFonts w:ascii="Arial"/>
          <w:sz w:val="24"/>
          <w:color w:val="navy"/>
        </w:rPr>
        <w:t xml:space="preserve">CAPÍTULO 2. </w:t>
      </w:r>
    </w:p>
    <w:p>
      <w:pPr>
        <w:jc w:val="center"/>
      </w:pPr>
      <w:r>
        <w:rPr>
          <w:rFonts w:hAnsi="Arial"/>
          <w:rFonts w:ascii="Arial"/>
          <w:sz w:val="24"/>
          <w:color w:val="navy"/>
        </w:rPr>
        <w:t xml:space="preserve">ESTABLECIMIENTOS PÚBLICOS.</w:t>
      </w:r>
      <w:bookmarkEnd w:id="59826"/>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27" w:name="1.2.1.2.1"/>
      <w:r>
        <w:rPr>
          <w:rFonts w:hAnsi="Arial"/>
          <w:rFonts w:ascii="Arial"/>
          <w:sz w:val="24"/>
          <w:color w:val="navy"/>
        </w:rPr>
        <w:t xml:space="preserve">ARTÍCULO 1.2.1.2.1</w:t>
      </w:r>
      <w:r>
        <w:rPr>
          <w:rFonts w:hAnsi="Arial"/>
          <w:rFonts w:ascii="Arial"/>
          <w:sz w:val="24"/>
          <w:i/>
          <w:color w:val="navy"/>
        </w:rPr>
        <w:t xml:space="preserve">. ESTABLECIMIENTOS PÚBLICOS.</w:t>
      </w:r>
      <w:bookmarkEnd w:id="59827"/>
      <w:r>
        <w:rPr>
          <w:rFonts w:hAnsi="Arial"/>
          <w:rFonts w:ascii="Arial"/>
          <w:sz w:val="24"/>
          <w:b/>
          <w:i/>
          <w:color w:val="black"/>
        </w:rPr>
        <w:t xml:space="preserve"> </w:t>
      </w:r>
      <w:r>
        <w:rPr>
          <w:rFonts w:hAnsi="Arial"/>
          <w:rFonts w:ascii="Arial"/>
          <w:sz w:val="24"/>
          <w:color w:val="black"/>
        </w:rPr>
        <w:t xml:space="preserve">Son Establecimientos Públicos del Sector Defensa, los siguientes:</w:t>
      </w:r>
    </w:p>
    <w:p>
      <w:pPr>
        <w:jc w:val="both"/>
      </w:pPr>
      <w:rPr>
        <w:sz w:val="24"/>
        <w:color w:val="black"/>
      </w:rPr>
    </w:p>
    <w:p>
      <w:pPr>
        <w:jc w:val="both"/>
      </w:pPr>
      <w:r>
        <w:rPr>
          <w:rFonts w:hAnsi="Arial"/>
          <w:rFonts w:ascii="Arial"/>
          <w:sz w:val="24"/>
          <w:b/>
          <w:color w:val="black"/>
        </w:rPr>
        <w:t xml:space="preserve">1. Caja de Retiro de las Fuerzas Militares. </w:t>
      </w:r>
      <w:r>
        <w:rPr>
          <w:rFonts w:hAnsi="Arial"/>
          <w:rFonts w:ascii="Arial"/>
          <w:sz w:val="24"/>
          <w:color w:val="black"/>
        </w:rPr>
        <w:t xml:space="preserve">La Caja de Retiro de las Fuerzas Militares tiene como objeto fundamental reconocer y pagar las Asignaciones de Retiro al personal de Oficiales, Suboficiales y Soldados Profesionales de las Fuerzas Militares que consoliden el derecho a tal prestación, así como la sustitución pensional a sus beneficiarios, contribuir al desarrollo de la política y los planes generales que en materia de seguridad social adopte el Gobierno Nacional respecto de dicho personal y administrar los bienes muebles e inmuebles de su patrimonio.</w:t>
      </w:r>
    </w:p>
    <w:p>
      <w:pPr>
        <w:jc w:val="both"/>
      </w:pPr>
      <w:rPr>
        <w:sz w:val="24"/>
        <w:color w:val="black"/>
      </w:rPr>
    </w:p>
    <w:p>
      <w:pPr>
        <w:jc w:val="both"/>
      </w:pPr>
      <w:r>
        <w:rPr>
          <w:rFonts w:hAnsi="Arial"/>
          <w:rFonts w:ascii="Arial"/>
          <w:sz w:val="24"/>
          <w:i/>
          <w:color w:val="black"/>
        </w:rPr>
        <w:t xml:space="preserve">(Acuerdo 008 de 2002, artículo </w:t>
      </w:r>
      <w:r>
        <w:fldChar w:fldCharType="begin"/>
      </w:r>
      <w:r>
        <w:instrText>HYPERLINK "http://www.redjurista.com/document.aspx?ajcode=a_crfm_0008_2002&amp;arts=5"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modificado por el artículo </w:t>
      </w:r>
      <w:r>
        <w:fldChar w:fldCharType="begin"/>
      </w:r>
      <w:r>
        <w:instrText>HYPERLINK "http://www.redjurista.com/document.aspx?ajcode=a_crfm_0010_2011&amp;arts=1"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Acuerdo 10 de 2011)</w:t>
      </w:r>
    </w:p>
    <w:p>
      <w:pPr>
        <w:jc w:val="both"/>
      </w:pPr>
      <w:rPr>
        <w:sz w:val="24"/>
        <w:color w:val="black"/>
      </w:rPr>
    </w:p>
    <w:p>
      <w:pPr>
        <w:jc w:val="both"/>
      </w:pPr>
      <w:r>
        <w:rPr>
          <w:rFonts w:hAnsi="Arial"/>
          <w:rFonts w:ascii="Arial"/>
          <w:sz w:val="24"/>
          <w:b/>
          <w:color w:val="black"/>
        </w:rPr>
        <w:t xml:space="preserve">2. Caja de Sueldos de Retiro de la Policía Nacional. </w:t>
      </w:r>
      <w:r>
        <w:rPr>
          <w:rFonts w:hAnsi="Arial"/>
          <w:rFonts w:ascii="Arial"/>
          <w:sz w:val="24"/>
          <w:color w:val="black"/>
        </w:rPr>
        <w:t xml:space="preserve">La Caja de Sueldos de Retiro de la Policía Nacional tiene como objetivos fundamentales reconocer y pagar las asignaciones de retiro al personal de oficiales, suboficiales, personal del nivel ejecutivo, agentes y demás estamentos de la Policía Nacional que adquieran el derecho a tal prestación, así como la sustitución pensional a sus beneficiarios y desarrollar la política y los planes generales que en materia de servicios sociales de bienestar adopte el Gobierno Nacional respecto de dicho personal.</w:t>
      </w:r>
    </w:p>
    <w:p>
      <w:pPr>
        <w:jc w:val="both"/>
      </w:pPr>
      <w:rPr>
        <w:sz w:val="24"/>
        <w:color w:val="black"/>
      </w:rPr>
    </w:p>
    <w:p>
      <w:pPr>
        <w:jc w:val="both"/>
      </w:pPr>
      <w:r>
        <w:rPr>
          <w:rFonts w:hAnsi="Arial"/>
          <w:rFonts w:ascii="Arial"/>
          <w:sz w:val="24"/>
          <w:i/>
          <w:color w:val="black"/>
        </w:rPr>
        <w:t xml:space="preserve">(Acuerdo 008 de 2001, artículo </w:t>
      </w:r>
      <w:r>
        <w:fldChar w:fldCharType="begin"/>
      </w:r>
      <w:r>
        <w:instrText>HYPERLINK "http://www.redjurista.com/document.aspx?ajcode=a_casur_0008_2001&amp;arts=5"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color w:val="black"/>
        </w:rPr>
        <w:t xml:space="preserve">3. Hospital Militar Central. </w:t>
      </w:r>
      <w:r>
        <w:rPr>
          <w:rFonts w:hAnsi="Arial"/>
          <w:rFonts w:ascii="Arial"/>
          <w:sz w:val="24"/>
          <w:color w:val="black"/>
        </w:rPr>
        <w:t xml:space="preserve">Como parte integral del Subsistema de Salud de las Fuerzas Militares, el Hospital Militar Central tendrá como objeto la prestación de los servicios de salud a los afiliados y beneficiarios del Sistema de Salud de las Fuerzas Militares y de la Policía Nacional y se constituye en uno de los establecimientos de más alto nivel para la atención de los servicios de salud del sistema logístico de las Fuerzas Militares y la Policía Nacional.</w:t>
      </w:r>
    </w:p>
    <w:p>
      <w:pPr>
        <w:jc w:val="both"/>
      </w:pPr>
      <w:rPr>
        <w:sz w:val="24"/>
        <w:color w:val="black"/>
      </w:rPr>
    </w:p>
    <w:p>
      <w:pPr>
        <w:jc w:val="both"/>
      </w:pPr>
      <w:r>
        <w:rPr>
          <w:rFonts w:hAnsi="Arial"/>
          <w:rFonts w:ascii="Arial"/>
          <w:sz w:val="24"/>
          <w:color w:val="black"/>
        </w:rPr>
        <w:t xml:space="preserve">Para mantener la eficiencia y calidad de los servicios, desarrollará actividades de docencia e investigación científica, acordes con las patologías propias de los afiliados al Sistema de Salud de las Fuerzas Militares y Policía Nacional y sus beneficiarios, según las normas vigentes. El Hospital Militar Central podrá ofrecer servicios a terceros.</w:t>
      </w:r>
    </w:p>
    <w:p>
      <w:pPr>
        <w:jc w:val="both"/>
      </w:pPr>
      <w:rPr>
        <w:sz w:val="24"/>
        <w:color w:val="black"/>
      </w:rPr>
    </w:p>
    <w:p>
      <w:pPr>
        <w:jc w:val="both"/>
      </w:pPr>
      <w:r>
        <w:rPr>
          <w:rFonts w:hAnsi="Arial"/>
          <w:rFonts w:ascii="Arial"/>
          <w:sz w:val="24"/>
          <w:i/>
          <w:color w:val="black"/>
        </w:rPr>
        <w:t xml:space="preserve">(Acuerdo 002 de 2002, artículo </w:t>
      </w:r>
      <w:r>
        <w:fldChar w:fldCharType="begin"/>
      </w:r>
      <w:r>
        <w:instrText>HYPERLINK "http://www.redjurista.com/document.aspx?ajcode=a_hmc_0002_2002&amp;arts=5"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color w:val="black"/>
        </w:rPr>
        <w:t xml:space="preserve">4. Agencia Logística de las Fuerzas Militares. </w:t>
      </w:r>
      <w:r>
        <w:rPr>
          <w:rFonts w:hAnsi="Arial"/>
          <w:rFonts w:ascii="Arial"/>
          <w:sz w:val="24"/>
          <w:color w:val="black"/>
        </w:rPr>
        <w:t xml:space="preserve">Tiene por objeto ejecutar las actividades de apoyo logístico y abastecimiento de bienes y servicios requeridos para atender las necesidades de las Fuerzas Militares.</w:t>
      </w:r>
    </w:p>
    <w:p>
      <w:pPr>
        <w:jc w:val="both"/>
      </w:pPr>
      <w:rPr>
        <w:sz w:val="24"/>
        <w:color w:val="black"/>
      </w:rPr>
    </w:p>
    <w:p>
      <w:pPr>
        <w:jc w:val="both"/>
      </w:pPr>
      <w:r>
        <w:rPr>
          <w:rFonts w:hAnsi="Arial"/>
          <w:rFonts w:ascii="Arial"/>
          <w:sz w:val="24"/>
          <w:i/>
          <w:color w:val="black"/>
        </w:rPr>
        <w:t xml:space="preserve">(Decreto 4746 de 2005, artículo </w:t>
      </w:r>
      <w:r>
        <w:fldChar w:fldCharType="begin"/>
      </w:r>
      <w:r>
        <w:instrText>HYPERLINK "http://www.redjurista.com/document.aspx?ajcode=d4746005&amp;arts=6"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color w:val="black"/>
        </w:rPr>
        <w:t xml:space="preserve">5. Fondo Rotatorio de la Policía Nacional. </w:t>
      </w:r>
      <w:r>
        <w:rPr>
          <w:rFonts w:hAnsi="Arial"/>
          <w:rFonts w:ascii="Arial"/>
          <w:sz w:val="24"/>
          <w:color w:val="black"/>
        </w:rPr>
        <w:t xml:space="preserve">Tiene por objeto fundamental desarrollar políticas y planes relacionados con la adquisición, producción, comercialización representación y distribución de bienes y servicios, para el normal funcionamiento de la Policía Nacional y el apoyo de sus integrantes, Sector Defensa, Seguridad Nacional y demás Entidades Estatales.</w:t>
      </w:r>
    </w:p>
    <w:p>
      <w:pPr>
        <w:jc w:val="both"/>
      </w:pPr>
      <w:rPr>
        <w:sz w:val="24"/>
        <w:color w:val="black"/>
      </w:rPr>
    </w:p>
    <w:p>
      <w:pPr>
        <w:jc w:val="both"/>
      </w:pPr>
      <w:r>
        <w:rPr>
          <w:rFonts w:hAnsi="Arial"/>
          <w:rFonts w:ascii="Arial"/>
          <w:sz w:val="24"/>
          <w:i/>
          <w:color w:val="black"/>
        </w:rPr>
        <w:t xml:space="preserve">(Acuerdo 012 de 2013, artículo </w:t>
      </w:r>
      <w:r>
        <w:fldChar w:fldCharType="begin"/>
      </w:r>
      <w:r>
        <w:instrText>HYPERLINK "http://www.redjurista.com/document.aspx?ajcode=a_frp_0012_2013&amp;arts=5"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color w:val="black"/>
        </w:rPr>
        <w:t xml:space="preserve">6. Instituto de Casas Fiscales del Ejército. </w:t>
      </w:r>
      <w:r>
        <w:rPr>
          <w:rFonts w:hAnsi="Arial"/>
          <w:rFonts w:ascii="Arial"/>
          <w:sz w:val="24"/>
          <w:color w:val="black"/>
        </w:rPr>
        <w:t xml:space="preserve">Tiene por objeto fundamental, desarrollar la política y los planes generales de vivienda por el sistema de arrendamiento que adopte el Gobierno Nacional, respecto del personal de Oficiales y Suboficiales en servicio activo y personal civil del Ejército.</w:t>
      </w:r>
    </w:p>
    <w:p>
      <w:pPr>
        <w:jc w:val="both"/>
      </w:pPr>
      <w:rPr>
        <w:sz w:val="24"/>
        <w:color w:val="black"/>
      </w:rPr>
    </w:p>
    <w:p>
      <w:pPr>
        <w:jc w:val="both"/>
      </w:pPr>
      <w:r>
        <w:rPr>
          <w:rFonts w:hAnsi="Arial"/>
          <w:rFonts w:ascii="Arial"/>
          <w:sz w:val="24"/>
          <w:i/>
          <w:color w:val="black"/>
        </w:rPr>
        <w:t xml:space="preserve">(Acuerdo 012 de 1997, artículo </w:t>
      </w:r>
      <w:r>
        <w:fldChar w:fldCharType="begin"/>
      </w:r>
      <w:r>
        <w:instrText>HYPERLINK "http://www.redjurista.com/document.aspx?ajcode=a_icfe_0012_1997&amp;arts=3"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aprobado por el Decreto </w:t>
      </w:r>
      <w:r>
        <w:fldChar w:fldCharType="begin"/>
      </w:r>
      <w:r>
        <w:instrText>HYPERLINK "http://www.redjurista.com/document.aspx?ajcode=d0472_98&amp;arts=INICIO"</w:instrText>
      </w:r>
      <w:r>
        <w:fldChar w:fldCharType="separate"/>
      </w:r>
      <w:r>
        <w:rPr>
          <w:rFonts w:hAnsi="Arial"/>
          <w:rFonts w:ascii="Arial"/>
          <w:sz w:val="24"/>
          <w:i/>
          <w:u w:val="single"/>
          <w:color w:val="black"/>
        </w:rPr>
        <w:t>472</w:t>
      </w:r>
      <w:r>
        <w:fldChar w:fldCharType="end"/>
      </w:r>
      <w:r>
        <w:rPr>
          <w:rFonts w:hAnsi="Arial"/>
          <w:rFonts w:ascii="Arial"/>
          <w:sz w:val="24"/>
          <w:i/>
          <w:u w:val="none"/>
          <w:color w:val="black"/>
        </w:rPr>
        <w:t xml:space="preserve"> de 1998)</w:t>
      </w:r>
    </w:p>
    <w:p>
      <w:pPr>
        <w:jc w:val="both"/>
      </w:pPr>
      <w:rPr>
        <w:sz w:val="24"/>
        <w:color w:val="black"/>
      </w:rPr>
    </w:p>
    <w:p>
      <w:pPr>
        <w:jc w:val="both"/>
      </w:pPr>
      <w:r>
        <w:rPr>
          <w:rFonts w:hAnsi="Arial"/>
          <w:rFonts w:ascii="Arial"/>
          <w:sz w:val="24"/>
          <w:b/>
          <w:color w:val="black"/>
        </w:rPr>
        <w:t xml:space="preserve">7. Club Militar. </w:t>
      </w:r>
      <w:r>
        <w:rPr>
          <w:rFonts w:hAnsi="Arial"/>
          <w:rFonts w:ascii="Arial"/>
          <w:sz w:val="24"/>
          <w:color w:val="black"/>
        </w:rPr>
        <w:t xml:space="preserve">Es la entidad encargada de contribuir al desarrollo de la política y los planes generales que en materia de bienestar social y cultural adopte el Gobierno Nacional en relación con el personal de oficiales en actividad o en retiro de las Fuerzas Militares y de la Policía Nacional, de acuerdo con el Estatuto de Socios.</w:t>
      </w:r>
    </w:p>
    <w:p>
      <w:pPr>
        <w:jc w:val="both"/>
      </w:pPr>
      <w:rPr>
        <w:sz w:val="24"/>
        <w:color w:val="black"/>
      </w:rPr>
    </w:p>
    <w:p>
      <w:pPr>
        <w:jc w:val="both"/>
      </w:pPr>
      <w:r>
        <w:rPr>
          <w:rFonts w:hAnsi="Arial"/>
          <w:rFonts w:ascii="Arial"/>
          <w:sz w:val="24"/>
          <w:color w:val="black"/>
        </w:rPr>
        <w:t xml:space="preserve">No obstante lo dispuesto, el Club Militar podrá admitir o prestar sus servicios en forma permanente o transitoria a personas naturales o jurídicas de derecho privado y entidades oficiales, de conformidad con el Estatuto de Socios.</w:t>
      </w:r>
    </w:p>
    <w:p>
      <w:pPr>
        <w:jc w:val="both"/>
      </w:pPr>
      <w:rPr>
        <w:sz w:val="24"/>
        <w:color w:val="black"/>
      </w:rPr>
    </w:p>
    <w:p>
      <w:pPr>
        <w:jc w:val="both"/>
      </w:pPr>
      <w:r>
        <w:rPr>
          <w:rFonts w:hAnsi="Arial"/>
          <w:rFonts w:ascii="Arial"/>
          <w:sz w:val="24"/>
          <w:i/>
          <w:color w:val="black"/>
        </w:rPr>
        <w:t xml:space="preserve">(Acuerdo 004 de 2001, artículo </w:t>
      </w:r>
      <w:r>
        <w:fldChar w:fldCharType="begin"/>
      </w:r>
      <w:r>
        <w:instrText>HYPERLINK "http://www.redjurista.com/document.aspx?ajcode=a_cmilitar_0004_2001&amp;arts=5"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color w:val="black"/>
        </w:rPr>
        <w:t xml:space="preserve">8. Defensa Civil Colombiana. </w:t>
      </w:r>
      <w:r>
        <w:rPr>
          <w:rFonts w:hAnsi="Arial"/>
          <w:rFonts w:ascii="Arial"/>
          <w:sz w:val="24"/>
          <w:color w:val="black"/>
        </w:rPr>
        <w:t xml:space="preserve">Corresponde a la Defensa Civil Colombiana, la prevención inminente y atención inmediata de los desastres y calamidades y como integrante del Sistema Nacional para la Prevención y Atención de Desastres, le compete ejecutar los planes, programas, proyectos y acciones específicas que se le asignen en el Plan Nacional para la Prevención y Atención de Desastres, así como participar en las actividades de Atención de Desastres o Calamidades declaradas, en los términos que se definan en las declaratorias correspondientes y especialmente, en la fase primaria de atención y control.</w:t>
      </w:r>
    </w:p>
    <w:p>
      <w:pPr>
        <w:jc w:val="both"/>
      </w:pPr>
      <w:rPr>
        <w:sz w:val="24"/>
        <w:color w:val="black"/>
      </w:rPr>
    </w:p>
    <w:p>
      <w:pPr>
        <w:jc w:val="both"/>
      </w:pPr>
      <w:r>
        <w:rPr>
          <w:rFonts w:hAnsi="Arial"/>
          <w:rFonts w:ascii="Arial"/>
          <w:sz w:val="24"/>
          <w:i/>
          <w:color w:val="black"/>
        </w:rPr>
        <w:t xml:space="preserve">(Acuerdo 003 de 2005, artículo </w:t>
      </w:r>
      <w:r>
        <w:fldChar w:fldCharType="begin"/>
      </w:r>
      <w:r>
        <w:instrText>HYPERLINK "http://www.redjurista.com/document.aspx?ajcode=a_dcc_0003_2005&amp;arts=5"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b/>
        <w:color w:val="black"/>
      </w:rPr>
    </w:p>
    <w:p>
      <w:pPr>
        <w:jc w:val="center"/>
      </w:pPr>
      <w:r>
        <w:rPr>
          <w:rFonts w:hAnsi="Arial"/>
          <w:rFonts w:ascii="Arial"/>
          <w:sz w:val="24"/>
          <w:vanish/>
          <w:color w:val="black"/>
        </w:rPr>
        <w:t>&amp;$</w:t>
      </w:r>
      <w:bookmarkStart w:id="59828" w:name="TÍTULO 1.2.2"/>
      <w:r>
        <w:rPr>
          <w:rFonts w:hAnsi="Arial"/>
          <w:rFonts w:ascii="Arial"/>
          <w:sz w:val="24"/>
          <w:color w:val="navy"/>
        </w:rPr>
        <w:t xml:space="preserve">TÍTULO 2. </w:t>
      </w:r>
    </w:p>
    <w:p>
      <w:pPr>
        <w:jc w:val="center"/>
      </w:pPr>
      <w:r>
        <w:rPr>
          <w:rFonts w:hAnsi="Arial"/>
          <w:rFonts w:ascii="Arial"/>
          <w:sz w:val="24"/>
          <w:color w:val="navy"/>
        </w:rPr>
        <w:t xml:space="preserve">ENTIDADES VINCULADAS.</w:t>
      </w:r>
      <w:bookmarkEnd w:id="59828"/>
      <w:r>
        <w:rPr>
          <w:rFonts w:hAnsi="Arial"/>
          <w:rFonts w:ascii="Arial"/>
          <w:sz w:val="24"/>
          <w:b/>
          <w:color w:val="black"/>
        </w:rPr>
        <w:t xml:space="preserve"> </w:t>
      </w:r>
    </w:p>
    <w:p>
      <w:pPr>
        <w:jc w:val="center"/>
      </w:pPr>
      <w:rPr>
        <w:sz w:val="24"/>
        <w:b/>
        <w:color w:val="black"/>
      </w:rPr>
    </w:p>
    <w:p>
      <w:pPr>
        <w:jc w:val="center"/>
      </w:pPr>
      <w:r>
        <w:rPr>
          <w:rFonts w:hAnsi="Arial"/>
          <w:rFonts w:ascii="Arial"/>
          <w:sz w:val="24"/>
          <w:vanish/>
          <w:color w:val="black"/>
        </w:rPr>
        <w:t>&amp;$</w:t>
      </w:r>
      <w:bookmarkStart w:id="59829" w:name="CAPÍTULO 1.2.2.1"/>
      <w:r>
        <w:rPr>
          <w:rFonts w:hAnsi="Arial"/>
          <w:rFonts w:ascii="Arial"/>
          <w:sz w:val="24"/>
          <w:color w:val="navy"/>
        </w:rPr>
        <w:t xml:space="preserve">CAPÍTULO 1. </w:t>
      </w:r>
    </w:p>
    <w:p>
      <w:pPr>
        <w:jc w:val="center"/>
      </w:pPr>
      <w:r>
        <w:rPr>
          <w:rFonts w:hAnsi="Arial"/>
          <w:rFonts w:ascii="Arial"/>
          <w:sz w:val="24"/>
          <w:color w:val="navy"/>
        </w:rPr>
        <w:t xml:space="preserve">EMPRESAS INDUSTRIALES Y COMERCIALES DEL ESTADO.</w:t>
      </w:r>
      <w:bookmarkEnd w:id="59829"/>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30" w:name="1.2.2.1.1"/>
      <w:r>
        <w:rPr>
          <w:rFonts w:hAnsi="Arial"/>
          <w:rFonts w:ascii="Arial"/>
          <w:sz w:val="24"/>
          <w:color w:val="navy"/>
        </w:rPr>
        <w:t xml:space="preserve">ARTÍCULO 1.2.2.1.1. </w:t>
      </w:r>
      <w:r>
        <w:rPr>
          <w:rFonts w:hAnsi="Arial"/>
          <w:rFonts w:ascii="Arial"/>
          <w:sz w:val="24"/>
          <w:i/>
          <w:color w:val="navy"/>
        </w:rPr>
        <w:t xml:space="preserve">EMPRESAS INDUSTRIALES Y COMERCIALES DEL ESTADO.</w:t>
      </w:r>
      <w:bookmarkEnd w:id="59830"/>
      <w:r>
        <w:rPr>
          <w:rFonts w:hAnsi="Arial"/>
          <w:rFonts w:ascii="Arial"/>
          <w:sz w:val="24"/>
          <w:b/>
          <w:i/>
          <w:color w:val="black"/>
        </w:rPr>
        <w:t xml:space="preserve"> </w:t>
      </w:r>
      <w:r>
        <w:rPr>
          <w:rFonts w:hAnsi="Arial"/>
          <w:rFonts w:ascii="Arial"/>
          <w:sz w:val="24"/>
          <w:color w:val="black"/>
        </w:rPr>
        <w:t xml:space="preserve">Son empresas Industriales y Comerciales del Estado - Sector Defensa, las siguientes:</w:t>
      </w:r>
    </w:p>
    <w:p>
      <w:pPr>
        <w:jc w:val="both"/>
      </w:pPr>
      <w:rPr>
        <w:sz w:val="24"/>
        <w:color w:val="black"/>
      </w:rPr>
    </w:p>
    <w:p>
      <w:pPr>
        <w:jc w:val="both"/>
      </w:pPr>
      <w:r>
        <w:rPr>
          <w:rFonts w:hAnsi="Arial"/>
          <w:rFonts w:ascii="Arial"/>
          <w:sz w:val="24"/>
          <w:b/>
          <w:color w:val="black"/>
        </w:rPr>
        <w:t xml:space="preserve">1. Industria Militar. </w:t>
      </w:r>
      <w:r>
        <w:rPr>
          <w:rFonts w:hAnsi="Arial"/>
          <w:rFonts w:ascii="Arial"/>
          <w:sz w:val="24"/>
          <w:color w:val="black"/>
        </w:rPr>
        <w:t xml:space="preserve">&lt;Objeto modificado tácitamente por el artículo </w:t>
      </w:r>
      <w:r>
        <w:fldChar w:fldCharType="begin"/>
      </w:r>
      <w:r>
        <w:instrText>HYPERLINK "http://www.redjurista.com/document.aspx?ajcode=a_indumil_0586_2022&amp;arts=4"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Acuerdo 586 de 2022. El nuevo texto es el siguiente:&gt; El objeto de la Industria Militar es desarrollar la política general del Gobierno nacional en materia de importación, fabricación y comercio de armas, municiones, explosivos y elementos complementarios, así como la explotación de los ramos industriales, acordes con su especialidad. </w:t>
      </w:r>
    </w:p>
    <w:p>
      <w:pPr>
        <w:jc w:val="both"/>
      </w:pPr>
      <w:rPr>
        <w:sz w:val="24"/>
        <w:color w:val="black"/>
      </w:rPr>
    </w:p>
    <w:p>
      <w:pPr>
        <w:jc w:val="both"/>
      </w:pPr>
      <w:r>
        <w:rPr>
          <w:rFonts w:hAnsi="Arial"/>
          <w:rFonts w:ascii="Arial"/>
          <w:sz w:val="24"/>
          <w:b/>
          <w:color w:val="black"/>
        </w:rPr>
        <w:t xml:space="preserve">2. Caja Promotora de Vivienda Militar y de Policía. </w:t>
      </w:r>
      <w:r>
        <w:rPr>
          <w:rFonts w:hAnsi="Arial"/>
          <w:rFonts w:ascii="Arial"/>
          <w:sz w:val="24"/>
          <w:color w:val="black"/>
        </w:rPr>
        <w:t xml:space="preserve">La Caja Promotora de Vivienda Militar y de Policía, tendrá como objeto facilitar a sus afiliados la adquisición de vivienda propia, mediante la realización o promoción de todas las operaciones del mercado inmobiliario, incluidas las de intermediación, la captación y administración del ahorro de sus afiliados y el desarrollo de las actividades administrativas, técnicas, financieras y crediticias que sean indispensables para el mismo efecto.</w:t>
      </w:r>
    </w:p>
    <w:p>
      <w:pPr>
        <w:jc w:val="both"/>
      </w:pPr>
      <w:rPr>
        <w:sz w:val="24"/>
        <w:color w:val="black"/>
      </w:rPr>
    </w:p>
    <w:p>
      <w:pPr>
        <w:jc w:val="both"/>
      </w:pPr>
      <w:r>
        <w:rPr>
          <w:rFonts w:hAnsi="Arial"/>
          <w:rFonts w:ascii="Arial"/>
          <w:sz w:val="24"/>
          <w:color w:val="black"/>
        </w:rPr>
        <w:t xml:space="preserve">La Caja Promotora de Vivienda Militar y de Policía, podrá administrar las cesantías del personal de la Fuerza Pública, que haya obtenido vivienda de conformidad con lo dispuesto por el Gobierno Nacional. Para quienes gozan del efecto retroactivo en esta prestación, esta se sujetará al plan de pagos establecido por el Ministerio de Hacienda y Crédito Público.</w:t>
      </w:r>
    </w:p>
    <w:p>
      <w:pPr>
        <w:jc w:val="both"/>
      </w:pPr>
      <w:rPr>
        <w:sz w:val="24"/>
        <w:color w:val="black"/>
      </w:rPr>
    </w:p>
    <w:p>
      <w:pPr>
        <w:jc w:val="both"/>
      </w:pPr>
      <w:r>
        <w:rPr>
          <w:rFonts w:hAnsi="Arial"/>
          <w:rFonts w:ascii="Arial"/>
          <w:sz w:val="24"/>
          <w:i/>
          <w:color w:val="black"/>
        </w:rPr>
        <w:t xml:space="preserve">(Acuerdo 008 de 2008, artículo </w:t>
      </w:r>
      <w:r>
        <w:fldChar w:fldCharType="begin"/>
      </w:r>
      <w:r>
        <w:instrText>HYPERLINK "http://www.redjurista.com/document.aspx?ajcode=a_cpvmp_0008_2008&amp;arts=5"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en concordancia con el artículo </w:t>
      </w:r>
      <w:r>
        <w:fldChar w:fldCharType="begin"/>
      </w:r>
      <w:r>
        <w:instrText>HYPERLINK "http://www.redjurista.com/document.aspx?ajcode=l0973005&amp;arts=1"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 la Ley 973 de 2005, por la cual se modifica el Decreto-ley </w:t>
      </w:r>
      <w:r>
        <w:fldChar w:fldCharType="begin"/>
      </w:r>
      <w:r>
        <w:instrText>HYPERLINK "http://www.redjurista.com/document.aspx?ajcode=d0353_94&amp;arts=INICIO"</w:instrText>
      </w:r>
      <w:r>
        <w:fldChar w:fldCharType="separate"/>
      </w:r>
      <w:r>
        <w:rPr>
          <w:rFonts w:hAnsi="Arial"/>
          <w:rFonts w:ascii="Arial"/>
          <w:sz w:val="24"/>
          <w:i/>
          <w:u w:val="single"/>
          <w:color w:val="black"/>
        </w:rPr>
        <w:t>353</w:t>
      </w:r>
      <w:r>
        <w:fldChar w:fldCharType="end"/>
      </w:r>
      <w:r>
        <w:rPr>
          <w:rFonts w:hAnsi="Arial"/>
          <w:rFonts w:ascii="Arial"/>
          <w:sz w:val="24"/>
          <w:i/>
          <w:u w:val="none"/>
          <w:color w:val="black"/>
        </w:rPr>
        <w:t xml:space="preserve"> de 1994)</w:t>
      </w:r>
    </w:p>
    <w:p>
      <w:pPr>
        <w:jc w:val="both"/>
      </w:pPr>
      <w:rPr>
        <w:sz w:val="24"/>
        <w:b/>
        <w:color w:val="black"/>
      </w:rPr>
    </w:p>
    <w:p>
      <w:pPr>
        <w:jc w:val="center"/>
      </w:pPr>
      <w:r>
        <w:rPr>
          <w:rFonts w:hAnsi="Arial"/>
          <w:rFonts w:ascii="Arial"/>
          <w:sz w:val="24"/>
          <w:vanish/>
          <w:color w:val="black"/>
        </w:rPr>
        <w:t>&amp;$</w:t>
      </w:r>
      <w:bookmarkStart w:id="59831" w:name="CAPÍTULO 1.2.2.2"/>
      <w:r>
        <w:rPr>
          <w:rFonts w:hAnsi="Arial"/>
          <w:rFonts w:ascii="Arial"/>
          <w:sz w:val="24"/>
          <w:color w:val="navy"/>
        </w:rPr>
        <w:t xml:space="preserve">CAPÍTULO 2. </w:t>
      </w:r>
    </w:p>
    <w:p>
      <w:pPr>
        <w:jc w:val="center"/>
      </w:pPr>
      <w:r>
        <w:rPr>
          <w:rFonts w:hAnsi="Arial"/>
          <w:rFonts w:ascii="Arial"/>
          <w:sz w:val="24"/>
          <w:color w:val="navy"/>
        </w:rPr>
        <w:t xml:space="preserve">SOCIEDADES DE ECONOMÍA MIXTA.</w:t>
      </w:r>
      <w:bookmarkEnd w:id="59831"/>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32" w:name="1.2.2.2.1"/>
      <w:r>
        <w:rPr>
          <w:rFonts w:hAnsi="Arial"/>
          <w:rFonts w:ascii="Arial"/>
          <w:sz w:val="24"/>
          <w:color w:val="navy"/>
        </w:rPr>
        <w:t xml:space="preserve">ARTÍCULO 1.2.2.2.1. </w:t>
      </w:r>
      <w:r>
        <w:rPr>
          <w:rFonts w:hAnsi="Arial"/>
          <w:rFonts w:ascii="Arial"/>
          <w:sz w:val="24"/>
          <w:i/>
          <w:color w:val="navy"/>
        </w:rPr>
        <w:t xml:space="preserve">SOCIEDADES DE ECONOMÍA MIXTA.</w:t>
      </w:r>
      <w:bookmarkEnd w:id="59832"/>
      <w:r>
        <w:rPr>
          <w:rFonts w:hAnsi="Arial"/>
          <w:rFonts w:ascii="Arial"/>
          <w:sz w:val="24"/>
          <w:b/>
          <w:i/>
          <w:color w:val="black"/>
        </w:rPr>
        <w:t xml:space="preserve"> </w:t>
      </w:r>
      <w:r>
        <w:rPr>
          <w:rFonts w:hAnsi="Arial"/>
          <w:rFonts w:ascii="Arial"/>
          <w:sz w:val="24"/>
          <w:color w:val="black"/>
        </w:rPr>
        <w:t xml:space="preserve">Son Sociedades de Economía Mixta del Sector Defensa, las siguientes:</w:t>
      </w:r>
    </w:p>
    <w:p>
      <w:pPr>
        <w:jc w:val="both"/>
      </w:pPr>
      <w:rPr>
        <w:sz w:val="24"/>
        <w:color w:val="black"/>
      </w:rPr>
    </w:p>
    <w:p>
      <w:pPr>
        <w:jc w:val="both"/>
      </w:pPr>
      <w:r>
        <w:rPr>
          <w:rFonts w:hAnsi="Arial"/>
          <w:rFonts w:ascii="Arial"/>
          <w:sz w:val="24"/>
          <w:b/>
          <w:color w:val="black"/>
        </w:rPr>
        <w:t xml:space="preserve">1. Servicio Aéreo a Territorios Nacionales S.A., SATENA S.A. </w:t>
      </w:r>
      <w:r>
        <w:rPr>
          <w:rFonts w:hAnsi="Arial"/>
          <w:rFonts w:ascii="Arial"/>
          <w:sz w:val="24"/>
          <w:color w:val="black"/>
        </w:rPr>
        <w:t xml:space="preserve">La Sociedad de Economía Mixta por acciones del Orden Nacional, de carácter nacional y anónimo, SATENA S.A., tiene como objeto principal la prestación del servicio de transporte aéreo de pasajeros, correo y carga en el territorio nacional y en el exterior y por ende la celebración de contratos de transporte aéreo de pasajeros, correo y carga de cualquier naturaleza y desarrollar la política y planes generales que en materia de transporte aéreo para las regiones menos desarrolladas del país, adopte el Gobierno Nacional.</w:t>
      </w:r>
    </w:p>
    <w:p>
      <w:pPr>
        <w:jc w:val="both"/>
      </w:pPr>
      <w:rPr>
        <w:sz w:val="24"/>
        <w:color w:val="black"/>
      </w:rPr>
    </w:p>
    <w:p>
      <w:pPr>
        <w:jc w:val="both"/>
      </w:pPr>
      <w:r>
        <w:rPr>
          <w:rFonts w:hAnsi="Arial"/>
          <w:rFonts w:ascii="Arial"/>
          <w:sz w:val="24"/>
          <w:color w:val="black"/>
        </w:rPr>
        <w:t xml:space="preserve">SATENA S.A., seguirá cumpliendo con su aporte social, con el fin de integrar las regiones más apartadas con los Centros económicos del País, para coadyuvar al desarrollo económico, social y cultural de estas regiones y contribuir al ejercicio de la soberanía nacional de las zonas apartadas del país.</w:t>
      </w:r>
    </w:p>
    <w:p>
      <w:pPr>
        <w:jc w:val="both"/>
      </w:pPr>
      <w:rPr>
        <w:sz w:val="24"/>
        <w:color w:val="black"/>
      </w:rPr>
    </w:p>
    <w:p>
      <w:pPr>
        <w:jc w:val="both"/>
      </w:pPr>
      <w:r>
        <w:rPr>
          <w:rFonts w:hAnsi="Arial"/>
          <w:rFonts w:ascii="Arial"/>
          <w:sz w:val="24"/>
          <w:i/>
          <w:color w:val="black"/>
        </w:rPr>
        <w:t xml:space="preserve">(Escritura Pública No 1427 del 9 de mayo de 2011, artículo 5o, en concordancia con la Ley 1427 de 2010 artículo </w:t>
      </w:r>
      <w:r>
        <w:fldChar w:fldCharType="begin"/>
      </w:r>
      <w:r>
        <w:instrText>HYPERLINK "http://www.redjurista.com/document.aspx?ajcode=l1427010&amp;arts=1"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b/>
          <w:color w:val="black"/>
        </w:rPr>
        <w:t xml:space="preserve">2. Corporación de la Industria Aeronáutica Colombiana S.A., CIAC S.A. &lt;Ver Notas del Editor&gt; </w:t>
      </w:r>
      <w:r>
        <w:rPr>
          <w:rFonts w:hAnsi="Arial"/>
          <w:rFonts w:ascii="Arial"/>
          <w:sz w:val="24"/>
          <w:color w:val="black"/>
        </w:rPr>
        <w:t xml:space="preserve">Constituye el objeto principal de la CIAC S. A., organizar, construir, promover y explotar centros de reparación, entrenamiento aeronáutico, mantenimiento y ensamblaje de aeronaves y sus componentes y la importación, comercialización y distribución de repuestos, piezas, equipos y demás elementos necesarios para la prestación de servicios aeronáuticos y aeroportuarios.</w:t>
      </w:r>
    </w:p>
    <w:p>
      <w:pPr>
        <w:jc w:val="both"/>
      </w:pPr>
      <w:rPr>
        <w:sz w:val="24"/>
        <w:color w:val="black"/>
      </w:rPr>
    </w:p>
    <w:p>
      <w:pPr>
        <w:jc w:val="both"/>
      </w:pPr>
      <w:r>
        <w:rPr>
          <w:rFonts w:hAnsi="Arial"/>
          <w:rFonts w:ascii="Arial"/>
          <w:sz w:val="24"/>
          <w:i/>
          <w:color w:val="black"/>
        </w:rPr>
        <w:t xml:space="preserve">(Acuerdo 006 de 2001, artículo </w:t>
      </w:r>
      <w:r>
        <w:fldChar w:fldCharType="begin"/>
      </w:r>
      <w:r>
        <w:instrText>HYPERLINK "http://www.redjurista.com/document.aspx?ajcode=a_ciac_0006_2001&amp;arts=5"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modificado por el artículo 2o del Acuerdo 004 de 2012 y aprobado por el Decreto </w:t>
      </w:r>
      <w:r>
        <w:fldChar w:fldCharType="begin"/>
      </w:r>
      <w:r>
        <w:instrText>HYPERLINK "http://www.redjurista.com/document.aspx?ajcode=d2737012&amp;arts=2"</w:instrText>
      </w:r>
      <w:r>
        <w:fldChar w:fldCharType="separate"/>
      </w:r>
      <w:r>
        <w:rPr>
          <w:rFonts w:hAnsi="Arial"/>
          <w:rFonts w:ascii="Arial"/>
          <w:sz w:val="24"/>
          <w:i/>
          <w:u w:val="single"/>
          <w:color w:val="black"/>
        </w:rPr>
        <w:t>2737</w:t>
      </w:r>
      <w:r>
        <w:fldChar w:fldCharType="end"/>
      </w:r>
      <w:r>
        <w:rPr>
          <w:rFonts w:hAnsi="Arial"/>
          <w:rFonts w:ascii="Arial"/>
          <w:sz w:val="24"/>
          <w:i/>
          <w:u w:val="none"/>
          <w:color w:val="black"/>
        </w:rPr>
        <w:t xml:space="preserve"> de 2012)</w:t>
      </w:r>
    </w:p>
    <w:p>
      <w:pPr>
        <w:jc w:val="both"/>
      </w:pPr>
      <w:rPr>
        <w:color w:val="black"/>
      </w:rPr>
    </w:p>
    <w:p>
      <w:pPr>
        <w:jc w:val="both"/>
      </w:pPr>
      <w:r>
        <w:rPr>
          <w:rFonts w:hAnsi="Arial"/>
          <w:rFonts w:ascii="Arial"/>
          <w:sz w:val="24"/>
          <w:b/>
          <w:color w:val="black"/>
        </w:rPr>
        <w:t xml:space="preserve">3. Sociedad Hotelera S.A. </w:t>
      </w:r>
      <w:r>
        <w:rPr>
          <w:rFonts w:hAnsi="Arial"/>
          <w:rFonts w:ascii="Arial"/>
          <w:sz w:val="24"/>
          <w:color w:val="black"/>
        </w:rPr>
        <w:t xml:space="preserve">El objeto principal de la Sociedad es la explotación de la industria hotelera y la administración directa o indirecta de hoteles, negocios conexos y servicios complementarios, incluidos los servicios de tecnología de la información y comunicaciones y la gestión inmobiliaria propia y de terceros.</w:t>
      </w:r>
    </w:p>
    <w:p>
      <w:pPr>
        <w:jc w:val="both"/>
      </w:pPr>
      <w:rPr>
        <w:sz w:val="24"/>
        <w:color w:val="black"/>
      </w:rPr>
    </w:p>
    <w:p>
      <w:pPr>
        <w:jc w:val="both"/>
      </w:pPr>
      <w:r>
        <w:rPr>
          <w:rFonts w:hAnsi="Arial"/>
          <w:rFonts w:ascii="Arial"/>
          <w:sz w:val="24"/>
          <w:i/>
          <w:color w:val="black"/>
        </w:rPr>
        <w:t xml:space="preserve">(Escritura Pública número 7589 del 12 de noviembre de 1948, modificada por las Escrituras Públicas números 1407 de 2007, 1797 de 2011 y 2771 de 2012, Acuerdo 006 de 2001, artículo </w:t>
      </w:r>
      <w:r>
        <w:fldChar w:fldCharType="begin"/>
      </w:r>
      <w:r>
        <w:instrText>HYPERLINK "http://www.redjurista.com/document.aspx?ajcode=a_sht_0006_2001&amp;arts=6"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833" w:name="TÍTULO 1.2.3"/>
      <w:r>
        <w:rPr>
          <w:rFonts w:hAnsi="Arial"/>
          <w:rFonts w:ascii="Arial"/>
          <w:sz w:val="24"/>
          <w:color w:val="navy"/>
        </w:rPr>
        <w:t xml:space="preserve">TÍTULO 3. </w:t>
      </w:r>
    </w:p>
    <w:p>
      <w:pPr>
        <w:jc w:val="center"/>
      </w:pPr>
      <w:r>
        <w:rPr>
          <w:rFonts w:hAnsi="Arial"/>
          <w:rFonts w:ascii="Arial"/>
          <w:sz w:val="24"/>
          <w:color w:val="navy"/>
        </w:rPr>
        <w:t xml:space="preserve">ENTIDADES DESCENTRALIZADAS INDIRECTAS.</w:t>
      </w:r>
      <w:bookmarkEnd w:id="59833"/>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34" w:name="1.2.3.1"/>
      <w:r>
        <w:rPr>
          <w:rFonts w:hAnsi="Arial"/>
          <w:rFonts w:ascii="Arial"/>
          <w:sz w:val="24"/>
          <w:color w:val="navy"/>
        </w:rPr>
        <w:t xml:space="preserve">ARTÍCULO 1.2.3.1. </w:t>
      </w:r>
      <w:r>
        <w:rPr>
          <w:rFonts w:hAnsi="Arial"/>
          <w:rFonts w:ascii="Arial"/>
          <w:sz w:val="24"/>
          <w:i/>
          <w:color w:val="navy"/>
        </w:rPr>
        <w:t xml:space="preserve">ENTIDADES DESCENTRALIZADAS INDIRECTAS.</w:t>
      </w:r>
      <w:bookmarkEnd w:id="59834"/>
      <w:r>
        <w:rPr>
          <w:rFonts w:hAnsi="Arial"/>
          <w:rFonts w:ascii="Arial"/>
          <w:sz w:val="24"/>
          <w:b/>
          <w:i/>
          <w:color w:val="black"/>
        </w:rPr>
        <w:t xml:space="preserve"> </w:t>
      </w:r>
      <w:r>
        <w:rPr>
          <w:rFonts w:hAnsi="Arial"/>
          <w:rFonts w:ascii="Arial"/>
          <w:sz w:val="24"/>
          <w:color w:val="black"/>
        </w:rPr>
        <w:t xml:space="preserve">Son Entidades Descentralizadas Indirectas del Sector Defensa, las siguientes:</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Corporación de Ciencia y Tecnología para el Desarrollo de la Industria Naval, Marítima y Fluvial (Cotecmar).</w:t>
      </w:r>
      <w:r>
        <w:rPr>
          <w:rFonts w:hAnsi="Arial"/>
          <w:rFonts w:ascii="Arial"/>
          <w:sz w:val="24"/>
          <w:color w:val="black"/>
        </w:rPr>
        <w:t xml:space="preserve"> Tiene como objeto el desarrollo y ejecución de la investigación, transferencia y aplicación de tecnología para la industria naval, marítima y fluvial.</w:t>
      </w:r>
    </w:p>
    <w:p>
      <w:pPr>
        <w:jc w:val="both"/>
      </w:pPr>
      <w:rPr>
        <w:sz w:val="24"/>
        <w:color w:val="black"/>
      </w:rPr>
    </w:p>
    <w:p>
      <w:pPr>
        <w:jc w:val="both"/>
      </w:pPr>
      <w:r>
        <w:rPr>
          <w:rFonts w:hAnsi="Arial"/>
          <w:rFonts w:ascii="Arial"/>
          <w:sz w:val="24"/>
          <w:color w:val="black"/>
        </w:rPr>
        <w:t xml:space="preserve">&lt;Inciso modificado por el artículo </w:t>
      </w:r>
      <w:r>
        <w:fldChar w:fldCharType="begin"/>
      </w:r>
      <w:r>
        <w:instrText>HYPERLINK "http://www.redjurista.com/document.aspx?ajcode=d0156016&amp;arts=1"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 de 2016. El nuevo texto es el siguiente:&gt; (Estatutos aprobados por el Consejo Directivo de Cotecmar el 21 de julio de 2000)</w:t>
      </w:r>
    </w:p>
    <w:p>
      <w:rPr>
        <w:rFonts w:hAnsi="Arial"/>
        <w:rFonts w:ascii="Arial"/>
      </w:rPr>
      <w:pPr>
        <w:pStyle w:val="Texto_HLK"/>
        <w:jc w:val="both"/>
      </w:pPr>
      <w:r>
        <w:t xml:space="preserve">&lt;Notas de Vigenca&gt;</w:t>
      </w:r>
    </w:p>
    <w:p>
      <w:pPr>
        <w:shd w:val="pct5" w:fill="aqua" w:color="auto"/>
        <w:jc w:val="both"/>
      </w:pPr>
      <w:pPr>
        <w:pBdr>
          <w:top w:val="single" w:sz="1" w:space="0" w:color="navy"/>
          <w:left w:val="single" w:sz="1" w:space="0" w:color="navy"/>
          <w:right w:val="single" w:sz="1" w:space="0" w:color="navy"/>
          <w:bottom w:val="single" w:sz="1" w:space="0" w:color="navy"/>
        </w:pBdr>
      </w:pPr>
      <w:rPr>
        <w:color w:val="black"/>
      </w:rPr>
    </w:p>
    <w:p>
      <w:pPr>
        <w:shd w:val="pct5" w:fill="aqua" w:color="auto"/>
        <w:jc w:val="both"/>
      </w:pPr>
      <w:pPr>
        <w:pBdr>
          <w:top w:val="single" w:sz="1" w:space="0" w:color="navy"/>
          <w:left w:val="single" w:sz="1" w:space="0" w:color="navy"/>
          <w:right w:val="single" w:sz="1" w:space="0" w:color="navy"/>
          <w:bottom w:val="single" w:sz="1" w:space="0" w:color="navy"/>
        </w:pBdr>
      </w:pPr>
      <w:r>
        <w:rPr>
          <w:rFonts w:hAnsi="Arial"/>
          <w:rFonts w:ascii="Arial"/>
          <w:color w:val="black"/>
        </w:rPr>
        <w:t xml:space="preserve">- Inciso modificado por el artículo </w:t>
      </w:r>
      <w:r>
        <w:fldChar w:fldCharType="begin"/>
      </w:r>
      <w:r>
        <w:instrText>HYPERLINK "http://www.redjurista.com/document.aspx?ajcode=d0156016&amp;arts=1"</w:instrText>
      </w:r>
      <w:r>
        <w:fldChar w:fldCharType="separate"/>
      </w:r>
      <w:r>
        <w:rPr>
          <w:rFonts w:hAnsi="Arial"/>
          <w:rFonts w:ascii="Arial"/>
          <w:u w:val="single"/>
          <w:color w:val="black"/>
        </w:rPr>
        <w:t>1</w:t>
      </w:r>
      <w:r>
        <w:fldChar w:fldCharType="end"/>
      </w:r>
      <w:r>
        <w:rPr>
          <w:rFonts w:hAnsi="Arial"/>
          <w:rFonts w:ascii="Arial"/>
          <w:u w:val="none"/>
          <w:color w:val="black"/>
        </w:rPr>
        <w:t xml:space="preserve"> del Decreto 156 de 2016, "por el cual se corrige un yerro del Decreto número </w:t>
      </w:r>
      <w:r>
        <w:fldChar w:fldCharType="begin"/>
      </w:r>
      <w:r>
        <w:instrText>HYPERLINK "http://www.redjurista.com/document.aspx?ajcode=d1070015&amp;arts=INICIO"</w:instrText>
      </w:r>
      <w:r>
        <w:fldChar w:fldCharType="separate"/>
      </w:r>
      <w:r>
        <w:rPr>
          <w:rFonts w:hAnsi="Arial"/>
          <w:rFonts w:ascii="Arial"/>
          <w:u w:val="single"/>
          <w:color w:val="black"/>
        </w:rPr>
        <w:t>1070</w:t>
      </w:r>
      <w:r>
        <w:fldChar w:fldCharType="end"/>
      </w:r>
      <w:r>
        <w:rPr>
          <w:rFonts w:hAnsi="Arial"/>
          <w:rFonts w:ascii="Arial"/>
          <w:u w:val="none"/>
          <w:color w:val="black"/>
        </w:rPr>
        <w:t xml:space="preserve"> de 2015, por el cual se expide el Decreto Único Reglamentario del Sector Administrativo de Defensa", publicado en el Diario Oficial No. 49.773 de 1 de febrero de 2016.</w:t>
      </w:r>
    </w:p>
    <w:p>
      <w:pPr>
        <w:jc w:val="both"/>
      </w:pPr>
      <w:rPr>
        <w:sz w:val="24"/>
        <w:b/>
        <w:color w:val="black"/>
      </w:rPr>
    </w:p>
    <w:p>
      <w:pPr>
        <w:jc w:val="both"/>
      </w:pPr>
      <w:r>
        <w:rPr>
          <w:rFonts w:hAnsi="Arial"/>
          <w:rFonts w:ascii="Arial"/>
          <w:sz w:val="24"/>
          <w:b/>
          <w:color w:val="black"/>
        </w:rPr>
        <w:t xml:space="preserve">2. Corporación de Alta Tecnología para la Defensa, CODALTEC. </w:t>
      </w:r>
      <w:r>
        <w:rPr>
          <w:rFonts w:hAnsi="Arial"/>
          <w:rFonts w:ascii="Arial"/>
          <w:sz w:val="24"/>
          <w:i/>
          <w:color w:val="black"/>
        </w:rPr>
        <w:t xml:space="preserve">Tendrá como objeto el desarrollo, la promoción y la realización de actividades de ciencia, tecnología e innovación a adelantarse de conformidad con las disposiciones legales y reglamentarias aplicables, a efecto de fortalecer las capacidades científico tecnológicas del sector Defensa de la República de Colombia, buscando apoyar la generación de desarrollos de carácter industrial a nivel nacional, tanto para el sector Defensa como para otros sectores de la industria nacional, como consecuencia del uso dual de las capacidades científico tecnológicas aplicables.</w:t>
      </w:r>
    </w:p>
    <w:p>
      <w:pPr>
        <w:jc w:val="both"/>
      </w:pPr>
      <w:rPr>
        <w:sz w:val="24"/>
        <w:color w:val="black"/>
      </w:rPr>
    </w:p>
    <w:p>
      <w:pPr>
        <w:jc w:val="both"/>
      </w:pPr>
      <w:r>
        <w:rPr>
          <w:rFonts w:hAnsi="Arial"/>
          <w:rFonts w:ascii="Arial"/>
          <w:sz w:val="24"/>
          <w:i/>
          <w:color w:val="black"/>
        </w:rPr>
        <w:t xml:space="preserve">(Autorización de creación mediante Decreto </w:t>
      </w:r>
      <w:r>
        <w:fldChar w:fldCharType="begin"/>
      </w:r>
      <w:r>
        <w:instrText>HYPERLINK "http://www.redjurista.com/document.aspx?ajcode=d2452012&amp;arts=INICIO"</w:instrText>
      </w:r>
      <w:r>
        <w:fldChar w:fldCharType="separate"/>
      </w:r>
      <w:r>
        <w:rPr>
          <w:rFonts w:hAnsi="Arial"/>
          <w:rFonts w:ascii="Arial"/>
          <w:sz w:val="24"/>
          <w:i/>
          <w:u w:val="single"/>
          <w:color w:val="black"/>
        </w:rPr>
        <w:t>2452</w:t>
      </w:r>
      <w:r>
        <w:fldChar w:fldCharType="end"/>
      </w:r>
      <w:r>
        <w:rPr>
          <w:rFonts w:hAnsi="Arial"/>
          <w:rFonts w:ascii="Arial"/>
          <w:sz w:val="24"/>
          <w:i/>
          <w:u w:val="none"/>
          <w:color w:val="black"/>
        </w:rPr>
        <w:t xml:space="preserve"> de 2012 - Documento Privado 4/12/2012)</w:t>
      </w:r>
    </w:p>
    <w:p>
      <w:pPr>
        <w:jc w:val="both"/>
      </w:pPr>
      <w:rPr>
        <w:sz w:val="24"/>
        <w:b/>
        <w:color w:val="black"/>
      </w:rPr>
    </w:p>
    <w:p>
      <w:pPr>
        <w:jc w:val="center"/>
      </w:pPr>
      <w:r>
        <w:rPr>
          <w:rFonts w:hAnsi="Arial"/>
          <w:rFonts w:ascii="Arial"/>
          <w:sz w:val="24"/>
          <w:vanish/>
          <w:color w:val="black"/>
        </w:rPr>
        <w:t>&amp;$</w:t>
      </w:r>
      <w:bookmarkStart w:id="59835" w:name="LIBRO 2"/>
      <w:r>
        <w:rPr>
          <w:rFonts w:hAnsi="Arial"/>
          <w:rFonts w:ascii="Arial"/>
          <w:sz w:val="24"/>
          <w:color w:val="navy"/>
        </w:rPr>
        <w:t xml:space="preserve">LIBRO 2. </w:t>
      </w:r>
    </w:p>
    <w:p>
      <w:pPr>
        <w:jc w:val="center"/>
      </w:pPr>
      <w:r>
        <w:rPr>
          <w:rFonts w:hAnsi="Arial"/>
          <w:rFonts w:ascii="Arial"/>
          <w:sz w:val="24"/>
          <w:color w:val="navy"/>
        </w:rPr>
        <w:t xml:space="preserve">RÉGIMEN REGLAMENTARIO DEL SECTOR DEFENSA.</w:t>
      </w:r>
      <w:bookmarkEnd w:id="5983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36" w:name="PARTE 2.1"/>
      <w:r>
        <w:rPr>
          <w:rFonts w:hAnsi="Arial"/>
          <w:rFonts w:ascii="Arial"/>
          <w:sz w:val="24"/>
          <w:color w:val="navy"/>
        </w:rPr>
        <w:t xml:space="preserve">PARTE 1. </w:t>
      </w:r>
    </w:p>
    <w:p>
      <w:pPr>
        <w:jc w:val="center"/>
      </w:pPr>
      <w:r>
        <w:rPr>
          <w:rFonts w:hAnsi="Arial"/>
          <w:rFonts w:ascii="Arial"/>
          <w:sz w:val="24"/>
          <w:color w:val="navy"/>
        </w:rPr>
        <w:t xml:space="preserve">DISPOSICIONES GENERALES.</w:t>
      </w:r>
    </w:p>
    <w:p>
      <w:pPr>
        <w:jc w:val="center"/>
      </w:pPr>
      <w:bookmarkEnd w:id="59836"/>
    </w:p>
    <w:p>
      <w:pPr>
        <w:jc w:val="center"/>
      </w:pPr>
      <w:r>
        <w:rPr>
          <w:rFonts w:hAnsi="Arial"/>
          <w:rFonts w:ascii="Arial"/>
          <w:sz w:val="24"/>
          <w:vanish/>
          <w:color w:val="black"/>
        </w:rPr>
        <w:t>&amp;$</w:t>
      </w:r>
      <w:bookmarkStart w:id="59837" w:name="TÍTULO 2.1.1"/>
      <w:r>
        <w:rPr>
          <w:rFonts w:hAnsi="Arial"/>
          <w:rFonts w:ascii="Arial"/>
          <w:sz w:val="24"/>
          <w:color w:val="navy"/>
        </w:rPr>
        <w:t xml:space="preserve">TÍTULO 1. </w:t>
      </w:r>
    </w:p>
    <w:p>
      <w:pPr>
        <w:jc w:val="center"/>
      </w:pPr>
      <w:r>
        <w:rPr>
          <w:rFonts w:hAnsi="Arial"/>
          <w:rFonts w:ascii="Arial"/>
          <w:sz w:val="24"/>
          <w:color w:val="navy"/>
        </w:rPr>
        <w:t xml:space="preserve">OBJETO Y ÁMBITO DE APLICACIÓN.</w:t>
      </w:r>
      <w:bookmarkEnd w:id="5983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838" w:name="2.1.1.1"/>
      <w:r>
        <w:rPr>
          <w:rFonts w:hAnsi="Arial"/>
          <w:rFonts w:ascii="Arial"/>
          <w:sz w:val="24"/>
          <w:color w:val="navy"/>
        </w:rPr>
        <w:t xml:space="preserve">ARTÍCULO 2.1.1.1. </w:t>
      </w:r>
      <w:r>
        <w:rPr>
          <w:rFonts w:hAnsi="Arial"/>
          <w:rFonts w:ascii="Arial"/>
          <w:sz w:val="24"/>
          <w:i/>
          <w:color w:val="navy"/>
        </w:rPr>
        <w:t>OBJETO.</w:t>
      </w:r>
      <w:bookmarkEnd w:id="59838"/>
      <w:r>
        <w:rPr>
          <w:rFonts w:hAnsi="Arial"/>
          <w:rFonts w:ascii="Arial"/>
          <w:sz w:val="24"/>
          <w:b/>
          <w:i/>
          <w:color w:val="black"/>
        </w:rPr>
        <w:t xml:space="preserve"> </w:t>
      </w:r>
      <w:r>
        <w:rPr>
          <w:rFonts w:hAnsi="Arial"/>
          <w:rFonts w:ascii="Arial"/>
          <w:sz w:val="24"/>
          <w:color w:val="black"/>
        </w:rPr>
        <w:t xml:space="preserve">El objeto de este decreto es compilar la normatividad expedida por el Gobierno Nacional en ejercicio de las facultades reglamentarias conferidas por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para la cumplida ejecución de las leyes del sector Defensa.</w:t>
      </w:r>
    </w:p>
    <w:p>
      <w:pPr>
        <w:jc w:val="both"/>
      </w:pPr>
      <w:rPr>
        <w:sz w:val="24"/>
        <w:color w:val="black"/>
      </w:rPr>
    </w:p>
    <w:p>
      <w:pPr>
        <w:jc w:val="both"/>
      </w:pPr>
      <w:r>
        <w:rPr>
          <w:rFonts w:hAnsi="Arial"/>
          <w:rFonts w:ascii="Arial"/>
          <w:sz w:val="24"/>
          <w:vanish/>
          <w:color w:val="black"/>
        </w:rPr>
        <w:t>&amp;$</w:t>
      </w:r>
      <w:bookmarkStart w:id="59839" w:name="2.1.1.2"/>
      <w:r>
        <w:rPr>
          <w:rFonts w:hAnsi="Arial"/>
          <w:rFonts w:ascii="Arial"/>
          <w:sz w:val="24"/>
          <w:color w:val="navy"/>
        </w:rPr>
        <w:t xml:space="preserve">ARTÍCULO 2.1.1.2. </w:t>
      </w:r>
      <w:r>
        <w:rPr>
          <w:rFonts w:hAnsi="Arial"/>
          <w:rFonts w:ascii="Arial"/>
          <w:sz w:val="24"/>
          <w:i/>
          <w:color w:val="navy"/>
        </w:rPr>
        <w:t xml:space="preserve">ÁMBITO DE APLICACIÓN.</w:t>
      </w:r>
      <w:bookmarkEnd w:id="59839"/>
      <w:r>
        <w:rPr>
          <w:rFonts w:hAnsi="Arial"/>
          <w:rFonts w:ascii="Arial"/>
          <w:sz w:val="24"/>
          <w:b/>
          <w:i/>
          <w:color w:val="black"/>
        </w:rPr>
        <w:t xml:space="preserve"> </w:t>
      </w:r>
      <w:r>
        <w:rPr>
          <w:rFonts w:hAnsi="Arial"/>
          <w:rFonts w:ascii="Arial"/>
          <w:sz w:val="24"/>
          <w:color w:val="black"/>
        </w:rPr>
        <w:t xml:space="preserve">El presente decreto aplica a las entidades del sector Defensa y rige en todo el territorio nacional.</w:t>
      </w:r>
    </w:p>
    <w:p>
      <w:pPr>
        <w:jc w:val="both"/>
      </w:pPr>
      <w:rPr>
        <w:sz w:val="24"/>
        <w:color w:val="black"/>
      </w:rPr>
    </w:p>
    <w:p>
      <w:pPr>
        <w:jc w:val="center"/>
      </w:pPr>
      <w:r>
        <w:rPr>
          <w:rFonts w:hAnsi="Arial"/>
          <w:rFonts w:ascii="Arial"/>
          <w:sz w:val="24"/>
          <w:vanish/>
          <w:color w:val="black"/>
        </w:rPr>
        <w:t>&amp;$</w:t>
      </w:r>
      <w:bookmarkStart w:id="59840" w:name="PARTE 2.2"/>
      <w:r>
        <w:rPr>
          <w:rFonts w:hAnsi="Arial"/>
          <w:rFonts w:ascii="Arial"/>
          <w:sz w:val="24"/>
          <w:color w:val="navy"/>
        </w:rPr>
        <w:t xml:space="preserve">PARTE 2. </w:t>
      </w:r>
    </w:p>
    <w:p>
      <w:pPr>
        <w:jc w:val="center"/>
      </w:pPr>
      <w:r>
        <w:rPr>
          <w:rFonts w:hAnsi="Arial"/>
          <w:rFonts w:ascii="Arial"/>
          <w:sz w:val="24"/>
          <w:color w:val="navy"/>
        </w:rPr>
        <w:t xml:space="preserve">REGLAMENTACIONES GENERALES.</w:t>
      </w:r>
      <w:bookmarkEnd w:id="5984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41" w:name="TÍTULO 2.2.1"/>
      <w:r>
        <w:rPr>
          <w:rFonts w:hAnsi="Arial"/>
          <w:rFonts w:ascii="Arial"/>
          <w:sz w:val="24"/>
          <w:color w:val="navy"/>
        </w:rPr>
        <w:t xml:space="preserve">TÍTULO 1. </w:t>
      </w:r>
    </w:p>
    <w:p>
      <w:pPr>
        <w:jc w:val="center"/>
      </w:pPr>
      <w:r>
        <w:rPr>
          <w:rFonts w:hAnsi="Arial"/>
          <w:rFonts w:ascii="Arial"/>
          <w:sz w:val="24"/>
          <w:color w:val="navy"/>
        </w:rPr>
        <w:t xml:space="preserve">ADMINISTRACIÓN DE PERSONAL.</w:t>
      </w:r>
      <w:bookmarkEnd w:id="5984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42" w:name="CAPÍTULO 2.2.1.1"/>
      <w:r>
        <w:rPr>
          <w:rFonts w:hAnsi="Arial"/>
          <w:rFonts w:ascii="Arial"/>
          <w:sz w:val="24"/>
          <w:color w:val="navy"/>
        </w:rPr>
        <w:t xml:space="preserve">CAPÍTULO 1. </w:t>
      </w:r>
    </w:p>
    <w:p>
      <w:pPr>
        <w:jc w:val="center"/>
      </w:pPr>
      <w:r>
        <w:rPr>
          <w:rFonts w:hAnsi="Arial"/>
          <w:rFonts w:ascii="Arial"/>
          <w:sz w:val="24"/>
          <w:color w:val="navy"/>
        </w:rPr>
        <w:t xml:space="preserve">DEL PERSONAL NO UNIFORMADO.</w:t>
      </w:r>
      <w:bookmarkEnd w:id="5984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843" w:name="SECCIÓN 2.2.1.1.1"/>
      <w:r>
        <w:rPr>
          <w:rFonts w:hAnsi="Arial"/>
          <w:rFonts w:ascii="Arial"/>
          <w:sz w:val="24"/>
          <w:color w:val="navy"/>
        </w:rPr>
        <w:t xml:space="preserve">SECCIÓN 1. </w:t>
      </w:r>
    </w:p>
    <w:p>
      <w:pPr>
        <w:jc w:val="center"/>
      </w:pPr>
      <w:r>
        <w:rPr>
          <w:rFonts w:hAnsi="Arial"/>
          <w:rFonts w:ascii="Arial"/>
          <w:sz w:val="24"/>
          <w:color w:val="navy"/>
        </w:rPr>
        <w:t xml:space="preserve">DETERMINACIÓN DE LAS COMPETENCIAS Y REQUISITOS GENERALES CON LA NOMENCLATURA Y CLASIFICACIÓN PARA LOS DIFERENTES EMPLEOS PÚBLICOS DE LAS ENTIDADES QUE CONFORMAN EL SECTOR DEFENSA Y SE DICTAN OTRAS DISPOSICIONES.</w:t>
      </w:r>
      <w:bookmarkEnd w:id="59843"/>
      <w:r>
        <w:rPr>
          <w:rFonts w:hAnsi="Arial"/>
          <w:rFonts w:ascii="Arial"/>
          <w:sz w:val="24"/>
          <w:color w:val="black"/>
        </w:rPr>
        <w:t xml:space="preserve"> </w:t>
      </w:r>
    </w:p>
    <w:p>
      <w:pPr>
        <w:jc w:val="center"/>
      </w:pPr>
      <w:rPr>
        <w:sz w:val="24"/>
        <w:color w:val="navy"/>
      </w:rPr>
    </w:p>
    <w:p>
      <w:pPr>
        <w:jc w:val="center"/>
      </w:pPr>
      <w:r>
        <w:rPr>
          <w:rFonts w:hAnsi="Arial"/>
          <w:rFonts w:ascii="Arial"/>
          <w:sz w:val="24"/>
          <w:vanish/>
          <w:color w:val="black"/>
        </w:rPr>
        <w:t>&amp;$</w:t>
      </w:r>
      <w:bookmarkStart w:id="59844" w:name="SUBSECCIÓN 2.2.1.1.1.1"/>
      <w:r>
        <w:rPr>
          <w:rFonts w:hAnsi="Arial"/>
          <w:rFonts w:ascii="Arial"/>
          <w:sz w:val="24"/>
          <w:color w:val="navy"/>
        </w:rPr>
        <w:t xml:space="preserve">SUBSECCIÓN 1. </w:t>
      </w:r>
    </w:p>
    <w:p>
      <w:pPr>
        <w:jc w:val="center"/>
      </w:pPr>
      <w:r>
        <w:rPr>
          <w:rFonts w:hAnsi="Arial"/>
          <w:rFonts w:ascii="Arial"/>
          <w:sz w:val="24"/>
          <w:color w:val="navy"/>
        </w:rPr>
        <w:t xml:space="preserve">DISPOSICIONES GENERALES.</w:t>
      </w:r>
      <w:bookmarkEnd w:id="59844"/>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845" w:name="2.2.1.1.1.1.1"/>
      <w:r>
        <w:rPr>
          <w:rFonts w:hAnsi="Arial"/>
          <w:rFonts w:ascii="Arial"/>
          <w:sz w:val="24"/>
          <w:color w:val="navy"/>
        </w:rPr>
        <w:t xml:space="preserve">ARTÍCULO 2.2.1.1.1.1.1. </w:t>
      </w:r>
      <w:r>
        <w:rPr>
          <w:rFonts w:hAnsi="Arial"/>
          <w:rFonts w:ascii="Arial"/>
          <w:sz w:val="24"/>
          <w:i/>
          <w:color w:val="navy"/>
        </w:rPr>
        <w:t>OBJETO.</w:t>
      </w:r>
      <w:bookmarkEnd w:id="59845"/>
      <w:r>
        <w:rPr>
          <w:rFonts w:hAnsi="Arial"/>
          <w:rFonts w:ascii="Arial"/>
          <w:sz w:val="24"/>
          <w:b/>
          <w:i/>
          <w:color w:val="black"/>
        </w:rPr>
        <w:t xml:space="preserve"> </w:t>
      </w:r>
      <w:r>
        <w:rPr>
          <w:rFonts w:hAnsi="Arial"/>
          <w:rFonts w:ascii="Arial"/>
          <w:sz w:val="24"/>
          <w:color w:val="black"/>
        </w:rPr>
        <w:t xml:space="preserve">La presente Sección determina las competencias laborales y requisitos generales con la nomenclatura y clasificación para los diferentes empleos públicos del Sector Defensa.</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846" w:name="2.2.1.1.1.1.2"/>
      <w:r>
        <w:rPr>
          <w:rFonts w:hAnsi="Arial"/>
          <w:rFonts w:ascii="Arial"/>
          <w:sz w:val="24"/>
          <w:color w:val="navy"/>
        </w:rPr>
        <w:t xml:space="preserve">ARTÍCULO 2.2.1.1.1.1.2. </w:t>
      </w:r>
      <w:r>
        <w:rPr>
          <w:rFonts w:hAnsi="Arial"/>
          <w:rFonts w:ascii="Arial"/>
          <w:sz w:val="24"/>
          <w:i/>
          <w:color w:val="navy"/>
        </w:rPr>
        <w:t xml:space="preserve">SECTOR DEFENSA.</w:t>
      </w:r>
      <w:bookmarkEnd w:id="59846"/>
      <w:r>
        <w:rPr>
          <w:rFonts w:hAnsi="Arial"/>
          <w:rFonts w:ascii="Arial"/>
          <w:sz w:val="24"/>
          <w:b/>
          <w:i/>
          <w:color w:val="black"/>
        </w:rPr>
        <w:t xml:space="preserve"> </w:t>
      </w:r>
      <w:r>
        <w:rPr>
          <w:rFonts w:hAnsi="Arial"/>
          <w:rFonts w:ascii="Arial"/>
          <w:sz w:val="24"/>
          <w:color w:val="black"/>
        </w:rPr>
        <w:t xml:space="preserve">Para los efectos previstos en la presente Sección, se entiende que el Sector Defensa está integrado por el Ministerio de Defensa Nacional, incluidas las Fuerzas Militares y la Policía Nacional, así como por sus entidades descentralizadas, adscritas y vinculadas.</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sz w:val="24"/>
        <w:color w:val="navy"/>
      </w:rPr>
    </w:p>
    <w:p>
      <w:pPr>
        <w:jc w:val="center"/>
      </w:pPr>
      <w:r>
        <w:rPr>
          <w:rFonts w:hAnsi="Arial"/>
          <w:rFonts w:ascii="Arial"/>
          <w:sz w:val="24"/>
          <w:vanish/>
          <w:color w:val="black"/>
        </w:rPr>
        <w:t>&amp;$</w:t>
      </w:r>
      <w:bookmarkStart w:id="59847" w:name="SUBSECCIÓN 2.2.1.1.1.2"/>
      <w:r>
        <w:rPr>
          <w:rFonts w:hAnsi="Arial"/>
          <w:rFonts w:ascii="Arial"/>
          <w:sz w:val="24"/>
          <w:color w:val="navy"/>
        </w:rPr>
        <w:t xml:space="preserve">SUBSECCIÓN 2. </w:t>
      </w:r>
    </w:p>
    <w:p>
      <w:pPr>
        <w:jc w:val="center"/>
      </w:pPr>
      <w:r>
        <w:rPr>
          <w:rFonts w:hAnsi="Arial"/>
          <w:rFonts w:ascii="Arial"/>
          <w:sz w:val="24"/>
          <w:color w:val="navy"/>
        </w:rPr>
        <w:t xml:space="preserve">COMPETENCIAS LABORALES PARA LOS EMPLEOS DEL SECTOR DEFENSA.</w:t>
      </w:r>
      <w:bookmarkEnd w:id="59847"/>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48" w:name="2.2.1.1.1.2.1"/>
      <w:r>
        <w:rPr>
          <w:rFonts w:hAnsi="Arial"/>
          <w:rFonts w:ascii="Arial"/>
          <w:sz w:val="24"/>
          <w:color w:val="navy"/>
        </w:rPr>
        <w:t xml:space="preserve">ARTÍCULO 2.2.1.1.1.2.1. </w:t>
      </w:r>
      <w:r>
        <w:rPr>
          <w:rFonts w:hAnsi="Arial"/>
          <w:rFonts w:ascii="Arial"/>
          <w:sz w:val="24"/>
          <w:i/>
          <w:color w:val="navy"/>
        </w:rPr>
        <w:t xml:space="preserve">DEFINICIÓN DE COMPETENCIAS LABORALES PARA LOS EMPLEOS DEL SECTOR DEFENSA.</w:t>
      </w:r>
      <w:bookmarkEnd w:id="59848"/>
      <w:r>
        <w:rPr>
          <w:rFonts w:hAnsi="Arial"/>
          <w:rFonts w:ascii="Arial"/>
          <w:sz w:val="24"/>
          <w:b/>
          <w:i/>
          <w:color w:val="black"/>
        </w:rPr>
        <w:t xml:space="preserve"> </w:t>
      </w:r>
      <w:r>
        <w:rPr>
          <w:rFonts w:hAnsi="Arial"/>
          <w:rFonts w:ascii="Arial"/>
          <w:sz w:val="24"/>
          <w:color w:val="black"/>
        </w:rPr>
        <w:t xml:space="preserve">Las competencias laborales para los empleos del Sector Defensa se definen como la capacidad de una persona para desempeñar, en diferentes contextos y con base en los requerimientos y resultados esperados en el sector público y en especial en el sector defensa, las funciones inherentes a un empleo; capacidad que está determinada por los conocimientos, destrezas, valores, habilidades, actitudes y aptitudes que debe poseer y demostrar el empleado público del Sector Defensa.</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59849" w:name="2.2.1.1.1.2.2"/>
      <w:r>
        <w:rPr>
          <w:rFonts w:hAnsi="Arial"/>
          <w:rFonts w:ascii="Arial"/>
          <w:sz w:val="24"/>
          <w:color w:val="navy"/>
        </w:rPr>
        <w:t xml:space="preserve">ARTÍCULO 2.2.1.1.1.2.2. </w:t>
      </w:r>
      <w:r>
        <w:rPr>
          <w:rFonts w:hAnsi="Arial"/>
          <w:rFonts w:ascii="Arial"/>
          <w:sz w:val="24"/>
          <w:i/>
          <w:color w:val="navy"/>
        </w:rPr>
        <w:t xml:space="preserve">ELEMENTOS QUE INTEGRAN LAS COMPETENCIAS LABORALES PARA LOS EMPLEOS DEL SECTOR DEFENSA.</w:t>
      </w:r>
      <w:bookmarkEnd w:id="59849"/>
      <w:r>
        <w:rPr>
          <w:rFonts w:hAnsi="Arial"/>
          <w:rFonts w:ascii="Arial"/>
          <w:sz w:val="24"/>
          <w:b/>
          <w:i/>
          <w:color w:val="black"/>
        </w:rPr>
        <w:t xml:space="preserve"> </w:t>
      </w:r>
      <w:r>
        <w:rPr>
          <w:rFonts w:hAnsi="Arial"/>
          <w:rFonts w:ascii="Arial"/>
          <w:sz w:val="24"/>
          <w:color w:val="black"/>
        </w:rPr>
        <w:t xml:space="preserve">Las competencias laborales se determinarán con base en el contenido funcional de los empleos del Sector Defensa, e incluirán los siguientes elementos:</w:t>
      </w:r>
    </w:p>
    <w:p>
      <w:pPr>
        <w:jc w:val="both"/>
      </w:pPr>
      <w:rPr>
        <w:sz w:val="24"/>
        <w:color w:val="black"/>
      </w:rPr>
    </w:p>
    <w:p>
      <w:pPr>
        <w:jc w:val="both"/>
      </w:pPr>
      <w:r>
        <w:rPr>
          <w:rFonts w:hAnsi="Arial"/>
          <w:rFonts w:ascii="Arial"/>
          <w:sz w:val="24"/>
          <w:color w:val="black"/>
        </w:rPr>
        <w:t xml:space="preserve">1. Las competencias funcionales del empleo.</w:t>
      </w:r>
    </w:p>
    <w:p>
      <w:pPr>
        <w:jc w:val="both"/>
      </w:pPr>
      <w:rPr>
        <w:sz w:val="24"/>
        <w:color w:val="black"/>
      </w:rPr>
    </w:p>
    <w:p>
      <w:pPr>
        <w:jc w:val="both"/>
      </w:pPr>
      <w:r>
        <w:rPr>
          <w:rFonts w:hAnsi="Arial"/>
          <w:rFonts w:ascii="Arial"/>
          <w:sz w:val="24"/>
          <w:color w:val="black"/>
        </w:rPr>
        <w:t xml:space="preserve">2. Las competencias comportamentales requeridas para el desempeño del empleo.</w:t>
      </w:r>
    </w:p>
    <w:p>
      <w:pPr>
        <w:jc w:val="both"/>
      </w:pPr>
      <w:rPr>
        <w:sz w:val="24"/>
        <w:color w:val="black"/>
      </w:rPr>
    </w:p>
    <w:p>
      <w:pPr>
        <w:jc w:val="both"/>
      </w:pPr>
      <w:r>
        <w:rPr>
          <w:rFonts w:hAnsi="Arial"/>
          <w:rFonts w:ascii="Arial"/>
          <w:sz w:val="24"/>
          <w:color w:val="black"/>
        </w:rPr>
        <w:t xml:space="preserve">3. Requisitos de estudio y experiencia del empleo.</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59850" w:name="2.2.1.1.1.2.3"/>
      <w:r>
        <w:rPr>
          <w:rFonts w:hAnsi="Arial"/>
          <w:rFonts w:ascii="Arial"/>
          <w:sz w:val="24"/>
          <w:color w:val="navy"/>
        </w:rPr>
        <w:t xml:space="preserve">ARTÍCULO 2.2.1.1.1.2.3. </w:t>
      </w:r>
      <w:r>
        <w:rPr>
          <w:rFonts w:hAnsi="Arial"/>
          <w:rFonts w:ascii="Arial"/>
          <w:sz w:val="24"/>
          <w:i/>
          <w:color w:val="navy"/>
        </w:rPr>
        <w:t xml:space="preserve">COMPETENCIAS FUNCIONALES DEL EMPLEO.</w:t>
      </w:r>
      <w:bookmarkEnd w:id="59850"/>
      <w:r>
        <w:rPr>
          <w:rFonts w:hAnsi="Arial"/>
          <w:rFonts w:ascii="Arial"/>
          <w:sz w:val="24"/>
          <w:b/>
          <w:i/>
          <w:color w:val="black"/>
        </w:rPr>
        <w:t xml:space="preserve"> </w:t>
      </w:r>
      <w:r>
        <w:rPr>
          <w:rFonts w:hAnsi="Arial"/>
          <w:rFonts w:ascii="Arial"/>
          <w:sz w:val="24"/>
          <w:color w:val="black"/>
        </w:rPr>
        <w:t xml:space="preserve">Las competencias funcionales precisarán y detallarán lo que en forma general debe estar en capacidad de hacer el empleado para ejercer un cargo del sector defensa y se definirán una vez se haya determinado el contenido funcional de aquel, conforme a los siguientes parámetros:</w:t>
      </w:r>
    </w:p>
    <w:p>
      <w:pPr>
        <w:jc w:val="both"/>
      </w:pPr>
      <w:rPr>
        <w:sz w:val="24"/>
        <w:color w:val="black"/>
      </w:rPr>
    </w:p>
    <w:p>
      <w:pPr>
        <w:jc w:val="both"/>
      </w:pPr>
      <w:r>
        <w:rPr>
          <w:rFonts w:hAnsi="Arial"/>
          <w:rFonts w:ascii="Arial"/>
          <w:sz w:val="24"/>
          <w:color w:val="black"/>
        </w:rPr>
        <w:t xml:space="preserve">1. Los criterios de desempeño o resultados de la actividad laboral, que dan cuenta de la calidad que exige el buen ejercicio de sus funciones.</w:t>
      </w:r>
    </w:p>
    <w:p>
      <w:pPr>
        <w:jc w:val="both"/>
      </w:pPr>
      <w:rPr>
        <w:sz w:val="24"/>
        <w:color w:val="black"/>
      </w:rPr>
    </w:p>
    <w:p>
      <w:pPr>
        <w:jc w:val="both"/>
      </w:pPr>
      <w:r>
        <w:rPr>
          <w:rFonts w:hAnsi="Arial"/>
          <w:rFonts w:ascii="Arial"/>
          <w:sz w:val="24"/>
          <w:color w:val="black"/>
        </w:rPr>
        <w:t xml:space="preserve">2. Los conocimientos básicos que se correspondan con cada criterio de desempeño de un empleo.</w:t>
      </w:r>
    </w:p>
    <w:p>
      <w:pPr>
        <w:jc w:val="both"/>
      </w:pPr>
      <w:rPr>
        <w:sz w:val="24"/>
        <w:color w:val="black"/>
      </w:rPr>
    </w:p>
    <w:p>
      <w:pPr>
        <w:jc w:val="both"/>
      </w:pPr>
      <w:r>
        <w:rPr>
          <w:rFonts w:hAnsi="Arial"/>
          <w:rFonts w:ascii="Arial"/>
          <w:sz w:val="24"/>
          <w:color w:val="black"/>
        </w:rPr>
        <w:t xml:space="preserve">3. Los contextos en donde deberán demostrarse las contribuciones del empleado para evidenciar su competencia.</w:t>
      </w:r>
    </w:p>
    <w:p>
      <w:pPr>
        <w:jc w:val="both"/>
      </w:pPr>
      <w:rPr>
        <w:sz w:val="24"/>
        <w:color w:val="black"/>
      </w:rPr>
    </w:p>
    <w:p>
      <w:pPr>
        <w:jc w:val="both"/>
      </w:pPr>
      <w:r>
        <w:rPr>
          <w:rFonts w:hAnsi="Arial"/>
          <w:rFonts w:ascii="Arial"/>
          <w:sz w:val="24"/>
          <w:color w:val="black"/>
        </w:rPr>
        <w:t xml:space="preserve">4. Las evidencias requeridas que demuestren las competencias laborales de los empleados.</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59851" w:name="2.2.1.1.1.2.4"/>
      <w:r>
        <w:rPr>
          <w:rFonts w:hAnsi="Arial"/>
          <w:rFonts w:ascii="Arial"/>
          <w:sz w:val="24"/>
          <w:color w:val="navy"/>
        </w:rPr>
        <w:t xml:space="preserve">ARTÍCULO 2.2.1.1.1.2.4. </w:t>
      </w:r>
      <w:r>
        <w:rPr>
          <w:rFonts w:hAnsi="Arial"/>
          <w:rFonts w:ascii="Arial"/>
          <w:sz w:val="24"/>
          <w:i/>
          <w:color w:val="navy"/>
        </w:rPr>
        <w:t xml:space="preserve">COMPETENCIAS COMPORTAMENTALES DEL EMPLEO.</w:t>
      </w:r>
      <w:bookmarkEnd w:id="59851"/>
      <w:r>
        <w:rPr>
          <w:rFonts w:hAnsi="Arial"/>
          <w:rFonts w:ascii="Arial"/>
          <w:sz w:val="24"/>
          <w:b/>
          <w:i/>
          <w:color w:val="black"/>
        </w:rPr>
        <w:t xml:space="preserve"> </w:t>
      </w:r>
      <w:r>
        <w:rPr>
          <w:rFonts w:hAnsi="Arial"/>
          <w:rFonts w:ascii="Arial"/>
          <w:sz w:val="24"/>
          <w:color w:val="black"/>
        </w:rPr>
        <w:t xml:space="preserve">Las competencias comportamentales se describirán en los manuales de funciones de los empleos del Sector Defensa, teniendo en cuenta los siguientes criterios:</w:t>
      </w:r>
    </w:p>
    <w:p>
      <w:pPr>
        <w:jc w:val="both"/>
      </w:pPr>
      <w:rPr>
        <w:sz w:val="24"/>
        <w:color w:val="black"/>
      </w:rPr>
    </w:p>
    <w:p>
      <w:pPr>
        <w:jc w:val="both"/>
      </w:pPr>
      <w:r>
        <w:rPr>
          <w:rFonts w:hAnsi="Arial"/>
          <w:rFonts w:ascii="Arial"/>
          <w:sz w:val="24"/>
          <w:color w:val="black"/>
        </w:rPr>
        <w:t xml:space="preserve">1. Habilidades y aptitudes laborales</w:t>
      </w:r>
    </w:p>
    <w:p>
      <w:pPr>
        <w:jc w:val="both"/>
      </w:pPr>
      <w:rPr>
        <w:sz w:val="24"/>
        <w:color w:val="black"/>
      </w:rPr>
    </w:p>
    <w:p>
      <w:pPr>
        <w:jc w:val="both"/>
      </w:pPr>
      <w:r>
        <w:rPr>
          <w:rFonts w:hAnsi="Arial"/>
          <w:rFonts w:ascii="Arial"/>
          <w:sz w:val="24"/>
          <w:color w:val="black"/>
        </w:rPr>
        <w:t xml:space="preserve">2. Responsabilidad en el manejo de información</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852" w:name="2.2.1.1.1.2.5"/>
      <w:r>
        <w:rPr>
          <w:rFonts w:hAnsi="Arial"/>
          <w:rFonts w:ascii="Arial"/>
          <w:sz w:val="24"/>
          <w:color w:val="navy"/>
        </w:rPr>
        <w:t xml:space="preserve">ARTÍCULO 2.2.1.1.1.2.5. </w:t>
      </w:r>
      <w:r>
        <w:rPr>
          <w:rFonts w:hAnsi="Arial"/>
          <w:rFonts w:ascii="Arial"/>
          <w:sz w:val="24"/>
          <w:i/>
          <w:color w:val="navy"/>
        </w:rPr>
        <w:t xml:space="preserve">COMPETENCIAS COMPORTAMENTALES COMUNES A LOS EMPLEADOS PÚBLICOS DEL SECTOR DEFENSA.</w:t>
      </w:r>
      <w:bookmarkEnd w:id="5985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"http://www.redjurista.com/document.aspx?ajcode=d1877021&amp;arts=1"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1877 de 2021. El nuevo texto es el siguiente:&gt; Todos los empleados públicos civiles y no uniformados del Sector Defensa, de los distintos niveles jerárquicos, deberán poseer y evidenciar las siguientes competencias:</w:t>
      </w:r>
    </w:p>
    <w:p>
      <w:pPr>
        <w:jc w:val="both"/>
      </w:pPr>
      <w:rPr>
        <w:sz w:val="18"/>
        <w:color w:val="black"/>
      </w:rPr>
    </w:p>
    <w:p>
      <w:pPr>
        <w:jc w:val="center"/>
        <w:tabs>
          <w:tab w:val="left" w:leader="none" w:pos="8840"/>
        </w:tabs>
      </w:pPr>
      <w:rPr>
        <w:sz w:val="24"/>
        <w:color w:val="black"/>
      </w:rPr>
    </w:p>
    <w:p>
      <w:pPr>
        <w:jc w:val="both"/>
      </w:pPr>
      <w:rPr>
        <w:sz w:val="24"/>
        <w:color w:val="black"/>
      </w:rPr>
    </w:p>
    <w:p>
      <w:pPr>
        <w:jc w:val="both"/>
      </w:pPr>
      <w:r>
        <w:rPr>
          <w:rFonts w:hAnsi="Arial"/>
          <w:rFonts w:ascii="Arial"/>
          <w:sz w:val="24"/>
          <w:vanish/>
          <w:color w:val="black"/>
        </w:rPr>
        <w:t>&amp;$</w:t>
      </w:r>
      <w:bookmarkStart w:id="59853" w:name="2.2.1.1.1.2.6"/>
      <w:r>
        <w:rPr>
          <w:rFonts w:hAnsi="Arial"/>
          <w:rFonts w:ascii="Arial"/>
          <w:sz w:val="24"/>
          <w:color w:val="navy"/>
        </w:rPr>
        <w:t xml:space="preserve">ARTÍCULO 2.2.1.1.1.2.6. </w:t>
      </w:r>
      <w:r>
        <w:rPr>
          <w:rFonts w:hAnsi="Arial"/>
          <w:rFonts w:ascii="Arial"/>
          <w:sz w:val="24"/>
          <w:i/>
          <w:color w:val="navy"/>
        </w:rPr>
        <w:t xml:space="preserve">COMPETENCIAS COMPORTAMENTALES POR NIVEL JERÁRQUICO.</w:t>
      </w:r>
      <w:bookmarkEnd w:id="5985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"http://www.redjurista.com/document.aspx?ajcode=d1877021&amp;arts=2"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1877 de 2021. El nuevo texto es el siguiente:&gt; Las siguientes son las competencias por nivel jerárquico de los empleos del Sector Defensa que se deben establecer en los respectivos manuales de funciones y que podrán complementarse de acuerdo con las características especiales de los empleos de cada entidad del Sector.</w:t>
      </w:r>
    </w:p>
    <w:p>
      <w:pPr>
        <w:jc w:val="both"/>
        <w:keepNext/>
      </w:pPr>
      <w:rPr>
        <w:sz w:val="24"/>
        <w:color w:val="black"/>
      </w:rPr>
    </w:p>
    <w:p>
      <w:pPr>
        <w:jc w:val="center"/>
        <w:keepNext/>
      </w:pPr>
      <w:r>
        <w:rPr>
          <w:rFonts w:hAnsi="Arial"/>
          <w:rFonts w:ascii="Arial"/>
          <w:sz w:val="24"/>
          <w:color w:val="black"/>
        </w:rPr>
        <w:t xml:space="preserve">COMPETENCIAS NIVEL DIRECTIVO</w:t>
      </w:r>
    </w:p>
    <w:p>
      <w:pPr>
        <w:jc w:val="both"/>
        <w:keepNext/>
      </w:pPr>
      <w:rPr>
        <w:sz w:val="18"/>
        <w:color w:val="black"/>
      </w:rPr>
    </w:p>
    <w:p>
      <w:rPr>
        <w:sz w:val="18"/>
        <w:color w:val="black"/>
      </w:rPr>
    </w:p>
    <w:p>
      <w:pPr>
        <w:jc w:val="center"/>
        <w:tabs>
          <w:tab w:val="left" w:leader="none" w:pos="8840"/>
        </w:tabs>
      </w:pPr>
      <w:rPr>
        <w:sz w:val="24"/>
        <w:color w:val="black"/>
      </w:rPr>
    </w:p>
    <w:p>
      <w:pPr>
        <w:jc w:val="center"/>
        <w:keepNext/>
        <w:tabs>
          <w:tab w:val="left" w:leader="none" w:pos="8840"/>
        </w:tabs>
      </w:pPr>
      <w:r>
        <w:rPr>
          <w:rFonts w:hAnsi="Arial"/>
          <w:rFonts w:ascii="Arial"/>
          <w:sz w:val="24"/>
          <w:color w:val="black"/>
        </w:rPr>
        <w:t xml:space="preserve">COMPETENCIAS NIVEL ASESOR</w:t>
      </w:r>
    </w:p>
    <w:p>
      <w:pPr>
        <w:jc w:val="both"/>
      </w:pPr>
      <w:rPr>
        <w:sz w:val="18"/>
        <w:color w:val="black"/>
      </w:rPr>
    </w:p>
    <w:p>
      <w:pPr>
        <w:tabs>
          <w:tab w:val="left" w:leader="none" w:pos="8840"/>
        </w:tabs>
      </w:pPr>
      <w:rPr>
        <w:sz w:val="18"/>
        <w:color w:val="black"/>
      </w:rPr>
    </w:p>
    <w:p>
      <w:pPr>
        <w:jc w:val="center"/>
        <w:keepNext/>
        <w:tabs>
          <w:tab w:val="left" w:leader="none" w:pos="8840"/>
        </w:tabs>
      </w:pPr>
      <w:rPr>
        <w:sz w:val="24"/>
        <w:color w:val="black"/>
      </w:rPr>
    </w:p>
    <w:p>
      <w:pPr>
        <w:jc w:val="center"/>
        <w:keepNext/>
        <w:tabs>
          <w:tab w:val="left" w:leader="none" w:pos="8840"/>
        </w:tabs>
      </w:pPr>
      <w:r>
        <w:rPr>
          <w:rFonts w:hAnsi="Arial"/>
          <w:rFonts w:ascii="Arial"/>
          <w:sz w:val="24"/>
          <w:color w:val="black"/>
        </w:rPr>
        <w:t xml:space="preserve">COMPETENCIAS NIVEL PROFESIONAL</w:t>
      </w:r>
    </w:p>
    <w:p>
      <w:pPr>
        <w:jc w:val="both"/>
      </w:pPr>
      <w:rPr>
        <w:sz w:val="18"/>
        <w:color w:val="black"/>
      </w:rPr>
    </w:p>
    <w:p>
      <w:pPr>
        <w:tabs>
          <w:tab w:val="left" w:leader="none" w:pos="8840"/>
        </w:tabs>
      </w:pPr>
      <w:rPr>
        <w:sz w:val="18"/>
        <w:color w:val="black"/>
      </w:rPr>
    </w:p>
    <w:p>
      <w:pPr>
        <w:jc w:val="center"/>
        <w:keepNext/>
        <w:tabs>
          <w:tab w:val="left" w:leader="none" w:pos="8840"/>
        </w:tabs>
      </w:pPr>
      <w:rPr>
        <w:sz w:val="24"/>
        <w:color w:val="black"/>
      </w:rPr>
    </w:p>
    <w:p>
      <w:pPr>
        <w:jc w:val="center"/>
        <w:keepNext/>
        <w:tabs>
          <w:tab w:val="left" w:leader="none" w:pos="8840"/>
        </w:tabs>
      </w:pPr>
      <w:r>
        <w:rPr>
          <w:rFonts w:hAnsi="Arial"/>
          <w:rFonts w:ascii="Arial"/>
          <w:sz w:val="24"/>
          <w:color w:val="black"/>
        </w:rPr>
        <w:t xml:space="preserve">COMPETENCIAS NIVEL ORIENTADOR DE DEFENSA O ESPIRITUAL</w:t>
      </w:r>
    </w:p>
    <w:tbl>
      <w:tblGrid>
        <w:gridCol w:w="1620"/>
        <w:gridCol w:w="2520"/>
        <w:gridCol w:w="4680"/>
      </w:tblGrid>
      <w:tblPr>
        <w:tblW w:w="8838" w:type="dxa"/>
        <w:tblBorders/>
      </w:tblPr>
      <w:tr>
        <w:trPr/>
        <w:tc>
          <w:tcPr>
            <w:tcW w:w="1628" w:type="dxa"/>
            <w:tcMar/>
            <w:tcBorders>
              <w:top w:val="single" w:sz="1" w:space="0" w:color="auto"/>
              <w:left w:val="single" w:sz="7" w:space="0" w:color="auto"/>
            </w:tcBorders>
          </w:tcPr>
          <w:p>
            <w:pPr>
              <w:jc w:val="center"/>
            </w:pPr>
            <w:r>
              <w:rPr>
                <w:rFonts w:hAnsi="Arial"/>
                <w:rFonts w:ascii="Arial"/>
                <w:sz w:val="18"/>
                <w:b/>
                <w:color w:val="black"/>
              </w:rPr>
              <w:t>Competencia</w:t>
            </w:r>
          </w:p>
        </w:tc>
        <w:tc>
          <w:tcPr>
            <w:tcW w:w="2531" w:type="dxa"/>
            <w:tcMar/>
            <w:tcBorders>
              <w:top w:val="single" w:sz="1" w:space="0" w:color="auto"/>
              <w:left w:val="single" w:sz="7" w:space="0" w:color="auto"/>
            </w:tcBorders>
          </w:tcPr>
          <w:p>
            <w:pPr/>
            <w:r>
              <w:rPr>
                <w:rFonts w:hAnsi="Arial"/>
                <w:rFonts w:ascii="Arial"/>
                <w:sz w:val="18"/>
                <w:b/>
                <w:color w:val="black"/>
              </w:rPr>
              <w:t xml:space="preserve">Definición de la competencia</w:t>
            </w:r>
          </w:p>
        </w:tc>
        <w:tc>
          <w:tcPr>
            <w:tcW w:w="4679" w:type="dxa"/>
            <w:tcMar/>
            <w:tcBorders>
              <w:top w:val="single" w:sz="1" w:space="0" w:color="auto"/>
              <w:left w:val="single" w:sz="1" w:space="0" w:color="auto"/>
              <w:right w:val="single" w:sz="1" w:space="0" w:color="auto"/>
            </w:tcBorders>
          </w:tcPr>
          <w:p>
            <w:pPr/>
            <w:r>
              <w:rPr>
                <w:rFonts w:hAnsi="Arial"/>
                <w:rFonts w:ascii="Arial"/>
                <w:sz w:val="18"/>
                <w:b/>
                <w:color w:val="black"/>
              </w:rPr>
              <w:t xml:space="preserve">Conductas asociadas</w:t>
            </w:r>
          </w:p>
        </w:tc>
      </w:tr>
      <w:tr>
        <w:trPr/>
        <w:tc>
          <w:tcPr>
            <w:tcW w:w="1628" w:type="dxa"/>
            <w:tcMar/>
            <w:tcBorders>
              <w:top w:val="single" w:sz="1" w:space="0" w:color="auto"/>
              <w:left w:val="single" w:sz="7" w:space="0" w:color="auto"/>
              <w:bottom w:val="single" w:sz="1" w:space="0" w:color="auto"/>
            </w:tcBorders>
          </w:tcPr>
          <w:p>
            <w:pPr>
              <w:jc w:val="center"/>
            </w:pPr>
            <w:r>
              <w:rPr>
                <w:rFonts w:hAnsi="Arial"/>
                <w:rFonts w:ascii="Arial"/>
                <w:sz w:val="18"/>
                <w:color w:val="black"/>
              </w:rPr>
              <w:t xml:space="preserve">Formación pedagógica</w:t>
            </w:r>
          </w:p>
        </w:tc>
        <w:tc>
          <w:tcPr>
            <w:tcW w:w="2531" w:type="dxa"/>
            <w:tcMar/>
            <w:tcBorders>
              <w:top w:val="single" w:sz="1" w:space="0" w:color="auto"/>
              <w:left w:val="single" w:sz="7" w:space="0" w:color="auto"/>
              <w:bottom w:val="single" w:sz="1" w:space="0" w:color="auto"/>
            </w:tcBorders>
          </w:tcPr>
          <w:p>
            <w:pPr/>
            <w:r>
              <w:rPr>
                <w:rFonts w:hAnsi="Arial"/>
                <w:rFonts w:ascii="Arial"/>
                <w:sz w:val="18"/>
                <w:color w:val="black"/>
              </w:rPr>
              <w:t xml:space="preserve">Orientar y coadyuvar a construir a través de la instrucción conocimientos teóricos y de su aplicación en el entorno del sector defensa</w:t>
            </w:r>
          </w:p>
        </w:tc>
        <w:tc>
          <w:tcPr>
            <w:tcW w:w="4679" w:type="dxa"/>
            <w:tcMar/>
            <w:tcBorders>
              <w:top w:val="single" w:sz="1" w:space="0" w:color="auto"/>
              <w:left w:val="single" w:sz="1" w:space="0" w:color="auto"/>
              <w:right w:val="single" w:sz="7" w:space="0" w:color="auto"/>
              <w:bottom w:val="single" w:sz="1" w:space="0" w:color="auto"/>
            </w:tcBorders>
          </w:tcPr>
          <w:p>
            <w:pPr/>
            <w:r>
              <w:rPr>
                <w:rFonts w:hAnsi="Arial"/>
                <w:rFonts w:ascii="Arial"/>
                <w:sz w:val="18"/>
                <w:color w:val="black"/>
              </w:rPr>
              <w:t xml:space="preserve">- Imparte y orienta el desarrollo de conocimientos y conductas dentro de un plan estratégico requerido por la fuerza pública.</w:t>
              <w:br w:type="textWrapping"/>
              <w:t>- Utiliza metodologías apropiadas a la población a la que dirige su actividad laboral.</w:t>
              <w:br w:type="textWrapping"/>
              <w:t>- Garantiza que las temáticas desarrolladas permitan la construcción de los cuerpos teóricos coherentes con los principios y necesidades del sector defensa.</w:t>
              <w:br w:type="textWrapping"/>
              <w:t>- Orienta la instrucción dentro del marco de seguridad, confidencialidad requerida en el sector defensa.</w:t>
            </w:r>
          </w:p>
        </w:tc>
      </w:tr>
      <w:tr>
        <w:trPr/>
        <w:tc>
          <w:tcPr>
            <w:tcW w:w="1628" w:type="dxa"/>
            <w:tcMar/>
            <w:tcBorders>
              <w:left w:val="single" w:sz="1" w:space="0" w:color="auto"/>
              <w:right w:val="single" w:sz="7" w:space="0" w:color="auto"/>
              <w:bottom w:val="single" w:sz="1" w:space="0" w:color="auto"/>
            </w:tcBorders>
          </w:tcPr>
          <w:p>
            <w:pPr>
              <w:jc w:val="center"/>
            </w:pPr>
            <w:r>
              <w:rPr>
                <w:rFonts w:hAnsi="Arial"/>
                <w:rFonts w:ascii="Arial"/>
                <w:sz w:val="18"/>
                <w:color w:val="black"/>
              </w:rPr>
              <w:t xml:space="preserve">Acompañamiento moral y espiritual</w:t>
            </w:r>
          </w:p>
        </w:tc>
        <w:tc>
          <w:tcPr>
            <w:tcW w:w="2531" w:type="dxa"/>
            <w:tcMar/>
            <w:tcBorders>
              <w:right w:val="single" w:sz="7" w:space="0" w:color="auto"/>
              <w:bottom w:val="single" w:sz="1" w:space="0" w:color="auto"/>
            </w:tcBorders>
          </w:tcPr>
          <w:p>
            <w:pPr/>
            <w:r>
              <w:rPr>
                <w:rFonts w:hAnsi="Arial"/>
                <w:rFonts w:ascii="Arial"/>
                <w:sz w:val="18"/>
                <w:color w:val="black"/>
              </w:rPr>
              <w:t xml:space="preserve">Oriental y prestar asesoramiento espiritual para el desarrollo del afianzamiento de un marco de valores institucionales, de los servidores públicos del sector defensa y sus familias.</w:t>
            </w:r>
          </w:p>
        </w:tc>
        <w:tc>
          <w:tcPr>
            <w:tcW w:w="4679" w:type="dxa"/>
            <w:tcMar/>
            <w:tcBorders>
              <w:right w:val="single" w:sz="7" w:space="0" w:color="auto"/>
              <w:bottom w:val="single" w:sz="1" w:space="0" w:color="auto"/>
            </w:tcBorders>
          </w:tcPr>
          <w:p>
            <w:pPr/>
            <w:r>
              <w:rPr>
                <w:rFonts w:hAnsi="Arial"/>
                <w:rFonts w:ascii="Arial"/>
                <w:sz w:val="18"/>
                <w:color w:val="black"/>
              </w:rPr>
              <w:t xml:space="preserve">- Apoya a los miembros uniformados y funcionarios del Sector defensa, en la construcción de los valores requeridos para el ejercicio de la labor institucional.</w:t>
              <w:br w:type="textWrapping"/>
              <w:t>- Presta apoyo espiritual y moral a los miembros de las fuerzas militares del sector defensa y sus familias.</w:t>
              <w:br w:type="textWrapping"/>
              <w:t>- Proyecta, prepara y elabora informes y estadísticas para presentar balances y resultados institucionales.</w:t>
            </w:r>
          </w:p>
        </w:tc>
      </w:tr>
    </w:tbl>
    <w:p>
      <w:pPr>
        <w:jc w:val="center"/>
        <w:keepNext/>
        <w:tabs>
          <w:tab w:val="left" w:leader="none" w:pos="8840"/>
        </w:tabs>
      </w:pPr>
      <w:rPr>
        <w:sz w:val="24"/>
        <w:color w:val="black"/>
      </w:rPr>
    </w:p>
    <w:p>
      <w:pPr>
        <w:jc w:val="center"/>
        <w:keepNext/>
        <w:tabs>
          <w:tab w:val="left" w:leader="none" w:pos="8840"/>
        </w:tabs>
      </w:pPr>
      <w:r>
        <w:rPr>
          <w:rFonts w:hAnsi="Arial"/>
          <w:rFonts w:ascii="Arial"/>
          <w:sz w:val="24"/>
          <w:color w:val="black"/>
        </w:rPr>
        <w:t xml:space="preserve">COMPETENCIAS NIVEL TÉCNICO</w:t>
      </w:r>
    </w:p>
    <w:p>
      <w:pPr>
        <w:jc w:val="both"/>
      </w:pPr>
      <w:rPr>
        <w:sz w:val="18"/>
        <w:color w:val="black"/>
      </w:rPr>
    </w:p>
    <w:p>
      <w:pPr>
        <w:jc w:val="center"/>
        <w:keepNext/>
        <w:tabs>
          <w:tab w:val="left" w:leader="none" w:pos="8840"/>
        </w:tabs>
      </w:pPr>
      <w:rPr>
        <w:sz w:val="24"/>
        <w:color w:val="black"/>
      </w:rPr>
    </w:p>
    <w:p>
      <w:pPr>
        <w:jc w:val="center"/>
        <w:keepNext/>
        <w:tabs>
          <w:tab w:val="left" w:leader="none" w:pos="8840"/>
        </w:tabs>
      </w:pPr>
      <w:rPr>
        <w:sz w:val="24"/>
        <w:color w:val="black"/>
      </w:rPr>
    </w:p>
    <w:p>
      <w:pPr>
        <w:jc w:val="center"/>
        <w:keepNext/>
        <w:tabs>
          <w:tab w:val="left" w:leader="none" w:pos="8840"/>
        </w:tabs>
      </w:pPr>
      <w:r>
        <w:rPr>
          <w:rFonts w:hAnsi="Arial"/>
          <w:rFonts w:ascii="Arial"/>
          <w:sz w:val="24"/>
          <w:color w:val="black"/>
        </w:rPr>
        <w:t xml:space="preserve">COMPETENCIAS NIVEL ASISTENCIAL</w:t>
      </w:r>
    </w:p>
    <w:tbl>
      <w:tblGrid>
        <w:gridCol w:w="1660"/>
        <w:gridCol w:w="2560"/>
        <w:gridCol w:w="4600"/>
      </w:tblGrid>
      <w:tblPr>
        <w:tblW w:w="8838" w:type="dxa"/>
        <w:tblBorders/>
      </w:tblPr>
      <w:tr>
        <w:trPr/>
        <w:tc>
          <w:tcPr>
            <w:tcW w:w="1663" w:type="dxa"/>
            <w:tcMar/>
            <w:tcBorders>
              <w:top w:val="single" w:sz="1" w:space="0" w:color="auto"/>
              <w:left w:val="single" w:sz="7" w:space="0" w:color="auto"/>
            </w:tcBorders>
          </w:tcPr>
          <w:p>
            <w:pPr>
              <w:jc w:val="center"/>
            </w:pPr>
            <w:r>
              <w:rPr>
                <w:rFonts w:hAnsi="Arial"/>
                <w:rFonts w:ascii="Arial"/>
                <w:sz w:val="18"/>
                <w:b/>
                <w:color w:val="black"/>
              </w:rPr>
              <w:t>Competencia</w:t>
            </w:r>
          </w:p>
        </w:tc>
        <w:tc>
          <w:tcPr>
            <w:tcW w:w="2565" w:type="dxa"/>
            <w:tcMar/>
            <w:tcBorders>
              <w:top w:val="single" w:sz="1" w:space="0" w:color="auto"/>
              <w:left w:val="single" w:sz="7" w:space="0" w:color="auto"/>
            </w:tcBorders>
          </w:tcPr>
          <w:p>
            <w:pPr/>
            <w:r>
              <w:rPr>
                <w:rFonts w:hAnsi="Arial"/>
                <w:rFonts w:ascii="Arial"/>
                <w:sz w:val="18"/>
                <w:b/>
                <w:color w:val="black"/>
              </w:rPr>
              <w:t xml:space="preserve">Definición de la</w:t>
            </w:r>
            <w:r>
              <w:rPr>
                <w:rFonts w:hAnsi="Arial"/>
                <w:rFonts w:ascii="Arial"/>
                <w:sz w:val="18"/>
                <w:color w:val="black"/>
              </w:rPr>
              <w:t/>
              <w:br w:type="textWrapping"/>
              <w:t/>
            </w:r>
            <w:r>
              <w:rPr>
                <w:rFonts w:hAnsi="Arial"/>
                <w:rFonts w:ascii="Arial"/>
                <w:sz w:val="18"/>
                <w:b/>
                <w:color w:val="black"/>
              </w:rPr>
              <w:t>competencia</w:t>
            </w:r>
          </w:p>
        </w:tc>
        <w:tc>
          <w:tcPr>
            <w:tcW w:w="4610" w:type="dxa"/>
            <w:tcMar/>
            <w:tcBorders>
              <w:top w:val="single" w:sz="1" w:space="0" w:color="auto"/>
              <w:left w:val="single" w:sz="1" w:space="0" w:color="auto"/>
              <w:right w:val="single" w:sz="1" w:space="0" w:color="auto"/>
            </w:tcBorders>
          </w:tcPr>
          <w:p>
            <w:pPr/>
            <w:r>
              <w:rPr>
                <w:rFonts w:hAnsi="Arial"/>
                <w:rFonts w:ascii="Arial"/>
                <w:sz w:val="18"/>
                <w:b/>
                <w:color w:val="black"/>
              </w:rPr>
              <w:t xml:space="preserve">Conductas asociadas</w:t>
            </w:r>
          </w:p>
        </w:tc>
      </w:tr>
      <w:tr>
        <w:trPr/>
        <w:tc>
          <w:tcPr>
            <w:tcW w:w="1663" w:type="dxa"/>
            <w:tcMar/>
            <w:tcBorders>
              <w:top w:val="single" w:sz="1" w:space="0" w:color="auto"/>
              <w:left w:val="single" w:sz="7" w:space="0" w:color="auto"/>
              <w:bottom w:val="single" w:sz="1" w:space="0" w:color="auto"/>
            </w:tcBorders>
          </w:tcPr>
          <w:p>
            <w:pPr>
              <w:jc w:val="center"/>
            </w:pPr>
            <w:r>
              <w:rPr>
                <w:rFonts w:hAnsi="Arial"/>
                <w:rFonts w:ascii="Arial"/>
                <w:sz w:val="18"/>
                <w:color w:val="black"/>
              </w:rPr>
              <w:t xml:space="preserve">Apoyo y asistencia al objeto misional y de servicios</w:t>
            </w:r>
          </w:p>
        </w:tc>
        <w:tc>
          <w:tcPr>
            <w:tcW w:w="2565" w:type="dxa"/>
            <w:tcMar/>
            <w:tcBorders>
              <w:top w:val="single" w:sz="1" w:space="0" w:color="auto"/>
              <w:left w:val="single" w:sz="7" w:space="0" w:color="auto"/>
              <w:bottom w:val="single" w:sz="1" w:space="0" w:color="auto"/>
            </w:tcBorders>
          </w:tcPr>
          <w:p>
            <w:pPr/>
            <w:r>
              <w:rPr>
                <w:rFonts w:hAnsi="Arial"/>
                <w:rFonts w:ascii="Arial"/>
                <w:sz w:val="18"/>
                <w:color w:val="black"/>
              </w:rPr>
              <w:t xml:space="preserve">Apoyar a través de su actividad laboral el cumplimiento del objeto misional del sector</w:t>
              <w:br w:type="textWrapping"/>
              <w:t>defensa.</w:t>
            </w:r>
          </w:p>
        </w:tc>
        <w:tc>
          <w:tcPr>
            <w:tcW w:w="4610" w:type="dxa"/>
            <w:tcMar/>
            <w:tcBorders>
              <w:top w:val="single" w:sz="1" w:space="0" w:color="auto"/>
              <w:left w:val="single" w:sz="1" w:space="0" w:color="auto"/>
              <w:right w:val="single" w:sz="7" w:space="0" w:color="auto"/>
              <w:bottom w:val="single" w:sz="1" w:space="0" w:color="auto"/>
            </w:tcBorders>
          </w:tcPr>
          <w:p>
            <w:pPr/>
            <w:r>
              <w:rPr>
                <w:rFonts w:hAnsi="Arial"/>
                <w:rFonts w:ascii="Arial"/>
                <w:sz w:val="18"/>
                <w:color w:val="black"/>
              </w:rPr>
              <w:t xml:space="preserve">- Presta asistencia laboral de servicio, al</w:t>
              <w:br w:type="textWrapping"/>
              <w:t>desarrollo del cumplimiento de la misión del sector defensa, incluida el área de seguridad, defensa e inteligencia.</w:t>
              <w:br w:type="textWrapping"/>
              <w:t>- Entiende y cumple instrucciones de seguridad, confidencialidad y reserva dadas, para la realización de actividades propias de su servicio.</w:t>
              <w:br w:type="textWrapping"/>
              <w:t>- Cumple las normas de seguridad exigidas en el desarrollo de las funciones</w:t>
              <w:br w:type="textWrapping"/>
              <w:t>asignadas.</w:t>
            </w:r>
          </w:p>
        </w:tc>
      </w:tr>
      <w:tr>
        <w:trPr/>
        <w:tc>
          <w:tcPr>
            <w:tcW w:w="1663" w:type="dxa"/>
            <w:tcMar/>
            <w:tcBorders>
              <w:left w:val="single" w:sz="1" w:space="0" w:color="auto"/>
              <w:right w:val="single" w:sz="7" w:space="0" w:color="auto"/>
              <w:bottom w:val="single" w:sz="1" w:space="0" w:color="auto"/>
            </w:tcBorders>
          </w:tcPr>
          <w:p>
            <w:pPr>
              <w:jc w:val="center"/>
            </w:pPr>
            <w:r>
              <w:rPr>
                <w:rFonts w:hAnsi="Arial"/>
                <w:rFonts w:ascii="Arial"/>
                <w:sz w:val="18"/>
                <w:color w:val="black"/>
              </w:rPr>
              <w:t xml:space="preserve">Apoyo y asistencia administrativa.</w:t>
            </w:r>
          </w:p>
        </w:tc>
        <w:tc>
          <w:tcPr>
            <w:tcW w:w="2565" w:type="dxa"/>
            <w:tcMar/>
            <w:tcBorders>
              <w:right w:val="single" w:sz="7" w:space="0" w:color="auto"/>
              <w:bottom w:val="single" w:sz="1" w:space="0" w:color="auto"/>
            </w:tcBorders>
          </w:tcPr>
          <w:p>
            <w:pPr/>
            <w:r>
              <w:rPr>
                <w:rFonts w:hAnsi="Arial"/>
                <w:rFonts w:ascii="Arial"/>
                <w:sz w:val="18"/>
                <w:color w:val="black"/>
              </w:rPr>
              <w:t xml:space="preserve">Apoyar a través de su actividad laboral la gestión administrativa requerida por el sector defensa.</w:t>
            </w:r>
          </w:p>
        </w:tc>
        <w:tc>
          <w:tcPr>
            <w:tcW w:w="4610" w:type="dxa"/>
            <w:tcMar/>
            <w:tcBorders>
              <w:right w:val="single" w:sz="7" w:space="0" w:color="auto"/>
              <w:bottom w:val="single" w:sz="1" w:space="0" w:color="auto"/>
            </w:tcBorders>
          </w:tcPr>
          <w:p>
            <w:pPr/>
            <w:r>
              <w:rPr>
                <w:rFonts w:hAnsi="Arial"/>
                <w:rFonts w:ascii="Arial"/>
                <w:sz w:val="18"/>
                <w:color w:val="black"/>
              </w:rPr>
              <w:t xml:space="preserve">- Presta una asistencia laboral administrativa al desarrollo del sector</w:t>
              <w:br w:type="textWrapping"/>
              <w:t>defensa.</w:t>
              <w:br w:type="textWrapping"/>
              <w:t>- Cumple las instrucciones dadas, presta</w:t>
              <w:br w:type="textWrapping"/>
              <w:t>asistencia técnica administrativa de apoyo propias de su quehacer laboral</w:t>
              <w:br w:type="textWrapping"/>
              <w:t>- Asume y acata el control de los funcionarios responsables de las</w:t>
              <w:br w:type="textWrapping"/>
              <w:t>actividades asignadas.</w:t>
            </w:r>
          </w:p>
        </w:tc>
      </w:tr>
      <w:tr>
        <w:trPr/>
        <w:tc>
          <w:tcPr>
            <w:tcW w:w="1663" w:type="dxa"/>
            <w:tcMar/>
            <w:tcBorders>
              <w:left w:val="single" w:sz="1" w:space="0" w:color="auto"/>
              <w:right w:val="single" w:sz="7" w:space="0" w:color="auto"/>
              <w:bottom w:val="single" w:sz="1" w:space="0" w:color="auto"/>
            </w:tcBorders>
          </w:tcPr>
          <w:p>
            <w:pPr>
              <w:jc w:val="center"/>
            </w:pPr>
            <w:r>
              <w:rPr>
                <w:rFonts w:hAnsi="Arial"/>
                <w:rFonts w:ascii="Arial"/>
                <w:sz w:val="18"/>
                <w:color w:val="black"/>
              </w:rPr>
              <w:t>Colaboración</w:t>
            </w:r>
          </w:p>
        </w:tc>
        <w:tc>
          <w:tcPr>
            <w:tcW w:w="2565" w:type="dxa"/>
            <w:tcMar/>
            <w:tcBorders>
              <w:right w:val="single" w:sz="7" w:space="0" w:color="auto"/>
              <w:bottom w:val="single" w:sz="1" w:space="0" w:color="auto"/>
            </w:tcBorders>
          </w:tcPr>
          <w:p>
            <w:pPr/>
            <w:r>
              <w:rPr>
                <w:rFonts w:hAnsi="Arial"/>
                <w:rFonts w:ascii="Arial"/>
                <w:sz w:val="18"/>
                <w:color w:val="black"/>
              </w:rPr>
              <w:t xml:space="preserve">Coopera con los demás con el fin de alcanzar los objetivos institucionales</w:t>
            </w:r>
          </w:p>
        </w:tc>
        <w:tc>
          <w:tcPr>
            <w:tcW w:w="4610" w:type="dxa"/>
            <w:tcMar/>
            <w:tcBorders>
              <w:right w:val="single" w:sz="7" w:space="0" w:color="auto"/>
              <w:bottom w:val="single" w:sz="1" w:space="0" w:color="auto"/>
            </w:tcBorders>
          </w:tcPr>
          <w:p>
            <w:pPr/>
            <w:r>
              <w:rPr>
                <w:rFonts w:hAnsi="Arial"/>
                <w:rFonts w:ascii="Arial"/>
                <w:sz w:val="18"/>
                <w:color w:val="black"/>
              </w:rPr>
              <w:t xml:space="preserve">- Articula sus actuaciones con las de los demás.</w:t>
              <w:br w:type="textWrapping"/>
              <w:t>- Cumple con los compromisos adquiridos</w:t>
              <w:br w:type="textWrapping"/>
              <w:t>- Facilita la labor de sus superiores y</w:t>
              <w:br w:type="textWrapping"/>
              <w:t>compañeros de trabajo.</w:t>
            </w:r>
          </w:p>
        </w:tc>
      </w:tr>
      <w:tr>
        <w:trPr/>
        <w:tc>
          <w:tcPr>
            <w:tcW w:w="1663" w:type="dxa"/>
            <w:tcMar/>
            <w:tcBorders>
              <w:left w:val="single" w:sz="1" w:space="0" w:color="auto"/>
              <w:right w:val="single" w:sz="7" w:space="0" w:color="auto"/>
              <w:bottom w:val="single" w:sz="1" w:space="0" w:color="auto"/>
            </w:tcBorders>
          </w:tcPr>
          <w:p>
            <w:pPr>
              <w:jc w:val="center"/>
            </w:pPr>
            <w:r>
              <w:rPr>
                <w:rFonts w:hAnsi="Arial"/>
                <w:rFonts w:ascii="Arial"/>
                <w:sz w:val="18"/>
                <w:color w:val="black"/>
              </w:rPr>
              <w:t xml:space="preserve">Seguimiento de instrucciones</w:t>
            </w:r>
          </w:p>
        </w:tc>
        <w:tc>
          <w:tcPr>
            <w:tcW w:w="2565" w:type="dxa"/>
            <w:tcMar/>
            <w:tcBorders>
              <w:right w:val="single" w:sz="7" w:space="0" w:color="auto"/>
              <w:bottom w:val="single" w:sz="1" w:space="0" w:color="auto"/>
            </w:tcBorders>
          </w:tcPr>
          <w:p>
            <w:pPr/>
            <w:r>
              <w:rPr>
                <w:rFonts w:hAnsi="Arial"/>
                <w:rFonts w:ascii="Arial"/>
                <w:sz w:val="18"/>
                <w:color w:val="black"/>
              </w:rPr>
              <w:t xml:space="preserve">Adaptarse a las políticas institucionales y acatar instrucciones operativas</w:t>
            </w:r>
          </w:p>
        </w:tc>
        <w:tc>
          <w:tcPr>
            <w:tcW w:w="4610" w:type="dxa"/>
            <w:tcMar/>
            <w:tcBorders>
              <w:right w:val="single" w:sz="7" w:space="0" w:color="auto"/>
              <w:bottom w:val="single" w:sz="1" w:space="0" w:color="auto"/>
            </w:tcBorders>
          </w:tcPr>
          <w:p>
            <w:pPr/>
            <w:r>
              <w:rPr>
                <w:rFonts w:hAnsi="Arial"/>
                <w:rFonts w:ascii="Arial"/>
                <w:sz w:val="18"/>
                <w:color w:val="black"/>
              </w:rPr>
              <w:t xml:space="preserve">- Recibe instrucciones y desarrolla actividades de apoyo administrativo y asistencial de acuerdo con los procedimientos establecidos.</w:t>
              <w:br w:type="textWrapping"/>
              <w:t>- Acepta y atiende la supervisión y atención permanente.</w:t>
            </w:r>
          </w:p>
        </w:tc>
      </w:tr>
    </w:tbl>
    <w:p>
      <w:pPr>
        <w:jc w:val="both"/>
      </w:pPr>
      <w:rPr>
        <w:sz w:val="24"/>
        <w:color w:val="black"/>
      </w:rPr>
    </w:p>
    <w:p>
      <w:pPr>
        <w:jc w:val="both"/>
      </w:pPr>
      <w:r>
        <w:rPr>
          <w:rFonts w:hAnsi="Arial"/>
          <w:rFonts w:ascii="Arial"/>
          <w:sz w:val="24"/>
          <w:vanish/>
          <w:color w:val="black"/>
        </w:rPr>
        <w:t>&amp;$</w:t>
      </w:r>
      <w:bookmarkStart w:id="59854" w:name="2.2.1.1.1.2.7"/>
      <w:r>
        <w:rPr>
          <w:rFonts w:hAnsi="Arial"/>
          <w:rFonts w:ascii="Arial"/>
          <w:sz w:val="24"/>
          <w:color w:val="navy"/>
        </w:rPr>
        <w:t xml:space="preserve">ARTÍCULO 2.2.1.1.1.2.7. </w:t>
      </w:r>
      <w:r>
        <w:rPr>
          <w:rFonts w:hAnsi="Arial"/>
          <w:rFonts w:ascii="Arial"/>
          <w:sz w:val="24"/>
          <w:i/>
          <w:color w:val="navy"/>
        </w:rPr>
        <w:t xml:space="preserve">REQUISITOS DE LOS EMPLEOS DEL SECTOR DEFENSA.</w:t>
      </w:r>
      <w:bookmarkEnd w:id="59854"/>
      <w:r>
        <w:rPr>
          <w:rFonts w:hAnsi="Arial"/>
          <w:rFonts w:ascii="Arial"/>
          <w:sz w:val="24"/>
          <w:b/>
          <w:i/>
          <w:color w:val="black"/>
        </w:rPr>
        <w:t xml:space="preserve"> </w:t>
      </w:r>
      <w:r>
        <w:rPr>
          <w:rFonts w:hAnsi="Arial"/>
          <w:rFonts w:ascii="Arial"/>
          <w:sz w:val="24"/>
          <w:color w:val="black"/>
        </w:rPr>
        <w:t xml:space="preserve">Los requisitos de estudio y experiencia con la nomenclatura y clasificación para cada uno de los grados salariales por cada nivel jerárquico para los empleos del Sector Defensa, que se fijan en la presente Sección servirán de base para que las entidades y dependencias que integran el Sector Defensa, conformen sus plantas de personal con los respectivos manuales específicos de funciones y de requisitos.</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855" w:name="SUBSECCIÓN 2.2.1.1.1.3"/>
      <w:r>
        <w:rPr>
          <w:rFonts w:hAnsi="Arial"/>
          <w:rFonts w:ascii="Arial"/>
          <w:sz w:val="24"/>
          <w:color w:val="navy"/>
        </w:rPr>
        <w:t xml:space="preserve">SUBSECCIÓN 3. </w:t>
      </w:r>
    </w:p>
    <w:p>
      <w:pPr>
        <w:jc w:val="center"/>
      </w:pPr>
      <w:r>
        <w:rPr>
          <w:rFonts w:hAnsi="Arial"/>
          <w:rFonts w:ascii="Arial"/>
          <w:sz w:val="24"/>
          <w:color w:val="navy"/>
        </w:rPr>
        <w:t xml:space="preserve">REQUISITOS DE LOS EMPLEOS POR NIVELES.</w:t>
      </w:r>
      <w:bookmarkEnd w:id="59855"/>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56" w:name="2.2.1.1.1.3.1"/>
      <w:r>
        <w:rPr>
          <w:rFonts w:hAnsi="Arial"/>
          <w:rFonts w:ascii="Arial"/>
          <w:sz w:val="24"/>
          <w:color w:val="navy"/>
        </w:rPr>
        <w:t xml:space="preserve">ARTÍCULO 2.2.1.1.1.3.1. </w:t>
      </w:r>
      <w:r>
        <w:rPr>
          <w:rFonts w:hAnsi="Arial"/>
          <w:rFonts w:ascii="Arial"/>
          <w:sz w:val="24"/>
          <w:i/>
          <w:color w:val="navy"/>
        </w:rPr>
        <w:t xml:space="preserve">REQUISITOS DEL NIVEL DIRECTIVO.</w:t>
      </w:r>
      <w:bookmarkEnd w:id="59856"/>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directivo del Sector Defensa, serán los siguientes:</w:t>
      </w:r>
    </w:p>
    <w:p>
      <w:pPr>
        <w:jc w:val="both"/>
      </w:pPr>
      <w:rPr>
        <w:sz w:val="24"/>
        <w:color w:val="black"/>
      </w:rPr>
    </w:p>
    <w:p>
      <w:r>
        <w:rPr>
          <w:rFonts w:hAnsi="Arial"/>
          <w:rFonts w:ascii="Arial"/>
          <w:sz w:val="20"/>
          <w:b/>
          <w:color w:val="black"/>
        </w:rPr>
        <w:t xml:space="preserve">Requisitos Nivel Directivo</w:t>
      </w:r>
    </w:p>
    <w:p>
      <w:rPr>
        <w:sz w:val="20"/>
        <w:color w:val="black"/>
      </w:rPr>
    </w:p>
    <w:p>
      <w:pPr>
        <w:jc w:val="both"/>
      </w:pPr>
      <w:rPr>
        <w:sz w:val="20"/>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57" w:name="2.2.1.1.1.3.2"/>
      <w:r>
        <w:rPr>
          <w:rFonts w:hAnsi="Arial"/>
          <w:rFonts w:ascii="Arial"/>
          <w:sz w:val="24"/>
          <w:color w:val="navy"/>
        </w:rPr>
        <w:t xml:space="preserve">ARTÍCULO 2.2.1.1.1.3.2. </w:t>
      </w:r>
      <w:r>
        <w:rPr>
          <w:rFonts w:hAnsi="Arial"/>
          <w:rFonts w:ascii="Arial"/>
          <w:sz w:val="24"/>
          <w:i/>
          <w:color w:val="navy"/>
        </w:rPr>
        <w:t xml:space="preserve">REQUISITOS DEL NIVEL ASESOR DEL SECTOR DEFENSA.</w:t>
      </w:r>
      <w:bookmarkEnd w:id="59857"/>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Asesor del Sector Defensa, en las denominaciones de Jefe de Oficina Asesora del Sector Defensa y Asesor del Sector Defensa o Misional o Sanidad Militar o Policial, serán los siguientes:</w:t>
      </w:r>
    </w:p>
    <w:p>
      <w:pPr>
        <w:jc w:val="both"/>
      </w:pPr>
      <w:rPr>
        <w:sz w:val="20"/>
        <w:color w:val="black"/>
      </w:rPr>
    </w:p>
    <w:p>
      <w:pPr>
        <w:jc w:val="both"/>
      </w:pPr>
      <w:r>
        <w:rPr>
          <w:rFonts w:hAnsi="Arial"/>
          <w:rFonts w:ascii="Arial"/>
          <w:sz w:val="20"/>
          <w:b/>
          <w:color w:val="black"/>
        </w:rPr>
        <w:t xml:space="preserve">Requisitos Nivel Asesor</w:t>
      </w:r>
    </w:p>
    <w:tbl>
      <w:tblGrid>
        <w:gridCol w:w="820"/>
        <w:gridCol w:w="4060"/>
        <w:gridCol w:w="3200"/>
      </w:tblGrid>
      <w:tblPr>
        <w:tblW w:w="8095" w:type="dxa"/>
        <w:tblBorders/>
      </w:tblPr>
      <w:tr>
        <w:trPr/>
        <w:tc>
          <w:tcPr>
            <w:tcW w:w="825" w:type="dxa"/>
            <w:tcMar/>
            <w:tcBorders/>
          </w:tcPr>
          <w:p>
            <w:pPr>
              <w:jc w:val="center"/>
            </w:pPr>
            <w:r>
              <w:rPr>
                <w:rFonts w:hAnsi="Arial"/>
                <w:rFonts w:ascii="Arial"/>
                <w:sz w:val="20"/>
                <w:b/>
                <w:color w:val="black"/>
              </w:rPr>
              <w:t>Grado</w:t>
            </w:r>
          </w:p>
        </w:tc>
        <w:tc>
          <w:tcPr>
            <w:tcW w:w="4063" w:type="dxa"/>
            <w:tcMar/>
            <w:tcBorders/>
          </w:tcPr>
          <w:p>
            <w:pPr>
              <w:jc w:val="center"/>
            </w:pPr>
            <w:r>
              <w:rPr>
                <w:rFonts w:hAnsi="Arial"/>
                <w:rFonts w:ascii="Arial"/>
                <w:sz w:val="20"/>
                <w:b/>
                <w:color w:val="black"/>
              </w:rPr>
              <w:t>Estudio</w:t>
            </w:r>
          </w:p>
        </w:tc>
        <w:tc>
          <w:tcPr>
            <w:tcW w:w="3207" w:type="dxa"/>
            <w:tcMar/>
            <w:tcBorders/>
          </w:tcPr>
          <w:p>
            <w:pPr>
              <w:jc w:val="center"/>
            </w:pPr>
            <w:r>
              <w:rPr>
                <w:rFonts w:hAnsi="Arial"/>
                <w:rFonts w:ascii="Arial"/>
                <w:sz w:val="20"/>
                <w:b/>
                <w:color w:val="black"/>
              </w:rPr>
              <w:t>Experiencia</w:t>
            </w:r>
          </w:p>
        </w:tc>
      </w:tr>
      <w:tr>
        <w:trPr/>
        <w:tc>
          <w:tcPr>
            <w:tcW w:w="825" w:type="dxa"/>
            <w:tcMar/>
            <w:tcBorders/>
          </w:tcPr>
          <w:p>
            <w:pPr>
              <w:jc w:val="center"/>
            </w:pPr>
            <w:r>
              <w:rPr>
                <w:rFonts w:hAnsi="Arial"/>
                <w:rFonts w:ascii="Arial"/>
                <w:sz w:val="20"/>
                <w:color w:val="black"/>
              </w:rPr>
              <w:t/>
              <w:br w:type="textWrapping"/>
              <w:t/>
              <w:br w:type="textWrapping"/>
              <w:t>36</w:t>
            </w:r>
          </w:p>
        </w:tc>
        <w:tc>
          <w:tcPr>
            <w:tcW w:w="4063" w:type="dxa"/>
            <w:tcMar/>
            <w:tcBorders/>
          </w:tcPr>
          <w:p>
            <w:pPr>
              <w:jc w:val="center"/>
            </w:pPr>
            <w:r>
              <w:rPr>
                <w:rFonts w:hAnsi="Arial"/>
                <w:rFonts w:ascii="Arial"/>
                <w:sz w:val="20"/>
                <w:color w:val="black"/>
              </w:rPr>
              <w:t xml:space="preserve"/>
              <w:br w:type="textWrapping"/>
              <w:t>Título profesional, título de posgrado en modalidad de maestría</w:t>
            </w:r>
          </w:p>
        </w:tc>
        <w:tc>
          <w:tcPr>
            <w:tcW w:w="3207" w:type="dxa"/>
            <w:tcMar/>
            <w:tcBorders/>
          </w:tcPr>
          <w:p>
            <w:pPr>
              <w:jc w:val="both"/>
            </w:pPr>
            <w:r>
              <w:rPr>
                <w:rFonts w:hAnsi="Arial"/>
                <w:rFonts w:ascii="Arial"/>
                <w:sz w:val="20"/>
                <w:color w:val="black"/>
              </w:rPr>
              <w:t xml:space="preserve"/>
              <w:br w:type="textWrapping"/>
              <w:t>Treinta (30) meses de experiencia profesional relacionada</w:t>
              <w:br w:type="textWrapping"/>
              <w:t/>
            </w:r>
          </w:p>
        </w:tc>
      </w:tr>
      <w:tr>
        <w:trPr/>
        <w:tc>
          <w:tcPr>
            <w:tcW w:w="4888" w:type="dxa"/>
            <w:gridSpan w:val="2"/>
            <w:tcMar/>
            <w:tcBorders/>
          </w:tcPr>
          <w:p>
            <w:pPr>
              <w:jc w:val="both"/>
            </w:pPr>
            <w:r>
              <w:rPr>
                <w:rFonts w:hAnsi="Arial"/>
                <w:rFonts w:ascii="Arial"/>
                <w:sz w:val="20"/>
                <w:color w:val="black"/>
              </w:rPr>
              <w:t xml:space="preserve">Título profesional, título de posgrado en modalidad de especialización</w:t>
            </w:r>
          </w:p>
        </w:tc>
        <w:tc>
          <w:tcPr>
            <w:tcW w:w="3207" w:type="dxa"/>
            <w:tcMar/>
            <w:tcBorders/>
          </w:tcPr>
          <w:p>
            <w:pPr>
              <w:jc w:val="both"/>
            </w:pPr>
            <w:r>
              <w:rPr>
                <w:rFonts w:hAnsi="Arial"/>
                <w:rFonts w:ascii="Arial"/>
                <w:sz w:val="20"/>
                <w:color w:val="black"/>
              </w:rPr>
              <w:t xml:space="preserve">Cuarenta y ocho (48)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35</w:t>
            </w:r>
          </w:p>
        </w:tc>
        <w:tc>
          <w:tcPr>
            <w:tcW w:w="4063" w:type="dxa"/>
            <w:tcMar/>
            <w:tcBorders/>
          </w:tcPr>
          <w:p>
            <w:pPr>
              <w:jc w:val="center"/>
            </w:pPr>
            <w:r>
              <w:rPr>
                <w:rFonts w:hAnsi="Arial"/>
                <w:rFonts w:ascii="Arial"/>
                <w:sz w:val="20"/>
                <w:color w:val="black"/>
              </w:rPr>
              <w:t xml:space="preserve">Título profesional, título de posgrado en modalidad de maestría</w:t>
            </w:r>
          </w:p>
        </w:tc>
        <w:tc>
          <w:tcPr>
            <w:tcW w:w="3207" w:type="dxa"/>
            <w:tcMar/>
            <w:tcBorders/>
          </w:tcPr>
          <w:p>
            <w:pPr>
              <w:jc w:val="both"/>
            </w:pPr>
            <w:r>
              <w:rPr>
                <w:rFonts w:hAnsi="Arial"/>
                <w:rFonts w:ascii="Arial"/>
                <w:sz w:val="20"/>
                <w:color w:val="black"/>
              </w:rPr>
              <w:t xml:space="preserve">Veintiocho (28) meses de experiencia profesional relacionada</w:t>
              <w:br w:type="textWrapping"/>
              <w:t/>
            </w:r>
          </w:p>
        </w:tc>
      </w:tr>
      <w:tr>
        <w:trPr/>
        <w:tc>
          <w:tcPr>
            <w:tcW w:w="4888" w:type="dxa"/>
            <w:gridSpan w:val="2"/>
            <w:tcMar/>
            <w:tcBorders/>
          </w:tcPr>
          <w:p>
            <w:pPr>
              <w:jc w:val="both"/>
            </w:pPr>
            <w:r>
              <w:rPr>
                <w:rFonts w:hAnsi="Arial"/>
                <w:rFonts w:ascii="Arial"/>
                <w:sz w:val="20"/>
                <w:color w:val="black"/>
              </w:rPr>
              <w:t xml:space="preserve">Título profesional, título de posgrado en modalidad de especialización</w:t>
            </w:r>
          </w:p>
        </w:tc>
        <w:tc>
          <w:tcPr>
            <w:tcW w:w="3207" w:type="dxa"/>
            <w:tcMar/>
            <w:tcBorders/>
          </w:tcPr>
          <w:p>
            <w:pPr>
              <w:jc w:val="both"/>
            </w:pPr>
            <w:r>
              <w:rPr>
                <w:rFonts w:hAnsi="Arial"/>
                <w:rFonts w:ascii="Arial"/>
                <w:sz w:val="20"/>
                <w:color w:val="black"/>
              </w:rPr>
              <w:t xml:space="preserve">Cuarenta (40)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34</w:t>
            </w:r>
          </w:p>
        </w:tc>
        <w:tc>
          <w:tcPr>
            <w:tcW w:w="4063" w:type="dxa"/>
            <w:tcMar/>
            <w:tcBorders/>
          </w:tcPr>
          <w:p>
            <w:pPr>
              <w:jc w:val="center"/>
            </w:pPr>
            <w:r>
              <w:rPr>
                <w:rFonts w:hAnsi="Arial"/>
                <w:rFonts w:ascii="Arial"/>
                <w:sz w:val="20"/>
                <w:color w:val="black"/>
              </w:rPr>
              <w:t xml:space="preserve">Título profesional, título de posgrado en modalidad de maestría</w:t>
            </w:r>
          </w:p>
        </w:tc>
        <w:tc>
          <w:tcPr>
            <w:tcW w:w="3207" w:type="dxa"/>
            <w:tcMar/>
            <w:tcBorders/>
          </w:tcPr>
          <w:p>
            <w:pPr>
              <w:jc w:val="both"/>
            </w:pPr>
            <w:r>
              <w:rPr>
                <w:rFonts w:hAnsi="Arial"/>
                <w:rFonts w:ascii="Arial"/>
                <w:sz w:val="20"/>
                <w:color w:val="black"/>
              </w:rPr>
              <w:t xml:space="preserve">Veintiséis (26) meses de experiencia profesional relacionada</w:t>
              <w:br w:type="textWrapping"/>
              <w:t/>
            </w:r>
          </w:p>
        </w:tc>
      </w:tr>
      <w:tr>
        <w:trPr/>
        <w:tc>
          <w:tcPr>
            <w:tcW w:w="4888" w:type="dxa"/>
            <w:gridSpan w:val="2"/>
            <w:tcMar/>
            <w:tcBorders/>
          </w:tcPr>
          <w:p>
            <w:pPr>
              <w:jc w:val="both"/>
            </w:pPr>
            <w:r>
              <w:rPr>
                <w:rFonts w:hAnsi="Arial"/>
                <w:rFonts w:ascii="Arial"/>
                <w:sz w:val="20"/>
                <w:color w:val="black"/>
              </w:rPr>
              <w:t xml:space="preserve">Título profesional, título de posgrado en modalidad de especialización</w:t>
            </w:r>
          </w:p>
        </w:tc>
        <w:tc>
          <w:tcPr>
            <w:tcW w:w="3207" w:type="dxa"/>
            <w:tcMar/>
            <w:tcBorders/>
          </w:tcPr>
          <w:p>
            <w:pPr>
              <w:jc w:val="both"/>
            </w:pPr>
            <w:r>
              <w:rPr>
                <w:rFonts w:hAnsi="Arial"/>
                <w:rFonts w:ascii="Arial"/>
                <w:sz w:val="20"/>
                <w:color w:val="black"/>
              </w:rPr>
              <w:t xml:space="preserve">Treinta y ocho (38)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33</w:t>
            </w:r>
          </w:p>
        </w:tc>
        <w:tc>
          <w:tcPr>
            <w:tcW w:w="4063" w:type="dxa"/>
            <w:tcMar/>
            <w:tcBorders/>
          </w:tcPr>
          <w:p>
            <w:pPr>
              <w:jc w:val="center"/>
            </w:pPr>
            <w:r>
              <w:rPr>
                <w:rFonts w:hAnsi="Arial"/>
                <w:rFonts w:ascii="Arial"/>
                <w:sz w:val="20"/>
                <w:color w:val="black"/>
              </w:rPr>
              <w:t xml:space="preserve">Título profesional, título de posgrado en modalidad de maestría</w:t>
            </w:r>
          </w:p>
        </w:tc>
        <w:tc>
          <w:tcPr>
            <w:tcW w:w="3207" w:type="dxa"/>
            <w:tcMar/>
            <w:tcBorders/>
          </w:tcPr>
          <w:p>
            <w:pPr>
              <w:jc w:val="both"/>
            </w:pPr>
            <w:r>
              <w:rPr>
                <w:rFonts w:hAnsi="Arial"/>
                <w:rFonts w:ascii="Arial"/>
                <w:sz w:val="20"/>
                <w:color w:val="black"/>
              </w:rPr>
              <w:t xml:space="preserve">Veinticuatro (24) meses de experiencia profesional relacionada</w:t>
              <w:br w:type="textWrapping"/>
              <w:t/>
            </w:r>
          </w:p>
        </w:tc>
      </w:tr>
      <w:tr>
        <w:trPr/>
        <w:tc>
          <w:tcPr>
            <w:tcW w:w="4888" w:type="dxa"/>
            <w:gridSpan w:val="2"/>
            <w:tcMar/>
            <w:tcBorders/>
          </w:tcPr>
          <w:p>
            <w:pPr>
              <w:jc w:val="both"/>
            </w:pPr>
            <w:r>
              <w:rPr>
                <w:rFonts w:hAnsi="Arial"/>
                <w:rFonts w:ascii="Arial"/>
                <w:sz w:val="20"/>
                <w:color w:val="black"/>
              </w:rPr>
              <w:t xml:space="preserve">Título profesional, título de posgrado en modalidad de especialización</w:t>
            </w:r>
          </w:p>
        </w:tc>
        <w:tc>
          <w:tcPr>
            <w:tcW w:w="3207" w:type="dxa"/>
            <w:tcMar/>
            <w:tcBorders/>
          </w:tcPr>
          <w:p>
            <w:pPr>
              <w:jc w:val="both"/>
            </w:pPr>
            <w:r>
              <w:rPr>
                <w:rFonts w:hAnsi="Arial"/>
                <w:rFonts w:ascii="Arial"/>
                <w:sz w:val="20"/>
                <w:color w:val="black"/>
              </w:rPr>
              <w:t xml:space="preserve">Treinta y seis (36)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32</w:t>
            </w:r>
          </w:p>
        </w:tc>
        <w:tc>
          <w:tcPr>
            <w:tcW w:w="4063" w:type="dxa"/>
            <w:tcMar/>
            <w:tcBorders/>
          </w:tcPr>
          <w:p>
            <w:pPr>
              <w:jc w:val="center"/>
            </w:pPr>
            <w:r>
              <w:rPr>
                <w:rFonts w:hAnsi="Arial"/>
                <w:rFonts w:ascii="Arial"/>
                <w:sz w:val="20"/>
                <w:color w:val="black"/>
              </w:rPr>
              <w:t xml:space="preserve">Título profesional </w:t>
            </w:r>
            <w:r>
              <w:rPr>
                <w:rFonts w:hAnsi="Arial"/>
                <w:rFonts w:ascii="Arial"/>
                <w:sz w:val="20"/>
                <w:i/>
                <w:color w:val="black"/>
              </w:rPr>
              <w:t xml:space="preserve">y </w:t>
            </w:r>
            <w:r>
              <w:rPr>
                <w:rFonts w:hAnsi="Arial"/>
                <w:rFonts w:ascii="Arial"/>
                <w:sz w:val="20"/>
                <w:color w:val="black"/>
              </w:rPr>
              <w:t xml:space="preserve">título de posgrado en la modalidad de especialización</w:t>
            </w:r>
          </w:p>
        </w:tc>
        <w:tc>
          <w:tcPr>
            <w:tcW w:w="3207" w:type="dxa"/>
            <w:tcMar/>
            <w:tcBorders/>
          </w:tcPr>
          <w:p>
            <w:pPr>
              <w:jc w:val="both"/>
            </w:pPr>
            <w:r>
              <w:rPr>
                <w:rFonts w:hAnsi="Arial"/>
                <w:rFonts w:ascii="Arial"/>
                <w:sz w:val="20"/>
                <w:color w:val="black"/>
              </w:rPr>
              <w:t xml:space="preserve">Treinta y cuatro (34)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31</w:t>
            </w:r>
          </w:p>
        </w:tc>
        <w:tc>
          <w:tcPr>
            <w:tcW w:w="4063" w:type="dxa"/>
            <w:tcMar/>
            <w:tcBorders/>
          </w:tcPr>
          <w:p>
            <w:pPr>
              <w:jc w:val="center"/>
            </w:pPr>
            <w:r>
              <w:rPr>
                <w:rFonts w:hAnsi="Arial"/>
                <w:rFonts w:ascii="Arial"/>
                <w:sz w:val="20"/>
                <w:color w:val="black"/>
              </w:rPr>
              <w:t xml:space="preserve">Título profesional </w:t>
            </w:r>
            <w:r>
              <w:rPr>
                <w:rFonts w:hAnsi="Arial"/>
                <w:rFonts w:ascii="Arial"/>
                <w:sz w:val="20"/>
                <w:i/>
                <w:color w:val="black"/>
              </w:rPr>
              <w:t xml:space="preserve">y </w:t>
            </w:r>
            <w:r>
              <w:rPr>
                <w:rFonts w:hAnsi="Arial"/>
                <w:rFonts w:ascii="Arial"/>
                <w:sz w:val="20"/>
                <w:color w:val="black"/>
              </w:rPr>
              <w:t xml:space="preserve">título de posgrado en la modalidad de especialización</w:t>
            </w:r>
          </w:p>
        </w:tc>
        <w:tc>
          <w:tcPr>
            <w:tcW w:w="3207" w:type="dxa"/>
            <w:tcMar/>
            <w:tcBorders/>
          </w:tcPr>
          <w:p>
            <w:pPr>
              <w:jc w:val="both"/>
            </w:pPr>
            <w:r>
              <w:rPr>
                <w:rFonts w:hAnsi="Arial"/>
                <w:rFonts w:ascii="Arial"/>
                <w:sz w:val="20"/>
                <w:color w:val="black"/>
              </w:rPr>
              <w:t xml:space="preserve">Treinta y dos (32)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30</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Treinta (30)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29</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Veintiocho (28)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28</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Veintiséis (26)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27</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Veinticuatro (24)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26</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Veintidós (22)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25</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Veinte (20)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24</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Dieciocho (18)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23</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Dieciséis (16) meses de experiencia profesional relacionada</w:t>
              <w:br w:type="textWrapping"/>
              <w:t/>
            </w:r>
          </w:p>
        </w:tc>
      </w:tr>
      <w:tr>
        <w:trPr/>
        <w:tc>
          <w:tcPr>
            <w:tcW w:w="825" w:type="dxa"/>
            <w:tcMar/>
            <w:tcBorders/>
          </w:tcPr>
          <w:p>
            <w:pPr>
              <w:jc w:val="center"/>
            </w:pPr>
            <w:r>
              <w:rPr>
                <w:rFonts w:hAnsi="Arial"/>
                <w:rFonts w:ascii="Arial"/>
                <w:sz w:val="20"/>
                <w:color w:val="black"/>
              </w:rPr>
              <w:t/>
              <w:br w:type="textWrapping"/>
              <w:t>22</w:t>
            </w:r>
          </w:p>
        </w:tc>
        <w:tc>
          <w:tcPr>
            <w:tcW w:w="4063" w:type="dxa"/>
            <w:tcMar/>
            <w:tcBorders/>
          </w:tcPr>
          <w:p>
            <w:pPr>
              <w:jc w:val="center"/>
            </w:pPr>
            <w:r>
              <w:rPr>
                <w:rFonts w:hAnsi="Arial"/>
                <w:rFonts w:ascii="Arial"/>
                <w:sz w:val="20"/>
                <w:color w:val="black"/>
              </w:rPr>
              <w:t xml:space="preserve">Título profesional y título de posgrado en la modalidad de especialización</w:t>
            </w:r>
          </w:p>
        </w:tc>
        <w:tc>
          <w:tcPr>
            <w:tcW w:w="3207" w:type="dxa"/>
            <w:tcMar/>
            <w:tcBorders/>
          </w:tcPr>
          <w:p>
            <w:pPr>
              <w:jc w:val="both"/>
            </w:pPr>
            <w:r>
              <w:rPr>
                <w:rFonts w:hAnsi="Arial"/>
                <w:rFonts w:ascii="Arial"/>
                <w:sz w:val="20"/>
                <w:color w:val="black"/>
              </w:rPr>
              <w:t xml:space="preserve">Catorce (14) meses de experiencia profesional relacionada</w:t>
            </w:r>
          </w:p>
        </w:tc>
      </w:tr>
    </w:tbl>
    <w:p>
      <w:pPr>
        <w:jc w:val="both"/>
      </w:pPr>
      <w:rPr>
        <w:sz w:val="20"/>
        <w:color w:val="black"/>
      </w:rPr>
    </w:p>
    <w:tbl>
      <w:tblGrid>
        <w:gridCol w:w="880"/>
        <w:gridCol w:w="3580"/>
        <w:gridCol w:w="3620"/>
      </w:tblGrid>
      <w:tblPr>
        <w:tblW w:w="8093" w:type="dxa"/>
        <w:tblBorders/>
      </w:tblPr>
      <w:tr>
        <w:trPr/>
        <w:tc>
          <w:tcPr>
            <w:tcW w:w="888" w:type="dxa"/>
            <w:tcMar/>
            <w:tcBorders/>
          </w:tcPr>
          <w:p>
            <w:pPr>
              <w:jc w:val="center"/>
            </w:pPr>
            <w:r>
              <w:rPr>
                <w:rFonts w:hAnsi="Arial"/>
                <w:rFonts w:ascii="Arial"/>
                <w:sz w:val="20"/>
                <w:b/>
                <w:color w:val="black"/>
              </w:rPr>
              <w:t>Grado</w:t>
            </w:r>
          </w:p>
        </w:tc>
        <w:tc>
          <w:tcPr>
            <w:tcW w:w="3586" w:type="dxa"/>
            <w:tcMar/>
            <w:tcBorders/>
          </w:tcPr>
          <w:p>
            <w:pPr>
              <w:jc w:val="center"/>
            </w:pPr>
            <w:r>
              <w:rPr>
                <w:rFonts w:hAnsi="Arial"/>
                <w:rFonts w:ascii="Arial"/>
                <w:sz w:val="20"/>
                <w:b/>
                <w:color w:val="black"/>
              </w:rPr>
              <w:t>Estudio</w:t>
            </w:r>
          </w:p>
        </w:tc>
        <w:tc>
          <w:tcPr>
            <w:tcW w:w="3619" w:type="dxa"/>
            <w:tcMar/>
            <w:tcBorders/>
          </w:tcPr>
          <w:p>
            <w:pPr>
              <w:jc w:val="center"/>
            </w:pPr>
            <w:r>
              <w:rPr>
                <w:rFonts w:hAnsi="Arial"/>
                <w:rFonts w:ascii="Arial"/>
                <w:sz w:val="20"/>
                <w:b/>
                <w:color w:val="black"/>
              </w:rPr>
              <w:t>Experiencia</w:t>
            </w:r>
          </w:p>
        </w:tc>
      </w:tr>
      <w:tr>
        <w:trPr/>
        <w:tc>
          <w:tcPr>
            <w:tcW w:w="888" w:type="dxa"/>
            <w:tcMar/>
            <w:tcBorders/>
          </w:tcPr>
          <w:p>
            <w:pPr>
              <w:jc w:val="center"/>
            </w:pPr>
            <w:r>
              <w:rPr>
                <w:rFonts w:hAnsi="Arial"/>
                <w:rFonts w:ascii="Arial"/>
                <w:sz w:val="20"/>
                <w:color w:val="black"/>
              </w:rPr>
              <w:t/>
              <w:br w:type="textWrapping"/>
              <w:t>21</w:t>
            </w:r>
          </w:p>
        </w:tc>
        <w:tc>
          <w:tcPr>
            <w:tcW w:w="3586" w:type="dxa"/>
            <w:tcMar/>
            <w:tcBorders/>
          </w:tcPr>
          <w:p>
            <w:pPr>
              <w:jc w:val="center"/>
            </w:pPr>
            <w:r>
              <w:rPr>
                <w:rFonts w:hAnsi="Arial"/>
                <w:rFonts w:ascii="Arial"/>
                <w:sz w:val="20"/>
                <w:color w:val="black"/>
              </w:rPr>
              <w:t xml:space="preserve"/>
              <w:br w:type="textWrapping"/>
              <w:t>Título profesional y título de posgrado en la modalidad de especialización</w:t>
            </w:r>
          </w:p>
        </w:tc>
        <w:tc>
          <w:tcPr>
            <w:tcW w:w="3619" w:type="dxa"/>
            <w:tcMar/>
            <w:tcBorders/>
          </w:tcPr>
          <w:p>
            <w:pPr>
              <w:jc w:val="both"/>
            </w:pPr>
            <w:r>
              <w:rPr>
                <w:rFonts w:hAnsi="Arial"/>
                <w:rFonts w:ascii="Arial"/>
                <w:sz w:val="20"/>
                <w:color w:val="black"/>
              </w:rPr>
              <w:t xml:space="preserve"/>
              <w:br w:type="textWrapping"/>
              <w:t>Doce (12) meses de experiencia profesional relacionada</w:t>
            </w:r>
          </w:p>
        </w:tc>
      </w:tr>
      <w:tr>
        <w:trPr/>
        <w:tc>
          <w:tcPr>
            <w:tcW w:w="888" w:type="dxa"/>
            <w:tcMar/>
            <w:tcBorders/>
          </w:tcPr>
          <w:p>
            <w:pPr>
              <w:jc w:val="center"/>
            </w:pPr>
            <w:r>
              <w:rPr>
                <w:rFonts w:hAnsi="Arial"/>
                <w:rFonts w:ascii="Arial"/>
                <w:sz w:val="20"/>
                <w:color w:val="black"/>
              </w:rPr>
              <w:t>20</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Cuarenta (40) meses de experiencia profesional relacionada</w:t>
            </w:r>
          </w:p>
        </w:tc>
      </w:tr>
      <w:tr>
        <w:trPr/>
        <w:tc>
          <w:tcPr>
            <w:tcW w:w="888" w:type="dxa"/>
            <w:tcMar/>
            <w:tcBorders/>
          </w:tcPr>
          <w:p>
            <w:pPr>
              <w:jc w:val="center"/>
            </w:pPr>
            <w:r>
              <w:rPr>
                <w:rFonts w:hAnsi="Arial"/>
                <w:rFonts w:ascii="Arial"/>
                <w:sz w:val="20"/>
                <w:color w:val="black"/>
              </w:rPr>
              <w:t>19</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Treinta y ocho (38) meses de experiencia profesional relacionada</w:t>
            </w:r>
          </w:p>
        </w:tc>
      </w:tr>
      <w:tr>
        <w:trPr/>
        <w:tc>
          <w:tcPr>
            <w:tcW w:w="888" w:type="dxa"/>
            <w:tcMar/>
            <w:tcBorders/>
          </w:tcPr>
          <w:p>
            <w:pPr>
              <w:jc w:val="center"/>
            </w:pPr>
            <w:r>
              <w:rPr>
                <w:rFonts w:hAnsi="Arial"/>
                <w:rFonts w:ascii="Arial"/>
                <w:sz w:val="20"/>
                <w:color w:val="black"/>
              </w:rPr>
              <w:t>18</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Treinta y seis (36) meses de experiencia profesional relacionada</w:t>
            </w:r>
          </w:p>
        </w:tc>
      </w:tr>
      <w:tr>
        <w:trPr/>
        <w:tc>
          <w:tcPr>
            <w:tcW w:w="888" w:type="dxa"/>
            <w:tcMar/>
            <w:tcBorders/>
          </w:tcPr>
          <w:p>
            <w:pPr>
              <w:jc w:val="center"/>
            </w:pPr>
            <w:r>
              <w:rPr>
                <w:rFonts w:hAnsi="Arial"/>
                <w:rFonts w:ascii="Arial"/>
                <w:sz w:val="20"/>
                <w:color w:val="black"/>
              </w:rPr>
              <w:t>17</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Treinta y cuatro (34) meses de experiencia profesional relacionada</w:t>
            </w:r>
          </w:p>
        </w:tc>
      </w:tr>
      <w:tr>
        <w:trPr/>
        <w:tc>
          <w:tcPr>
            <w:tcW w:w="888" w:type="dxa"/>
            <w:tcMar/>
            <w:tcBorders/>
          </w:tcPr>
          <w:p>
            <w:pPr>
              <w:jc w:val="center"/>
            </w:pPr>
            <w:r>
              <w:rPr>
                <w:rFonts w:hAnsi="Arial"/>
                <w:rFonts w:ascii="Arial"/>
                <w:sz w:val="20"/>
                <w:color w:val="black"/>
              </w:rPr>
              <w:t>16</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Treinta y dos (32) meses de experiencia profesional relacionada</w:t>
            </w:r>
          </w:p>
        </w:tc>
      </w:tr>
      <w:tr>
        <w:trPr/>
        <w:tc>
          <w:tcPr>
            <w:tcW w:w="888" w:type="dxa"/>
            <w:tcMar/>
            <w:tcBorders/>
          </w:tcPr>
          <w:p>
            <w:pPr>
              <w:jc w:val="center"/>
            </w:pPr>
            <w:r>
              <w:rPr>
                <w:rFonts w:hAnsi="Arial"/>
                <w:rFonts w:ascii="Arial"/>
                <w:sz w:val="20"/>
                <w:color w:val="black"/>
              </w:rPr>
              <w:t>15</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Treinta (30) meses de experiencia profesional relacionada</w:t>
            </w:r>
          </w:p>
        </w:tc>
      </w:tr>
      <w:tr>
        <w:trPr/>
        <w:tc>
          <w:tcPr>
            <w:tcW w:w="888" w:type="dxa"/>
            <w:tcMar/>
            <w:tcBorders/>
          </w:tcPr>
          <w:p>
            <w:pPr>
              <w:jc w:val="center"/>
            </w:pPr>
            <w:r>
              <w:rPr>
                <w:rFonts w:hAnsi="Arial"/>
                <w:rFonts w:ascii="Arial"/>
                <w:sz w:val="20"/>
                <w:color w:val="black"/>
              </w:rPr>
              <w:t>14</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Veintiocho (28) meses de experiencia profesional relacionada</w:t>
            </w:r>
          </w:p>
        </w:tc>
      </w:tr>
      <w:tr>
        <w:trPr/>
        <w:tc>
          <w:tcPr>
            <w:tcW w:w="888" w:type="dxa"/>
            <w:tcMar/>
            <w:tcBorders/>
          </w:tcPr>
          <w:p>
            <w:pPr>
              <w:jc w:val="center"/>
            </w:pPr>
            <w:r>
              <w:rPr>
                <w:rFonts w:hAnsi="Arial"/>
                <w:rFonts w:ascii="Arial"/>
                <w:sz w:val="20"/>
                <w:color w:val="black"/>
              </w:rPr>
              <w:t>13</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Veintiséis (26) meses de experiencia profesional relacionada</w:t>
            </w:r>
          </w:p>
        </w:tc>
      </w:tr>
      <w:tr>
        <w:trPr/>
        <w:tc>
          <w:tcPr>
            <w:tcW w:w="888" w:type="dxa"/>
            <w:tcMar/>
            <w:tcBorders/>
          </w:tcPr>
          <w:p>
            <w:pPr>
              <w:jc w:val="center"/>
            </w:pPr>
            <w:r>
              <w:rPr>
                <w:rFonts w:hAnsi="Arial"/>
                <w:rFonts w:ascii="Arial"/>
                <w:sz w:val="20"/>
                <w:color w:val="black"/>
              </w:rPr>
              <w:t>12</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Veinticuatro (24) meses de experiencia profesional relacionada</w:t>
            </w:r>
          </w:p>
        </w:tc>
      </w:tr>
      <w:tr>
        <w:trPr/>
        <w:tc>
          <w:tcPr>
            <w:tcW w:w="888" w:type="dxa"/>
            <w:tcMar/>
            <w:tcBorders/>
          </w:tcPr>
          <w:p>
            <w:pPr>
              <w:jc w:val="center"/>
            </w:pPr>
            <w:r>
              <w:rPr>
                <w:rFonts w:hAnsi="Arial"/>
                <w:rFonts w:ascii="Arial"/>
                <w:sz w:val="20"/>
                <w:color w:val="black"/>
              </w:rPr>
              <w:t>11</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Veintidós (22) meses de experiencia profesional relacionada</w:t>
            </w:r>
          </w:p>
        </w:tc>
      </w:tr>
      <w:tr>
        <w:trPr/>
        <w:tc>
          <w:tcPr>
            <w:tcW w:w="888" w:type="dxa"/>
            <w:tcMar/>
            <w:tcBorders/>
          </w:tcPr>
          <w:p>
            <w:pPr>
              <w:jc w:val="center"/>
            </w:pPr>
            <w:r>
              <w:rPr>
                <w:rFonts w:hAnsi="Arial"/>
                <w:rFonts w:ascii="Arial"/>
                <w:sz w:val="20"/>
                <w:color w:val="black"/>
              </w:rPr>
              <w:t>10</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Veinte (20) meses de experiencia profesional relacionada</w:t>
            </w:r>
          </w:p>
        </w:tc>
      </w:tr>
      <w:tr>
        <w:trPr/>
        <w:tc>
          <w:tcPr>
            <w:tcW w:w="888" w:type="dxa"/>
            <w:tcMar/>
            <w:tcBorders/>
          </w:tcPr>
          <w:p>
            <w:pPr>
              <w:jc w:val="center"/>
            </w:pPr>
            <w:r>
              <w:rPr>
                <w:rFonts w:hAnsi="Arial"/>
                <w:rFonts w:ascii="Arial"/>
                <w:sz w:val="20"/>
                <w:color w:val="black"/>
              </w:rPr>
              <w:t>9</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Dieciocho (18) meses de experiencia profesional relacionada</w:t>
            </w:r>
          </w:p>
        </w:tc>
      </w:tr>
      <w:tr>
        <w:trPr/>
        <w:tc>
          <w:tcPr>
            <w:tcW w:w="888" w:type="dxa"/>
            <w:tcMar/>
            <w:tcBorders/>
          </w:tcPr>
          <w:p>
            <w:pPr>
              <w:jc w:val="center"/>
            </w:pPr>
            <w:r>
              <w:rPr>
                <w:rFonts w:hAnsi="Arial"/>
                <w:rFonts w:ascii="Arial"/>
                <w:sz w:val="20"/>
                <w:color w:val="black"/>
              </w:rPr>
              <w:t>8</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Dieciséis (16) meses de experiencia profesional relacionada</w:t>
            </w:r>
          </w:p>
        </w:tc>
      </w:tr>
      <w:tr>
        <w:trPr/>
        <w:tc>
          <w:tcPr>
            <w:tcW w:w="888" w:type="dxa"/>
            <w:tcMar/>
            <w:tcBorders/>
          </w:tcPr>
          <w:p>
            <w:pPr>
              <w:jc w:val="center"/>
            </w:pPr>
            <w:r>
              <w:rPr>
                <w:rFonts w:hAnsi="Arial"/>
                <w:rFonts w:ascii="Arial"/>
                <w:sz w:val="20"/>
                <w:color w:val="black"/>
              </w:rPr>
              <w:t>7</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Catorce (14) meses de experiencia profesional relacionada</w:t>
            </w:r>
          </w:p>
        </w:tc>
      </w:tr>
      <w:tr>
        <w:trPr/>
        <w:tc>
          <w:tcPr>
            <w:tcW w:w="888" w:type="dxa"/>
            <w:tcMar/>
            <w:tcBorders/>
          </w:tcPr>
          <w:p>
            <w:pPr>
              <w:jc w:val="center"/>
            </w:pPr>
            <w:r>
              <w:rPr>
                <w:rFonts w:hAnsi="Arial"/>
                <w:rFonts w:ascii="Arial"/>
                <w:sz w:val="20"/>
                <w:color w:val="black"/>
              </w:rPr>
              <w:t>6</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Doce (12) meses de experiencia profesional relacionada</w:t>
            </w:r>
          </w:p>
        </w:tc>
      </w:tr>
      <w:tr>
        <w:trPr/>
        <w:tc>
          <w:tcPr>
            <w:tcW w:w="888" w:type="dxa"/>
            <w:tcMar/>
            <w:tcBorders/>
          </w:tcPr>
          <w:p>
            <w:pPr>
              <w:jc w:val="center"/>
            </w:pPr>
            <w:r>
              <w:rPr>
                <w:rFonts w:hAnsi="Arial"/>
                <w:rFonts w:ascii="Arial"/>
                <w:sz w:val="20"/>
                <w:color w:val="black"/>
              </w:rPr>
              <w:t>5</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Diez (10) meses de experiencia profesional relacionada</w:t>
            </w:r>
          </w:p>
        </w:tc>
      </w:tr>
      <w:tr>
        <w:trPr/>
        <w:tc>
          <w:tcPr>
            <w:tcW w:w="888" w:type="dxa"/>
            <w:tcMar/>
            <w:tcBorders/>
          </w:tcPr>
          <w:p>
            <w:pPr>
              <w:jc w:val="center"/>
            </w:pPr>
            <w:r>
              <w:rPr>
                <w:rFonts w:hAnsi="Arial"/>
                <w:rFonts w:ascii="Arial"/>
                <w:sz w:val="20"/>
                <w:color w:val="black"/>
              </w:rPr>
              <w:t>4</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Ocho (8) meses de experiencia profesional relacionada</w:t>
            </w:r>
          </w:p>
        </w:tc>
      </w:tr>
      <w:tr>
        <w:trPr/>
        <w:tc>
          <w:tcPr>
            <w:tcW w:w="888" w:type="dxa"/>
            <w:tcMar/>
            <w:tcBorders/>
          </w:tcPr>
          <w:p>
            <w:pPr>
              <w:jc w:val="center"/>
            </w:pPr>
            <w:r>
              <w:rPr>
                <w:rFonts w:hAnsi="Arial"/>
                <w:rFonts w:ascii="Arial"/>
                <w:sz w:val="20"/>
                <w:color w:val="black"/>
              </w:rPr>
              <w:t>3</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Seis (6) meses de experiencia profesional relacionada</w:t>
            </w:r>
          </w:p>
        </w:tc>
      </w:tr>
      <w:tr>
        <w:trPr/>
        <w:tc>
          <w:tcPr>
            <w:tcW w:w="888" w:type="dxa"/>
            <w:tcMar/>
            <w:tcBorders/>
          </w:tcPr>
          <w:p>
            <w:pPr>
              <w:jc w:val="center"/>
            </w:pPr>
            <w:r>
              <w:rPr>
                <w:rFonts w:hAnsi="Arial"/>
                <w:rFonts w:ascii="Arial"/>
                <w:sz w:val="20"/>
                <w:color w:val="black"/>
              </w:rPr>
              <w:t>2</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Cuatro (4) meses de experiencia profesional relacionada</w:t>
            </w:r>
          </w:p>
        </w:tc>
      </w:tr>
      <w:tr>
        <w:trPr/>
        <w:tc>
          <w:tcPr>
            <w:tcW w:w="888" w:type="dxa"/>
            <w:tcMar/>
            <w:tcBorders/>
          </w:tcPr>
          <w:p>
            <w:pPr>
              <w:jc w:val="center"/>
            </w:pPr>
            <w:r>
              <w:rPr>
                <w:rFonts w:hAnsi="Arial"/>
                <w:rFonts w:ascii="Arial"/>
                <w:sz w:val="20"/>
                <w:color w:val="black"/>
              </w:rPr>
              <w:t>1</w:t>
            </w:r>
          </w:p>
        </w:tc>
        <w:tc>
          <w:tcPr>
            <w:tcW w:w="3586" w:type="dxa"/>
            <w:tcMar/>
            <w:tcBorders/>
          </w:tcPr>
          <w:p>
            <w:pPr>
              <w:jc w:val="center"/>
            </w:pPr>
            <w:r>
              <w:rPr>
                <w:rFonts w:hAnsi="Arial"/>
                <w:rFonts w:ascii="Arial"/>
                <w:sz w:val="20"/>
                <w:color w:val="black"/>
              </w:rPr>
              <w:t xml:space="preserve"/>
              <w:br w:type="textWrapping"/>
              <w:t>Título profesional</w:t>
            </w:r>
          </w:p>
        </w:tc>
        <w:tc>
          <w:tcPr>
            <w:tcW w:w="3619" w:type="dxa"/>
            <w:tcMar/>
            <w:tcBorders/>
          </w:tcPr>
          <w:p>
            <w:pPr>
              <w:jc w:val="both"/>
            </w:pPr>
            <w:r>
              <w:rPr>
                <w:rFonts w:hAnsi="Arial"/>
                <w:rFonts w:ascii="Arial"/>
                <w:sz w:val="20"/>
                <w:color w:val="black"/>
              </w:rPr>
              <w:t xml:space="preserve"/>
              <w:br w:type="textWrapping"/>
              <w:t>Dos (2) meses de experiencia profesional relacionada</w:t>
            </w:r>
          </w:p>
        </w:tc>
      </w:tr>
    </w:tbl>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58" w:name="2.2.1.1.1.3.3"/>
      <w:r>
        <w:rPr>
          <w:rFonts w:hAnsi="Arial"/>
          <w:rFonts w:ascii="Arial"/>
          <w:sz w:val="24"/>
          <w:color w:val="navy"/>
        </w:rPr>
        <w:t xml:space="preserve">ARTÍCULO 2.2.1.1.1.3.3. </w:t>
      </w:r>
      <w:r>
        <w:rPr>
          <w:rFonts w:hAnsi="Arial"/>
          <w:rFonts w:ascii="Arial"/>
          <w:sz w:val="24"/>
          <w:i/>
          <w:color w:val="navy"/>
        </w:rPr>
        <w:t xml:space="preserve">REQUISITOS DEL NIVEL PROFESIONAL.</w:t>
      </w:r>
      <w:bookmarkEnd w:id="59858"/>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profesional del Sector Defensa, en las denominaciones de Profesional de Seguridad o Profesional de Defensa, serán los siguientes:</w:t>
      </w:r>
    </w:p>
    <w:p>
      <w:pPr>
        <w:jc w:val="both"/>
      </w:pPr>
      <w:rPr>
        <w:sz w:val="24"/>
        <w:color w:val="black"/>
      </w:rPr>
    </w:p>
    <w:p>
      <w:pPr>
        <w:jc w:val="both"/>
      </w:pPr>
      <w:r>
        <w:rPr>
          <w:rFonts w:hAnsi="Arial"/>
          <w:rFonts w:ascii="Arial"/>
          <w:sz w:val="20"/>
          <w:b/>
          <w:color w:val="black"/>
        </w:rPr>
        <w:t xml:space="preserve">Requisitos Nivel Profesional</w:t>
      </w:r>
    </w:p>
    <w:p>
      <w:pPr>
        <w:jc w:val="both"/>
      </w:pPr>
      <w:rPr>
        <w:sz w:val="20"/>
        <w:color w:val="black"/>
      </w:rPr>
    </w:p>
    <w:p>
      <w:pPr>
        <w:jc w:val="both"/>
      </w:pPr>
      <w:rPr>
        <w:sz w:val="20"/>
        <w:color w:val="black"/>
      </w:rP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59" w:name="2.2.1.1.1.3.4"/>
      <w:r>
        <w:rPr>
          <w:rFonts w:hAnsi="Arial"/>
          <w:rFonts w:ascii="Arial"/>
          <w:sz w:val="24"/>
          <w:color w:val="navy"/>
        </w:rPr>
        <w:t xml:space="preserve">ARTÍCULO 2.2.1.1.1.3.4. </w:t>
      </w:r>
      <w:r>
        <w:rPr>
          <w:rFonts w:hAnsi="Arial"/>
          <w:rFonts w:ascii="Arial"/>
          <w:sz w:val="24"/>
          <w:i/>
          <w:color w:val="navy"/>
        </w:rPr>
        <w:t xml:space="preserve">REQUISITOS DEL NIVEL ORIENTADOR DE DEFENSA O ESPIRITUAL.</w:t>
      </w:r>
      <w:bookmarkEnd w:id="59859"/>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Orientador del Sector Defensa, en las denominaciones de Orientador de Defensa u Orientador Espiritual, serán los siguientes:</w:t>
      </w:r>
    </w:p>
    <w:p>
      <w:pPr>
        <w:jc w:val="both"/>
      </w:pPr>
      <w:rPr>
        <w:sz w:val="24"/>
        <w:color w:val="black"/>
      </w:rPr>
    </w:p>
    <w:p>
      <w:pPr>
        <w:jc w:val="both"/>
      </w:pPr>
      <w:r>
        <w:rPr>
          <w:rFonts w:hAnsi="Arial"/>
          <w:rFonts w:ascii="Arial"/>
          <w:sz w:val="20"/>
          <w:b/>
          <w:color w:val="black"/>
        </w:rPr>
        <w:t xml:space="preserve">Requisitos del Nivel Orientador de Defensa o Espiritual</w:t>
      </w:r>
    </w:p>
    <w:p>
      <w:pPr>
        <w:jc w:val="both"/>
      </w:pPr>
      <w:rPr>
        <w:sz w:val="20"/>
        <w:color w:val="black"/>
      </w:rPr>
    </w:p>
    <w:p>
      <w:pPr>
        <w:jc w:val="both"/>
      </w:pPr>
      <w:rPr>
        <w:sz w:val="24"/>
        <w:color w:val="black"/>
      </w:rP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60" w:name="2.2.1.1.1.3.5"/>
      <w:r>
        <w:rPr>
          <w:rFonts w:hAnsi="Arial"/>
          <w:rFonts w:ascii="Arial"/>
          <w:sz w:val="24"/>
          <w:color w:val="navy"/>
        </w:rPr>
        <w:t xml:space="preserve">ARTÍCULO 2.2.1.1.1.3.5. </w:t>
      </w:r>
      <w:r>
        <w:rPr>
          <w:rFonts w:hAnsi="Arial"/>
          <w:rFonts w:ascii="Arial"/>
          <w:sz w:val="24"/>
          <w:i/>
          <w:color w:val="navy"/>
        </w:rPr>
        <w:t xml:space="preserve">REQUISITOS DEL NIVEL TÉCNICO.</w:t>
      </w:r>
      <w:bookmarkEnd w:id="59860"/>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Técnico del Sector Defensa, en las denominaciones de Técnico de Servicios, Técnico de Inteligencia, Técnico de Policía Judicial, Técnico para Apoyo de Seguridad o Técnico para Apoyo de Defensa, serán los siguientes:</w:t>
      </w:r>
    </w:p>
    <w:p>
      <w:pPr>
        <w:jc w:val="both"/>
      </w:pPr>
      <w:rPr>
        <w:sz w:val="24"/>
        <w:color w:val="black"/>
      </w:rPr>
    </w:p>
    <w:p>
      <w:pPr>
        <w:jc w:val="both"/>
      </w:pPr>
      <w:r>
        <w:rPr>
          <w:rFonts w:hAnsi="Arial"/>
          <w:rFonts w:ascii="Arial"/>
          <w:sz w:val="20"/>
          <w:b/>
          <w:color w:val="black"/>
        </w:rPr>
        <w:t xml:space="preserve">Requisitos del Nivel Técnico</w:t>
      </w:r>
    </w:p>
    <w:p>
      <w:pPr>
        <w:jc w:val="both"/>
      </w:pPr>
      <w:rPr>
        <w:sz w:val="20"/>
        <w:color w:val="black"/>
      </w:rPr>
    </w:p>
    <w:p>
      <w:pPr>
        <w:jc w:val="both"/>
      </w:pPr>
      <w:rPr>
        <w:sz w:val="20"/>
        <w:color w:val="black"/>
      </w:rPr>
    </w:p>
    <w:p>
      <w:pPr>
        <w:jc w:val="both"/>
      </w:pPr>
      <w:rPr>
        <w:sz w:val="24"/>
        <w:color w:val="black"/>
      </w:rP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61" w:name="2.2.1.1.1.3.6"/>
      <w:r>
        <w:rPr>
          <w:rFonts w:hAnsi="Arial"/>
          <w:rFonts w:ascii="Arial"/>
          <w:sz w:val="24"/>
          <w:color w:val="navy"/>
        </w:rPr>
        <w:t xml:space="preserve">ARTÍCULO 2.2.1.1.1.3.6. </w:t>
      </w:r>
      <w:r>
        <w:rPr>
          <w:rFonts w:hAnsi="Arial"/>
          <w:rFonts w:ascii="Arial"/>
          <w:sz w:val="24"/>
          <w:i/>
          <w:color w:val="navy"/>
        </w:rPr>
        <w:t xml:space="preserve">REQUISITOS DEL NIVEL ASISTENCIAL.</w:t>
      </w:r>
      <w:bookmarkEnd w:id="59861"/>
      <w:r>
        <w:rPr>
          <w:rFonts w:hAnsi="Arial"/>
          <w:rFonts w:ascii="Arial"/>
          <w:sz w:val="24"/>
          <w:b/>
          <w:i/>
          <w:color w:val="black"/>
        </w:rPr>
        <w:t xml:space="preserve"> </w:t>
      </w:r>
      <w:r>
        <w:rPr>
          <w:rFonts w:hAnsi="Arial"/>
          <w:rFonts w:ascii="Arial"/>
          <w:sz w:val="24"/>
          <w:color w:val="black"/>
        </w:rPr>
        <w:t xml:space="preserve">Los requisitos con la nomenclatura y clasificación para los diferentes empleos del Nivel Asistencial del Sector Defensa, en las denominaciones de Auxiliar de Servicios, Auxiliar de Inteligencia, Auxiliar de Policía Judicial, Auxiliar para Apoyo de Seguridad y Auxiliar para Apoyo de Defensa, serán los siguientes:</w:t>
      </w:r>
    </w:p>
    <w:p>
      <w:pPr>
        <w:jc w:val="both"/>
      </w:pPr>
      <w:rPr>
        <w:sz w:val="24"/>
        <w:color w:val="black"/>
      </w:rPr>
    </w:p>
    <w:p>
      <w:pPr>
        <w:jc w:val="both"/>
      </w:pPr>
      <w:r>
        <w:rPr>
          <w:rFonts w:hAnsi="Arial"/>
          <w:rFonts w:ascii="Arial"/>
          <w:sz w:val="20"/>
          <w:b/>
          <w:color w:val="black"/>
        </w:rPr>
        <w:t xml:space="preserve">Requisitos del Nivel Asistencial</w:t>
      </w:r>
    </w:p>
    <w:p>
      <w:pPr>
        <w:jc w:val="both"/>
      </w:pPr>
      <w:rPr>
        <w:sz w:val="20"/>
        <w:color w:val="black"/>
      </w:rPr>
    </w:p>
    <w:p>
      <w:pPr>
        <w:jc w:val="both"/>
      </w:pPr>
      <w:rPr>
        <w:sz w:val="20"/>
        <w:color w:val="black"/>
      </w:rP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862" w:name="SUBSECCIÓN 2.2.1.1.1.4"/>
      <w:r>
        <w:rPr>
          <w:rFonts w:hAnsi="Arial"/>
          <w:rFonts w:ascii="Arial"/>
          <w:sz w:val="24"/>
          <w:color w:val="navy"/>
        </w:rPr>
        <w:t xml:space="preserve">SUBSECCIÓN 4. </w:t>
      </w:r>
    </w:p>
    <w:p>
      <w:pPr>
        <w:jc w:val="center"/>
      </w:pPr>
      <w:r>
        <w:rPr>
          <w:rFonts w:hAnsi="Arial"/>
          <w:rFonts w:ascii="Arial"/>
          <w:sz w:val="24"/>
          <w:color w:val="navy"/>
        </w:rPr>
        <w:t xml:space="preserve">EQUIVALENCIAS ENTRE ESTUDIO Y EXPERIENCIA.</w:t>
      </w:r>
      <w:bookmarkEnd w:id="59862"/>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63" w:name="2.2.1.1.1.4.1"/>
      <w:r>
        <w:rPr>
          <w:rFonts w:hAnsi="Arial"/>
          <w:rFonts w:ascii="Arial"/>
          <w:sz w:val="24"/>
          <w:color w:val="navy"/>
        </w:rPr>
        <w:t xml:space="preserve">ARTÍCULO 2.2.1.1.1.4.1. </w:t>
      </w:r>
      <w:r>
        <w:rPr>
          <w:rFonts w:hAnsi="Arial"/>
          <w:rFonts w:ascii="Arial"/>
          <w:sz w:val="24"/>
          <w:i/>
          <w:color w:val="navy"/>
        </w:rPr>
        <w:t xml:space="preserve">EQUIVALENCIAS ENTRE ESTUDIO Y EXPERIENCIA.</w:t>
      </w:r>
      <w:bookmarkEnd w:id="59863"/>
      <w:r>
        <w:rPr>
          <w:rFonts w:hAnsi="Arial"/>
          <w:rFonts w:ascii="Arial"/>
          <w:sz w:val="24"/>
          <w:b/>
          <w:i/>
          <w:color w:val="black"/>
        </w:rPr>
        <w:t xml:space="preserve"> </w:t>
      </w:r>
      <w:r>
        <w:rPr>
          <w:rFonts w:hAnsi="Arial"/>
          <w:rFonts w:ascii="Arial"/>
          <w:sz w:val="24"/>
          <w:color w:val="black"/>
        </w:rPr>
        <w:t xml:space="preserve">Los requisitos de que trata la presente Sección no podrán ser aumentados o disminuidos. Sin embargo, de acuerdo con la jerarquía, las funciones y las responsabilidades de cada empleo, las autoridades competentes por necesidades propias del servicio y sin perjuicio de la compensación de requisitos prevista en el Decreto </w:t>
      </w:r>
      <w:r>
        <w:fldChar w:fldCharType="begin"/>
      </w:r>
      <w:r>
        <w:instrText>HYPERLINK "http://www.redjurista.com/document.aspx?ajcode=d0092007&amp;arts=INICIO"</w:instrText>
      </w:r>
      <w:r>
        <w:fldChar w:fldCharType="separate"/>
      </w:r>
      <w:r>
        <w:rPr>
          <w:rFonts w:hAnsi="Arial"/>
          <w:rFonts w:ascii="Arial"/>
          <w:sz w:val="24"/>
          <w:u w:val="single"/>
          <w:color w:val="black"/>
        </w:rPr>
        <w:t>092</w:t>
      </w:r>
      <w:r>
        <w:fldChar w:fldCharType="end"/>
      </w:r>
      <w:r>
        <w:rPr>
          <w:rFonts w:hAnsi="Arial"/>
          <w:rFonts w:ascii="Arial"/>
          <w:sz w:val="24"/>
          <w:u w:val="none"/>
          <w:color w:val="black"/>
        </w:rPr>
        <w:t xml:space="preserve"> de 2007, podrá aplicar las siguientes equivalencias:</w:t>
      </w:r>
    </w:p>
    <w:p>
      <w:pPr>
        <w:jc w:val="both"/>
      </w:pPr>
      <w:rPr>
        <w:sz w:val="24"/>
        <w:color w:val="black"/>
      </w:rPr>
    </w:p>
    <w:p>
      <w:pPr>
        <w:jc w:val="both"/>
      </w:pPr>
      <w:r>
        <w:rPr>
          <w:rFonts w:hAnsi="Arial"/>
          <w:rFonts w:ascii="Arial"/>
          <w:sz w:val="24"/>
          <w:b/>
          <w:color w:val="black"/>
        </w:rPr>
        <w:t xml:space="preserve">1. Para los empleos pertenecientes a los niveles Directivo, Asesor, Profesional, y desde el grado trece (13) para Orientador de Defensa o Espiritual.</w:t>
      </w:r>
    </w:p>
    <w:p>
      <w:pPr>
        <w:jc w:val="both"/>
      </w:pPr>
      <w:rPr>
        <w:sz w:val="24"/>
        <w:color w:val="black"/>
      </w:rPr>
    </w:p>
    <w:p>
      <w:pPr>
        <w:jc w:val="both"/>
      </w:pPr>
      <w:r>
        <w:rPr>
          <w:rFonts w:hAnsi="Arial"/>
          <w:rFonts w:ascii="Arial"/>
          <w:sz w:val="24"/>
          <w:color w:val="black"/>
        </w:rPr>
        <w:t xml:space="preserve">1.1 Título de posgrado en la modalidad de especialización por:</w:t>
      </w:r>
    </w:p>
    <w:p>
      <w:pPr>
        <w:jc w:val="both"/>
      </w:pPr>
      <w:rPr>
        <w:sz w:val="24"/>
        <w:color w:val="black"/>
      </w:rPr>
    </w:p>
    <w:p>
      <w:pPr>
        <w:jc w:val="both"/>
      </w:pPr>
      <w:r>
        <w:rPr>
          <w:rFonts w:hAnsi="Arial"/>
          <w:rFonts w:ascii="Arial"/>
          <w:sz w:val="24"/>
          <w:color w:val="black"/>
        </w:rPr>
        <w:t xml:space="preserve">1.1.1 Veinticuatro (24) meses de experiencia profesional y viceversa, siempre que se acredite el título profesional, o</w:t>
      </w:r>
    </w:p>
    <w:p>
      <w:pPr>
        <w:jc w:val="both"/>
      </w:pPr>
      <w:rPr>
        <w:sz w:val="24"/>
        <w:color w:val="black"/>
      </w:rPr>
    </w:p>
    <w:p>
      <w:pPr>
        <w:jc w:val="both"/>
      </w:pPr>
      <w:r>
        <w:rPr>
          <w:rFonts w:hAnsi="Arial"/>
          <w:rFonts w:ascii="Arial"/>
          <w:sz w:val="24"/>
          <w:color w:val="black"/>
        </w:rPr>
        <w:t xml:space="preserve">1.2 Título profesional adicional al exigido en el requisito del respectivo empleo, siempre y cuando dicha formación adicional sea afín con las funciones del empleo, o</w:t>
      </w:r>
    </w:p>
    <w:p>
      <w:pPr>
        <w:jc w:val="both"/>
      </w:pPr>
      <w:rPr>
        <w:sz w:val="24"/>
        <w:color w:val="black"/>
      </w:rPr>
    </w:p>
    <w:p>
      <w:pPr>
        <w:jc w:val="both"/>
      </w:pPr>
      <w:r>
        <w:rPr>
          <w:rFonts w:hAnsi="Arial"/>
          <w:rFonts w:ascii="Arial"/>
          <w:sz w:val="24"/>
          <w:color w:val="black"/>
        </w:rPr>
        <w:t xml:space="preserve">1.3 Terminación y aprobación de estudios profesionales adicionales al título profesional exigido en el requisito del respectivo empleo, siempre y cuando dicha formación adicional sea afín con las funciones del cargo, y un (1) año de experiencia profesional, o</w:t>
      </w:r>
    </w:p>
    <w:p>
      <w:pPr>
        <w:jc w:val="both"/>
      </w:pPr>
      <w:rPr>
        <w:sz w:val="24"/>
        <w:color w:val="black"/>
      </w:rPr>
    </w:p>
    <w:p>
      <w:pPr>
        <w:jc w:val="both"/>
      </w:pPr>
      <w:r>
        <w:rPr>
          <w:rFonts w:hAnsi="Arial"/>
          <w:rFonts w:ascii="Arial"/>
          <w:sz w:val="24"/>
          <w:color w:val="black"/>
        </w:rPr>
        <w:t xml:space="preserve">1.4 Título técnico o tecnológico adicional al título profesional exigido en el requisito del respectivo empleo, siempre y cuando dicha formación adicional sea afín con las funciones del empleo, y dos (2) años de experiencia técnica relacionada, o</w:t>
      </w:r>
    </w:p>
    <w:p>
      <w:pPr>
        <w:jc w:val="both"/>
      </w:pPr>
      <w:rPr>
        <w:sz w:val="24"/>
        <w:color w:val="black"/>
      </w:rPr>
    </w:p>
    <w:p>
      <w:pPr>
        <w:jc w:val="both"/>
      </w:pPr>
      <w:r>
        <w:rPr>
          <w:rFonts w:hAnsi="Arial"/>
          <w:rFonts w:ascii="Arial"/>
          <w:sz w:val="24"/>
          <w:color w:val="black"/>
        </w:rPr>
        <w:t xml:space="preserve">1.1.5 Dominio de otro idioma distinto al español adicional al título profesional exigido en el requisito del respectivo empleo, siempre y cuando dicho idioma tenga afinidad con las funciones del empleo.</w:t>
      </w:r>
    </w:p>
    <w:p>
      <w:pPr>
        <w:jc w:val="both"/>
      </w:pPr>
      <w:rPr>
        <w:sz w:val="24"/>
        <w:color w:val="black"/>
      </w:rPr>
    </w:p>
    <w:p>
      <w:pPr>
        <w:jc w:val="both"/>
      </w:pPr>
      <w:r>
        <w:rPr>
          <w:rFonts w:hAnsi="Arial"/>
          <w:rFonts w:ascii="Arial"/>
          <w:sz w:val="24"/>
          <w:color w:val="black"/>
        </w:rPr>
        <w:t xml:space="preserve">1.2 El título de posgrado en la modalidad de maestría por:</w:t>
      </w:r>
    </w:p>
    <w:p>
      <w:pPr>
        <w:jc w:val="both"/>
      </w:pPr>
      <w:rPr>
        <w:sz w:val="24"/>
        <w:color w:val="black"/>
      </w:rPr>
    </w:p>
    <w:p>
      <w:pPr>
        <w:jc w:val="both"/>
      </w:pPr>
      <w:r>
        <w:rPr>
          <w:rFonts w:hAnsi="Arial"/>
          <w:rFonts w:ascii="Arial"/>
          <w:sz w:val="24"/>
          <w:color w:val="black"/>
        </w:rPr>
        <w:t xml:space="preserve">1.2.1 Tres (3) años de experiencia profesional y viceversa, siempre que se acredite el título profesional, o</w:t>
      </w:r>
    </w:p>
    <w:p>
      <w:pPr>
        <w:jc w:val="both"/>
      </w:pPr>
      <w:rPr>
        <w:sz w:val="24"/>
        <w:color w:val="black"/>
      </w:rPr>
    </w:p>
    <w:p>
      <w:pPr>
        <w:jc w:val="both"/>
      </w:pPr>
      <w:r>
        <w:rPr>
          <w:rFonts w:hAnsi="Arial"/>
          <w:rFonts w:ascii="Arial"/>
          <w:sz w:val="24"/>
          <w:color w:val="black"/>
        </w:rPr>
        <w:t xml:space="preserve">1.2.2 Título profesional adicional al exigido en el requisito del respectivo empleo, siempre y cuando dicha formación adicional sea afín con las funciones del cargo, o</w:t>
      </w:r>
    </w:p>
    <w:p>
      <w:pPr>
        <w:jc w:val="both"/>
      </w:pPr>
      <w:rPr>
        <w:sz w:val="24"/>
        <w:color w:val="black"/>
      </w:rPr>
    </w:p>
    <w:p>
      <w:pPr>
        <w:jc w:val="both"/>
      </w:pPr>
      <w:r>
        <w:rPr>
          <w:rFonts w:hAnsi="Arial"/>
          <w:rFonts w:ascii="Arial"/>
          <w:sz w:val="24"/>
          <w:color w:val="black"/>
        </w:rPr>
        <w:t xml:space="preserve">1.2.3 Terminación y aprobación de estudios profesionales adicionales al título profesional exigido en el requisito del respectivo empleo, siempre y cuando dicha formación adicional sea afín con las funciones del cargo, y un (1) año de experiencia profesional.</w:t>
      </w:r>
    </w:p>
    <w:p>
      <w:pPr>
        <w:jc w:val="both"/>
      </w:pPr>
      <w:rPr>
        <w:sz w:val="24"/>
        <w:color w:val="black"/>
      </w:rPr>
    </w:p>
    <w:p>
      <w:pPr>
        <w:jc w:val="both"/>
      </w:pPr>
      <w:r>
        <w:rPr>
          <w:rFonts w:hAnsi="Arial"/>
          <w:rFonts w:ascii="Arial"/>
          <w:sz w:val="24"/>
          <w:color w:val="black"/>
        </w:rPr>
        <w:t xml:space="preserve">1.3 Tres (3) años de experiencia profesional por título universitario adicional al exigido en el requisito del respectivo empleo.</w:t>
      </w:r>
    </w:p>
    <w:p>
      <w:pPr>
        <w:jc w:val="both"/>
      </w:pPr>
      <w:rPr>
        <w:sz w:val="24"/>
        <w:color w:val="black"/>
      </w:rPr>
    </w:p>
    <w:p>
      <w:pPr>
        <w:jc w:val="both"/>
      </w:pPr>
      <w:r>
        <w:rPr>
          <w:rFonts w:hAnsi="Arial"/>
          <w:rFonts w:ascii="Arial"/>
          <w:sz w:val="24"/>
          <w:color w:val="black"/>
        </w:rPr>
        <w:t xml:space="preserve">1.4 Dos (2) años de experiencia profesional por título técnico o tecnológico adicional al título profesional exigido en el requisito del respectivo empleo.</w:t>
      </w:r>
    </w:p>
    <w:p>
      <w:pPr>
        <w:jc w:val="both"/>
      </w:pPr>
      <w:rPr>
        <w:sz w:val="24"/>
        <w:color w:val="black"/>
      </w:rPr>
    </w:p>
    <w:p>
      <w:pPr>
        <w:jc w:val="both"/>
      </w:pPr>
      <w:r>
        <w:rPr>
          <w:rFonts w:hAnsi="Arial"/>
          <w:rFonts w:ascii="Arial"/>
          <w:sz w:val="24"/>
          <w:color w:val="black"/>
        </w:rPr>
        <w:t xml:space="preserve">1.5 Un (1) año de experiencia profesional por título técnico o tecnológico adicional al título profesional exigido en el requisito del respectivo empleo y un (1) año de experiencia técnica relacionada.</w:t>
      </w:r>
    </w:p>
    <w:p>
      <w:pPr>
        <w:jc w:val="both"/>
      </w:pPr>
      <w:rPr>
        <w:sz w:val="24"/>
        <w:color w:val="black"/>
      </w:rPr>
    </w:p>
    <w:p>
      <w:pPr>
        <w:jc w:val="both"/>
      </w:pPr>
      <w:r>
        <w:rPr>
          <w:rFonts w:hAnsi="Arial"/>
          <w:rFonts w:ascii="Arial"/>
          <w:sz w:val="24"/>
          <w:color w:val="black"/>
        </w:rPr>
        <w:t xml:space="preserve">1.6 Para los empleos del Nivel Profesional y para el Nivel Orientador de Defensa o Espiritual:</w:t>
      </w:r>
    </w:p>
    <w:p>
      <w:pPr>
        <w:jc w:val="both"/>
      </w:pPr>
      <w:rPr>
        <w:sz w:val="24"/>
        <w:color w:val="black"/>
      </w:rPr>
    </w:p>
    <w:p>
      <w:pPr>
        <w:jc w:val="both"/>
      </w:pPr>
      <w:r>
        <w:rPr>
          <w:rFonts w:hAnsi="Arial"/>
          <w:rFonts w:ascii="Arial"/>
          <w:sz w:val="24"/>
          <w:color w:val="black"/>
        </w:rPr>
        <w:t xml:space="preserve">1.6.1 Dos (2) años de experiencia técnica relacionada, por un (1) año de experiencia profesional relacionada.</w:t>
      </w:r>
    </w:p>
    <w:p>
      <w:pPr>
        <w:jc w:val="both"/>
      </w:pPr>
      <w:rPr>
        <w:sz w:val="24"/>
        <w:color w:val="black"/>
      </w:rPr>
    </w:p>
    <w:p>
      <w:pPr>
        <w:jc w:val="both"/>
      </w:pPr>
      <w:r>
        <w:rPr>
          <w:rFonts w:hAnsi="Arial"/>
          <w:rFonts w:ascii="Arial"/>
          <w:sz w:val="24"/>
          <w:color w:val="black"/>
        </w:rPr>
        <w:t xml:space="preserve">1.6.2 Tres (3) años de experiencia laboral relacionada, por un (1) año de experiencia profesional relacionada.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equivalencias establecidas para la experiencia, podrán aplicarse siempre que se acredite el título de formación técnica profesional o de formación tecnológica o profesional, exigido para el ejercicio del respectivo empleo cuando sea del caso.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equivalencias de que trata el presente artículo no se aplicarán a los empleos del área asistencial de las entidades y dependencias que conforman el sistema de seguridad social en salud.</w:t>
      </w:r>
    </w:p>
    <w:p>
      <w:pPr>
        <w:jc w:val="both"/>
      </w:pPr>
      <w:rPr>
        <w:sz w:val="24"/>
        <w:color w:val="black"/>
      </w:rPr>
    </w:p>
    <w:p>
      <w:pPr>
        <w:jc w:val="both"/>
      </w:pPr>
      <w:r>
        <w:rPr>
          <w:rFonts w:hAnsi="Arial"/>
          <w:rFonts w:ascii="Arial"/>
          <w:sz w:val="24"/>
          <w:b/>
          <w:color w:val="black"/>
        </w:rPr>
        <w:t xml:space="preserve">2. Para los empleos desde el Grado 01 al 12 del Nivel Orientador de Defensa, y para los Niveles Técnico y Asistencial:</w:t>
      </w:r>
    </w:p>
    <w:p>
      <w:pPr>
        <w:jc w:val="both"/>
      </w:pPr>
      <w:rPr>
        <w:sz w:val="24"/>
        <w:color w:val="black"/>
      </w:rPr>
    </w:p>
    <w:p>
      <w:pPr>
        <w:jc w:val="both"/>
      </w:pPr>
      <w:r>
        <w:rPr>
          <w:rFonts w:hAnsi="Arial"/>
          <w:rFonts w:ascii="Arial"/>
          <w:sz w:val="24"/>
          <w:color w:val="black"/>
        </w:rPr>
        <w:t xml:space="preserve">2.1 Título de formación tecnológica o de formación técnica profesional, por un (1) año de experiencia relacionada, siempre y cuando se acredite la terminación y la aprobación de los estudios en la respectiva modalidad.</w:t>
      </w:r>
    </w:p>
    <w:p>
      <w:pPr>
        <w:jc w:val="both"/>
      </w:pPr>
      <w:rPr>
        <w:sz w:val="24"/>
        <w:color w:val="black"/>
      </w:rPr>
    </w:p>
    <w:p>
      <w:pPr>
        <w:jc w:val="both"/>
      </w:pPr>
      <w:r>
        <w:rPr>
          <w:rFonts w:hAnsi="Arial"/>
          <w:rFonts w:ascii="Arial"/>
          <w:sz w:val="24"/>
          <w:color w:val="black"/>
        </w:rPr>
        <w:t xml:space="preserve">2.2 Tres (3) años de experiencia relacionada por título de formación tecnológica o de formación técnica profesional adicional al inicialmente exigido, y viceversa.</w:t>
      </w:r>
    </w:p>
    <w:p>
      <w:pPr>
        <w:jc w:val="both"/>
      </w:pPr>
      <w:rPr>
        <w:sz w:val="24"/>
        <w:color w:val="black"/>
      </w:rPr>
    </w:p>
    <w:p>
      <w:pPr>
        <w:jc w:val="both"/>
      </w:pPr>
      <w:r>
        <w:rPr>
          <w:rFonts w:hAnsi="Arial"/>
          <w:rFonts w:ascii="Arial"/>
          <w:sz w:val="24"/>
          <w:color w:val="black"/>
        </w:rPr>
        <w:t xml:space="preserve">2.3 Un (1) año de educación superior por un (1) año de experiencia y viceversa, o por seis (6) meses de experiencia relacionada y curso específico de mínimo sesenta (60) horas de duración y viceversa, siempre y cuando se acredite diploma de bachiller para ambos casos.</w:t>
      </w:r>
    </w:p>
    <w:p>
      <w:pPr>
        <w:jc w:val="both"/>
      </w:pPr>
      <w:rPr>
        <w:sz w:val="24"/>
        <w:color w:val="black"/>
      </w:rPr>
    </w:p>
    <w:p>
      <w:pPr>
        <w:jc w:val="both"/>
      </w:pPr>
      <w:r>
        <w:rPr>
          <w:rFonts w:hAnsi="Arial"/>
          <w:rFonts w:ascii="Arial"/>
          <w:sz w:val="24"/>
          <w:color w:val="black"/>
        </w:rPr>
        <w:t xml:space="preserve">2.4 Diploma de bachiller en cualquier modalidad, por aprobación de cuatro (4) años de educación básica secundaria y un (1) año de experiencia laboral y viceversa, o por aprobación de cuatro (4) años de educación básica secundaria y CAP de Sena.</w:t>
      </w:r>
    </w:p>
    <w:p>
      <w:pPr>
        <w:jc w:val="both"/>
      </w:pPr>
      <w:rPr>
        <w:sz w:val="24"/>
        <w:color w:val="black"/>
      </w:rPr>
    </w:p>
    <w:p>
      <w:pPr>
        <w:jc w:val="both"/>
      </w:pPr>
      <w:r>
        <w:rPr>
          <w:rFonts w:hAnsi="Arial"/>
          <w:rFonts w:ascii="Arial"/>
          <w:sz w:val="24"/>
          <w:color w:val="black"/>
        </w:rPr>
        <w:t xml:space="preserve">2.5 Aprobación de un (1) año de educación básica secundaria por nueve (9) meses de experiencia laboral y viceversa, siempre y cuando se acredite la formación básica primaria.</w:t>
      </w:r>
    </w:p>
    <w:p>
      <w:pPr>
        <w:jc w:val="both"/>
      </w:pPr>
      <w:rPr>
        <w:sz w:val="24"/>
        <w:color w:val="black"/>
      </w:rPr>
    </w:p>
    <w:p>
      <w:pPr>
        <w:jc w:val="both"/>
      </w:pPr>
      <w:r>
        <w:rPr>
          <w:rFonts w:hAnsi="Arial"/>
          <w:rFonts w:ascii="Arial"/>
          <w:sz w:val="24"/>
          <w:color w:val="black"/>
        </w:rPr>
        <w:t xml:space="preserve">2.6 Aprobación de un año de educación básica primaria por seis (6) meses de experiencia laboral.</w:t>
      </w:r>
    </w:p>
    <w:p>
      <w:pPr>
        <w:jc w:val="both"/>
      </w:pPr>
      <w:rPr>
        <w:sz w:val="24"/>
        <w:color w:val="black"/>
      </w:rPr>
    </w:p>
    <w:p>
      <w:pPr>
        <w:jc w:val="both"/>
      </w:pPr>
      <w:r>
        <w:rPr>
          <w:rFonts w:hAnsi="Arial"/>
          <w:rFonts w:ascii="Arial"/>
          <w:sz w:val="24"/>
          <w:color w:val="black"/>
        </w:rPr>
        <w:t xml:space="preserve">2.7 La equivalencia respecto de la formación que imparte el Servicio Nacional de Aprendizaje, Sena, se establecerá así:</w:t>
      </w:r>
    </w:p>
    <w:p>
      <w:pPr>
        <w:jc w:val="both"/>
      </w:pPr>
      <w:rPr>
        <w:sz w:val="24"/>
        <w:color w:val="black"/>
      </w:rPr>
    </w:p>
    <w:p>
      <w:pPr>
        <w:jc w:val="both"/>
      </w:pPr>
      <w:r>
        <w:rPr>
          <w:rFonts w:hAnsi="Arial"/>
          <w:rFonts w:ascii="Arial"/>
          <w:sz w:val="24"/>
          <w:color w:val="black"/>
        </w:rPr>
        <w:t xml:space="preserve">2.7.1 Tres (3) años de educación básica secundaria o dieciocho (18) meses de experiencia, por el CAP del Sena.</w:t>
      </w:r>
    </w:p>
    <w:p>
      <w:pPr>
        <w:jc w:val="both"/>
      </w:pPr>
      <w:rPr>
        <w:sz w:val="24"/>
        <w:color w:val="black"/>
      </w:rPr>
    </w:p>
    <w:p>
      <w:pPr>
        <w:jc w:val="both"/>
      </w:pPr>
      <w:r>
        <w:rPr>
          <w:rFonts w:hAnsi="Arial"/>
          <w:rFonts w:ascii="Arial"/>
          <w:sz w:val="24"/>
          <w:color w:val="black"/>
        </w:rPr>
        <w:t xml:space="preserve">2.7.2 Dos (2) años de formación en educación superior, o dos (2) años de experiencia por el CAP Técnico del Sena y bachiller, con intensidad horaria entre 1.500 y 2.000 horas.</w:t>
      </w:r>
    </w:p>
    <w:p>
      <w:pPr>
        <w:jc w:val="both"/>
      </w:pPr>
      <w:rPr>
        <w:sz w:val="24"/>
        <w:color w:val="black"/>
      </w:rPr>
    </w:p>
    <w:p>
      <w:pPr>
        <w:jc w:val="both"/>
      </w:pPr>
      <w:r>
        <w:rPr>
          <w:rFonts w:hAnsi="Arial"/>
          <w:rFonts w:ascii="Arial"/>
          <w:sz w:val="24"/>
          <w:color w:val="black"/>
        </w:rPr>
        <w:t xml:space="preserve">2.7.3 Tres (3) años de formación en educación superior o tres (3) años de experiencia por el CAP Técnico del Sena y bachiller, con intensidad horaria superior a 2.000 horas.</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864" w:name="SUBSECCIÓN 2.2.1.1.1.5"/>
      <w:r>
        <w:rPr>
          <w:rFonts w:hAnsi="Arial"/>
          <w:rFonts w:ascii="Arial"/>
          <w:sz w:val="24"/>
          <w:color w:val="navy"/>
        </w:rPr>
        <w:t xml:space="preserve">SUBSECCIÓN 5. </w:t>
      </w:r>
    </w:p>
    <w:p>
      <w:pPr>
        <w:jc w:val="center"/>
      </w:pPr>
      <w:r>
        <w:rPr>
          <w:rFonts w:hAnsi="Arial"/>
          <w:rFonts w:ascii="Arial"/>
          <w:sz w:val="24"/>
          <w:color w:val="navy"/>
        </w:rPr>
        <w:t xml:space="preserve">DISPOSICIONES FINALES.</w:t>
      </w:r>
      <w:bookmarkEnd w:id="59864"/>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65" w:name="2.2.1.1.1.5.1"/>
      <w:r>
        <w:rPr>
          <w:rFonts w:hAnsi="Arial"/>
          <w:rFonts w:ascii="Arial"/>
          <w:sz w:val="24"/>
          <w:color w:val="navy"/>
        </w:rPr>
        <w:t xml:space="preserve">ARTÍCULO 2.2.1.1.1.5.1. </w:t>
      </w:r>
      <w:r>
        <w:rPr>
          <w:rFonts w:hAnsi="Arial"/>
          <w:rFonts w:ascii="Arial"/>
          <w:sz w:val="24"/>
          <w:i/>
          <w:color w:val="navy"/>
        </w:rPr>
        <w:t xml:space="preserve">REQUISITOS YA ACREDITADOS.</w:t>
      </w:r>
      <w:bookmarkEnd w:id="59865"/>
      <w:r>
        <w:rPr>
          <w:rFonts w:hAnsi="Arial"/>
          <w:rFonts w:ascii="Arial"/>
          <w:sz w:val="24"/>
          <w:b/>
          <w:i/>
          <w:color w:val="black"/>
        </w:rPr>
        <w:t xml:space="preserve"> </w:t>
      </w:r>
      <w:r>
        <w:rPr>
          <w:rFonts w:hAnsi="Arial"/>
          <w:rFonts w:ascii="Arial"/>
          <w:sz w:val="24"/>
          <w:color w:val="black"/>
        </w:rPr>
        <w:t xml:space="preserve">A los empleados públicos del Sector Defensa para todos los efectos legales, no les serán exigibles requisitos distintos a los acreditados al momento de su vinculación inicial, en el último lapso de tiempo de servicio continuo, ni los establecidos en la presente Sección, mientras permanezcan en los mismos empleos que desempeñan al 14 de mayo de 2007 (entrada en vigencia del Decreto </w:t>
      </w:r>
      <w:r>
        <w:fldChar w:fldCharType="begin"/>
      </w:r>
      <w:r>
        <w:instrText>HYPERLINK "http://www.redjurista.com/document.aspx?ajcode=d1666007&amp;arts=INICIO"</w:instrText>
      </w:r>
      <w:r>
        <w:fldChar w:fldCharType="separate"/>
      </w:r>
      <w:r>
        <w:rPr>
          <w:rFonts w:hAnsi="Arial"/>
          <w:rFonts w:ascii="Arial"/>
          <w:sz w:val="24"/>
          <w:u w:val="single"/>
          <w:color w:val="black"/>
        </w:rPr>
        <w:t>1666</w:t>
      </w:r>
      <w:r>
        <w:fldChar w:fldCharType="end"/>
      </w:r>
      <w:r>
        <w:rPr>
          <w:rFonts w:hAnsi="Arial"/>
          <w:rFonts w:ascii="Arial"/>
          <w:sz w:val="24"/>
          <w:u w:val="none"/>
          <w:color w:val="black"/>
        </w:rPr>
        <w:t xml:space="preserve"> de 2007), o en el equivalente según la nomenclatura especial aquí establecida.</w:t>
      </w:r>
    </w:p>
    <w:p>
      <w:pPr>
        <w:jc w:val="both"/>
      </w:pPr>
      <w:rPr>
        <w:sz w:val="24"/>
        <w:color w:val="black"/>
      </w:rPr>
    </w:p>
    <w:p>
      <w:pPr>
        <w:jc w:val="both"/>
      </w:pPr>
      <w:r>
        <w:rPr>
          <w:rFonts w:hAnsi="Arial"/>
          <w:rFonts w:ascii="Arial"/>
          <w:sz w:val="24"/>
          <w:i/>
          <w:color w:val="black"/>
        </w:rPr>
        <w:t xml:space="preserve">(Decreto 1666 de 2007 artículo </w:t>
      </w:r>
      <w:r>
        <w:fldChar w:fldCharType="begin"/>
      </w:r>
      <w:r>
        <w:instrText>HYPERLINK "http://www.redjurista.com/document.aspx?ajcode=d1666007&amp;arts=17"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866" w:name="SECCIÓN 2.2.1.1.2"/>
      <w:r>
        <w:rPr>
          <w:rFonts w:hAnsi="Arial"/>
          <w:rFonts w:ascii="Arial"/>
          <w:sz w:val="24"/>
          <w:color w:val="navy"/>
        </w:rPr>
        <w:t xml:space="preserve">SECCIÓN 2. </w:t>
      </w:r>
    </w:p>
    <w:p>
      <w:pPr>
        <w:jc w:val="center"/>
      </w:pPr>
      <w:r>
        <w:rPr>
          <w:rFonts w:hAnsi="Arial"/>
          <w:rFonts w:ascii="Arial"/>
          <w:sz w:val="24"/>
          <w:color w:val="navy"/>
        </w:rPr>
        <w:t xml:space="preserve">DISPOSICIONES CON RELACIÓN A LOS SERVIDORES PÚBLICOS CIVILES O NO UNIFORMADOS DEL MINISTERIO DE DEFENSA NACIONAL, LAS FUERZAS MILITARES Y LA POLICÍA NACIONAL Y SE REGLAMENTA EL DECRETO-LEY 1792 DE 2000.</w:t>
      </w:r>
      <w:bookmarkEnd w:id="59866"/>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67" w:name="2.2.1.1.2.1"/>
      <w:r>
        <w:rPr>
          <w:rFonts w:hAnsi="Arial"/>
          <w:rFonts w:ascii="Arial"/>
          <w:sz w:val="24"/>
          <w:color w:val="navy"/>
        </w:rPr>
        <w:t xml:space="preserve">ARTÍCULO 2.2.1.1.2.1. </w:t>
      </w:r>
      <w:r>
        <w:rPr>
          <w:rFonts w:hAnsi="Arial"/>
          <w:rFonts w:ascii="Arial"/>
          <w:sz w:val="24"/>
          <w:i/>
          <w:color w:val="navy"/>
        </w:rPr>
        <w:t xml:space="preserve">MIEMBROS DE LA FUERZA PÚBLICA.</w:t>
      </w:r>
      <w:bookmarkEnd w:id="59867"/>
      <w:r>
        <w:rPr>
          <w:rFonts w:hAnsi="Arial"/>
          <w:rFonts w:ascii="Arial"/>
          <w:sz w:val="24"/>
          <w:b/>
          <w:i/>
          <w:color w:val="black"/>
        </w:rPr>
        <w:t xml:space="preserve"> </w:t>
      </w:r>
      <w:r>
        <w:rPr>
          <w:rFonts w:hAnsi="Arial"/>
          <w:rFonts w:ascii="Arial"/>
          <w:sz w:val="24"/>
          <w:color w:val="black"/>
        </w:rPr>
        <w:t xml:space="preserve">En concordancia con el artículo </w:t>
      </w:r>
      <w:r>
        <w:fldChar w:fldCharType="begin"/>
      </w:r>
      <w:r>
        <w:instrText>HYPERLINK "http://www.redjurista.com/document.aspx?ajcode=d1792000&amp;arts=114"</w:instrText>
      </w:r>
      <w:r>
        <w:fldChar w:fldCharType="separate"/>
      </w:r>
      <w:r>
        <w:rPr>
          <w:rFonts w:hAnsi="Arial"/>
          <w:rFonts w:ascii="Arial"/>
          <w:sz w:val="24"/>
          <w:u w:val="single"/>
          <w:color w:val="black"/>
        </w:rPr>
        <w:t>114</w:t>
      </w:r>
      <w:r>
        <w:fldChar w:fldCharType="end"/>
      </w:r>
      <w:r>
        <w:rPr>
          <w:rFonts w:hAnsi="Arial"/>
          <w:rFonts w:ascii="Arial"/>
          <w:sz w:val="24"/>
          <w:u w:val="none"/>
          <w:color w:val="black"/>
        </w:rPr>
        <w:t xml:space="preserve"> del Decreto-ley 1792 de 2000, los servidores públicos civiles o no uniformados del Ministerio de Defensa Nacional, las Fuerzas Militares y la Policía Nacional, a quienes se les aplica el Decreto-ley </w:t>
      </w:r>
      <w:r>
        <w:fldChar w:fldCharType="begin"/>
      </w:r>
      <w:r>
        <w:instrText>HYPERLINK "http://www.redjurista.com/document.aspx?ajcode=d1214_90&amp;arts=INICIO"</w:instrText>
      </w:r>
      <w:r>
        <w:fldChar w:fldCharType="separate"/>
      </w:r>
      <w:r>
        <w:rPr>
          <w:rFonts w:hAnsi="Arial"/>
          <w:rFonts w:ascii="Arial"/>
          <w:sz w:val="24"/>
          <w:u w:val="single"/>
          <w:color w:val="black"/>
        </w:rPr>
        <w:t>1214</w:t>
      </w:r>
      <w:r>
        <w:fldChar w:fldCharType="end"/>
      </w:r>
      <w:r>
        <w:rPr>
          <w:rFonts w:hAnsi="Arial"/>
          <w:rFonts w:ascii="Arial"/>
          <w:sz w:val="24"/>
          <w:u w:val="none"/>
          <w:color w:val="black"/>
        </w:rPr>
        <w:t xml:space="preserve"> de 1990, se consideran miembros de la Fuerza Pública y continuarán con el mismo régimen salarial, pensional y prestacional, en lo que a cada uno corresponde, de acuerdo con las mencionadas normas.</w:t>
      </w:r>
    </w:p>
    <w:p>
      <w:pPr>
        <w:jc w:val="both"/>
      </w:pPr>
      <w:rPr>
        <w:sz w:val="24"/>
        <w:color w:val="black"/>
      </w:rPr>
    </w:p>
    <w:p>
      <w:pPr>
        <w:jc w:val="both"/>
      </w:pPr>
      <w:r>
        <w:rPr>
          <w:rFonts w:hAnsi="Arial"/>
          <w:rFonts w:ascii="Arial"/>
          <w:sz w:val="24"/>
          <w:i/>
          <w:color w:val="black"/>
        </w:rPr>
        <w:t xml:space="preserve">(Decreto 2743 de 2010 artículo </w:t>
      </w:r>
      <w:r>
        <w:fldChar w:fldCharType="begin"/>
      </w:r>
      <w:r>
        <w:instrText>HYPERLINK "http://www.redjurista.com/document.aspx?ajcode=d2743010&amp;arts=1"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868" w:name="SECCIÓN 2.2.1.1.3"/>
      <w:r>
        <w:rPr>
          <w:rFonts w:hAnsi="Arial"/>
          <w:rFonts w:ascii="Arial"/>
          <w:sz w:val="24"/>
          <w:color w:val="navy"/>
        </w:rPr>
        <w:t xml:space="preserve">SECCIÓN 3. </w:t>
      </w:r>
    </w:p>
    <w:p>
      <w:pPr>
        <w:jc w:val="center"/>
      </w:pPr>
      <w:r>
        <w:rPr>
          <w:rFonts w:hAnsi="Arial"/>
          <w:rFonts w:ascii="Arial"/>
          <w:sz w:val="24"/>
          <w:color w:val="navy"/>
        </w:rPr>
        <w:t xml:space="preserve">REGLAMENTACIÓN DE ALGUNAS DISPOSICIONES DEL DECRETO 1214 DE 1990, ESTATUTO Y RÉGIMEN PRESTACIONAL DEL PERSONAL CIVIL DEL MINISTERIO DE DEFENSA Y LA POLICÍA NACIONAL.</w:t>
      </w:r>
      <w:bookmarkEnd w:id="5986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869" w:name="2.2.1.1.3.1"/>
      <w:r>
        <w:rPr>
          <w:rFonts w:hAnsi="Arial"/>
          <w:rFonts w:ascii="Arial"/>
          <w:sz w:val="24"/>
          <w:color w:val="navy"/>
        </w:rPr>
        <w:t xml:space="preserve">ARTÍCULO 2.2.1.1.3.1. </w:t>
      </w:r>
      <w:r>
        <w:rPr>
          <w:rFonts w:hAnsi="Arial"/>
          <w:rFonts w:ascii="Arial"/>
          <w:sz w:val="24"/>
          <w:i/>
          <w:color w:val="navy"/>
        </w:rPr>
        <w:t xml:space="preserve">PRIMA DE BUCERIA.</w:t>
      </w:r>
      <w:bookmarkEnd w:id="59869"/>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"http://www.redjurista.com/document.aspx?ajcode=d1214_90&amp;arts=40"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Decreto 1214 de 1990, para el pago de la Prima de Buceria a los empleados públicos del Ministerio de Defensa y de la Policía Nacional, el tiempo de buceo deberá certificarse por el Comandante que lo ordenó o autorizó, mediante cuadro o planilla explicativa que debe rendirse mensualmente al Comando de la respectiva Fuerza o a la Dirección General de la Policía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870" w:name="2.2.1.1.3.2"/>
      <w:r>
        <w:rPr>
          <w:rFonts w:hAnsi="Arial"/>
          <w:rFonts w:ascii="Arial"/>
          <w:sz w:val="24"/>
          <w:color w:val="navy"/>
        </w:rPr>
        <w:t xml:space="preserve">ARTÍCULO 2.2.1.1.3.2. </w:t>
      </w:r>
      <w:r>
        <w:rPr>
          <w:rFonts w:hAnsi="Arial"/>
          <w:rFonts w:ascii="Arial"/>
          <w:sz w:val="24"/>
          <w:i/>
          <w:color w:val="navy"/>
        </w:rPr>
        <w:t xml:space="preserve">REQUISITOS PARA EL RECONOCIMIENTO DE PRIMA DE INSTALACIÓN.</w:t>
      </w:r>
      <w:bookmarkEnd w:id="59870"/>
      <w:r>
        <w:rPr>
          <w:rFonts w:hAnsi="Arial"/>
          <w:rFonts w:ascii="Arial"/>
          <w:sz w:val="24"/>
          <w:b/>
          <w:i/>
          <w:color w:val="black"/>
        </w:rPr>
        <w:t xml:space="preserve"> </w:t>
      </w:r>
      <w:r>
        <w:rPr>
          <w:rFonts w:hAnsi="Arial"/>
          <w:rFonts w:ascii="Arial"/>
          <w:sz w:val="24"/>
          <w:color w:val="black"/>
        </w:rPr>
        <w:t xml:space="preserve">Para el reconocimiento de la prima de instalación de qué trata el Artículo </w:t>
      </w:r>
      <w:r>
        <w:fldChar w:fldCharType="begin"/>
      </w:r>
      <w:r>
        <w:instrText>HYPERLINK "http://www.redjurista.com/document.aspx?ajcode=d1214_90&amp;arts=42"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1214 de 1990 los empleados públicos del Ministerio de Defensa y de la Policía Nacional que sean trasladados dentro del país, debe elevar solicitud escrita al respectivo Comando de Fuerza o Dirección de la Policía Nacional y si fueren casados o viudos con hijos acompañarla de certificado expedido por el Comandante o Jefe de la Unidad repartición de destino, en el cual conste que el solicitante instaló familia en la nueva sede.</w:t>
      </w:r>
    </w:p>
    <w:p>
      <w:pPr>
        <w:jc w:val="both"/>
      </w:pPr>
      <w:rPr>
        <w:sz w:val="24"/>
        <w:color w:val="black"/>
      </w:rPr>
    </w:p>
    <w:p>
      <w:pPr>
        <w:jc w:val="both"/>
      </w:pPr>
      <w:r>
        <w:rPr>
          <w:rFonts w:hAnsi="Arial"/>
          <w:rFonts w:ascii="Arial"/>
          <w:sz w:val="24"/>
          <w:color w:val="black"/>
        </w:rPr>
        <w:t xml:space="preserve">Si el traslado fuere al exterior o del exterior al país, el viaje e instalación de la familia se comprobará mediante certificación expedida por el superior inmediato dentro de la organización de destino o por el Agregado Militar, Naval, Aéreo o de Policía, acreditado ante el respectivo país o por el Agente Diplomático o consular Colombiano más cercano a la nueva sede.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el reconocimiento y pago de la prima de instalación a los empleados públicos, se tendrá en cuenta el sueldo básico que devenguen para poca en que se cause y novedad fiscal en la respectiva disposición.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el traslado o comisión permanente sea al exterior o del exterior al país, esta prima se pagará anticipadamente en dólares en la cuantía que fijen las disposiciones legales vigentes sobre la materia.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871" w:name="2.2.1.1.3.3"/>
      <w:r>
        <w:rPr>
          <w:rFonts w:hAnsi="Arial"/>
          <w:rFonts w:ascii="Arial"/>
          <w:sz w:val="24"/>
          <w:color w:val="navy"/>
        </w:rPr>
        <w:t xml:space="preserve">ARTÍCULO 2.2.1.1.3.3. </w:t>
      </w:r>
      <w:r>
        <w:rPr>
          <w:rFonts w:hAnsi="Arial"/>
          <w:rFonts w:ascii="Arial"/>
          <w:sz w:val="24"/>
          <w:i/>
          <w:color w:val="navy"/>
        </w:rPr>
        <w:t xml:space="preserve">PRIMA DE NAVIDAD EN EL EXTERIOR.</w:t>
      </w:r>
      <w:bookmarkEnd w:id="59871"/>
      <w:r>
        <w:rPr>
          <w:rFonts w:hAnsi="Arial"/>
          <w:rFonts w:ascii="Arial"/>
          <w:sz w:val="24"/>
          <w:b/>
          <w:i/>
          <w:color w:val="black"/>
        </w:rPr>
        <w:t xml:space="preserve"> </w:t>
      </w:r>
      <w:r>
        <w:rPr>
          <w:rFonts w:hAnsi="Arial"/>
          <w:rFonts w:ascii="Arial"/>
          <w:sz w:val="24"/>
          <w:color w:val="black"/>
        </w:rPr>
        <w:t xml:space="preserve">La Prima de Navidad de que trata el parágrafo 2o del Artículo </w:t>
      </w:r>
      <w:r>
        <w:fldChar w:fldCharType="begin"/>
      </w:r>
      <w:r>
        <w:instrText>HYPERLINK "http://www.redjurista.com/document.aspx?ajcode=d1214_90&amp;arts=43"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1214 de 1990, solo se liquidará y pagará en la forma allí establecida, cuando el empleado público que cumple la comisión permanente en el exterior, se encuentre en desempeño de ella el 30 de noviembre del respectivo.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72" w:name="2.2.1.1.3.4"/>
      <w:r>
        <w:rPr>
          <w:rFonts w:hAnsi="Arial"/>
          <w:rFonts w:ascii="Arial"/>
          <w:sz w:val="24"/>
          <w:color w:val="navy"/>
        </w:rPr>
        <w:t xml:space="preserve">ARTÍCULO 2.2.1.1.3.4. </w:t>
      </w:r>
      <w:r>
        <w:rPr>
          <w:rFonts w:hAnsi="Arial"/>
          <w:rFonts w:ascii="Arial"/>
          <w:sz w:val="24"/>
          <w:i/>
          <w:color w:val="navy"/>
        </w:rPr>
        <w:t xml:space="preserve">RECONOCIMIENTO Y PAGO DE LA PRIMA DE VACACIONES.</w:t>
      </w:r>
      <w:bookmarkEnd w:id="59872"/>
      <w:r>
        <w:rPr>
          <w:rFonts w:hAnsi="Arial"/>
          <w:rFonts w:ascii="Arial"/>
          <w:sz w:val="24"/>
          <w:b/>
          <w:i/>
          <w:color w:val="black"/>
        </w:rPr>
        <w:t xml:space="preserve"> </w:t>
      </w:r>
      <w:r>
        <w:rPr>
          <w:rFonts w:hAnsi="Arial"/>
          <w:rFonts w:ascii="Arial"/>
          <w:sz w:val="24"/>
          <w:color w:val="black"/>
        </w:rPr>
        <w:t xml:space="preserve">El reconocimiento y pago de la prima de vacaciones de que trata el Artículo </w:t>
      </w:r>
      <w:r>
        <w:fldChar w:fldCharType="begin"/>
      </w:r>
      <w:r>
        <w:instrText>HYPERLINK "http://www.redjurista.com/document.aspx?ajcode=d1214_90&amp;arts=48"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1214 de 1990, se efectuará a través de las nóminas mensuales elaboradas por la División de Informática del Ministerio de Defensa o División de Sistemas de la Policía Nacional, con base a turnos de vacaciones aprobados por el Comando General de las Fuerzas Militares, los Comandos de Fuerza, la Secretaria General del Ministerio de Defensa o por la Dirección General de la Policía Nacional. Estos turnos, una vez comunicados a la División de Informática o Sistemas, no podrán ser modificados sino por circunstancias insuperables del servicio y con la expresa autorización de la autoridad que les impartid su aprobación, la cual debe dar aviso oportuno a la Sección de Sistemas de la respectiva Fuerza o División de Sistemas de la Policía Nacional para que se hagan las correcciones del caso.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reconocimiento y pago de la prima de vacaciones de los empleados públicos del Ministerio de Defensa y Policía Nacional que desempeñen cargos en la Justicia Penal Militar y en su Ministerio Público, se regirán por las disposiciones Vigentes sobre la materia.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73" w:name="2.2.1.1.3.5"/>
      <w:r>
        <w:rPr>
          <w:rFonts w:hAnsi="Arial"/>
          <w:rFonts w:ascii="Arial"/>
          <w:sz w:val="24"/>
          <w:color w:val="navy"/>
        </w:rPr>
        <w:t xml:space="preserve">ARTÍCULO 2.2.1.1.3.5. </w:t>
      </w:r>
      <w:r>
        <w:rPr>
          <w:rFonts w:hAnsi="Arial"/>
          <w:rFonts w:ascii="Arial"/>
          <w:sz w:val="24"/>
          <w:i/>
          <w:color w:val="navy"/>
        </w:rPr>
        <w:t xml:space="preserve">SUBSIDIO FAMILIAR.</w:t>
      </w:r>
      <w:bookmarkEnd w:id="59873"/>
      <w:r>
        <w:rPr>
          <w:rFonts w:hAnsi="Arial"/>
          <w:rFonts w:ascii="Arial"/>
          <w:sz w:val="24"/>
          <w:b/>
          <w:i/>
          <w:color w:val="black"/>
        </w:rPr>
        <w:t xml:space="preserve"> </w:t>
      </w:r>
      <w:r>
        <w:rPr>
          <w:rFonts w:hAnsi="Arial"/>
          <w:rFonts w:ascii="Arial"/>
          <w:sz w:val="24"/>
          <w:color w:val="black"/>
        </w:rPr>
        <w:t xml:space="preserve">Para los efectos del reconocimiento de subsidio familiar de que trata el artículo </w:t>
      </w:r>
      <w:r>
        <w:fldChar w:fldCharType="begin"/>
      </w:r>
      <w:r>
        <w:instrText>HYPERLINK "http://www.redjurista.com/document.aspx?ajcode=d1214_90&amp;arts=49"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1214 de 1990, es necesario:</w:t>
      </w:r>
    </w:p>
    <w:p>
      <w:pPr>
        <w:jc w:val="both"/>
      </w:pPr>
      <w:rPr>
        <w:sz w:val="24"/>
        <w:color w:val="black"/>
      </w:rPr>
    </w:p>
    <w:p>
      <w:pPr>
        <w:jc w:val="both"/>
      </w:pPr>
      <w:r>
        <w:rPr>
          <w:rFonts w:hAnsi="Arial"/>
          <w:rFonts w:ascii="Arial"/>
          <w:sz w:val="24"/>
          <w:color w:val="black"/>
        </w:rPr>
        <w:t xml:space="preserve">a) Solicitud escrita formulada por el interesado, siguiendo el conducto regular, al Comando General de las Fuerzas Militares, secretaría General del Ministerio de Defensa, Comando de Fuerza o Dirección General de la Policía Nacional, según el caso.</w:t>
      </w:r>
    </w:p>
    <w:p>
      <w:pPr>
        <w:jc w:val="both"/>
      </w:pPr>
      <w:rPr>
        <w:sz w:val="24"/>
        <w:color w:val="black"/>
      </w:rPr>
    </w:p>
    <w:p>
      <w:pPr>
        <w:jc w:val="both"/>
      </w:pPr>
      <w:r>
        <w:rPr>
          <w:rFonts w:hAnsi="Arial"/>
          <w:rFonts w:ascii="Arial"/>
          <w:sz w:val="24"/>
          <w:color w:val="black"/>
        </w:rPr>
        <w:t xml:space="preserve">b) Acompañar la mencionada solicitud, los soportes del cónyuge o compañero permanente, o el nacimiento de cada uno de los hijos, según el caso.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74" w:name="2.2.1.1.3.6"/>
      <w:r>
        <w:rPr>
          <w:rFonts w:hAnsi="Arial"/>
          <w:rFonts w:ascii="Arial"/>
          <w:sz w:val="24"/>
          <w:color w:val="navy"/>
        </w:rPr>
        <w:t xml:space="preserve">ARTÍCULO 2.2.1.1.3.6. </w:t>
      </w:r>
      <w:r>
        <w:rPr>
          <w:rFonts w:hAnsi="Arial"/>
          <w:rFonts w:ascii="Arial"/>
          <w:sz w:val="24"/>
          <w:i/>
          <w:color w:val="navy"/>
        </w:rPr>
        <w:t xml:space="preserve">DISMINUCIÓN DEL SUBSIDIO FAMILIAR.</w:t>
      </w:r>
      <w:bookmarkEnd w:id="59874"/>
      <w:r>
        <w:rPr>
          <w:rFonts w:hAnsi="Arial"/>
          <w:rFonts w:ascii="Arial"/>
          <w:sz w:val="24"/>
          <w:b/>
          <w:i/>
          <w:color w:val="black"/>
        </w:rPr>
        <w:t xml:space="preserve"> </w:t>
      </w:r>
      <w:r>
        <w:rPr>
          <w:rFonts w:hAnsi="Arial"/>
          <w:rFonts w:ascii="Arial"/>
          <w:sz w:val="24"/>
          <w:color w:val="black"/>
        </w:rPr>
        <w:t xml:space="preserve">Para los efectos del parágrafo 1o. del artículo </w:t>
      </w:r>
      <w:r>
        <w:fldChar w:fldCharType="begin"/>
      </w:r>
      <w:r>
        <w:instrText>HYPERLINK "http://www.redjurista.com/document.aspx?ajcode=d1214_90&amp;arts=51"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Decreto 1214 de 1990, las situaciones allí contempladas se acreditaran así:</w:t>
      </w:r>
    </w:p>
    <w:p>
      <w:pPr>
        <w:jc w:val="both"/>
      </w:pPr>
      <w:rPr>
        <w:sz w:val="24"/>
        <w:color w:val="black"/>
      </w:rPr>
    </w:p>
    <w:p>
      <w:pPr>
        <w:jc w:val="both"/>
      </w:pPr>
      <w:r>
        <w:rPr>
          <w:rFonts w:hAnsi="Arial"/>
          <w:rFonts w:ascii="Arial"/>
          <w:sz w:val="24"/>
          <w:color w:val="black"/>
        </w:rPr>
        <w:t xml:space="preserve">a) Declaraciones extrajuicio rendidas por el interesado, en las cuales se acredite la dependencia económica</w:t>
      </w:r>
    </w:p>
    <w:p>
      <w:pPr>
        <w:jc w:val="both"/>
      </w:pPr>
      <w:rPr>
        <w:sz w:val="24"/>
        <w:color w:val="black"/>
      </w:rPr>
    </w:p>
    <w:p>
      <w:pPr>
        <w:jc w:val="both"/>
      </w:pPr>
      <w:r>
        <w:rPr>
          <w:rFonts w:hAnsi="Arial"/>
          <w:rFonts w:ascii="Arial"/>
          <w:sz w:val="24"/>
          <w:color w:val="black"/>
        </w:rPr>
        <w:t xml:space="preserve">b) La calidad de estudiante se comprobará con la certificación expedida por el plantel educativo correspondiente</w:t>
      </w:r>
    </w:p>
    <w:p>
      <w:pPr>
        <w:jc w:val="both"/>
      </w:pPr>
      <w:rPr>
        <w:sz w:val="24"/>
        <w:color w:val="black"/>
      </w:rPr>
    </w:p>
    <w:p>
      <w:pPr>
        <w:jc w:val="both"/>
      </w:pPr>
      <w:r>
        <w:rPr>
          <w:rFonts w:hAnsi="Arial"/>
          <w:rFonts w:ascii="Arial"/>
          <w:sz w:val="24"/>
          <w:color w:val="black"/>
        </w:rPr>
        <w:t xml:space="preserve">c) Para acreditar la condición de inválido, se requerirá Certificación de la Sanidad respectiva.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75" w:name="2.2.1.1.3.7"/>
      <w:r>
        <w:rPr>
          <w:rFonts w:hAnsi="Arial"/>
          <w:rFonts w:ascii="Arial"/>
          <w:sz w:val="24"/>
          <w:color w:val="navy"/>
        </w:rPr>
        <w:t xml:space="preserve">ARTÍCULO 2.2.1.1.3.7. </w:t>
      </w:r>
      <w:r>
        <w:rPr>
          <w:rFonts w:hAnsi="Arial"/>
          <w:rFonts w:ascii="Arial"/>
          <w:sz w:val="24"/>
          <w:i/>
          <w:color w:val="navy"/>
        </w:rPr>
        <w:t xml:space="preserve">DESCUENTO SUBSIDIO FAMILIAR.</w:t>
      </w:r>
      <w:bookmarkEnd w:id="59875"/>
      <w:r>
        <w:rPr>
          <w:rFonts w:hAnsi="Arial"/>
          <w:rFonts w:ascii="Arial"/>
          <w:sz w:val="24"/>
          <w:b/>
          <w:i/>
          <w:color w:val="black"/>
        </w:rPr>
        <w:t xml:space="preserve"> </w:t>
      </w:r>
      <w:r>
        <w:rPr>
          <w:rFonts w:hAnsi="Arial"/>
          <w:rFonts w:ascii="Arial"/>
          <w:sz w:val="24"/>
          <w:color w:val="black"/>
        </w:rPr>
        <w:t xml:space="preserve">Para aplicar lo previsto en el artículo </w:t>
      </w:r>
      <w:r>
        <w:fldChar w:fldCharType="begin"/>
      </w:r>
      <w:r>
        <w:instrText>HYPERLINK "http://www.redjurista.com/document.aspx?ajcode=d1214_90&amp;arts=52"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del Decreto 1214 de 1990 se ordenará previamente por el superior inmediato dentro de la línea de mando, siempre que sea oficial en servicio activo, que el empleado rinda un informe sobre la causa o causas de su omisión. Este informe, una vez conocido y conceptuado por el superior inmediato del inculpado, debe remitirse al Comando General, Secretaría General del Ministerio, Comando de Fuerza o Dirección General de la Policía Nacional, en donde se aceptarán las explicaciones dadas por el interesado, si fueren justificadas, o se elaborará la disposición de descuento, si no lo fueren. Las sumas descontadas por este concepto ingresarán al Fondo de Bienestar y Recreación del Ministerio de Defensa Nacional o al Bienestar Social de la Policía, según el caso.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76" w:name="2.2.1.1.3.8"/>
      <w:r>
        <w:rPr>
          <w:rFonts w:hAnsi="Arial"/>
          <w:rFonts w:ascii="Arial"/>
          <w:sz w:val="24"/>
          <w:color w:val="navy"/>
        </w:rPr>
        <w:t xml:space="preserve">ARTÍCULO 2.2.1.1.3.8. </w:t>
      </w:r>
      <w:r>
        <w:rPr>
          <w:rFonts w:hAnsi="Arial"/>
          <w:rFonts w:ascii="Arial"/>
          <w:sz w:val="24"/>
          <w:i/>
          <w:color w:val="navy"/>
        </w:rPr>
        <w:t xml:space="preserve">PROHIBICIÓN PAGO DOBLE SUBSIDIO FAMILIAR.</w:t>
      </w:r>
      <w:bookmarkEnd w:id="59876"/>
      <w:r>
        <w:rPr>
          <w:rFonts w:hAnsi="Arial"/>
          <w:rFonts w:ascii="Arial"/>
          <w:sz w:val="24"/>
          <w:b/>
          <w:i/>
          <w:color w:val="black"/>
        </w:rPr>
        <w:t xml:space="preserve"> </w:t>
      </w:r>
      <w:r>
        <w:rPr>
          <w:rFonts w:hAnsi="Arial"/>
          <w:rFonts w:ascii="Arial"/>
          <w:sz w:val="24"/>
          <w:color w:val="black"/>
        </w:rPr>
        <w:t xml:space="preserve">Para hacer efectivo el cumplimiento de lo dispuesto en el Artículo </w:t>
      </w:r>
      <w:r>
        <w:fldChar w:fldCharType="begin"/>
      </w:r>
      <w:r>
        <w:instrText>HYPERLINK "http://www.redjurista.com/document.aspx?ajcode=d1214_90&amp;arts=53"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del Decreto 1214 de 1990, los empleados públicos deberán demostrar ante la secretaría General del Ministerio de Defensa, Comando General de las Fuerzas Militares, Comandos de Fuerza y Dirección General de la Policía Nacional, mediante declaración jurada ante autoridad competente, que su cónyuge no tiene relación legal y reglamentaria, ni contrato de trabajo con personas de derecho público En caso de existir, deberá allegarse constancia de que este no percibe subsidio familiar.</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77" w:name="2.2.1.1.3.9"/>
      <w:r>
        <w:rPr>
          <w:rFonts w:hAnsi="Arial"/>
          <w:rFonts w:ascii="Arial"/>
          <w:sz w:val="24"/>
          <w:color w:val="navy"/>
        </w:rPr>
        <w:t xml:space="preserve">ARTÍCULO 2.2.1.1.3.9. </w:t>
      </w:r>
      <w:r>
        <w:rPr>
          <w:rFonts w:hAnsi="Arial"/>
          <w:rFonts w:ascii="Arial"/>
          <w:sz w:val="24"/>
          <w:i/>
          <w:color w:val="navy"/>
        </w:rPr>
        <w:t xml:space="preserve">SERVICIOS MEDICO-ASISTENCIALES.</w:t>
      </w:r>
      <w:bookmarkEnd w:id="59877"/>
      <w:r>
        <w:rPr>
          <w:rFonts w:hAnsi="Arial"/>
          <w:rFonts w:ascii="Arial"/>
          <w:sz w:val="24"/>
          <w:b/>
          <w:i/>
          <w:color w:val="black"/>
        </w:rPr>
        <w:t xml:space="preserve"> </w:t>
      </w:r>
      <w:r>
        <w:rPr>
          <w:rFonts w:hAnsi="Arial"/>
          <w:rFonts w:ascii="Arial"/>
          <w:sz w:val="24"/>
          <w:color w:val="black"/>
        </w:rPr>
        <w:t xml:space="preserve">Para la Prestación de los servicios médico-asistenciales previstos en el artículo </w:t>
      </w:r>
      <w:r>
        <w:fldChar w:fldCharType="begin"/>
      </w:r>
      <w:r>
        <w:instrText>HYPERLINK "http://www.redjurista.com/document.aspx?ajcode=d1214_90&amp;arts=81"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del Decreto 1214 de 1990, las oficinas de personal de la secretaría General del Ministerio de Defensa, Comando General de las Fuerzas Militares, Comandos de Fuerza y Dirección General de la Policía Nacional, expedirán carnés de identificación y los beneficiarios de los empleados públicos, para cuyo efecto se observarán las siguientes normas:</w:t>
      </w:r>
    </w:p>
    <w:p>
      <w:pPr>
        <w:jc w:val="both"/>
      </w:pPr>
      <w:rPr>
        <w:sz w:val="24"/>
        <w:color w:val="black"/>
      </w:rPr>
    </w:p>
    <w:p>
      <w:pPr>
        <w:jc w:val="both"/>
      </w:pPr>
      <w:r>
        <w:rPr>
          <w:rFonts w:hAnsi="Arial"/>
          <w:rFonts w:ascii="Arial"/>
          <w:sz w:val="24"/>
          <w:color w:val="black"/>
        </w:rPr>
        <w:t xml:space="preserve">a) El carné debe expedirse individualmente e incluir su fotografía salvo para niños menores de dos (2) años. El documento tendrá una vigencia de tres (3) años.</w:t>
      </w:r>
    </w:p>
    <w:p>
      <w:pPr>
        <w:jc w:val="both"/>
      </w:pPr>
      <w:rPr>
        <w:sz w:val="24"/>
        <w:color w:val="black"/>
      </w:rPr>
    </w:p>
    <w:p>
      <w:pPr>
        <w:jc w:val="both"/>
      </w:pPr>
      <w:r>
        <w:rPr>
          <w:rFonts w:hAnsi="Arial"/>
          <w:rFonts w:ascii="Arial"/>
          <w:sz w:val="24"/>
          <w:color w:val="black"/>
        </w:rPr>
        <w:t xml:space="preserve">b) El valor de cada carné, determinado por el Comando General de las Fuerzas Militares, debe ser cubierto por el beneficiario en el momento de recibirlo.</w:t>
      </w:r>
    </w:p>
    <w:p>
      <w:pPr>
        <w:jc w:val="both"/>
      </w:pPr>
      <w:rPr>
        <w:sz w:val="24"/>
        <w:color w:val="black"/>
      </w:rPr>
    </w:p>
    <w:p>
      <w:pPr>
        <w:jc w:val="both"/>
      </w:pPr>
      <w:r>
        <w:rPr>
          <w:rFonts w:hAnsi="Arial"/>
          <w:rFonts w:ascii="Arial"/>
          <w:sz w:val="24"/>
          <w:color w:val="black"/>
        </w:rPr>
        <w:t xml:space="preserve">c) La dependencia económica se comprobará mediante la presentación de los siguientes documentos:</w:t>
      </w:r>
    </w:p>
    <w:p>
      <w:pPr>
        <w:jc w:val="both"/>
      </w:pPr>
      <w:rPr>
        <w:sz w:val="24"/>
        <w:color w:val="black"/>
      </w:rPr>
    </w:p>
    <w:p>
      <w:pPr>
        <w:jc w:val="both"/>
      </w:pPr>
      <w:r>
        <w:rPr>
          <w:rFonts w:hAnsi="Arial"/>
          <w:rFonts w:ascii="Arial"/>
          <w:sz w:val="24"/>
          <w:color w:val="black"/>
        </w:rPr>
        <w:t xml:space="preserve">1. Certificación expedida por la Administración de Impuestos Nacionales, en el sentido de que el beneficiario no declara renta ni patrimonio.</w:t>
      </w:r>
    </w:p>
    <w:p>
      <w:pPr>
        <w:jc w:val="both"/>
      </w:pPr>
      <w:rPr>
        <w:sz w:val="24"/>
        <w:color w:val="black"/>
      </w:rPr>
    </w:p>
    <w:p>
      <w:pPr>
        <w:jc w:val="both"/>
      </w:pPr>
      <w:r>
        <w:rPr>
          <w:rFonts w:hAnsi="Arial"/>
          <w:rFonts w:ascii="Arial"/>
          <w:sz w:val="24"/>
          <w:color w:val="black"/>
        </w:rPr>
        <w:t xml:space="preserve">2. Certificado que acredite la calidad de estudiante del hijo, expedido por la institución docente, indicando la intensidad horaria, que no puede ser inferior a cuatro (4) horas diarias</w:t>
      </w:r>
    </w:p>
    <w:p>
      <w:pPr>
        <w:jc w:val="both"/>
      </w:pPr>
      <w:rPr>
        <w:sz w:val="24"/>
        <w:color w:val="black"/>
      </w:rPr>
    </w:p>
    <w:p>
      <w:pPr>
        <w:jc w:val="both"/>
      </w:pPr>
      <w:r>
        <w:rPr>
          <w:rFonts w:hAnsi="Arial"/>
          <w:rFonts w:ascii="Arial"/>
          <w:sz w:val="24"/>
          <w:color w:val="black"/>
        </w:rPr>
        <w:t xml:space="preserve">3. Cuando se trate de hijos inválidos, deberá presentarse además la certificación de la respectiva Sanidad Militar o de Policía.</w:t>
      </w:r>
    </w:p>
    <w:p>
      <w:pPr>
        <w:jc w:val="both"/>
      </w:pPr>
      <w:rPr>
        <w:sz w:val="24"/>
        <w:color w:val="black"/>
      </w:rPr>
    </w:p>
    <w:p>
      <w:pPr>
        <w:jc w:val="both"/>
      </w:pPr>
      <w:r>
        <w:rPr>
          <w:rFonts w:hAnsi="Arial"/>
          <w:rFonts w:ascii="Arial"/>
          <w:sz w:val="24"/>
          <w:color w:val="black"/>
        </w:rPr>
        <w:t xml:space="preserve">d) Los carnés correspondientes a hijos del empleado, caducarán de manera automática en la fecha en que cumplan veintiún (21) años de edad, excepto los de los hijos inválidos. En el caso de los estudiantes hasta la edad de veinticuatro (24) años dependientes económicamente se expedirá un nuevo carné;</w:t>
      </w:r>
    </w:p>
    <w:p>
      <w:pPr>
        <w:jc w:val="both"/>
      </w:pPr>
      <w:rPr>
        <w:sz w:val="24"/>
        <w:color w:val="black"/>
      </w:rPr>
    </w:p>
    <w:p>
      <w:pPr>
        <w:jc w:val="both"/>
      </w:pPr>
      <w:r>
        <w:rPr>
          <w:rFonts w:hAnsi="Arial"/>
          <w:rFonts w:ascii="Arial"/>
          <w:sz w:val="24"/>
          <w:color w:val="black"/>
        </w:rPr>
        <w:t xml:space="preserve">e) Al retiro del empleado público, las oficinas de personal a que se refiere el presente Artículo, deben exigir la devolución de los carnés correspondientes, expidiendo constancia escrita y detallada de tal devolución;</w:t>
      </w:r>
    </w:p>
    <w:p>
      <w:pPr>
        <w:jc w:val="both"/>
      </w:pPr>
      <w:rPr>
        <w:sz w:val="24"/>
        <w:color w:val="black"/>
      </w:rPr>
    </w:p>
    <w:p>
      <w:pPr>
        <w:jc w:val="both"/>
      </w:pPr>
      <w:r>
        <w:rPr>
          <w:rFonts w:hAnsi="Arial"/>
          <w:rFonts w:ascii="Arial"/>
          <w:sz w:val="24"/>
          <w:color w:val="black"/>
        </w:rPr>
        <w:t xml:space="preserve">f) La constancia a que se refiere el literal anterior, será válida para la prestación de los servicios asistenciales al causante y a sus beneficiarios durante los tres (3) meses de alta que establece la ley, siempre que se trate de personal con derecho pensión. Dicha constancia será también la base para la expedición de los nuevos carnés por parte del Fondo Asistencial de Pensionados del Ministerio de Defensa o de la Policía Nacional.</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documentos probatorios de las situaciones de dependencia a que se refiere este Artículo, deben exigirse para la expedición inicial de los carnés y para cada una de sus renovaciones, teniendo cuidado de verificar su actualización o validez para la época en que se presentan.</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78" w:name="2.2.1.1.3.10"/>
      <w:r>
        <w:rPr>
          <w:rFonts w:hAnsi="Arial"/>
          <w:rFonts w:ascii="Arial"/>
          <w:sz w:val="24"/>
          <w:color w:val="navy"/>
        </w:rPr>
        <w:t xml:space="preserve">ARTÍCULO 2.2.1.1.3.10. </w:t>
      </w:r>
      <w:r>
        <w:rPr>
          <w:rFonts w:hAnsi="Arial"/>
          <w:rFonts w:ascii="Arial"/>
          <w:sz w:val="24"/>
          <w:i/>
          <w:color w:val="navy"/>
        </w:rPr>
        <w:t xml:space="preserve">PRESTACIÓN DE SERVICIOS POR OTRAS ENTIDADES.</w:t>
      </w:r>
      <w:bookmarkEnd w:id="59878"/>
      <w:r>
        <w:rPr>
          <w:rFonts w:hAnsi="Arial"/>
          <w:rFonts w:ascii="Arial"/>
          <w:sz w:val="24"/>
          <w:b/>
          <w:i/>
          <w:color w:val="black"/>
        </w:rPr>
        <w:t xml:space="preserve"> </w:t>
      </w:r>
      <w:r>
        <w:rPr>
          <w:rFonts w:hAnsi="Arial"/>
          <w:rFonts w:ascii="Arial"/>
          <w:sz w:val="24"/>
          <w:color w:val="black"/>
        </w:rPr>
        <w:t xml:space="preserve">Cuando la unidad médica de una Guarnición Militar o Policial, no esté en capacidad de prestar el servicio requerido, el Comandante o Jefe de esta, podrá solicitar los servicios de profesionales de entidades particulares, previa autorización de la jefatura de sanidad respectiva, hasta por las cuantías fijadas en la escala de tarifas establecidas para el efecto por el Ministerio de Defensa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79" w:name="2.2.1.1.3.11"/>
      <w:r>
        <w:rPr>
          <w:rFonts w:hAnsi="Arial"/>
          <w:rFonts w:ascii="Arial"/>
          <w:sz w:val="24"/>
          <w:color w:val="navy"/>
        </w:rPr>
        <w:t xml:space="preserve">ARTÍCULO 2.2.1.1.3.11. </w:t>
      </w:r>
      <w:r>
        <w:rPr>
          <w:rFonts w:hAnsi="Arial"/>
          <w:rFonts w:ascii="Arial"/>
          <w:sz w:val="24"/>
          <w:i/>
          <w:color w:val="navy"/>
        </w:rPr>
        <w:t xml:space="preserve">ATENCIÓN CASOS DE URGENCIA.</w:t>
      </w:r>
      <w:bookmarkEnd w:id="59879"/>
      <w:r>
        <w:rPr>
          <w:rFonts w:hAnsi="Arial"/>
          <w:rFonts w:ascii="Arial"/>
          <w:sz w:val="24"/>
          <w:b/>
          <w:i/>
          <w:color w:val="black"/>
        </w:rPr>
        <w:t xml:space="preserve"> </w:t>
      </w:r>
      <w:r>
        <w:rPr>
          <w:rFonts w:hAnsi="Arial"/>
          <w:rFonts w:ascii="Arial"/>
          <w:sz w:val="24"/>
          <w:color w:val="black"/>
        </w:rPr>
        <w:t xml:space="preserve">En casos de urgencia, los cuales deben ser plenamente comprobados, los beneficiarios podrán solicitar los servicios asistenciales de la Guarnición Militar o Policial o de cualquiera otra persona natural o jurídica del lugar en que se encontrase en el momento de requerirlos. El beneficiario de la atención de urgencia o sus familiares están en la obligación de informar a la guarnición militar o policial a la que pertenezcan o a la Jefatura de Sanidad respectiva, la ocurrencia de los hechos, dentro de los cinco (5) días siguientes a su acaecimiento.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Se consideran casos de urgencia los determinados por accidentes y enfermedades repentinas con manifestaciones graves o alarmantes y las complicaciones súbitas que surjan dentro de un tratamiento médico-quirúrgico.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0" w:name="2.2.1.1.3.12"/>
      <w:r>
        <w:rPr>
          <w:rFonts w:hAnsi="Arial"/>
          <w:rFonts w:ascii="Arial"/>
          <w:sz w:val="24"/>
          <w:color w:val="navy"/>
        </w:rPr>
        <w:t xml:space="preserve">ARTÍCULO 2.2.1.1.3.12. </w:t>
      </w:r>
      <w:r>
        <w:rPr>
          <w:rFonts w:hAnsi="Arial"/>
          <w:rFonts w:ascii="Arial"/>
          <w:sz w:val="24"/>
          <w:i/>
          <w:color w:val="navy"/>
        </w:rPr>
        <w:t xml:space="preserve">NO UTILIZACIÓN DE LOS SERVICIOS MEDICO-ASISTENCIALES.</w:t>
      </w:r>
      <w:bookmarkEnd w:id="59880"/>
      <w:r>
        <w:rPr>
          <w:rFonts w:hAnsi="Arial"/>
          <w:rFonts w:ascii="Arial"/>
          <w:sz w:val="24"/>
          <w:b/>
          <w:i/>
          <w:color w:val="black"/>
        </w:rPr>
        <w:t xml:space="preserve"> </w:t>
      </w:r>
      <w:r>
        <w:rPr>
          <w:rFonts w:hAnsi="Arial"/>
          <w:rFonts w:ascii="Arial"/>
          <w:sz w:val="24"/>
          <w:color w:val="black"/>
        </w:rPr>
        <w:t xml:space="preserve">Cuando los beneficiarios del personal civil no utilicen los servicios médico-asistenciales de la Sanidad Militar o Policial o de las personas o entidades particulares autorizadas para prestarlos, el Ministerio de Defensa y la Policía Nacional quedaran exonerados de toda responsabilidad y no cubrirán cuenta alguna por concepto de servicios sustitutivos de los anteriores. Se exceptúan de esta norma los casos de urgencia que deban ser atendidos por personas o entidades diferentes, de acuerdo con lo previsto en el artículo anterior.</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1" w:name="2.2.1.1.3.13"/>
      <w:r>
        <w:rPr>
          <w:rFonts w:hAnsi="Arial"/>
          <w:rFonts w:ascii="Arial"/>
          <w:sz w:val="24"/>
          <w:color w:val="navy"/>
        </w:rPr>
        <w:t xml:space="preserve">ARTÍCULO 2.2.1.1.3.13. </w:t>
      </w:r>
      <w:r>
        <w:rPr>
          <w:rFonts w:hAnsi="Arial"/>
          <w:rFonts w:ascii="Arial"/>
          <w:sz w:val="24"/>
          <w:i/>
          <w:color w:val="navy"/>
        </w:rPr>
        <w:t xml:space="preserve">ATENCIÓN DE ENFERMOS ESPECIALES.</w:t>
      </w:r>
      <w:bookmarkEnd w:id="59881"/>
      <w:r>
        <w:rPr>
          <w:rFonts w:hAnsi="Arial"/>
          <w:rFonts w:ascii="Arial"/>
          <w:sz w:val="24"/>
          <w:b/>
          <w:i/>
          <w:color w:val="black"/>
        </w:rPr>
        <w:t xml:space="preserve"> </w:t>
      </w:r>
      <w:r>
        <w:rPr>
          <w:rFonts w:hAnsi="Arial"/>
          <w:rFonts w:ascii="Arial"/>
          <w:sz w:val="24"/>
          <w:color w:val="black"/>
        </w:rPr>
        <w:t xml:space="preserve">Los servicios médicos, quirúrgicos, farmacéuticos, hospitalarios y a fines, de que tratan los artículos anteriores, están destinados a la atención de enfermedades y accidentes comunes del personal con derecho a ellos. La atención de pacientes afectados por enfermedades infectocontagiosas que impongan su aislamiento permanente o prolongado, se prestará en los lugares especialmente establecidos o autorizados para ello por el Ministerio de Salud, con cargo al presupuesto del Ministerio de Defensa o de la Policía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2" w:name="2.2.1.1.3.14"/>
      <w:r>
        <w:rPr>
          <w:rFonts w:hAnsi="Arial"/>
          <w:rFonts w:ascii="Arial"/>
          <w:sz w:val="24"/>
          <w:color w:val="navy"/>
        </w:rPr>
        <w:t xml:space="preserve">ARTÍCULO 2.2.1.1.3.14. </w:t>
      </w:r>
      <w:r>
        <w:rPr>
          <w:rFonts w:hAnsi="Arial"/>
          <w:rFonts w:ascii="Arial"/>
          <w:sz w:val="24"/>
          <w:i/>
          <w:color w:val="navy"/>
        </w:rPr>
        <w:t xml:space="preserve">PAGO POR NO UTILIZACIÓN DE SERVICIOS.</w:t>
      </w:r>
      <w:bookmarkEnd w:id="59882"/>
      <w:r>
        <w:rPr>
          <w:rFonts w:hAnsi="Arial"/>
          <w:rFonts w:ascii="Arial"/>
          <w:sz w:val="24"/>
          <w:b/>
          <w:i/>
          <w:color w:val="black"/>
        </w:rPr>
        <w:t xml:space="preserve"> </w:t>
      </w:r>
      <w:r>
        <w:rPr>
          <w:rFonts w:hAnsi="Arial"/>
          <w:rFonts w:ascii="Arial"/>
          <w:sz w:val="24"/>
          <w:color w:val="black"/>
        </w:rPr>
        <w:t xml:space="preserve">Serán de cargo del causante los gastos de preparación de salas de cirugía o consultorios especializados, con base en tarifas fijadas por los establecimientos hospitalarios del Ministerio de Defensa o de la Policía Nacional, o por las clínicas particulares autorizadas, cuando sin motivo plenamente justificado el paciente deje de concurrir a la cita que se le da para una intervención quirúrgica o consulta especial.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3" w:name="2.2.1.1.3.15"/>
      <w:r>
        <w:rPr>
          <w:rFonts w:hAnsi="Arial"/>
          <w:rFonts w:ascii="Arial"/>
          <w:sz w:val="24"/>
          <w:color w:val="navy"/>
        </w:rPr>
        <w:t xml:space="preserve">ARTÍCULO 2.2.1.1.3.15. </w:t>
      </w:r>
      <w:r>
        <w:rPr>
          <w:rFonts w:hAnsi="Arial"/>
          <w:rFonts w:ascii="Arial"/>
          <w:sz w:val="24"/>
          <w:i/>
          <w:color w:val="navy"/>
        </w:rPr>
        <w:t xml:space="preserve">PAGO POR SERVICIOS INDEBIDOS.</w:t>
      </w:r>
      <w:bookmarkEnd w:id="59883"/>
      <w:r>
        <w:rPr>
          <w:rFonts w:hAnsi="Arial"/>
          <w:rFonts w:ascii="Arial"/>
          <w:sz w:val="24"/>
          <w:b/>
          <w:i/>
          <w:color w:val="black"/>
        </w:rPr>
        <w:t xml:space="preserve"> </w:t>
      </w:r>
      <w:r>
        <w:rPr>
          <w:rFonts w:hAnsi="Arial"/>
          <w:rFonts w:ascii="Arial"/>
          <w:sz w:val="24"/>
          <w:color w:val="black"/>
        </w:rPr>
        <w:t xml:space="preserve">El personal civil que por medios fraudulentos obtuviere carné para la prestación de servicios asistenciales, a personas sin derecho a estos o que hiciere prestar servicios médicos no establecidos por la ley, incurrirá en falta disciplinaria y pagará además con destino a la sanidad respectiva una suma equivalente al doble de las tarifas establecidas para ese servicio. Esta suma será descontable de la asignación mensual de actividad o de las prestaciones sociales a solicitud de la autoridad correspondiente.</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el cumplimiento de este artículo se aplicará el Reglamento del Régimen Disciplinario para las FF.MM.</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4" w:name="2.2.1.1.3.16"/>
      <w:r>
        <w:rPr>
          <w:rFonts w:hAnsi="Arial"/>
          <w:rFonts w:ascii="Arial"/>
          <w:sz w:val="24"/>
          <w:color w:val="navy"/>
        </w:rPr>
        <w:t xml:space="preserve">ARTÍCULO 2.2.1.1.3.16. </w:t>
      </w:r>
      <w:r>
        <w:rPr>
          <w:rFonts w:hAnsi="Arial"/>
          <w:rFonts w:ascii="Arial"/>
          <w:sz w:val="24"/>
          <w:i/>
          <w:color w:val="navy"/>
        </w:rPr>
        <w:t xml:space="preserve">TURNO DE VACACIONES.</w:t>
      </w:r>
      <w:bookmarkEnd w:id="59884"/>
      <w:r>
        <w:rPr>
          <w:rFonts w:hAnsi="Arial"/>
          <w:rFonts w:ascii="Arial"/>
          <w:sz w:val="24"/>
          <w:b/>
          <w:i/>
          <w:color w:val="black"/>
        </w:rPr>
        <w:t xml:space="preserve"> </w:t>
      </w:r>
      <w:r>
        <w:rPr>
          <w:rFonts w:hAnsi="Arial"/>
          <w:rFonts w:ascii="Arial"/>
          <w:sz w:val="24"/>
          <w:color w:val="black"/>
        </w:rPr>
        <w:t xml:space="preserve">En desarrollo de lo dispuesto en el artículo </w:t>
      </w:r>
      <w:r>
        <w:fldChar w:fldCharType="begin"/>
      </w:r>
      <w:r>
        <w:instrText>HYPERLINK "http://www.redjurista.com/document.aspx?ajcode=d1214_90&amp;arts=90"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 1214 de 1990, en el mes de noviembre de cada año, la secretaría General de Ministerio de Defensa Nacional, el Comando General de las Fuerzas Militares, los Comandos de Fuerza y la Dirección General de la Policía Nacional, prepararán una relación del personal con derecho a vacaciones dentro o siguiente, indicando las fechas en que se adquiere tal derecho. Las partes pertinentes de dicha relación se difundirán por conducto regular y las Unidades y Reparticiones en que el citado personal preste sus servicios. Con base en dicha relación, las Unidades y Reparticiones que más adelante se enumeran, procederán a elaborar los "Turnos anuales de Vacaciones" para el personal de su dependencia, los que remitirán para fines de aprobación y control del Comando respectivo. Aprobados los turnos, se publicarán por las órdenes del Día de:</w:t>
      </w:r>
    </w:p>
    <w:p>
      <w:pPr>
        <w:jc w:val="both"/>
      </w:pPr>
      <w:rPr>
        <w:sz w:val="24"/>
        <w:color w:val="black"/>
      </w:rPr>
    </w:p>
    <w:p>
      <w:pPr>
        <w:jc w:val="both"/>
      </w:pPr>
      <w:r>
        <w:rPr>
          <w:rFonts w:hAnsi="Arial"/>
          <w:rFonts w:ascii="Arial"/>
          <w:sz w:val="24"/>
          <w:color w:val="black"/>
        </w:rPr>
        <w:t xml:space="preserve">a. Secretaría General del Ministerio de Defensa.</w:t>
      </w:r>
    </w:p>
    <w:p>
      <w:pPr>
        <w:jc w:val="both"/>
      </w:pPr>
      <w:rPr>
        <w:sz w:val="24"/>
        <w:color w:val="black"/>
      </w:rPr>
    </w:p>
    <w:p>
      <w:pPr>
        <w:jc w:val="both"/>
      </w:pPr>
      <w:r>
        <w:rPr>
          <w:rFonts w:hAnsi="Arial"/>
          <w:rFonts w:ascii="Arial"/>
          <w:sz w:val="24"/>
          <w:color w:val="black"/>
        </w:rPr>
        <w:t xml:space="preserve">b. Comando General de las Fuerzas Militares.</w:t>
      </w:r>
    </w:p>
    <w:p>
      <w:pPr>
        <w:jc w:val="both"/>
      </w:pPr>
      <w:rPr>
        <w:sz w:val="24"/>
        <w:color w:val="black"/>
      </w:rPr>
    </w:p>
    <w:p>
      <w:pPr>
        <w:jc w:val="both"/>
      </w:pPr>
      <w:r>
        <w:rPr>
          <w:rFonts w:hAnsi="Arial"/>
          <w:rFonts w:ascii="Arial"/>
          <w:sz w:val="24"/>
          <w:color w:val="black"/>
        </w:rPr>
        <w:t xml:space="preserve">c. Comandos de Fuerza.</w:t>
      </w:r>
    </w:p>
    <w:p>
      <w:pPr>
        <w:jc w:val="both"/>
      </w:pPr>
      <w:rPr>
        <w:sz w:val="24"/>
        <w:color w:val="black"/>
      </w:rPr>
    </w:p>
    <w:p>
      <w:pPr>
        <w:jc w:val="both"/>
      </w:pPr>
      <w:r>
        <w:rPr>
          <w:rFonts w:hAnsi="Arial"/>
          <w:rFonts w:ascii="Arial"/>
          <w:sz w:val="24"/>
          <w:color w:val="black"/>
        </w:rPr>
        <w:t xml:space="preserve">d. Dirección General de la Policía Nacional.</w:t>
      </w:r>
    </w:p>
    <w:p>
      <w:pPr>
        <w:jc w:val="both"/>
      </w:pPr>
      <w:rPr>
        <w:sz w:val="24"/>
        <w:color w:val="black"/>
      </w:rPr>
    </w:p>
    <w:p>
      <w:pPr>
        <w:jc w:val="both"/>
      </w:pPr>
      <w:r>
        <w:rPr>
          <w:rFonts w:hAnsi="Arial"/>
          <w:rFonts w:ascii="Arial"/>
          <w:sz w:val="24"/>
          <w:color w:val="black"/>
        </w:rPr>
        <w:t xml:space="preserve">e. Institutos Descentralizados adscritos o vinculados al Ministerio de Defensa, para el personal en comisión en tales entidades.</w:t>
      </w:r>
    </w:p>
    <w:p>
      <w:pPr>
        <w:jc w:val="both"/>
      </w:pPr>
      <w:rPr>
        <w:sz w:val="24"/>
        <w:color w:val="black"/>
      </w:rPr>
    </w:p>
    <w:p>
      <w:pPr>
        <w:jc w:val="both"/>
      </w:pPr>
      <w:r>
        <w:rPr>
          <w:rFonts w:hAnsi="Arial"/>
          <w:rFonts w:ascii="Arial"/>
          <w:sz w:val="24"/>
          <w:color w:val="black"/>
        </w:rPr>
        <w:t xml:space="preserve">f. Comandos de Unidad Operativa, Fuerza Naval, Comandos Aéreos, Comandos de Departamento de Policía y Comandos de Policía Metropolitana.</w:t>
      </w:r>
    </w:p>
    <w:p>
      <w:pPr>
        <w:jc w:val="both"/>
      </w:pPr>
      <w:rPr>
        <w:sz w:val="24"/>
        <w:color w:val="black"/>
      </w:rPr>
    </w:p>
    <w:p>
      <w:pPr>
        <w:jc w:val="both"/>
      </w:pPr>
      <w:r>
        <w:rPr>
          <w:rFonts w:hAnsi="Arial"/>
          <w:rFonts w:ascii="Arial"/>
          <w:sz w:val="24"/>
          <w:color w:val="black"/>
        </w:rPr>
        <w:t xml:space="preserve">g. Institutos de Formación y Capacitación de Oficia les, Suboficiales y Agentes.</w:t>
      </w:r>
    </w:p>
    <w:p>
      <w:pPr>
        <w:jc w:val="both"/>
      </w:pPr>
      <w:rPr>
        <w:sz w:val="24"/>
        <w:color w:val="black"/>
      </w:rPr>
    </w:p>
    <w:p>
      <w:pPr>
        <w:jc w:val="both"/>
      </w:pPr>
      <w:r>
        <w:rPr>
          <w:rFonts w:hAnsi="Arial"/>
          <w:rFonts w:ascii="Arial"/>
          <w:sz w:val="24"/>
          <w:color w:val="black"/>
        </w:rPr>
        <w:t xml:space="preserve">h. Comandos de Batallón, Base Naval o Fluvial, Unidad a flote o submarina, Apostadero Naval, Grupo Aéreo y Comandos de Distrito.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85" w:name="2.2.1.1.3.17"/>
      <w:r>
        <w:rPr>
          <w:rFonts w:hAnsi="Arial"/>
          <w:rFonts w:ascii="Arial"/>
          <w:sz w:val="24"/>
          <w:color w:val="navy"/>
        </w:rPr>
        <w:t xml:space="preserve">ARTÍCULO 2.2.1.1.3.17. </w:t>
      </w:r>
      <w:r>
        <w:rPr>
          <w:rFonts w:hAnsi="Arial"/>
          <w:rFonts w:ascii="Arial"/>
          <w:sz w:val="24"/>
          <w:i/>
          <w:color w:val="navy"/>
        </w:rPr>
        <w:t xml:space="preserve">OBLIGATORIEDAD DE LAS VACACIONES.</w:t>
      </w:r>
      <w:bookmarkEnd w:id="59885"/>
      <w:r>
        <w:rPr>
          <w:rFonts w:hAnsi="Arial"/>
          <w:rFonts w:ascii="Arial"/>
          <w:sz w:val="24"/>
          <w:b/>
          <w:i/>
          <w:color w:val="black"/>
        </w:rPr>
        <w:t xml:space="preserve"> </w:t>
      </w:r>
      <w:r>
        <w:rPr>
          <w:rFonts w:hAnsi="Arial"/>
          <w:rFonts w:ascii="Arial"/>
          <w:sz w:val="24"/>
          <w:color w:val="black"/>
        </w:rPr>
        <w:t xml:space="preserve">El disfrute de vacaciones anuales tiene carácter obligatorio para todo el personal civil, quien debe hacer uso de ellas dentro del año inmediatamente siguiente a la fecha en que se cause el derecho.</w:t>
      </w:r>
    </w:p>
    <w:p>
      <w:pPr>
        <w:jc w:val="both"/>
      </w:pPr>
      <w:rPr>
        <w:sz w:val="24"/>
        <w:color w:val="black"/>
      </w:rPr>
    </w:p>
    <w:p>
      <w:pPr>
        <w:jc w:val="both"/>
      </w:pPr>
      <w:r>
        <w:rPr>
          <w:rFonts w:hAnsi="Arial"/>
          <w:rFonts w:ascii="Arial"/>
          <w:sz w:val="24"/>
          <w:color w:val="black"/>
        </w:rPr>
        <w:t xml:space="preserve">Las entidades que de acuerdo con el Artículo anterior tienen a su cargo la preparación de los turnos de vacaciones y el control de su ejecución o cumplimiento, no podrán introducirles modificaciones sin la expresa autorización del respectivo Comando o Dirección General de la Policía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6" w:name="2.2.1.1.3.18"/>
      <w:r>
        <w:rPr>
          <w:rFonts w:hAnsi="Arial"/>
          <w:rFonts w:ascii="Arial"/>
          <w:sz w:val="24"/>
          <w:color w:val="navy"/>
        </w:rPr>
        <w:t xml:space="preserve">ARTÍCULO 2.2.1.1.3.18. </w:t>
      </w:r>
      <w:r>
        <w:rPr>
          <w:rFonts w:hAnsi="Arial"/>
          <w:rFonts w:ascii="Arial"/>
          <w:sz w:val="24"/>
          <w:i/>
          <w:color w:val="navy"/>
        </w:rPr>
        <w:t xml:space="preserve">VACACIONES DE PERSONAL EN COMISIÓN EN OTRAS ENTIDADES.</w:t>
      </w:r>
      <w:bookmarkEnd w:id="59886"/>
      <w:r>
        <w:rPr>
          <w:rFonts w:hAnsi="Arial"/>
          <w:rFonts w:ascii="Arial"/>
          <w:sz w:val="24"/>
          <w:b/>
          <w:i/>
          <w:color w:val="black"/>
        </w:rPr>
        <w:t xml:space="preserve"> </w:t>
      </w:r>
      <w:r>
        <w:rPr>
          <w:rFonts w:hAnsi="Arial"/>
          <w:rFonts w:ascii="Arial"/>
          <w:sz w:val="24"/>
          <w:color w:val="black"/>
        </w:rPr>
        <w:t xml:space="preserve">El personal civil del Ministerio de Defensa y de Policía Nacional, cuando preste sus servicios en comisión en otras dependencias del Estado, disfrutará de sus vacaciones anuales acuerdo con las necesidades de la respectiva dependencia, la cual debe expedir con destino a la correspondiente autoridad nominadora, una certificación sobre la época y circunstancias en que el comisionado hace uso de tales vacaciones.</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7" w:name="2.2.1.1.3.19"/>
      <w:r>
        <w:rPr>
          <w:rFonts w:hAnsi="Arial"/>
          <w:rFonts w:ascii="Arial"/>
          <w:sz w:val="24"/>
          <w:color w:val="navy"/>
        </w:rPr>
        <w:t xml:space="preserve">ARTÍCULO 2.2.1.1.3.19. </w:t>
      </w:r>
      <w:r>
        <w:rPr>
          <w:rFonts w:hAnsi="Arial"/>
          <w:rFonts w:ascii="Arial"/>
          <w:sz w:val="24"/>
          <w:i/>
          <w:color w:val="navy"/>
        </w:rPr>
        <w:t xml:space="preserve">AUTORIZACIÓN VACACIONES DEL PERSONAL EN COMISIÓN EN EL EXTERIOR.</w:t>
      </w:r>
      <w:bookmarkEnd w:id="59887"/>
      <w:r>
        <w:rPr>
          <w:rFonts w:hAnsi="Arial"/>
          <w:rFonts w:ascii="Arial"/>
          <w:sz w:val="24"/>
          <w:b/>
          <w:i/>
          <w:color w:val="black"/>
        </w:rPr>
        <w:t xml:space="preserve"> </w:t>
      </w:r>
      <w:r>
        <w:rPr>
          <w:rFonts w:hAnsi="Arial"/>
          <w:rFonts w:ascii="Arial"/>
          <w:sz w:val="24"/>
          <w:color w:val="black"/>
        </w:rPr>
        <w:t xml:space="preserve">Las vacaciones de los empleados públicos que se encuentren en comisión en el exterior serán autorizadas por la Orden del Día respectiva.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8" w:name="2.2.1.1.3.20"/>
      <w:r>
        <w:rPr>
          <w:rFonts w:hAnsi="Arial"/>
          <w:rFonts w:ascii="Arial"/>
          <w:sz w:val="24"/>
          <w:color w:val="navy"/>
        </w:rPr>
        <w:t xml:space="preserve">ARTÍCULO 2.2.1.1.3.20. </w:t>
      </w:r>
      <w:r>
        <w:rPr>
          <w:rFonts w:hAnsi="Arial"/>
          <w:rFonts w:ascii="Arial"/>
          <w:sz w:val="24"/>
          <w:i/>
          <w:color w:val="navy"/>
        </w:rPr>
        <w:t xml:space="preserve">VACACIONES ESPECIALES.</w:t>
      </w:r>
      <w:bookmarkEnd w:id="59888"/>
      <w:r>
        <w:rPr>
          <w:rFonts w:hAnsi="Arial"/>
          <w:rFonts w:ascii="Arial"/>
          <w:sz w:val="24"/>
          <w:b/>
          <w:i/>
          <w:color w:val="black"/>
        </w:rPr>
        <w:t xml:space="preserve"> </w:t>
      </w:r>
      <w:r>
        <w:rPr>
          <w:rFonts w:hAnsi="Arial"/>
          <w:rFonts w:ascii="Arial"/>
          <w:sz w:val="24"/>
          <w:color w:val="black"/>
        </w:rPr>
        <w:t xml:space="preserve">Para efecto de lo dispuesto en el parágrafo del artículo </w:t>
      </w:r>
      <w:r>
        <w:fldChar w:fldCharType="begin"/>
      </w:r>
      <w:r>
        <w:instrText>HYPERLINK "http://www.redjurista.com/document.aspx?ajcode=d1214_90&amp;arts=90"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 1214 de 1990, los profesionales y ayudantes cuya actividad sea la aplicación de rayos X, tendrán derecho a quince (15) días corridos de vacaciones, por cada seis (6) meses continuos de servicio.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89" w:name="2.2.1.1.3.21"/>
      <w:r>
        <w:rPr>
          <w:rFonts w:hAnsi="Arial"/>
          <w:rFonts w:ascii="Arial"/>
          <w:sz w:val="24"/>
          <w:color w:val="navy"/>
        </w:rPr>
        <w:t xml:space="preserve">ARTÍCULO 2.2.1.1.3.21. </w:t>
      </w:r>
      <w:r>
        <w:rPr>
          <w:rFonts w:hAnsi="Arial"/>
          <w:rFonts w:ascii="Arial"/>
          <w:sz w:val="24"/>
          <w:i/>
          <w:color w:val="navy"/>
        </w:rPr>
        <w:t xml:space="preserve">SUSPENSIÓN DE VACACIONES.</w:t>
      </w:r>
      <w:bookmarkEnd w:id="59889"/>
      <w:r>
        <w:rPr>
          <w:rFonts w:hAnsi="Arial"/>
          <w:rFonts w:ascii="Arial"/>
          <w:sz w:val="24"/>
          <w:b/>
          <w:i/>
          <w:color w:val="black"/>
        </w:rPr>
        <w:t xml:space="preserve"> </w:t>
      </w:r>
      <w:r>
        <w:rPr>
          <w:rFonts w:hAnsi="Arial"/>
          <w:rFonts w:ascii="Arial"/>
          <w:sz w:val="24"/>
          <w:color w:val="black"/>
        </w:rPr>
        <w:t xml:space="preserve">Al empleado público que durante sus vacaciones se le excuse del servicio por la Sanidad Militar o de la Policía Nacional, le será interrumpido el goce de estas y no perderá el derecho a disfrutar los días que le quedaren pendientes, lo cual hará cuando las circunstancias lo permitan.</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90" w:name="2.2.1.1.3.22"/>
      <w:r>
        <w:rPr>
          <w:rFonts w:hAnsi="Arial"/>
          <w:rFonts w:ascii="Arial"/>
          <w:sz w:val="24"/>
          <w:color w:val="navy"/>
        </w:rPr>
        <w:t xml:space="preserve">ARTÍCULO 2.2.1.1.3.22. </w:t>
      </w:r>
      <w:r>
        <w:rPr>
          <w:rFonts w:hAnsi="Arial"/>
          <w:rFonts w:ascii="Arial"/>
          <w:sz w:val="24"/>
          <w:i/>
          <w:color w:val="navy"/>
        </w:rPr>
        <w:t xml:space="preserve">ANTICIPO DE CESANTÍA.</w:t>
      </w:r>
      <w:bookmarkEnd w:id="59890"/>
      <w:r>
        <w:rPr>
          <w:rFonts w:hAnsi="Arial"/>
          <w:rFonts w:ascii="Arial"/>
          <w:sz w:val="24"/>
          <w:b/>
          <w:i/>
          <w:color w:val="black"/>
        </w:rPr>
        <w:t xml:space="preserve"> </w:t>
      </w:r>
      <w:r>
        <w:rPr>
          <w:rFonts w:hAnsi="Arial"/>
          <w:rFonts w:ascii="Arial"/>
          <w:sz w:val="24"/>
          <w:color w:val="black"/>
        </w:rPr>
        <w:t xml:space="preserve">El anticipo de cesantía de que trata el artículo </w:t>
      </w:r>
      <w:r>
        <w:fldChar w:fldCharType="begin"/>
      </w:r>
      <w:r>
        <w:instrText>HYPERLINK "http://www.redjurista.com/document.aspx?ajcode=d1214_90&amp;arts=95"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Decreto 1214 de 1990, solo se liquidará y pagará cuando así lo autorice el Ministerio de Defensa o la Policía Nacional, con base en las correspondientes disponibilidades presupuestales y a solicitud escrita del interesado, la cual puede ser formulada directamente o por conducto de la Caja de Vivienda Militar.</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1" w:name="2.2.1.1.3.23"/>
      <w:r>
        <w:rPr>
          <w:rFonts w:hAnsi="Arial"/>
          <w:rFonts w:ascii="Arial"/>
          <w:sz w:val="24"/>
          <w:color w:val="navy"/>
        </w:rPr>
        <w:t xml:space="preserve">ARTÍCULO 2.2.1.1.3.23. </w:t>
      </w:r>
      <w:r>
        <w:rPr>
          <w:rFonts w:hAnsi="Arial"/>
          <w:rFonts w:ascii="Arial"/>
          <w:sz w:val="24"/>
          <w:i/>
          <w:color w:val="navy"/>
        </w:rPr>
        <w:t xml:space="preserve">SOLICITUD DIRECTA DE ANTICIPO.</w:t>
      </w:r>
      <w:bookmarkEnd w:id="59891"/>
      <w:r>
        <w:rPr>
          <w:rFonts w:hAnsi="Arial"/>
          <w:rFonts w:ascii="Arial"/>
          <w:sz w:val="24"/>
          <w:b/>
          <w:i/>
          <w:color w:val="black"/>
        </w:rPr>
        <w:t xml:space="preserve"> </w:t>
      </w:r>
      <w:r>
        <w:rPr>
          <w:rFonts w:hAnsi="Arial"/>
          <w:rFonts w:ascii="Arial"/>
          <w:sz w:val="24"/>
          <w:color w:val="black"/>
        </w:rPr>
        <w:t xml:space="preserve">Cuando el empleado solicite directamente la liquidación del anticipo de cesantía, deberá presentar los siguientes documentos:</w:t>
      </w:r>
    </w:p>
    <w:p>
      <w:pPr>
        <w:jc w:val="both"/>
      </w:pPr>
      <w:rPr>
        <w:sz w:val="24"/>
        <w:color w:val="black"/>
      </w:rPr>
    </w:p>
    <w:p>
      <w:pPr>
        <w:jc w:val="both"/>
      </w:pPr>
      <w:r>
        <w:rPr>
          <w:rFonts w:hAnsi="Arial"/>
          <w:rFonts w:ascii="Arial"/>
          <w:sz w:val="24"/>
          <w:color w:val="black"/>
        </w:rPr>
        <w:t xml:space="preserve">a) Memorial petitorio del anticipo, con indicación de su cesantía y el fin a que será destinado.</w:t>
      </w:r>
    </w:p>
    <w:p>
      <w:pPr>
        <w:jc w:val="both"/>
      </w:pPr>
      <w:rPr>
        <w:sz w:val="24"/>
        <w:color w:val="black"/>
      </w:rPr>
    </w:p>
    <w:p>
      <w:pPr>
        <w:jc w:val="both"/>
      </w:pPr>
      <w:r>
        <w:rPr>
          <w:rFonts w:hAnsi="Arial"/>
          <w:rFonts w:ascii="Arial"/>
          <w:sz w:val="24"/>
          <w:color w:val="black"/>
        </w:rPr>
        <w:t xml:space="preserve">b) Cuando se trate de compra de lote, casa o apartamento:</w:t>
      </w:r>
    </w:p>
    <w:p>
      <w:pPr>
        <w:jc w:val="both"/>
      </w:pPr>
      <w:rPr>
        <w:sz w:val="24"/>
        <w:color w:val="black"/>
      </w:rPr>
    </w:p>
    <w:p>
      <w:pPr>
        <w:jc w:val="both"/>
      </w:pPr>
      <w:r>
        <w:rPr>
          <w:rFonts w:hAnsi="Arial"/>
          <w:rFonts w:ascii="Arial"/>
          <w:sz w:val="24"/>
          <w:color w:val="black"/>
        </w:rPr>
        <w:t xml:space="preserve">1. Copia del contrato de promesa de compraventa debidamente autenticado.</w:t>
      </w:r>
    </w:p>
    <w:p>
      <w:pPr>
        <w:jc w:val="both"/>
      </w:pPr>
      <w:rPr>
        <w:sz w:val="24"/>
        <w:color w:val="black"/>
      </w:rPr>
    </w:p>
    <w:p>
      <w:pPr>
        <w:jc w:val="both"/>
      </w:pPr>
      <w:r>
        <w:rPr>
          <w:rFonts w:hAnsi="Arial"/>
          <w:rFonts w:ascii="Arial"/>
          <w:sz w:val="24"/>
          <w:color w:val="black"/>
        </w:rPr>
        <w:t xml:space="preserve">2. Certificado de libertad y tradición o copia del folio de matrícula inmobiliaria correspondiente al inmueble materia del contrato.</w:t>
      </w:r>
    </w:p>
    <w:p>
      <w:pPr>
        <w:jc w:val="both"/>
      </w:pPr>
      <w:rPr>
        <w:sz w:val="24"/>
        <w:color w:val="black"/>
      </w:rPr>
    </w:p>
    <w:p>
      <w:pPr>
        <w:jc w:val="both"/>
      </w:pPr>
      <w:r>
        <w:rPr>
          <w:rFonts w:hAnsi="Arial"/>
          <w:rFonts w:ascii="Arial"/>
          <w:sz w:val="24"/>
          <w:color w:val="black"/>
        </w:rPr>
        <w:t xml:space="preserve">c) Cuando se trate de construcción de vivienda:</w:t>
      </w:r>
    </w:p>
    <w:p>
      <w:pPr>
        <w:jc w:val="both"/>
      </w:pPr>
      <w:rPr>
        <w:sz w:val="24"/>
        <w:color w:val="black"/>
      </w:rPr>
    </w:p>
    <w:p>
      <w:pPr>
        <w:jc w:val="both"/>
      </w:pPr>
      <w:r>
        <w:rPr>
          <w:rFonts w:hAnsi="Arial"/>
          <w:rFonts w:ascii="Arial"/>
          <w:sz w:val="24"/>
          <w:color w:val="black"/>
        </w:rPr>
        <w:t xml:space="preserve">1. Certificado de libertad y tradición del lote, expedido por la correspondiente Oficina de Registro de Instrumentos Públicos.</w:t>
      </w:r>
    </w:p>
    <w:p>
      <w:pPr>
        <w:jc w:val="both"/>
      </w:pPr>
      <w:rPr>
        <w:sz w:val="24"/>
        <w:color w:val="black"/>
      </w:rPr>
    </w:p>
    <w:p>
      <w:pPr>
        <w:jc w:val="both"/>
      </w:pPr>
      <w:r>
        <w:rPr>
          <w:rFonts w:hAnsi="Arial"/>
          <w:rFonts w:ascii="Arial"/>
          <w:sz w:val="24"/>
          <w:color w:val="black"/>
        </w:rPr>
        <w:t xml:space="preserve">2. Planos de la construcción y presupuesto de la misma, elaborado por una Institución Oficial de Vivienda o por una cooperativa y banco, o por un ingeniero o arquitecto debidamente licenciado para el ejercicio de su profesión, que se comprometa formalmente a realizar los trabajos de construcción.</w:t>
      </w:r>
    </w:p>
    <w:p>
      <w:pPr>
        <w:jc w:val="both"/>
      </w:pPr>
      <w:rPr>
        <w:sz w:val="24"/>
        <w:color w:val="black"/>
      </w:rPr>
    </w:p>
    <w:p>
      <w:pPr>
        <w:jc w:val="both"/>
      </w:pPr>
      <w:r>
        <w:rPr>
          <w:rFonts w:hAnsi="Arial"/>
          <w:rFonts w:ascii="Arial"/>
          <w:sz w:val="24"/>
          <w:color w:val="black"/>
        </w:rPr>
        <w:t xml:space="preserve">d) Cuando se trate de ampliación reparación o reconstrucción de la vivienda propia:</w:t>
      </w:r>
    </w:p>
    <w:p>
      <w:pPr>
        <w:jc w:val="both"/>
      </w:pPr>
      <w:rPr>
        <w:sz w:val="24"/>
        <w:color w:val="black"/>
      </w:rPr>
    </w:p>
    <w:p>
      <w:pPr>
        <w:jc w:val="both"/>
      </w:pPr>
      <w:r>
        <w:rPr>
          <w:rFonts w:hAnsi="Arial"/>
          <w:rFonts w:ascii="Arial"/>
          <w:sz w:val="24"/>
          <w:color w:val="black"/>
        </w:rPr>
        <w:t xml:space="preserve">1. Certificado de libertad y tradición o copia del folio de matrícula inmobiliaria.</w:t>
      </w:r>
    </w:p>
    <w:p>
      <w:pPr>
        <w:jc w:val="both"/>
      </w:pPr>
      <w:rPr>
        <w:sz w:val="24"/>
        <w:color w:val="black"/>
      </w:rPr>
    </w:p>
    <w:p>
      <w:pPr>
        <w:jc w:val="both"/>
      </w:pPr>
      <w:r>
        <w:rPr>
          <w:rFonts w:hAnsi="Arial"/>
          <w:rFonts w:ascii="Arial"/>
          <w:sz w:val="24"/>
          <w:color w:val="black"/>
        </w:rPr>
        <w:t xml:space="preserve">2. El Acta de inspección ocular practicada por un ingeniero o arquitecto designado por el respectivo Comando de Fuerza, o por la Caja de Vivienda Militar, en la cual se demuestre la necesidad y conveniencia de que el inmueble sea ampliado, reparado o reconstruido.</w:t>
      </w:r>
    </w:p>
    <w:p>
      <w:pPr>
        <w:jc w:val="both"/>
      </w:pPr>
      <w:rPr>
        <w:sz w:val="24"/>
        <w:color w:val="black"/>
      </w:rPr>
    </w:p>
    <w:p>
      <w:pPr>
        <w:jc w:val="both"/>
      </w:pPr>
      <w:r>
        <w:rPr>
          <w:rFonts w:hAnsi="Arial"/>
          <w:rFonts w:ascii="Arial"/>
          <w:sz w:val="24"/>
          <w:color w:val="black"/>
        </w:rPr>
        <w:t xml:space="preserve">e) Cuando se trate de liberación de gravámenes hipotecarios que afecten el inmueble de habitación propio o del cónyuge:</w:t>
      </w:r>
    </w:p>
    <w:p>
      <w:pPr>
        <w:jc w:val="both"/>
      </w:pPr>
      <w:rPr>
        <w:sz w:val="24"/>
        <w:color w:val="black"/>
      </w:rPr>
    </w:p>
    <w:p>
      <w:pPr>
        <w:jc w:val="both"/>
      </w:pPr>
      <w:r>
        <w:rPr>
          <w:rFonts w:hAnsi="Arial"/>
          <w:rFonts w:ascii="Arial"/>
          <w:sz w:val="24"/>
          <w:color w:val="black"/>
        </w:rPr>
        <w:t xml:space="preserve">1. Copia debidamente registrada de la escritura pública por medio de la cual se constituyó el gravamen hipotecario, con la finalidad exclusiva de satisfacer el pago total o parcial del inmueble hipotecado.</w:t>
      </w:r>
    </w:p>
    <w:p>
      <w:pPr>
        <w:jc w:val="both"/>
      </w:pPr>
      <w:rPr>
        <w:sz w:val="24"/>
        <w:color w:val="black"/>
      </w:rPr>
    </w:p>
    <w:p>
      <w:pPr>
        <w:jc w:val="both"/>
      </w:pPr>
      <w:r>
        <w:rPr>
          <w:rFonts w:hAnsi="Arial"/>
          <w:rFonts w:ascii="Arial"/>
          <w:sz w:val="24"/>
          <w:color w:val="black"/>
        </w:rPr>
        <w:t xml:space="preserve">2. Certificado de libertad y tradición expedido por la correspondiente Oficina de Registro de Instrumentos Públicos en el cual se incluya la información relacionada con la cuantía y vigencia del crédito hipotecario que pesa sobre la propiedad.</w:t>
      </w:r>
    </w:p>
    <w:p>
      <w:pPr>
        <w:jc w:val="both"/>
      </w:pPr>
      <w:rPr>
        <w:sz w:val="24"/>
        <w:color w:val="black"/>
      </w:rPr>
    </w:p>
    <w:p>
      <w:pPr>
        <w:jc w:val="both"/>
      </w:pPr>
      <w:r>
        <w:rPr>
          <w:rFonts w:hAnsi="Arial"/>
          <w:rFonts w:ascii="Arial"/>
          <w:sz w:val="24"/>
          <w:color w:val="black"/>
        </w:rPr>
        <w:t xml:space="preserve">f) En todos los casos a que se refieren los literales anteriores se requerirá, además, la presentación de los siguientes certificados:</w:t>
      </w:r>
    </w:p>
    <w:p>
      <w:pPr>
        <w:jc w:val="both"/>
      </w:pPr>
      <w:rPr>
        <w:sz w:val="24"/>
        <w:color w:val="black"/>
      </w:rPr>
    </w:p>
    <w:p>
      <w:pPr>
        <w:jc w:val="both"/>
      </w:pPr>
      <w:r>
        <w:rPr>
          <w:rFonts w:hAnsi="Arial"/>
          <w:rFonts w:ascii="Arial"/>
          <w:sz w:val="24"/>
          <w:color w:val="black"/>
        </w:rPr>
        <w:t xml:space="preserve">1. Servicios en el Ministerio de Defensa, liquidados hasta la fecha de la solicitud;</w:t>
      </w:r>
    </w:p>
    <w:p>
      <w:pPr>
        <w:jc w:val="both"/>
      </w:pPr>
      <w:rPr>
        <w:sz w:val="24"/>
        <w:color w:val="black"/>
      </w:rPr>
    </w:p>
    <w:p>
      <w:pPr>
        <w:jc w:val="both"/>
      </w:pPr>
      <w:r>
        <w:rPr>
          <w:rFonts w:hAnsi="Arial"/>
          <w:rFonts w:ascii="Arial"/>
          <w:sz w:val="24"/>
          <w:color w:val="black"/>
        </w:rPr>
        <w:t xml:space="preserve">2. Últimos haberes mensuales percibidos;</w:t>
      </w:r>
    </w:p>
    <w:p>
      <w:pPr>
        <w:jc w:val="both"/>
      </w:pPr>
      <w:rPr>
        <w:sz w:val="24"/>
        <w:color w:val="black"/>
      </w:rPr>
    </w:p>
    <w:p>
      <w:pPr>
        <w:jc w:val="both"/>
      </w:pPr>
      <w:r>
        <w:rPr>
          <w:rFonts w:hAnsi="Arial"/>
          <w:rFonts w:ascii="Arial"/>
          <w:sz w:val="24"/>
          <w:color w:val="black"/>
        </w:rPr>
        <w:t xml:space="preserve">3. Fotocopia de la Cédula de Ciudadanía.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2" w:name="2.2.1.1.3.24"/>
      <w:r>
        <w:rPr>
          <w:rFonts w:hAnsi="Arial"/>
          <w:rFonts w:ascii="Arial"/>
          <w:sz w:val="24"/>
          <w:color w:val="navy"/>
        </w:rPr>
        <w:t xml:space="preserve">ARTÍCULO 2.2.1.1.3.24. </w:t>
      </w:r>
      <w:r>
        <w:rPr>
          <w:rFonts w:hAnsi="Arial"/>
          <w:rFonts w:ascii="Arial"/>
          <w:sz w:val="24"/>
          <w:i/>
          <w:color w:val="navy"/>
        </w:rPr>
        <w:t xml:space="preserve">SOLICITUD DE ANTICIPO POR CONDUCTO DE LA CAJA DE VIVIENDA MILITAR.</w:t>
      </w:r>
      <w:bookmarkEnd w:id="59892"/>
      <w:r>
        <w:rPr>
          <w:rFonts w:hAnsi="Arial"/>
          <w:rFonts w:ascii="Arial"/>
          <w:sz w:val="24"/>
          <w:b/>
          <w:i/>
          <w:color w:val="black"/>
        </w:rPr>
        <w:t xml:space="preserve"> </w:t>
      </w:r>
      <w:r>
        <w:rPr>
          <w:rFonts w:hAnsi="Arial"/>
          <w:rFonts w:ascii="Arial"/>
          <w:sz w:val="24"/>
          <w:color w:val="black"/>
        </w:rPr>
        <w:t xml:space="preserve">Cuando la solicitud de liquidación del anticipo de cesantía se haga por conducto de la Caja de Vivienda Militar el interesado deberá presentar los documentos que esta Entidad exija a su vez la solicitud de la Caja de Vivienda Militar al Ministerio de Defensa, deberá ir acompañada de la siguiente documentación:</w:t>
      </w:r>
    </w:p>
    <w:p>
      <w:pPr>
        <w:jc w:val="both"/>
      </w:pPr>
      <w:rPr>
        <w:sz w:val="24"/>
        <w:color w:val="black"/>
      </w:rPr>
    </w:p>
    <w:p>
      <w:pPr>
        <w:jc w:val="both"/>
      </w:pPr>
      <w:r>
        <w:rPr>
          <w:rFonts w:hAnsi="Arial"/>
          <w:rFonts w:ascii="Arial"/>
          <w:sz w:val="24"/>
          <w:color w:val="black"/>
        </w:rPr>
        <w:t xml:space="preserve">a) Memorial petitorio del anticipo de cesantía, con indicación de su cuantía y el fin para el cual será destinado.</w:t>
      </w:r>
    </w:p>
    <w:p>
      <w:pPr>
        <w:jc w:val="both"/>
      </w:pPr>
      <w:rPr>
        <w:sz w:val="24"/>
        <w:color w:val="black"/>
      </w:rPr>
    </w:p>
    <w:p>
      <w:pPr>
        <w:jc w:val="both"/>
      </w:pPr>
      <w:r>
        <w:rPr>
          <w:rFonts w:hAnsi="Arial"/>
          <w:rFonts w:ascii="Arial"/>
          <w:sz w:val="24"/>
          <w:color w:val="black"/>
        </w:rPr>
        <w:t xml:space="preserve">b) Constancia sobre el préstamo que la Caja haya otorgado al interesado.</w:t>
      </w:r>
    </w:p>
    <w:p>
      <w:pPr>
        <w:jc w:val="both"/>
      </w:pPr>
      <w:rPr>
        <w:sz w:val="24"/>
        <w:color w:val="black"/>
      </w:rPr>
    </w:p>
    <w:p>
      <w:pPr>
        <w:jc w:val="both"/>
      </w:pPr>
      <w:r>
        <w:rPr>
          <w:rFonts w:hAnsi="Arial"/>
          <w:rFonts w:ascii="Arial"/>
          <w:sz w:val="24"/>
          <w:color w:val="black"/>
        </w:rPr>
        <w:t xml:space="preserve">c) Certificación sobre los haberes devengados por el interesado en el último mes.</w:t>
      </w:r>
    </w:p>
    <w:p>
      <w:pPr>
        <w:jc w:val="both"/>
      </w:pPr>
      <w:rPr>
        <w:sz w:val="24"/>
        <w:color w:val="black"/>
      </w:rPr>
    </w:p>
    <w:p>
      <w:pPr>
        <w:jc w:val="both"/>
      </w:pPr>
      <w:r>
        <w:rPr>
          <w:rFonts w:hAnsi="Arial"/>
          <w:rFonts w:ascii="Arial"/>
          <w:sz w:val="24"/>
          <w:color w:val="black"/>
        </w:rPr>
        <w:t xml:space="preserve">d) Certificación sobre tiempo de servicio en el Ministerio de Defensa o en la Policía Nacional.</w:t>
      </w:r>
    </w:p>
    <w:p>
      <w:pPr>
        <w:jc w:val="both"/>
      </w:pPr>
      <w:rPr>
        <w:sz w:val="24"/>
        <w:color w:val="black"/>
      </w:rPr>
    </w:p>
    <w:p>
      <w:pPr>
        <w:jc w:val="both"/>
      </w:pPr>
      <w:r>
        <w:rPr>
          <w:rFonts w:hAnsi="Arial"/>
          <w:rFonts w:ascii="Arial"/>
          <w:sz w:val="24"/>
          <w:color w:val="black"/>
        </w:rPr>
        <w:t xml:space="preserve">e) Autorización conferida por el interesado a la Caja de Vivienda Militar, para solicitar y obtener el pago del anticipo.</w:t>
      </w:r>
    </w:p>
    <w:p>
      <w:pPr>
        <w:jc w:val="both"/>
      </w:pPr>
      <w:rPr>
        <w:sz w:val="24"/>
        <w:color w:val="black"/>
      </w:rPr>
    </w:p>
    <w:p>
      <w:pPr>
        <w:jc w:val="both"/>
      </w:pPr>
      <w:r>
        <w:rPr>
          <w:rFonts w:hAnsi="Arial"/>
          <w:rFonts w:ascii="Arial"/>
          <w:sz w:val="24"/>
          <w:color w:val="black"/>
        </w:rPr>
        <w:t xml:space="preserve">f) Fotocopia de la cédula de ciudadanía.</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3" w:name="2.2.1.1.3.25"/>
      <w:r>
        <w:rPr>
          <w:rFonts w:hAnsi="Arial"/>
          <w:rFonts w:ascii="Arial"/>
          <w:sz w:val="24"/>
          <w:color w:val="navy"/>
        </w:rPr>
        <w:t xml:space="preserve">ARTÍCULO 2.2.1.1.3.25. </w:t>
      </w:r>
      <w:r>
        <w:rPr>
          <w:rFonts w:hAnsi="Arial"/>
          <w:rFonts w:ascii="Arial"/>
          <w:sz w:val="24"/>
          <w:i/>
          <w:color w:val="navy"/>
        </w:rPr>
        <w:t xml:space="preserve">CÁLCULO DE TIEMPO.</w:t>
      </w:r>
      <w:bookmarkEnd w:id="59893"/>
      <w:r>
        <w:rPr>
          <w:rFonts w:hAnsi="Arial"/>
          <w:rFonts w:ascii="Arial"/>
          <w:sz w:val="24"/>
          <w:b/>
          <w:i/>
          <w:color w:val="black"/>
        </w:rPr>
        <w:t xml:space="preserve"> </w:t>
      </w:r>
      <w:r>
        <w:rPr>
          <w:rFonts w:hAnsi="Arial"/>
          <w:rFonts w:ascii="Arial"/>
          <w:sz w:val="24"/>
          <w:color w:val="black"/>
        </w:rPr>
        <w:t xml:space="preserve">Para calcular el tiempo de servicio que da derecho a pensión de jubilación, solo se computarán como jornadas completas de trabajo las de cuatro (4) horas o más. Si las horas de trabajo señaladas para el respectivo empleo no llegan a ese límite, el cómputo se hará sumando las horas de trabajo real y dividiéndolas por cuatro (4); el resultado que así se obtenga se tomará como el de días laborados y se adicionará con los descansos remunerados y las vacaciones conforme a la Ley.</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4" w:name="2.2.1.1.3.26"/>
      <w:r>
        <w:rPr>
          <w:rFonts w:hAnsi="Arial"/>
          <w:rFonts w:ascii="Arial"/>
          <w:sz w:val="24"/>
          <w:color w:val="navy"/>
        </w:rPr>
        <w:t xml:space="preserve">ARTÍCULO 2.2.1.1.3.26. </w:t>
      </w:r>
      <w:r>
        <w:rPr>
          <w:rFonts w:hAnsi="Arial"/>
          <w:rFonts w:ascii="Arial"/>
          <w:sz w:val="24"/>
          <w:i/>
          <w:color w:val="navy"/>
        </w:rPr>
        <w:t xml:space="preserve">PENSIÓN POR APORTES.</w:t>
      </w:r>
      <w:bookmarkEnd w:id="59894"/>
      <w:r>
        <w:rPr>
          <w:rFonts w:hAnsi="Arial"/>
          <w:rFonts w:ascii="Arial"/>
          <w:sz w:val="24"/>
          <w:b/>
          <w:i/>
          <w:color w:val="black"/>
        </w:rPr>
        <w:t xml:space="preserve"> </w:t>
      </w:r>
      <w:r>
        <w:rPr>
          <w:rFonts w:hAnsi="Arial"/>
          <w:rFonts w:ascii="Arial"/>
          <w:sz w:val="24"/>
          <w:color w:val="black"/>
        </w:rPr>
        <w:t xml:space="preserve">Para efectos del reconocimiento de la pensión de que trata el artículo </w:t>
      </w:r>
      <w:r>
        <w:fldChar w:fldCharType="begin"/>
      </w:r>
      <w:r>
        <w:instrText>HYPERLINK "http://www.redjurista.com/document.aspx?ajcode=d1214_90&amp;arts=100"</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del Decreto 1214 de 1990, se seguirán las normas establecidas en el Decreto </w:t>
      </w:r>
      <w:r>
        <w:fldChar w:fldCharType="begin"/>
      </w:r>
      <w:r>
        <w:instrText>HYPERLINK "http://www.redjurista.com/document.aspx?ajcode=d1160_89&amp;arts=INICIO"</w:instrText>
      </w:r>
      <w:r>
        <w:fldChar w:fldCharType="separate"/>
      </w:r>
      <w:r>
        <w:rPr>
          <w:rFonts w:hAnsi="Arial"/>
          <w:rFonts w:ascii="Arial"/>
          <w:sz w:val="24"/>
          <w:u w:val="single"/>
          <w:color w:val="black"/>
        </w:rPr>
        <w:t>1160</w:t>
      </w:r>
      <w:r>
        <w:fldChar w:fldCharType="end"/>
      </w:r>
      <w:r>
        <w:rPr>
          <w:rFonts w:hAnsi="Arial"/>
          <w:rFonts w:ascii="Arial"/>
          <w:sz w:val="24"/>
          <w:u w:val="none"/>
          <w:color w:val="black"/>
        </w:rPr>
        <w:t xml:space="preserve"> de 1989 y disposiciones que lo adicionen, complementen o modifiquen.</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5" w:name="2.2.1.1.3.27"/>
      <w:r>
        <w:rPr>
          <w:rFonts w:hAnsi="Arial"/>
          <w:rFonts w:ascii="Arial"/>
          <w:sz w:val="24"/>
          <w:color w:val="navy"/>
        </w:rPr>
        <w:t xml:space="preserve">ARTÍCULO 2.2.1.1.3.27. </w:t>
      </w:r>
      <w:r>
        <w:rPr>
          <w:rFonts w:hAnsi="Arial"/>
          <w:rFonts w:ascii="Arial"/>
          <w:sz w:val="24"/>
          <w:i/>
          <w:color w:val="navy"/>
        </w:rPr>
        <w:t xml:space="preserve">EXÁMENES DE REVISIÓN DE PENSIONADOS POR INVALIDEZ.</w:t>
      </w:r>
      <w:bookmarkEnd w:id="59895"/>
      <w:r>
        <w:rPr>
          <w:rFonts w:hAnsi="Arial"/>
          <w:rFonts w:ascii="Arial"/>
          <w:sz w:val="24"/>
          <w:b/>
          <w:i/>
          <w:color w:val="black"/>
        </w:rPr>
        <w:t xml:space="preserve"> </w:t>
      </w:r>
      <w:r>
        <w:rPr>
          <w:rFonts w:hAnsi="Arial"/>
          <w:rFonts w:ascii="Arial"/>
          <w:sz w:val="24"/>
          <w:color w:val="black"/>
        </w:rPr>
        <w:t xml:space="preserve">El personal civil del Ministerio de Defensa y de la Policía Nacional que esté percibiendo pensión de invalidez, deberá someterse a exámenes médicos de revisión, conforme al artículo </w:t>
      </w:r>
      <w:r>
        <w:fldChar w:fldCharType="begin"/>
      </w:r>
      <w:r>
        <w:instrText>HYPERLINK "http://www.redjurista.com/document.aspx?ajcode=d1214_90&amp;arts=109"</w:instrText>
      </w:r>
      <w:r>
        <w:fldChar w:fldCharType="separate"/>
      </w:r>
      <w:r>
        <w:rPr>
          <w:rFonts w:hAnsi="Arial"/>
          <w:rFonts w:ascii="Arial"/>
          <w:sz w:val="24"/>
          <w:u w:val="single"/>
          <w:color w:val="black"/>
        </w:rPr>
        <w:t>109</w:t>
      </w:r>
      <w:r>
        <w:fldChar w:fldCharType="end"/>
      </w:r>
      <w:r>
        <w:rPr>
          <w:rFonts w:hAnsi="Arial"/>
          <w:rFonts w:ascii="Arial"/>
          <w:sz w:val="24"/>
          <w:u w:val="none"/>
          <w:color w:val="black"/>
        </w:rPr>
        <w:t xml:space="preserve"> del Decreto 1214 de 1990, cada dos (2) años como mínimo; contados a partir del 30 de diciembre de 1991 (entrada en vigencia del Decreto </w:t>
      </w:r>
      <w:r>
        <w:fldChar w:fldCharType="begin"/>
      </w:r>
      <w:r>
        <w:instrText>HYPERLINK "http://www.redjurista.com/document.aspx?ajcode=d2909_91&amp;arts=INICIO"</w:instrText>
      </w:r>
      <w:r>
        <w:fldChar w:fldCharType="separate"/>
      </w:r>
      <w:r>
        <w:rPr>
          <w:rFonts w:hAnsi="Arial"/>
          <w:rFonts w:ascii="Arial"/>
          <w:sz w:val="24"/>
          <w:u w:val="single"/>
          <w:color w:val="black"/>
        </w:rPr>
        <w:t>2909</w:t>
      </w:r>
      <w:r>
        <w:fldChar w:fldCharType="end"/>
      </w:r>
      <w:r>
        <w:rPr>
          <w:rFonts w:hAnsi="Arial"/>
          <w:rFonts w:ascii="Arial"/>
          <w:sz w:val="24"/>
          <w:u w:val="none"/>
          <w:color w:val="black"/>
        </w:rPr>
        <w:t xml:space="preserve"> de 1991).</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6" w:name="2.2.1.1.3.28"/>
      <w:r>
        <w:rPr>
          <w:rFonts w:hAnsi="Arial"/>
          <w:rFonts w:ascii="Arial"/>
          <w:sz w:val="24"/>
          <w:color w:val="navy"/>
        </w:rPr>
        <w:t xml:space="preserve">ARTÍCULO 2.2.1.1.3.28. </w:t>
      </w:r>
      <w:r>
        <w:rPr>
          <w:rFonts w:hAnsi="Arial"/>
          <w:rFonts w:ascii="Arial"/>
          <w:sz w:val="24"/>
          <w:i/>
          <w:color w:val="navy"/>
        </w:rPr>
        <w:t xml:space="preserve">AFILIACIÓN VOLUNTARIA DE FAMILIARES.</w:t>
      </w:r>
      <w:bookmarkEnd w:id="59896"/>
      <w:r>
        <w:rPr>
          <w:rFonts w:hAnsi="Arial"/>
          <w:rFonts w:ascii="Arial"/>
          <w:sz w:val="24"/>
          <w:b/>
          <w:i/>
          <w:color w:val="black"/>
        </w:rPr>
        <w:t xml:space="preserve"> </w:t>
      </w:r>
      <w:r>
        <w:rPr>
          <w:rFonts w:hAnsi="Arial"/>
          <w:rFonts w:ascii="Arial"/>
          <w:sz w:val="24"/>
          <w:color w:val="black"/>
        </w:rPr>
        <w:t xml:space="preserve">Los pensionados civiles del Ministerio de Defensa y de la Policía Nacional, que en desarrollo del artículo </w:t>
      </w:r>
      <w:r>
        <w:fldChar w:fldCharType="begin"/>
      </w:r>
      <w:r>
        <w:instrText>HYPERLINK "http://www.redjurista.com/document.aspx?ajcode=d1214_90&amp;arts=113"</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del Decreto 1214 de 1990, soliciten asistencia médica, quirúrgica, odontológica, hospitalaria farmacéutica, cotizarán los siguientes porcentajes adicionales a los que en la actualidad rigen para el servicio asistencial personal dichos pensionados:</w:t>
      </w:r>
    </w:p>
    <w:p>
      <w:pPr>
        <w:jc w:val="both"/>
      </w:pPr>
      <w:rPr>
        <w:sz w:val="24"/>
        <w:color w:val="black"/>
      </w:rPr>
    </w:p>
    <w:p>
      <w:pPr>
        <w:jc w:val="both"/>
      </w:pPr>
      <w:r>
        <w:rPr>
          <w:rFonts w:hAnsi="Arial"/>
          <w:rFonts w:ascii="Arial"/>
          <w:sz w:val="24"/>
          <w:color w:val="black"/>
        </w:rPr>
        <w:t xml:space="preserve">a) Por el cónyuge 2% mensual.</w:t>
      </w:r>
    </w:p>
    <w:p>
      <w:pPr>
        <w:jc w:val="both"/>
      </w:pPr>
      <w:rPr>
        <w:sz w:val="24"/>
        <w:color w:val="black"/>
      </w:rPr>
    </w:p>
    <w:p>
      <w:pPr>
        <w:jc w:val="both"/>
      </w:pPr>
      <w:r>
        <w:rPr>
          <w:rFonts w:hAnsi="Arial"/>
          <w:rFonts w:ascii="Arial"/>
          <w:sz w:val="24"/>
          <w:color w:val="black"/>
        </w:rPr>
        <w:t xml:space="preserve">b) Por cada uno de los hijos menores o inválidos que les dependan económicamente, el 1% sin sobrepasar del 5% la cotización total por cónyuge e hijos, cualquiera que sea el número de afiliados.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Al fallecimiento del titular de la pensión, los beneficiarios del causante cotizarán el 5% del monto total del valor de la sustitución pensional, cualquiera que sea el número de estos.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la prestación de los servicios asistenciales de que trata el presente Artículo regirán las mismas normas consagradas en los artículos </w:t>
      </w:r>
      <w:r>
        <w:fldChar w:fldCharType="begin"/>
      </w:r>
      <w:r>
        <w:instrText>HYPERLINK "http://www.redjurista.com/document.aspx?ajcode=d1070015&amp;arts=21"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a </w:t>
      </w:r>
      <w:r>
        <w:fldChar w:fldCharType="begin"/>
      </w:r>
      <w:r>
        <w:instrText>HYPERLINK "http://www.redjurista.com/document.aspx?ajcode=d1070015&amp;arts=27 "</w:instrText>
      </w:r>
      <w:r>
        <w:fldChar w:fldCharType="separate"/>
      </w:r>
      <w:r>
        <w:rPr>
          <w:rFonts w:hAnsi="Arial"/>
          <w:rFonts w:ascii="Arial"/>
          <w:sz w:val="24"/>
          <w:u w:val="single"/>
          <w:color w:val="black"/>
        </w:rPr>
        <w:t xml:space="preserve">27 </w:t>
      </w:r>
      <w:r>
        <w:fldChar w:fldCharType="end"/>
      </w:r>
      <w:r>
        <w:rPr>
          <w:rFonts w:hAnsi="Arial"/>
          <w:rFonts w:ascii="Arial"/>
          <w:sz w:val="24"/>
          <w:u w:val="none"/>
          <w:color w:val="black"/>
        </w:rPr>
        <w:t xml:space="preserve">del presente Decreto. La expedición de carnés de identidad estará a cargo del Fondo asistencial de Pensionados del Ministerio de Defensa o de la Dirección General de la Policía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897" w:name="2.2.1.1.3.29"/>
      <w:r>
        <w:rPr>
          <w:rFonts w:hAnsi="Arial"/>
          <w:rFonts w:ascii="Arial"/>
          <w:sz w:val="24"/>
          <w:color w:val="navy"/>
        </w:rPr>
        <w:t xml:space="preserve">ARTÍCULO 2.2.1.1.3.29. </w:t>
      </w:r>
      <w:r>
        <w:rPr>
          <w:rFonts w:hAnsi="Arial"/>
          <w:rFonts w:ascii="Arial"/>
          <w:sz w:val="24"/>
          <w:i/>
          <w:color w:val="navy"/>
        </w:rPr>
        <w:t xml:space="preserve">PLAZO EXÁMENES PARA RETIRO.</w:t>
      </w:r>
      <w:bookmarkEnd w:id="59897"/>
      <w:r>
        <w:rPr>
          <w:rFonts w:hAnsi="Arial"/>
          <w:rFonts w:ascii="Arial"/>
          <w:sz w:val="24"/>
          <w:b/>
          <w:i/>
          <w:color w:val="black"/>
        </w:rPr>
        <w:t xml:space="preserve"> </w:t>
      </w:r>
      <w:r>
        <w:rPr>
          <w:rFonts w:hAnsi="Arial"/>
          <w:rFonts w:ascii="Arial"/>
          <w:sz w:val="24"/>
          <w:color w:val="black"/>
        </w:rPr>
        <w:t xml:space="preserve">Los sesenta (60) días de que trata el artículo </w:t>
      </w:r>
      <w:r>
        <w:fldChar w:fldCharType="begin"/>
      </w:r>
      <w:r>
        <w:instrText>HYPERLINK "http://www.redjurista.com/document.aspx?ajcode=d1214_90&amp;arts=116"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del Decreto 1214 de 1990, deben interpretarse como días hábiles.</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8" w:name="2.2.1.1.3.30"/>
      <w:r>
        <w:rPr>
          <w:rFonts w:hAnsi="Arial"/>
          <w:rFonts w:ascii="Arial"/>
          <w:sz w:val="24"/>
          <w:color w:val="navy"/>
        </w:rPr>
        <w:t xml:space="preserve">ARTÍCULO 2.2.1.1.3.30. </w:t>
      </w:r>
      <w:r>
        <w:rPr>
          <w:rFonts w:hAnsi="Arial"/>
          <w:rFonts w:ascii="Arial"/>
          <w:sz w:val="24"/>
          <w:i/>
          <w:color w:val="navy"/>
        </w:rPr>
        <w:t xml:space="preserve">PRESTACIONES ECONÓMICAS.</w:t>
      </w:r>
      <w:bookmarkEnd w:id="59898"/>
      <w:r>
        <w:rPr>
          <w:rFonts w:hAnsi="Arial"/>
          <w:rFonts w:ascii="Arial"/>
          <w:sz w:val="24"/>
          <w:b/>
          <w:i/>
          <w:color w:val="black"/>
        </w:rPr>
        <w:t xml:space="preserve"> </w:t>
      </w:r>
      <w:r>
        <w:rPr>
          <w:rFonts w:hAnsi="Arial"/>
          <w:rFonts w:ascii="Arial"/>
          <w:sz w:val="24"/>
          <w:color w:val="black"/>
        </w:rPr>
        <w:t xml:space="preserve">Las prestaciones económicas a que se refiere el literal b) del artículo </w:t>
      </w:r>
      <w:r>
        <w:fldChar w:fldCharType="begin"/>
      </w:r>
      <w:r>
        <w:instrText>HYPERLINK "http://www.redjurista.com/document.aspx?ajcode=d1214_90&amp;arts=116"</w:instrText>
      </w:r>
      <w:r>
        <w:fldChar w:fldCharType="separate"/>
      </w:r>
      <w:r>
        <w:rPr>
          <w:rFonts w:hAnsi="Arial"/>
          <w:rFonts w:ascii="Arial"/>
          <w:sz w:val="24"/>
          <w:u w:val="single"/>
          <w:color w:val="black"/>
        </w:rPr>
        <w:t>116</w:t>
      </w:r>
      <w:r>
        <w:fldChar w:fldCharType="end"/>
      </w:r>
      <w:r>
        <w:rPr>
          <w:rFonts w:hAnsi="Arial"/>
          <w:rFonts w:ascii="Arial"/>
          <w:sz w:val="24"/>
          <w:u w:val="none"/>
          <w:color w:val="black"/>
        </w:rPr>
        <w:t xml:space="preserve"> del Decreto 1214 de 1990, serán reconocidas por la División de Prestaciones Sociales del Ministerio de Defensa Nacional o de la Policía Nacional, según sea el caso.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899" w:name="2.2.1.1.3.31"/>
      <w:r>
        <w:rPr>
          <w:rFonts w:hAnsi="Arial"/>
          <w:rFonts w:ascii="Arial"/>
          <w:sz w:val="24"/>
          <w:color w:val="navy"/>
        </w:rPr>
        <w:t xml:space="preserve">ARTÍCULO 2.2.1.1.3.31. </w:t>
      </w:r>
      <w:r>
        <w:rPr>
          <w:rFonts w:hAnsi="Arial"/>
          <w:rFonts w:ascii="Arial"/>
          <w:sz w:val="24"/>
          <w:i/>
          <w:color w:val="navy"/>
        </w:rPr>
        <w:t xml:space="preserve">COMPROBACIÓN DE SITUACIONES PARA GOCE DE PENSIÓN.</w:t>
      </w:r>
      <w:bookmarkEnd w:id="59899"/>
      <w:r>
        <w:rPr>
          <w:rFonts w:hAnsi="Arial"/>
          <w:rFonts w:ascii="Arial"/>
          <w:sz w:val="24"/>
          <w:b/>
          <w:i/>
          <w:color w:val="black"/>
        </w:rPr>
        <w:t xml:space="preserve"> </w:t>
      </w:r>
      <w:r>
        <w:rPr>
          <w:rFonts w:hAnsi="Arial"/>
          <w:rFonts w:ascii="Arial"/>
          <w:sz w:val="24"/>
          <w:color w:val="black"/>
        </w:rPr>
        <w:t xml:space="preserve">Los beneficiarios de pensiones otorgadas por el fallecimiento de empleados públicos en servicio activo o en goce de pensión, para mantener el derecho a disfrutar de tal prestación, deberán demostrar ante la correspondiente entidad pagadora, que no han incurrido en las causales de extinción previstas en el artículo </w:t>
      </w:r>
      <w:r>
        <w:fldChar w:fldCharType="begin"/>
      </w:r>
      <w:r>
        <w:instrText>HYPERLINK "http://www.redjurista.com/document.aspx?ajcode=d1214_90&amp;arts=125"</w:instrText>
      </w:r>
      <w:r>
        <w:fldChar w:fldCharType="separate"/>
      </w:r>
      <w:r>
        <w:rPr>
          <w:rFonts w:hAnsi="Arial"/>
          <w:rFonts w:ascii="Arial"/>
          <w:sz w:val="24"/>
          <w:u w:val="single"/>
          <w:color w:val="black"/>
        </w:rPr>
        <w:t>125</w:t>
      </w:r>
      <w:r>
        <w:fldChar w:fldCharType="end"/>
      </w:r>
      <w:r>
        <w:rPr>
          <w:rFonts w:hAnsi="Arial"/>
          <w:rFonts w:ascii="Arial"/>
          <w:sz w:val="24"/>
          <w:u w:val="none"/>
          <w:color w:val="black"/>
        </w:rPr>
        <w:t xml:space="preserve"> del Decreto 1214 de 1990, mediante declaración anual juramentada, rendida ante Juez o Notario competente.</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00" w:name="2.2.1.1.3.32"/>
      <w:r>
        <w:rPr>
          <w:rFonts w:hAnsi="Arial"/>
          <w:rFonts w:ascii="Arial"/>
          <w:sz w:val="24"/>
          <w:color w:val="navy"/>
        </w:rPr>
        <w:t xml:space="preserve">ARTÍCULO 2.2.1.1.3.32. </w:t>
      </w:r>
      <w:r>
        <w:rPr>
          <w:rFonts w:hAnsi="Arial"/>
          <w:rFonts w:ascii="Arial"/>
          <w:sz w:val="24"/>
          <w:i/>
          <w:color w:val="navy"/>
        </w:rPr>
        <w:t xml:space="preserve">AVISO SOBRE CAUSALES DE EXTINCIÓN.</w:t>
      </w:r>
      <w:bookmarkEnd w:id="59900"/>
      <w:r>
        <w:rPr>
          <w:rFonts w:hAnsi="Arial"/>
          <w:rFonts w:ascii="Arial"/>
          <w:sz w:val="24"/>
          <w:b/>
          <w:i/>
          <w:color w:val="black"/>
        </w:rPr>
        <w:t xml:space="preserve"> </w:t>
      </w:r>
      <w:r>
        <w:rPr>
          <w:rFonts w:hAnsi="Arial"/>
          <w:rFonts w:ascii="Arial"/>
          <w:sz w:val="24"/>
          <w:color w:val="black"/>
        </w:rPr>
        <w:t xml:space="preserve">Los beneficiarios de las pensiones a que se refiere el artículo anterior, están en la obligación de dar aviso a la entidad pagadora, de cualquier hecho que constituya causal de extinción de la pensión que disfrutan o de cualquiera de sus cuotas partes, dentro de los treinta (30) días siguientes a la fecha de ocurrencia del hecho. Quienes incumplieren esta obligación y continuaren percibiendo la pensión o la cuota parte respectiva, deberán cubrir a la entidad pagadora una suma equivalente a lo indebidamente recibido por tal concepto, suma que será exigible por vía judicial sin perjuicio de la acción penal que corresponda al caso.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01" w:name="2.2.1.1.3.33"/>
      <w:r>
        <w:rPr>
          <w:rFonts w:hAnsi="Arial"/>
          <w:rFonts w:ascii="Arial"/>
          <w:sz w:val="24"/>
          <w:color w:val="navy"/>
        </w:rPr>
        <w:t xml:space="preserve">ARTÍCULO 2.2.1.1.3.33. </w:t>
      </w:r>
      <w:r>
        <w:rPr>
          <w:rFonts w:hAnsi="Arial"/>
          <w:rFonts w:ascii="Arial"/>
          <w:sz w:val="24"/>
          <w:i/>
          <w:color w:val="navy"/>
        </w:rPr>
        <w:t xml:space="preserve">PASAJES Y PRIMAS DE INSTALACIÓN PARA FAMILIARES DE PERSONAL FALLECIDO EN EL EXTERIOR.</w:t>
      </w:r>
      <w:bookmarkEnd w:id="59901"/>
      <w:r>
        <w:rPr>
          <w:rFonts w:hAnsi="Arial"/>
          <w:rFonts w:ascii="Arial"/>
          <w:sz w:val="24"/>
          <w:b/>
          <w:i/>
          <w:color w:val="black"/>
        </w:rPr>
        <w:t xml:space="preserve"> </w:t>
      </w:r>
      <w:r>
        <w:rPr>
          <w:rFonts w:hAnsi="Arial"/>
          <w:rFonts w:ascii="Arial"/>
          <w:sz w:val="24"/>
          <w:color w:val="black"/>
        </w:rPr>
        <w:t xml:space="preserve">El derecho consagrado en el parágrafo del artículo </w:t>
      </w:r>
      <w:r>
        <w:fldChar w:fldCharType="begin"/>
      </w:r>
      <w:r>
        <w:instrText>HYPERLINK "http://www.redjurista.com/document.aspx?ajcode=d1214_90&amp;arts=126"</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del Decreto 1214 de 1990, sobre pasajes y prima de instalación para el cónyuge e hijos del empleado público que falleciere en el exterior, solo se refiere a los necesarios para su regreso a Colombia, siempre y cuando hubiesen estado residiendo con el empleado en el lugar de su deceso y este hubiere ocurrido durante el desempeño de comisión del servicio.</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02" w:name="2.2.1.1.3.34"/>
      <w:r>
        <w:rPr>
          <w:rFonts w:hAnsi="Arial"/>
          <w:rFonts w:ascii="Arial"/>
          <w:sz w:val="24"/>
          <w:color w:val="navy"/>
        </w:rPr>
        <w:t xml:space="preserve">ARTÍCULO 2.2.1.1.3.34. </w:t>
      </w:r>
      <w:r>
        <w:rPr>
          <w:rFonts w:hAnsi="Arial"/>
          <w:rFonts w:ascii="Arial"/>
          <w:sz w:val="24"/>
          <w:i/>
          <w:color w:val="navy"/>
        </w:rPr>
        <w:t xml:space="preserve">PROCEDIMIENTO EN CASO DE DESAPARECIMIENTO.</w:t>
      </w:r>
      <w:bookmarkEnd w:id="59902"/>
      <w:r>
        <w:rPr>
          <w:rFonts w:hAnsi="Arial"/>
          <w:rFonts w:ascii="Arial"/>
          <w:sz w:val="24"/>
          <w:b/>
          <w:i/>
          <w:color w:val="black"/>
        </w:rPr>
        <w:t xml:space="preserve"> </w:t>
      </w:r>
      <w:r>
        <w:rPr>
          <w:rFonts w:hAnsi="Arial"/>
          <w:rFonts w:ascii="Arial"/>
          <w:sz w:val="24"/>
          <w:color w:val="black"/>
        </w:rPr>
        <w:t xml:space="preserve">Cuando un empleado público del Ministerio de Defensa o de la Policía Nacional en servicio, desaparezca en las circunstancias previstas en el artículo </w:t>
      </w:r>
      <w:r>
        <w:fldChar w:fldCharType="begin"/>
      </w:r>
      <w:r>
        <w:instrText>HYPERLINK "http://www.redjurista.com/document.aspx?ajcode=d1214_90&amp;arts=130"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del Decreto 1214 de 1990, se procederá de la siguiente manera:</w:t>
      </w:r>
    </w:p>
    <w:p>
      <w:pPr>
        <w:jc w:val="both"/>
      </w:pPr>
      <w:rPr>
        <w:sz w:val="24"/>
        <w:color w:val="black"/>
      </w:rPr>
    </w:p>
    <w:p>
      <w:pPr>
        <w:jc w:val="both"/>
      </w:pPr>
      <w:r>
        <w:rPr>
          <w:rFonts w:hAnsi="Arial"/>
          <w:rFonts w:ascii="Arial"/>
          <w:sz w:val="24"/>
          <w:color w:val="black"/>
        </w:rPr>
        <w:t xml:space="preserve">a) Transcurridos treinta (30) días de la última noticia del desaparecido, el Comandante o Jefe de la respectiva Unidad o Repartición, designará un funcionario para que adelante la investigación.</w:t>
      </w:r>
    </w:p>
    <w:p>
      <w:pPr>
        <w:jc w:val="both"/>
      </w:pPr>
      <w:rPr>
        <w:sz w:val="24"/>
        <w:color w:val="black"/>
      </w:rPr>
    </w:p>
    <w:p>
      <w:pPr>
        <w:jc w:val="both"/>
      </w:pPr>
      <w:r>
        <w:rPr>
          <w:rFonts w:hAnsi="Arial"/>
          <w:rFonts w:ascii="Arial"/>
          <w:sz w:val="24"/>
          <w:color w:val="black"/>
        </w:rPr>
        <w:t xml:space="preserve">b) El funcionario instructor, dentro de un término no mayor de ocho (8) días hábiles practicará las diligencias que considere pertinentes, para determinar las circunstancias en que tuvo ocurrencia la desaparición.</w:t>
      </w:r>
    </w:p>
    <w:p>
      <w:pPr>
        <w:jc w:val="both"/>
      </w:pPr>
      <w:rPr>
        <w:sz w:val="24"/>
        <w:color w:val="black"/>
      </w:rPr>
    </w:p>
    <w:p>
      <w:pPr>
        <w:jc w:val="both"/>
      </w:pPr>
      <w:r>
        <w:rPr>
          <w:rFonts w:hAnsi="Arial"/>
          <w:rFonts w:ascii="Arial"/>
          <w:sz w:val="24"/>
          <w:color w:val="black"/>
        </w:rPr>
        <w:t xml:space="preserve">c) Vencido el término a que se refiere el literal anterior, el instructor remitirá el informativo al superior que ordenó la investigación, quien deberá emitir concepto dentro de los tres (3) días siguientes al recibo de las diligencias.</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903" w:name="2.2.1.1.3.35"/>
      <w:r>
        <w:rPr>
          <w:rFonts w:hAnsi="Arial"/>
          <w:rFonts w:ascii="Arial"/>
          <w:sz w:val="24"/>
          <w:color w:val="navy"/>
        </w:rPr>
        <w:t xml:space="preserve">ARTÍCULO 2.2.1.1.3.35. </w:t>
      </w:r>
      <w:r>
        <w:rPr>
          <w:rFonts w:hAnsi="Arial"/>
          <w:rFonts w:ascii="Arial"/>
          <w:sz w:val="24"/>
          <w:i/>
          <w:color w:val="navy"/>
        </w:rPr>
        <w:t>APARECIMIENTO.</w:t>
      </w:r>
      <w:bookmarkEnd w:id="59903"/>
      <w:r>
        <w:rPr>
          <w:rFonts w:hAnsi="Arial"/>
          <w:rFonts w:ascii="Arial"/>
          <w:sz w:val="24"/>
          <w:b/>
          <w:i/>
          <w:color w:val="black"/>
        </w:rPr>
        <w:t xml:space="preserve"> </w:t>
      </w:r>
      <w:r>
        <w:rPr>
          <w:rFonts w:hAnsi="Arial"/>
          <w:rFonts w:ascii="Arial"/>
          <w:sz w:val="24"/>
          <w:color w:val="black"/>
        </w:rPr>
        <w:t xml:space="preserve">Si el presunto desaparecido apareciere o se tuviere noticias ciertas de su existencia, el Secretario General del Ministerio de Defensa, el Comandante General de las Fuerzas Militares, los Comandantes de Fuerzas o el Director General de la Policía Nacional, según el caso, ordenarán adelantar una investigación de carácter administrativo, con el objeto de precisar:</w:t>
      </w:r>
    </w:p>
    <w:p>
      <w:pPr>
        <w:jc w:val="both"/>
      </w:pPr>
      <w:rPr>
        <w:sz w:val="24"/>
        <w:color w:val="black"/>
      </w:rPr>
    </w:p>
    <w:p>
      <w:pPr>
        <w:jc w:val="both"/>
      </w:pPr>
      <w:r>
        <w:rPr>
          <w:rFonts w:hAnsi="Arial"/>
          <w:rFonts w:ascii="Arial"/>
          <w:sz w:val="24"/>
          <w:color w:val="black"/>
        </w:rPr>
        <w:t xml:space="preserve">a) La identidad del aparecido, acerca de la cual debe obtenerse plena certeza mediante la utilización de medios técnicos apropiados de identificación.</w:t>
      </w:r>
    </w:p>
    <w:p>
      <w:pPr>
        <w:jc w:val="both"/>
      </w:pPr>
      <w:rPr>
        <w:sz w:val="24"/>
        <w:color w:val="black"/>
      </w:rPr>
    </w:p>
    <w:p>
      <w:pPr>
        <w:jc w:val="both"/>
      </w:pPr>
      <w:r>
        <w:rPr>
          <w:rFonts w:hAnsi="Arial"/>
          <w:rFonts w:ascii="Arial"/>
          <w:sz w:val="24"/>
          <w:color w:val="black"/>
        </w:rPr>
        <w:t xml:space="preserve">b) Las actividades desarrolladas por la persona durante el tiempo comprendido entre la fecha de su desaparición y la de su aparición.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Si en la investigación administrativa se llegaren establecer acciones u omisiones que deban ser investigadas por la Justicia Penal Militar o por la ordinaria, se compulsará copia del expediente administrativo a fin de que se adelante el proceso a que haya lugar.</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04" w:name="2.2.1.1.3.36"/>
      <w:r>
        <w:rPr>
          <w:rFonts w:hAnsi="Arial"/>
          <w:rFonts w:ascii="Arial"/>
          <w:sz w:val="24"/>
          <w:color w:val="navy"/>
        </w:rPr>
        <w:t xml:space="preserve">ARTÍCULO 2.2.1.1.3.36. </w:t>
      </w:r>
      <w:r>
        <w:rPr>
          <w:rFonts w:hAnsi="Arial"/>
          <w:rFonts w:ascii="Arial"/>
          <w:sz w:val="24"/>
          <w:i/>
          <w:color w:val="navy"/>
        </w:rPr>
        <w:t xml:space="preserve">SANCIONES POR INJUSTIFICADA DESAPARICIÓN.</w:t>
      </w:r>
      <w:bookmarkEnd w:id="59904"/>
      <w:r>
        <w:rPr>
          <w:rFonts w:hAnsi="Arial"/>
          <w:rFonts w:ascii="Arial"/>
          <w:sz w:val="24"/>
          <w:b/>
          <w:i/>
          <w:color w:val="black"/>
        </w:rPr>
        <w:t xml:space="preserve"> </w:t>
      </w:r>
      <w:r>
        <w:rPr>
          <w:rFonts w:hAnsi="Arial"/>
          <w:rFonts w:ascii="Arial"/>
          <w:sz w:val="24"/>
          <w:color w:val="black"/>
        </w:rPr>
        <w:t xml:space="preserve">Si el proceso penal culmina con fallo condenatorio para la persona aparecida, se cambiara la causal de baja por presunción de muerte a que se refiere el parágrafo del artículo </w:t>
      </w:r>
      <w:r>
        <w:fldChar w:fldCharType="begin"/>
      </w:r>
      <w:r>
        <w:instrText>HYPERLINK "http://www.redjurista.com/document.aspx?ajcode=d1214_90&amp;arts=130"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del Decreto 1214 de 1990 por la que resulte del respectivo fallo y se dará aplicación a lo dispuesto en el artículo </w:t>
      </w:r>
      <w:r>
        <w:fldChar w:fldCharType="begin"/>
      </w:r>
      <w:r>
        <w:instrText>HYPERLINK "http://www.redjurista.com/document.aspx?ajcode=d1214_90&amp;arts=131"</w:instrText>
      </w:r>
      <w:r>
        <w:fldChar w:fldCharType="separate"/>
      </w:r>
      <w:r>
        <w:rPr>
          <w:rFonts w:hAnsi="Arial"/>
          <w:rFonts w:ascii="Arial"/>
          <w:sz w:val="24"/>
          <w:u w:val="single"/>
          <w:color w:val="black"/>
        </w:rPr>
        <w:t>131</w:t>
      </w:r>
      <w:r>
        <w:fldChar w:fldCharType="end"/>
      </w:r>
      <w:r>
        <w:rPr>
          <w:rFonts w:hAnsi="Arial"/>
          <w:rFonts w:ascii="Arial"/>
          <w:sz w:val="24"/>
          <w:u w:val="none"/>
          <w:color w:val="black"/>
        </w:rPr>
        <w:t xml:space="preserve"> del mismo decreto.</w:t>
      </w:r>
    </w:p>
    <w:p>
      <w:pPr>
        <w:jc w:val="both"/>
      </w:pPr>
      <w:rPr>
        <w:sz w:val="24"/>
        <w:color w:val="black"/>
      </w:rPr>
    </w:p>
    <w:p>
      <w:pPr>
        <w:jc w:val="both"/>
      </w:pPr>
      <w:r>
        <w:rPr>
          <w:rFonts w:hAnsi="Arial"/>
          <w:rFonts w:ascii="Arial"/>
          <w:sz w:val="24"/>
          <w:color w:val="black"/>
        </w:rPr>
        <w:t xml:space="preserve">Si el fallo es absolutorio el Ministerio de Defensa o la Policía Nacional declararán sin valor ni efecto las disposiciones que se hubieren dictado con ocasión del desaparecimiento. En este Caso, el tiempo transcurrido entre la desaparición y la aparición se considerará de actividad para todos los efectos, incluyendo el derecho a los haberes mensuales correspondientes a la categoría, previo reintegro del monto de las prestaciones sociales que se hubieren podido reconocer a los beneficiarios, conforme a lo establecido en el artículo </w:t>
      </w:r>
      <w:r>
        <w:fldChar w:fldCharType="begin"/>
      </w:r>
      <w:r>
        <w:instrText>HYPERLINK "http://www.redjurista.com/document.aspx?ajcode=d1214_90&amp;arts=130"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del Decreto 1214 de 1990.</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él reintegro dispuesto en el inciso segundo de este artículo no fuere posible por razones de fuerza mayor plenamente comprobadas, el valor correspondiente se descontará de los haberes y prestaciones sociales del causante, en la forma que determine el Ministerio de Defensa o la Policía Nacional.</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05" w:name="2.2.1.1.3.37"/>
      <w:r>
        <w:rPr>
          <w:rFonts w:hAnsi="Arial"/>
          <w:rFonts w:ascii="Arial"/>
          <w:sz w:val="24"/>
          <w:color w:val="navy"/>
        </w:rPr>
        <w:t xml:space="preserve">ARTÍCULO 2.2.1.1.3.37. </w:t>
      </w:r>
      <w:r>
        <w:rPr>
          <w:rFonts w:hAnsi="Arial"/>
          <w:rFonts w:ascii="Arial"/>
          <w:sz w:val="24"/>
          <w:i/>
          <w:color w:val="navy"/>
        </w:rPr>
        <w:t xml:space="preserve">CONTROVERSIA EN LA RECLAMACIÓN.</w:t>
      </w:r>
      <w:bookmarkEnd w:id="59905"/>
      <w:r>
        <w:rPr>
          <w:rFonts w:hAnsi="Arial"/>
          <w:rFonts w:ascii="Arial"/>
          <w:sz w:val="24"/>
          <w:b/>
          <w:i/>
          <w:color w:val="black"/>
        </w:rPr>
        <w:t xml:space="preserve"> </w:t>
      </w:r>
      <w:r>
        <w:rPr>
          <w:rFonts w:hAnsi="Arial"/>
          <w:rFonts w:ascii="Arial"/>
          <w:sz w:val="24"/>
          <w:color w:val="black"/>
        </w:rPr>
        <w:t xml:space="preserve">Para efectos de lo dispuesto en el artículo </w:t>
      </w:r>
      <w:r>
        <w:fldChar w:fldCharType="begin"/>
      </w:r>
      <w:r>
        <w:instrText>HYPERLINK "http://www.redjurista.com/document.aspx?ajcode=d1214_90&amp;arts=146"</w:instrText>
      </w:r>
      <w:r>
        <w:fldChar w:fldCharType="separate"/>
      </w:r>
      <w:r>
        <w:rPr>
          <w:rFonts w:hAnsi="Arial"/>
          <w:rFonts w:ascii="Arial"/>
          <w:sz w:val="24"/>
          <w:u w:val="single"/>
          <w:color w:val="black"/>
        </w:rPr>
        <w:t>146</w:t>
      </w:r>
      <w:r>
        <w:fldChar w:fldCharType="end"/>
      </w:r>
      <w:r>
        <w:rPr>
          <w:rFonts w:hAnsi="Arial"/>
          <w:rFonts w:ascii="Arial"/>
          <w:sz w:val="24"/>
          <w:u w:val="none"/>
          <w:color w:val="black"/>
        </w:rPr>
        <w:t xml:space="preserve"> del Decreto 1214 de 1990 para demostrar que existe controversia judicial entre los reclamantes de una prestación por causa de muerte, el Ministerio de Defensa o la Policía Nacional exigirán certificación expedida por el Juzgado competente, en que conste que fue admitida y debidamente notificada la demanda correspondiente.</w:t>
      </w:r>
    </w:p>
    <w:p>
      <w:pPr>
        <w:jc w:val="both"/>
      </w:pPr>
      <w:rPr>
        <w:sz w:val="24"/>
        <w:color w:val="black"/>
      </w:rPr>
    </w:p>
    <w:p>
      <w:pPr>
        <w:jc w:val="both"/>
      </w:pPr>
      <w:r>
        <w:rPr>
          <w:rFonts w:hAnsi="Arial"/>
          <w:rFonts w:ascii="Arial"/>
          <w:sz w:val="24"/>
          <w:i/>
          <w:color w:val="black"/>
        </w:rPr>
        <w:t xml:space="preserve">(Decreto 2909 de 1991 artículo </w:t>
      </w:r>
      <w:r>
        <w:fldChar w:fldCharType="begin"/>
      </w:r>
      <w:r>
        <w:instrText>HYPERLINK "http://www.redjurista.com/document.aspx?ajcode=d2909_91&amp;arts=49"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906" w:name="CAPÍTULO 2.2.1.2"/>
      <w:r>
        <w:rPr>
          <w:rFonts w:hAnsi="Arial"/>
          <w:rFonts w:ascii="Arial"/>
          <w:sz w:val="24"/>
          <w:color w:val="navy"/>
        </w:rPr>
        <w:t xml:space="preserve">CAPÍTULO 2. </w:t>
      </w:r>
    </w:p>
    <w:p>
      <w:pPr>
        <w:jc w:val="center"/>
      </w:pPr>
      <w:r>
        <w:rPr>
          <w:rFonts w:hAnsi="Arial"/>
          <w:rFonts w:ascii="Arial"/>
          <w:sz w:val="24"/>
          <w:color w:val="navy"/>
        </w:rPr>
        <w:t xml:space="preserve">EL SISTEMA DE DEFENSA TÉCNICA Y ESPECIALIZADA PARA LOS MIEMBROS DE LA FUERZA PÚBLICA.</w:t>
      </w:r>
      <w:bookmarkEnd w:id="5990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59907" w:name="SECCIÓN 2.2.1.2.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5990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908" w:name="2.2.1.2.1.1"/>
      <w:r>
        <w:rPr>
          <w:rFonts w:hAnsi="Arial"/>
          <w:rFonts w:ascii="Arial"/>
          <w:sz w:val="24"/>
          <w:color w:val="navy"/>
        </w:rPr>
        <w:t xml:space="preserve">ARTÍCULO 2.2.1.2.1.1. </w:t>
      </w:r>
      <w:r>
        <w:rPr>
          <w:rFonts w:hAnsi="Arial"/>
          <w:rFonts w:ascii="Arial"/>
          <w:sz w:val="24"/>
          <w:i/>
          <w:color w:val="navy"/>
        </w:rPr>
        <w:t xml:space="preserve">SELECCIÓN DE DEFENSORES.</w:t>
      </w:r>
      <w:bookmarkEnd w:id="59908"/>
      <w:r>
        <w:rPr>
          <w:rFonts w:hAnsi="Arial"/>
          <w:rFonts w:ascii="Arial"/>
          <w:sz w:val="24"/>
          <w:b/>
          <w:i/>
          <w:color w:val="black"/>
        </w:rPr>
        <w:t xml:space="preserve"> </w:t>
      </w:r>
      <w:r>
        <w:rPr>
          <w:rFonts w:hAnsi="Arial"/>
          <w:rFonts w:ascii="Arial"/>
          <w:sz w:val="24"/>
          <w:color w:val="black"/>
        </w:rPr>
        <w:t xml:space="preserve">Las personas jurídicas y/o naturales que se vinculen como Defensores serán escogidas de acuerdo con las disposiciones legales vigentes, conforme los perfiles que para tal efecto determine el Comité Directivo del Fondo de Defensa Técnica y Especializada de los Miembros de la Fuerza Pública (Fondetec).</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09" w:name="2.2.1.2.1.2"/>
      <w:r>
        <w:rPr>
          <w:rFonts w:hAnsi="Arial"/>
          <w:rFonts w:ascii="Arial"/>
          <w:sz w:val="24"/>
          <w:color w:val="navy"/>
        </w:rPr>
        <w:t xml:space="preserve">ARTÍCULO 2.2.1.2.1.2. </w:t>
      </w:r>
      <w:r>
        <w:rPr>
          <w:rFonts w:hAnsi="Arial"/>
          <w:rFonts w:ascii="Arial"/>
          <w:sz w:val="24"/>
          <w:i/>
          <w:color w:val="navy"/>
        </w:rPr>
        <w:t xml:space="preserve">CREACIÓN REGISTRO DE ABOGADOS.</w:t>
      </w:r>
      <w:bookmarkEnd w:id="59909"/>
      <w:r>
        <w:rPr>
          <w:rFonts w:hAnsi="Arial"/>
          <w:rFonts w:ascii="Arial"/>
          <w:sz w:val="24"/>
          <w:b/>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"http://www.redjurista.com/document.aspx?ajcode=l1698013&amp;arts=3"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1698 de 2013, se crea el Registro de Abogados del Sistema de Defensa Técnica y Especializada de los Miembros de la Fuerza Pública, el cual debe contener la información personal y profesional de los abogados seleccionados vinculados a Fondetec como Defensores.</w:t>
      </w:r>
    </w:p>
    <w:p>
      <w:pPr>
        <w:jc w:val="both"/>
      </w:pPr>
      <w:rPr>
        <w:sz w:val="24"/>
        <w:color w:val="black"/>
      </w:rPr>
    </w:p>
    <w:p>
      <w:pPr>
        <w:jc w:val="both"/>
      </w:pPr>
      <w:r>
        <w:rPr>
          <w:rFonts w:hAnsi="Arial"/>
          <w:rFonts w:ascii="Arial"/>
          <w:sz w:val="24"/>
          <w:color w:val="black"/>
        </w:rPr>
        <w:t xml:space="preserve">El Director o Gerente de Fondetec será el responsable de actualizar anualmente la información de los abogados defensores vinculados al Fondo.</w:t>
      </w:r>
    </w:p>
    <w:p>
      <w:pPr>
        <w:jc w:val="both"/>
      </w:pPr>
      <w:rPr>
        <w:sz w:val="24"/>
        <w:color w:val="black"/>
      </w:rPr>
    </w:p>
    <w:p>
      <w:pPr>
        <w:jc w:val="both"/>
      </w:pPr>
      <w:r>
        <w:rPr>
          <w:rFonts w:hAnsi="Arial"/>
          <w:rFonts w:ascii="Arial"/>
          <w:sz w:val="24"/>
          <w:color w:val="black"/>
        </w:rPr>
        <w:t xml:space="preserve">El Registro de Abogados debe contener como mínimo la información correspondiente a nombre e identificación del profesional, tarjeta profesional, certificado de vigencia de la tarjeta profesional, estudios universitarios, de posgrado, maestría o doctorado, perfil profesional, experiencia laboral, estudios relacionados con derecho operacional o derechos humanos y derecho internacional humanitario.</w:t>
      </w:r>
    </w:p>
    <w:p>
      <w:pPr>
        <w:jc w:val="both"/>
      </w:pPr>
      <w:rPr>
        <w:sz w:val="24"/>
        <w:color w:val="black"/>
      </w:rPr>
    </w:p>
    <w:p>
      <w:pPr>
        <w:jc w:val="both"/>
      </w:pPr>
      <w:r>
        <w:rPr>
          <w:rFonts w:hAnsi="Arial"/>
          <w:rFonts w:ascii="Arial"/>
          <w:sz w:val="24"/>
          <w:color w:val="black"/>
        </w:rPr>
        <w:t xml:space="preserve">Este Registro no reemplaza la inscripción en el Registro Nacional de Abogados del Consejo Superior de la Judicatura, de conformidad con la normatividad vigente.</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10" w:name="2.2.1.2.1.3"/>
      <w:r>
        <w:rPr>
          <w:rFonts w:hAnsi="Arial"/>
          <w:rFonts w:ascii="Arial"/>
          <w:sz w:val="24"/>
          <w:color w:val="navy"/>
        </w:rPr>
        <w:t xml:space="preserve">ARTÍCULO 2.2.1.2.1.3. </w:t>
      </w:r>
      <w:r>
        <w:rPr>
          <w:rFonts w:hAnsi="Arial"/>
          <w:rFonts w:ascii="Arial"/>
          <w:sz w:val="24"/>
          <w:i/>
          <w:color w:val="navy"/>
        </w:rPr>
        <w:t xml:space="preserve">AUXILIARES DE LA JUSTICIA.</w:t>
      </w:r>
      <w:bookmarkEnd w:id="59910"/>
      <w:r>
        <w:rPr>
          <w:rFonts w:hAnsi="Arial"/>
          <w:rFonts w:ascii="Arial"/>
          <w:sz w:val="24"/>
          <w:b/>
          <w:i/>
          <w:color w:val="black"/>
        </w:rPr>
        <w:t xml:space="preserve"> </w:t>
      </w:r>
      <w:r>
        <w:rPr>
          <w:rFonts w:hAnsi="Arial"/>
          <w:rFonts w:ascii="Arial"/>
          <w:sz w:val="24"/>
          <w:color w:val="black"/>
        </w:rPr>
        <w:t xml:space="preserve">El Sistema de Defensa Técnica y Especializada de los Miembros de la Fuerza Pública podrá contratar auxiliares de la justicia, con el fin de apoyar la defensa técnica y especializada de los Miembros de la Fuerza Pública.</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11" w:name="2.2.1.2.1.4"/>
      <w:r>
        <w:rPr>
          <w:rFonts w:hAnsi="Arial"/>
          <w:rFonts w:ascii="Arial"/>
          <w:sz w:val="24"/>
          <w:color w:val="navy"/>
        </w:rPr>
        <w:t xml:space="preserve">ARTÍCULO 2.2.1.2.1.4. </w:t>
      </w:r>
      <w:r>
        <w:rPr>
          <w:rFonts w:hAnsi="Arial"/>
          <w:rFonts w:ascii="Arial"/>
          <w:sz w:val="24"/>
          <w:i/>
          <w:color w:val="navy"/>
        </w:rPr>
        <w:t xml:space="preserve">DERECHO OPERACIONAL.</w:t>
      </w:r>
      <w:bookmarkEnd w:id="59911"/>
      <w:r>
        <w:rPr>
          <w:rFonts w:hAnsi="Arial"/>
          <w:rFonts w:ascii="Arial"/>
          <w:sz w:val="24"/>
          <w:b/>
          <w:i/>
          <w:color w:val="black"/>
        </w:rPr>
        <w:t xml:space="preserve"> </w:t>
      </w:r>
      <w:r>
        <w:rPr>
          <w:rFonts w:hAnsi="Arial"/>
          <w:rFonts w:ascii="Arial"/>
          <w:sz w:val="24"/>
          <w:color w:val="black"/>
        </w:rPr>
        <w:t xml:space="preserve">En concordancia con el principio de especialidad consagrado en el artículo </w:t>
      </w:r>
      <w:r>
        <w:fldChar w:fldCharType="begin"/>
      </w:r>
      <w:r>
        <w:instrText>HYPERLINK "http://www.redjurista.com/document.aspx?ajcode=l1698013&amp;arts=3"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1698 de 2013, se entiende por derecho operacional la integración de los tratados internacionales ratificados por Colombia, la legislación nacional y la jurisprudencia en materia de derechos humanos y derecho internacional humanitario al planeamiento, ejecución y seguimiento de las operaciones, operativos y procedimientos de la Fuerza Pública.</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12" w:name="2.2.1.2.1.5"/>
      <w:r>
        <w:rPr>
          <w:rFonts w:hAnsi="Arial"/>
          <w:rFonts w:ascii="Arial"/>
          <w:sz w:val="24"/>
          <w:color w:val="navy"/>
        </w:rPr>
        <w:t xml:space="preserve">ARTÍCULO 2.2.1.2.1.5. </w:t>
      </w:r>
      <w:r>
        <w:rPr>
          <w:rFonts w:hAnsi="Arial"/>
          <w:rFonts w:ascii="Arial"/>
          <w:sz w:val="24"/>
          <w:i/>
          <w:color w:val="navy"/>
        </w:rPr>
        <w:t xml:space="preserve">OBLIGACIONES DE LOS DEFENSORES.</w:t>
      </w:r>
      <w:bookmarkEnd w:id="59912"/>
      <w:r>
        <w:rPr>
          <w:rFonts w:hAnsi="Arial"/>
          <w:rFonts w:ascii="Arial"/>
          <w:sz w:val="24"/>
          <w:b/>
          <w:i/>
          <w:color w:val="black"/>
        </w:rPr>
        <w:t xml:space="preserve"> </w:t>
      </w:r>
      <w:r>
        <w:rPr>
          <w:rFonts w:hAnsi="Arial"/>
          <w:rFonts w:ascii="Arial"/>
          <w:sz w:val="24"/>
          <w:color w:val="black"/>
        </w:rPr>
        <w:t xml:space="preserve">De conformidad con los artículos </w:t>
      </w:r>
      <w:r>
        <w:fldChar w:fldCharType="begin"/>
      </w:r>
      <w:r>
        <w:instrText>HYPERLINK "http://www.redjurista.com/document.aspx?ajcode=l1698013&amp;arts=2"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y </w:t>
      </w:r>
      <w:r>
        <w:fldChar w:fldCharType="begin"/>
      </w:r>
      <w:r>
        <w:instrText>HYPERLINK "http://www.redjurista.com/document.aspx?ajcode=l1698013&amp;arts=3"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1698 de 2013 y en concordancia con lo dispuesto en el artículo </w:t>
      </w:r>
      <w:r>
        <w:fldChar w:fldCharType="begin"/>
      </w:r>
      <w:r>
        <w:instrText>HYPERLINK "http://www.redjurista.com/document.aspx?ajcode=l0941005&amp;arts=31"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941 de 2005, el Defensor cumplirá entre otras, las siguientes obligaciones:</w:t>
      </w:r>
    </w:p>
    <w:p>
      <w:pPr>
        <w:jc w:val="both"/>
      </w:pPr>
      <w:rPr>
        <w:sz w:val="24"/>
        <w:color w:val="black"/>
      </w:rPr>
    </w:p>
    <w:p>
      <w:pPr>
        <w:jc w:val="both"/>
      </w:pPr>
      <w:r>
        <w:rPr>
          <w:rFonts w:hAnsi="Arial"/>
          <w:rFonts w:ascii="Arial"/>
          <w:sz w:val="24"/>
          <w:color w:val="black"/>
        </w:rPr>
        <w:t xml:space="preserve">1. Manifestar la existencia de cualquier impedimento. No podrá tener interés personal con la causa ni con el usuario que representa.</w:t>
      </w:r>
    </w:p>
    <w:p>
      <w:pPr>
        <w:jc w:val="both"/>
      </w:pPr>
      <w:rPr>
        <w:sz w:val="24"/>
        <w:color w:val="black"/>
      </w:rPr>
    </w:p>
    <w:p>
      <w:pPr>
        <w:jc w:val="both"/>
      </w:pPr>
      <w:r>
        <w:rPr>
          <w:rFonts w:hAnsi="Arial"/>
          <w:rFonts w:ascii="Arial"/>
          <w:sz w:val="24"/>
          <w:color w:val="black"/>
        </w:rPr>
        <w:t xml:space="preserve">2. Ejercer defensa técnica, idónea y oportuna.</w:t>
      </w:r>
    </w:p>
    <w:p>
      <w:pPr>
        <w:jc w:val="both"/>
      </w:pPr>
      <w:rPr>
        <w:sz w:val="24"/>
        <w:color w:val="black"/>
      </w:rPr>
    </w:p>
    <w:p>
      <w:pPr>
        <w:jc w:val="both"/>
      </w:pPr>
      <w:r>
        <w:rPr>
          <w:rFonts w:hAnsi="Arial"/>
          <w:rFonts w:ascii="Arial"/>
          <w:sz w:val="24"/>
          <w:color w:val="black"/>
        </w:rPr>
        <w:t xml:space="preserve">3. Verificar el respeto de los derechos humanos, así como el cumplimiento de las garantías judiciales por parte de las autoridades en los procesos a su cargo. En caso de violación interponer los recursos que estime pertinentes e informar por escrito al Director o Gerente del Fondo sobre dichas violaciones y las acciones adelantadas para contrarrestarlas.</w:t>
      </w:r>
    </w:p>
    <w:p>
      <w:pPr>
        <w:jc w:val="both"/>
      </w:pPr>
      <w:rPr>
        <w:sz w:val="24"/>
        <w:color w:val="black"/>
      </w:rPr>
    </w:p>
    <w:p>
      <w:pPr>
        <w:jc w:val="both"/>
      </w:pPr>
      <w:r>
        <w:rPr>
          <w:rFonts w:hAnsi="Arial"/>
          <w:rFonts w:ascii="Arial"/>
          <w:sz w:val="24"/>
          <w:color w:val="black"/>
        </w:rPr>
        <w:t xml:space="preserve">4. Asumir inmediatamente, con atención y diligencia hasta el final del proceso, la representación judicial o extrajudicial en los asuntos asignados por el Sistema de Defensa Técnica y Especializada de los Miembros de la Fuerza Pública.</w:t>
      </w:r>
    </w:p>
    <w:p>
      <w:pPr>
        <w:jc w:val="both"/>
      </w:pPr>
      <w:rPr>
        <w:sz w:val="24"/>
        <w:color w:val="black"/>
      </w:rPr>
    </w:p>
    <w:p>
      <w:pPr>
        <w:jc w:val="both"/>
      </w:pPr>
      <w:r>
        <w:rPr>
          <w:rFonts w:hAnsi="Arial"/>
          <w:rFonts w:ascii="Arial"/>
          <w:sz w:val="24"/>
          <w:color w:val="black"/>
        </w:rPr>
        <w:t xml:space="preserve">5. Guardar absoluta reserva y secreto sobre los hechos, informaciones o cualquier dato o evidencia conocidos en el ejercicio de su labor, salvo las excepciones establecidas por la ley.</w:t>
      </w:r>
    </w:p>
    <w:p>
      <w:pPr>
        <w:jc w:val="both"/>
      </w:pPr>
      <w:rPr>
        <w:sz w:val="24"/>
        <w:color w:val="black"/>
      </w:rPr>
    </w:p>
    <w:p>
      <w:pPr>
        <w:jc w:val="both"/>
      </w:pPr>
      <w:r>
        <w:rPr>
          <w:rFonts w:hAnsi="Arial"/>
          <w:rFonts w:ascii="Arial"/>
          <w:sz w:val="24"/>
          <w:color w:val="black"/>
        </w:rPr>
        <w:t xml:space="preserve">6. Cumplir sus obligaciones de acuerdo con las normas que regulan el ejercicio de la profesión de abogado y las que reglamenten su desempeño como defensor.</w:t>
      </w:r>
    </w:p>
    <w:p>
      <w:pPr>
        <w:jc w:val="both"/>
      </w:pPr>
      <w:rPr>
        <w:sz w:val="24"/>
        <w:color w:val="black"/>
      </w:rPr>
    </w:p>
    <w:p>
      <w:pPr>
        <w:jc w:val="both"/>
      </w:pPr>
      <w:r>
        <w:rPr>
          <w:rFonts w:hAnsi="Arial"/>
          <w:rFonts w:ascii="Arial"/>
          <w:sz w:val="24"/>
          <w:color w:val="black"/>
        </w:rPr>
        <w:t xml:space="preserve">7. Rendir informes al Director o Gerente del Fondo, de acuerdo con los parámetros establecidos para tal efecto.</w:t>
      </w:r>
    </w:p>
    <w:p>
      <w:pPr>
        <w:jc w:val="both"/>
      </w:pPr>
      <w:rPr>
        <w:sz w:val="24"/>
        <w:color w:val="black"/>
      </w:rPr>
    </w:p>
    <w:p>
      <w:pPr>
        <w:jc w:val="both"/>
      </w:pPr>
      <w:r>
        <w:rPr>
          <w:rFonts w:hAnsi="Arial"/>
          <w:rFonts w:ascii="Arial"/>
          <w:sz w:val="24"/>
          <w:color w:val="black"/>
        </w:rPr>
        <w:t xml:space="preserve">8. Cumplir con las obligaciones que se deriven del contrato que suscriba con el Fondo de Defensa Técnica y Especializada de la Fuerza Pública (Fondetec).</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13" w:name="SECCIÓN 2.2.1.2.2"/>
      <w:r>
        <w:rPr>
          <w:rFonts w:hAnsi="Arial"/>
          <w:rFonts w:ascii="Arial"/>
          <w:sz w:val="24"/>
          <w:color w:val="navy"/>
        </w:rPr>
        <w:t xml:space="preserve">SECCIÓN 2. </w:t>
      </w:r>
    </w:p>
    <w:p>
      <w:pPr>
        <w:jc w:val="center"/>
      </w:pPr>
      <w:r>
        <w:rPr>
          <w:rFonts w:hAnsi="Arial"/>
          <w:rFonts w:ascii="Arial"/>
          <w:sz w:val="24"/>
          <w:color w:val="navy"/>
        </w:rPr>
        <w:t xml:space="preserve">COBERTURA Y EXCLUSIONES.</w:t>
      </w:r>
      <w:bookmarkEnd w:id="59913"/>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14" w:name="2.2.1.2.2.1"/>
      <w:r>
        <w:rPr>
          <w:rFonts w:hAnsi="Arial"/>
          <w:rFonts w:ascii="Arial"/>
          <w:sz w:val="24"/>
          <w:color w:val="navy"/>
        </w:rPr>
        <w:t xml:space="preserve">ARTÍCULO 2.2.1.2.2.1. </w:t>
      </w:r>
      <w:r>
        <w:rPr>
          <w:rFonts w:hAnsi="Arial"/>
          <w:rFonts w:ascii="Arial"/>
          <w:sz w:val="24"/>
          <w:i/>
          <w:color w:val="navy"/>
        </w:rPr>
        <w:t xml:space="preserve">COBERTURA Y EXCLUSIONES.</w:t>
      </w:r>
      <w:bookmarkEnd w:id="59914"/>
      <w:r>
        <w:rPr>
          <w:rFonts w:hAnsi="Arial"/>
          <w:rFonts w:ascii="Arial"/>
          <w:sz w:val="24"/>
          <w:b/>
          <w:i/>
          <w:color w:val="black"/>
        </w:rPr>
        <w:t xml:space="preserve"> </w:t>
      </w:r>
      <w:r>
        <w:rPr>
          <w:rFonts w:hAnsi="Arial"/>
          <w:rFonts w:ascii="Arial"/>
          <w:sz w:val="24"/>
          <w:color w:val="black"/>
        </w:rPr>
        <w:t xml:space="preserve">El Servicio de Defensa Técnica y Especializada de los Miembros de la Fuerza Pública se prestará a todos aquellos Miembros activos o retirados de la Fuerza Pública que así lo soliciten, de acuerdo a la apropiación presupuestal disponible y conforme a lo previsto en el inciso 2o del artículo </w:t>
      </w:r>
      <w:r>
        <w:fldChar w:fldCharType="begin"/>
      </w:r>
      <w:r>
        <w:instrText>HYPERLINK "http://www.redjurista.com/document.aspx?ajcode=d1070015&amp;arts=2.2.1.2.2.2"</w:instrText>
      </w:r>
      <w:r>
        <w:fldChar w:fldCharType="separate"/>
      </w:r>
      <w:r>
        <w:rPr>
          <w:rFonts w:hAnsi="Arial"/>
          <w:rFonts w:ascii="Arial"/>
          <w:sz w:val="24"/>
          <w:u w:val="single"/>
          <w:color w:val="black"/>
        </w:rPr>
        <w:t>2.2.1.2.2.2.</w:t>
      </w:r>
      <w:r>
        <w:fldChar w:fldCharType="end"/>
      </w:r>
      <w:r>
        <w:rPr>
          <w:rFonts w:hAnsi="Arial"/>
          <w:rFonts w:ascii="Arial"/>
          <w:sz w:val="24"/>
          <w:u w:val="none"/>
          <w:color w:val="black"/>
        </w:rPr>
        <w:t xml:space="preserve">, del presente Capítulo en todo el territorio nacional donde se ubique un despacho judicial o disciplinario que conozca de un proceso en contra de un miembro de la Fuerza Pública y cuyo delito o falta corresponda a aquellas conductas no excluidas conforme el artículo </w:t>
      </w:r>
      <w:r>
        <w:fldChar w:fldCharType="begin"/>
      </w:r>
      <w:r>
        <w:instrText>HYPERLINK "http://www.redjurista.com/document.aspx?ajcode=l1698013&amp;arts=7"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1698 de 2013 o a aquellas que determine el Comité Directivo de Fondetec.</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59915" w:name="2.2.1.2.2.2"/>
      <w:r>
        <w:rPr>
          <w:rFonts w:hAnsi="Arial"/>
          <w:rFonts w:ascii="Arial"/>
          <w:sz w:val="24"/>
          <w:color w:val="navy"/>
        </w:rPr>
        <w:t xml:space="preserve">ARTÍCULO 2.2.1.2.2.2. </w:t>
      </w:r>
      <w:r>
        <w:rPr>
          <w:rFonts w:hAnsi="Arial"/>
          <w:rFonts w:ascii="Arial"/>
          <w:sz w:val="24"/>
          <w:i/>
          <w:color w:val="navy"/>
        </w:rPr>
        <w:t>CRITERIOS.</w:t>
      </w:r>
      <w:bookmarkEnd w:id="59915"/>
      <w:r>
        <w:rPr>
          <w:rFonts w:hAnsi="Arial"/>
          <w:rFonts w:ascii="Arial"/>
          <w:sz w:val="24"/>
          <w:b/>
          <w:i/>
          <w:color w:val="black"/>
        </w:rPr>
        <w:t xml:space="preserve"> </w:t>
      </w:r>
      <w:r>
        <w:rPr>
          <w:rFonts w:hAnsi="Arial"/>
          <w:rFonts w:ascii="Arial"/>
          <w:sz w:val="24"/>
          <w:color w:val="black"/>
        </w:rPr>
        <w:t xml:space="preserve">El Servicio de Defensa Técnica y Especializada de los Miembros de la Fuerza Pública tendrá cobertura en todas aquellas actuaciones disciplinarias o penales que se encuentren en curso a la entrada en vigencia de la ley, siempre y cuando la conducta o falta no corresponda a aquellas excluidas de la cobertura del servicio conforme el artículo </w:t>
      </w:r>
      <w:r>
        <w:fldChar w:fldCharType="begin"/>
      </w:r>
      <w:r>
        <w:instrText>HYPERLINK "http://www.redjurista.com/document.aspx?ajcode=l1698013&amp;arts=7"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1698 de 2013 y conforme la apropiación presupuestal disponible.</w:t>
      </w:r>
    </w:p>
    <w:p>
      <w:pPr>
        <w:jc w:val="both"/>
      </w:pPr>
      <w:rPr>
        <w:sz w:val="24"/>
        <w:color w:val="black"/>
      </w:rPr>
    </w:p>
    <w:p>
      <w:pPr>
        <w:jc w:val="both"/>
      </w:pPr>
      <w:r>
        <w:rPr>
          <w:rFonts w:hAnsi="Arial"/>
          <w:rFonts w:ascii="Arial"/>
          <w:sz w:val="24"/>
          <w:color w:val="black"/>
        </w:rPr>
        <w:t xml:space="preserve">El Comité Directivo de Fondetec será el responsable de determinar los criterios de priorización o selección de las solicitudes de servicio de defensa que se presenten.</w:t>
      </w:r>
    </w:p>
    <w:p>
      <w:pPr>
        <w:jc w:val="both"/>
      </w:pPr>
      <w:rPr>
        <w:sz w:val="24"/>
        <w:color w:val="black"/>
      </w:rPr>
    </w:p>
    <w:p>
      <w:pPr>
        <w:jc w:val="both"/>
      </w:pPr>
      <w:r>
        <w:rPr>
          <w:rFonts w:hAnsi="Arial"/>
          <w:rFonts w:ascii="Arial"/>
          <w:sz w:val="24"/>
          <w:color w:val="black"/>
        </w:rPr>
        <w:t xml:space="preserve">El Ministerio de Defensa Nacional (Fondetec) asume la responsabilidad de brindar una defensa en los términos establecidos en la Ley </w:t>
      </w:r>
      <w:r>
        <w:fldChar w:fldCharType="begin"/>
      </w:r>
      <w:r>
        <w:instrText>HYPERLINK "http://www.redjurista.com/document.aspx?ajcode=l1698013&amp;arts=INICIO"</w:instrText>
      </w:r>
      <w:r>
        <w:fldChar w:fldCharType="separate"/>
      </w:r>
      <w:r>
        <w:rPr>
          <w:rFonts w:hAnsi="Arial"/>
          <w:rFonts w:ascii="Arial"/>
          <w:sz w:val="24"/>
          <w:u w:val="single"/>
          <w:color w:val="black"/>
        </w:rPr>
        <w:t>1698</w:t>
      </w:r>
      <w:r>
        <w:fldChar w:fldCharType="end"/>
      </w:r>
      <w:r>
        <w:rPr>
          <w:rFonts w:hAnsi="Arial"/>
          <w:rFonts w:ascii="Arial"/>
          <w:sz w:val="24"/>
          <w:u w:val="none"/>
          <w:color w:val="black"/>
        </w:rPr>
        <w:t xml:space="preserve"> de 2013, entendiéndose como una responsabilidad de medio y no de resultado, razón por la cual el Gerente o Director del Fondo es responsable de establecer e implementar los controles y/o mecanismos que permitan realizar un seguimiento permanente a la actividad de los defensores en sus diferentes actuaciones procesales y presentar las recomendaciones o correctivos que se consideren pertinentes, con el fin de garantizar un adecuado servicio de defensa y acceso oportuno a la administración de justicia, conforme la disponibilidad presupuestal respectiva.</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16" w:name="SECCIÓN 2.2.1.2.3"/>
      <w:r>
        <w:rPr>
          <w:rFonts w:hAnsi="Arial"/>
          <w:rFonts w:ascii="Arial"/>
          <w:sz w:val="24"/>
          <w:color w:val="navy"/>
        </w:rPr>
        <w:t xml:space="preserve">SECCIÓN 3. </w:t>
      </w:r>
    </w:p>
    <w:p>
      <w:pPr>
        <w:jc w:val="center"/>
      </w:pPr>
      <w:r>
        <w:rPr>
          <w:rFonts w:hAnsi="Arial"/>
          <w:rFonts w:ascii="Arial"/>
          <w:sz w:val="24"/>
          <w:color w:val="navy"/>
        </w:rPr>
        <w:t xml:space="preserve">ADMINISTRACIÓN DEL FONDO.</w:t>
      </w:r>
      <w:bookmarkEnd w:id="59916"/>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17" w:name="2.2.1.2.3.1"/>
      <w:r>
        <w:rPr>
          <w:rFonts w:hAnsi="Arial"/>
          <w:rFonts w:ascii="Arial"/>
          <w:sz w:val="24"/>
          <w:color w:val="navy"/>
        </w:rPr>
        <w:t xml:space="preserve">ARTÍCULO 2.2.1.2.3.1. </w:t>
      </w:r>
      <w:r>
        <w:rPr>
          <w:rFonts w:hAnsi="Arial"/>
          <w:rFonts w:ascii="Arial"/>
          <w:sz w:val="24"/>
          <w:i/>
          <w:color w:val="navy"/>
        </w:rPr>
        <w:t xml:space="preserve">COMITÉ DIRECTIVO.</w:t>
      </w:r>
      <w:bookmarkEnd w:id="59917"/>
      <w:r>
        <w:rPr>
          <w:rFonts w:hAnsi="Arial"/>
          <w:rFonts w:ascii="Arial"/>
          <w:sz w:val="24"/>
          <w:b/>
          <w:i/>
          <w:color w:val="black"/>
        </w:rPr>
        <w:t xml:space="preserve"> </w:t>
      </w:r>
      <w:r>
        <w:rPr>
          <w:rFonts w:hAnsi="Arial"/>
          <w:rFonts w:ascii="Arial"/>
          <w:sz w:val="24"/>
          <w:color w:val="black"/>
        </w:rPr>
        <w:t xml:space="preserve">Al tenor de lo dispuesto en el artículo </w:t>
      </w:r>
      <w:r>
        <w:fldChar w:fldCharType="begin"/>
      </w:r>
      <w:r>
        <w:instrText>HYPERLINK "http://www.redjurista.com/document.aspx?ajcode=l1698013&amp;arts=9"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1698 de 2013, el Comité Directivo del Fondo de Defensa Técnica y Especializada de los Miembros de la Fuerza Pública (Fondetec) estará integrado por:</w:t>
      </w:r>
    </w:p>
    <w:p>
      <w:pPr>
        <w:jc w:val="both"/>
      </w:pPr>
      <w:rPr>
        <w:sz w:val="24"/>
        <w:color w:val="black"/>
      </w:rPr>
    </w:p>
    <w:p>
      <w:pPr>
        <w:jc w:val="both"/>
      </w:pPr>
      <w:r>
        <w:rPr>
          <w:rFonts w:hAnsi="Arial"/>
          <w:rFonts w:ascii="Arial"/>
          <w:sz w:val="24"/>
          <w:color w:val="black"/>
        </w:rPr>
        <w:t xml:space="preserve">1. El Ministro de Defensa Nacional o su delegado, quien lo presidirá.</w:t>
      </w:r>
    </w:p>
    <w:p>
      <w:pPr>
        <w:jc w:val="both"/>
      </w:pPr>
      <w:rPr>
        <w:sz w:val="24"/>
        <w:color w:val="black"/>
      </w:rPr>
    </w:p>
    <w:p>
      <w:pPr>
        <w:jc w:val="both"/>
      </w:pPr>
      <w:r>
        <w:rPr>
          <w:rFonts w:hAnsi="Arial"/>
          <w:rFonts w:ascii="Arial"/>
          <w:sz w:val="24"/>
          <w:color w:val="black"/>
        </w:rPr>
        <w:t xml:space="preserve">2. El Comandante General de las Fuerzas Militares, o su delegado.</w:t>
      </w:r>
    </w:p>
    <w:p>
      <w:pPr>
        <w:jc w:val="both"/>
      </w:pPr>
      <w:rPr>
        <w:sz w:val="24"/>
        <w:color w:val="black"/>
      </w:rPr>
    </w:p>
    <w:p>
      <w:pPr>
        <w:jc w:val="both"/>
      </w:pPr>
      <w:r>
        <w:rPr>
          <w:rFonts w:hAnsi="Arial"/>
          <w:rFonts w:ascii="Arial"/>
          <w:sz w:val="24"/>
          <w:color w:val="black"/>
        </w:rPr>
        <w:t xml:space="preserve">3. El Comandante del Ejército Nacional de Colombia, o su delegado.</w:t>
      </w:r>
    </w:p>
    <w:p>
      <w:pPr>
        <w:jc w:val="both"/>
      </w:pPr>
      <w:rPr>
        <w:sz w:val="24"/>
        <w:color w:val="black"/>
      </w:rPr>
    </w:p>
    <w:p>
      <w:pPr>
        <w:jc w:val="both"/>
      </w:pPr>
      <w:r>
        <w:rPr>
          <w:rFonts w:hAnsi="Arial"/>
          <w:rFonts w:ascii="Arial"/>
          <w:sz w:val="24"/>
          <w:color w:val="black"/>
        </w:rPr>
        <w:t xml:space="preserve">4. El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color w:val="black"/>
        </w:rPr>
        <w:t xml:space="preserve">5. El Comandante de la Armada Nacional, o su delegado.</w:t>
      </w:r>
    </w:p>
    <w:p>
      <w:pPr>
        <w:jc w:val="both"/>
      </w:pPr>
      <w:rPr>
        <w:sz w:val="24"/>
        <w:color w:val="black"/>
      </w:rPr>
    </w:p>
    <w:p>
      <w:pPr>
        <w:jc w:val="both"/>
      </w:pPr>
      <w:r>
        <w:rPr>
          <w:rFonts w:hAnsi="Arial"/>
          <w:rFonts w:ascii="Arial"/>
          <w:sz w:val="24"/>
          <w:color w:val="black"/>
        </w:rPr>
        <w:t xml:space="preserve">6. El Director General de la Policía Nacional, o su delegado.</w:t>
      </w:r>
    </w:p>
    <w:p>
      <w:pPr>
        <w:jc w:val="both"/>
      </w:pPr>
      <w:rPr>
        <w:sz w:val="24"/>
        <w:color w:val="black"/>
      </w:rPr>
    </w:p>
    <w:p>
      <w:pPr>
        <w:jc w:val="both"/>
      </w:pPr>
      <w:r>
        <w:rPr>
          <w:rFonts w:hAnsi="Arial"/>
          <w:rFonts w:ascii="Arial"/>
          <w:sz w:val="24"/>
          <w:color w:val="black"/>
        </w:rPr>
        <w:t xml:space="preserve">7. Tres (3) representantes del Ministro de Defensa Nacional.</w:t>
      </w:r>
    </w:p>
    <w:p>
      <w:pPr>
        <w:jc w:val="both"/>
      </w:pPr>
      <w:rPr>
        <w:sz w:val="24"/>
        <w:color w:val="black"/>
      </w:rPr>
    </w:p>
    <w:p>
      <w:pPr>
        <w:jc w:val="both"/>
      </w:pPr>
      <w:r>
        <w:rPr>
          <w:rFonts w:hAnsi="Arial"/>
          <w:rFonts w:ascii="Arial"/>
          <w:sz w:val="24"/>
          <w:color w:val="black"/>
        </w:rPr>
        <w:t xml:space="preserve">8. El Director o Gerente de Fondetec tendrá a su cargo la Secretaría Técnica del Comité, y asistirá con voz pero sin voto.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Comité Directivo podrá acordar que se invite a otros servidores públicos y/o particulares a aquellas reuniones en que así lo considere.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Oficiales a los que se refieren los numerales 2, 3, 4, 5 y 6 del presente artículo solo podrán delegar en otro Oficial General o de Insignia.</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Comité Directivo no podrá ordenar gastos ni participar en el trámite de solicitud, adjudicación, celebración y supervisión de los contratos que se celebren con cargo a los recursos del Fondo.</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18" w:name="2.2.1.2.3.2"/>
      <w:r>
        <w:rPr>
          <w:rFonts w:hAnsi="Arial"/>
          <w:rFonts w:ascii="Arial"/>
          <w:sz w:val="24"/>
          <w:color w:val="navy"/>
        </w:rPr>
        <w:t xml:space="preserve">ARTÍCULO 2.2.1.2.3.2. </w:t>
      </w:r>
      <w:r>
        <w:rPr>
          <w:rFonts w:hAnsi="Arial"/>
          <w:rFonts w:ascii="Arial"/>
          <w:sz w:val="24"/>
          <w:i/>
          <w:color w:val="navy"/>
        </w:rPr>
        <w:t xml:space="preserve">SESIONES Y ADOPCIÓN DE DECISIONES.</w:t>
      </w:r>
      <w:bookmarkEnd w:id="59918"/>
      <w:r>
        <w:rPr>
          <w:rFonts w:hAnsi="Arial"/>
          <w:rFonts w:ascii="Arial"/>
          <w:sz w:val="24"/>
          <w:b/>
          <w:i/>
          <w:color w:val="black"/>
        </w:rPr>
        <w:t xml:space="preserve"> </w:t>
      </w:r>
      <w:r>
        <w:rPr>
          <w:rFonts w:hAnsi="Arial"/>
          <w:rFonts w:ascii="Arial"/>
          <w:sz w:val="24"/>
          <w:color w:val="black"/>
        </w:rPr>
        <w:t xml:space="preserve">El Comité Directivo del Fondo de Defensa Técnica y Especializada de los Miembros de la Fuerza Pública (Fondetec) deberá reunirse, de manera ordinaria, una vez trimestralmente y, extraordinariamente, cuando así lo solicite el Presidente del Comité.</w:t>
      </w:r>
    </w:p>
    <w:p>
      <w:pPr>
        <w:jc w:val="both"/>
      </w:pPr>
      <w:rPr>
        <w:sz w:val="24"/>
        <w:color w:val="black"/>
      </w:rPr>
    </w:p>
    <w:p>
      <w:pPr>
        <w:jc w:val="both"/>
      </w:pPr>
      <w:r>
        <w:rPr>
          <w:rFonts w:hAnsi="Arial"/>
          <w:rFonts w:ascii="Arial"/>
          <w:sz w:val="24"/>
          <w:color w:val="black"/>
        </w:rPr>
        <w:t xml:space="preserve">El Comité Directivo sesionará con la mitad más uno de sus integrantes y tomará sus decisiones por mayoría simple de los asistentes a la respectiva sesión.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sesiones podrán ser presenciales o no presenciales, de conformidad con el mecanismo que se establezca en su reglamento.</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19" w:name="2.2.1.2.3.3"/>
      <w:r>
        <w:rPr>
          <w:rFonts w:hAnsi="Arial"/>
          <w:rFonts w:ascii="Arial"/>
          <w:sz w:val="24"/>
          <w:color w:val="navy"/>
        </w:rPr>
        <w:t xml:space="preserve">ARTÍCULO 2.2.1.2.3.3. </w:t>
      </w:r>
      <w:r>
        <w:rPr>
          <w:rFonts w:hAnsi="Arial"/>
          <w:rFonts w:ascii="Arial"/>
          <w:sz w:val="24"/>
          <w:i/>
          <w:color w:val="navy"/>
        </w:rPr>
        <w:t xml:space="preserve">FUNCIONES DEL COMITÉ DIRECTIVO.</w:t>
      </w:r>
      <w:bookmarkEnd w:id="59919"/>
      <w:r>
        <w:rPr>
          <w:rFonts w:hAnsi="Arial"/>
          <w:rFonts w:ascii="Arial"/>
          <w:sz w:val="24"/>
          <w:b/>
          <w:i/>
          <w:color w:val="black"/>
        </w:rPr>
        <w:t xml:space="preserve"> </w:t>
      </w:r>
      <w:r>
        <w:rPr>
          <w:rFonts w:hAnsi="Arial"/>
          <w:rFonts w:ascii="Arial"/>
          <w:sz w:val="24"/>
          <w:color w:val="black"/>
        </w:rPr>
        <w:t xml:space="preserve">El Comité Directivo del Fondo de Defensa Técnica y Especializada de los Miembros de la Fuerza Pública (Fondetec) tendrá por funciones las siguientes:</w:t>
      </w:r>
    </w:p>
    <w:p>
      <w:pPr>
        <w:jc w:val="both"/>
      </w:pPr>
      <w:rPr>
        <w:sz w:val="24"/>
        <w:color w:val="black"/>
      </w:rPr>
    </w:p>
    <w:p>
      <w:pPr>
        <w:jc w:val="both"/>
      </w:pPr>
      <w:r>
        <w:rPr>
          <w:rFonts w:hAnsi="Arial"/>
          <w:rFonts w:ascii="Arial"/>
          <w:sz w:val="24"/>
          <w:color w:val="black"/>
        </w:rPr>
        <w:t xml:space="preserve">1. Determinar la cobertura del servicio de defensa que se financiará con cargo a los recursos del Fondo en atención a la tipología y complejidad de los procesos e investigaciones, la afectación y necesidad de coordinación con la defensa de la Nación - Ministerio de Defensa Nacional y/o la Policía Nacional, u otros criterios que determine el Comité Directivo.</w:t>
      </w:r>
    </w:p>
    <w:p>
      <w:pPr>
        <w:jc w:val="both"/>
      </w:pPr>
      <w:rPr>
        <w:color w:val="black"/>
      </w:rPr>
    </w:p>
    <w:p>
      <w:pPr>
        <w:jc w:val="both"/>
      </w:pPr>
      <w:r>
        <w:rPr>
          <w:rFonts w:hAnsi="Arial"/>
          <w:rFonts w:ascii="Arial"/>
          <w:sz w:val="24"/>
          <w:color w:val="black"/>
        </w:rPr>
        <w:t xml:space="preserve">2. Adoptar los planes y programas con fundamento en los cuales se impartan las instrucciones a la sociedad fiduciaria administradora del Patrimonio Autónomo constituido con los recursos del Fondo, bien sea al momento de su constitución o durante la ejecución del contrato fiduciario respectivo.</w:t>
      </w:r>
    </w:p>
    <w:p>
      <w:pPr>
        <w:jc w:val="both"/>
      </w:pPr>
      <w:rPr>
        <w:sz w:val="24"/>
        <w:color w:val="black"/>
      </w:rPr>
    </w:p>
    <w:p>
      <w:pPr>
        <w:jc w:val="both"/>
      </w:pPr>
      <w:r>
        <w:rPr>
          <w:rFonts w:hAnsi="Arial"/>
          <w:rFonts w:ascii="Arial"/>
          <w:sz w:val="24"/>
          <w:color w:val="black"/>
        </w:rPr>
        <w:t xml:space="preserve">3. Determinar criterios en relación con el perfil de la(s) persona(s) jurídica(s) o naturales(s) que prestarán el servicio de defensa técnica y especializada de los miembros de la Fuerza Pública.</w:t>
      </w:r>
    </w:p>
    <w:p>
      <w:pPr>
        <w:jc w:val="both"/>
      </w:pPr>
      <w:rPr>
        <w:color w:val="black"/>
      </w:rPr>
    </w:p>
    <w:p>
      <w:pPr>
        <w:jc w:val="both"/>
      </w:pPr>
      <w:r>
        <w:rPr>
          <w:rFonts w:hAnsi="Arial"/>
          <w:rFonts w:ascii="Arial"/>
          <w:sz w:val="24"/>
          <w:color w:val="black"/>
        </w:rPr>
        <w:t xml:space="preserve">4. Determinar, a instancia del Director o Gerente, las necesidades del Fondo.</w:t>
      </w:r>
    </w:p>
    <w:p>
      <w:pPr>
        <w:jc w:val="both"/>
      </w:pPr>
      <w:rPr>
        <w:sz w:val="24"/>
        <w:color w:val="black"/>
      </w:rPr>
    </w:p>
    <w:p>
      <w:pPr>
        <w:jc w:val="both"/>
      </w:pPr>
      <w:r>
        <w:rPr>
          <w:rFonts w:hAnsi="Arial"/>
          <w:rFonts w:ascii="Arial"/>
          <w:sz w:val="24"/>
          <w:color w:val="black"/>
        </w:rPr>
        <w:t xml:space="preserve">5. Establecer las conductas punibles que se excluirían del ámbito de cobertura del Sistema de Defensa Técnica y Especializada de los miembros de la Fuerza Pública, adicionales a las establecidas en el artículo </w:t>
      </w:r>
      <w:r>
        <w:fldChar w:fldCharType="begin"/>
      </w:r>
      <w:r>
        <w:instrText>HYPERLINK "http://www.redjurista.com/document.aspx?ajcode=l1698013&amp;arts=7"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1698 de 2013.</w:t>
      </w:r>
    </w:p>
    <w:p>
      <w:pPr>
        <w:jc w:val="both"/>
      </w:pPr>
      <w:rPr>
        <w:color w:val="black"/>
      </w:rPr>
    </w:p>
    <w:p>
      <w:pPr>
        <w:jc w:val="both"/>
      </w:pPr>
      <w:r>
        <w:rPr>
          <w:rFonts w:hAnsi="Arial"/>
          <w:rFonts w:ascii="Arial"/>
          <w:sz w:val="24"/>
          <w:color w:val="black"/>
        </w:rPr>
        <w:t xml:space="preserve">6. Aprobar el Manual de Contratación que deberá regir la actividad que adelante el patrimonio autónomo.</w:t>
      </w:r>
    </w:p>
    <w:p>
      <w:pPr>
        <w:jc w:val="both"/>
      </w:pPr>
      <w:rPr>
        <w:color w:val="black"/>
      </w:rPr>
    </w:p>
    <w:p>
      <w:pPr>
        <w:jc w:val="both"/>
      </w:pPr>
      <w:r>
        <w:rPr>
          <w:rFonts w:hAnsi="Arial"/>
          <w:rFonts w:ascii="Arial"/>
          <w:sz w:val="24"/>
          <w:color w:val="black"/>
        </w:rPr>
        <w:t xml:space="preserve">7. Aprobar el presupuesto teniendo en cuenta los recursos disponibles en el patrimonio autónomo.</w:t>
      </w:r>
    </w:p>
    <w:p>
      <w:pPr>
        <w:jc w:val="both"/>
      </w:pPr>
      <w:rPr>
        <w:sz w:val="24"/>
        <w:color w:val="black"/>
      </w:rPr>
    </w:p>
    <w:p>
      <w:pPr>
        <w:jc w:val="both"/>
      </w:pPr>
      <w:r>
        <w:rPr>
          <w:rFonts w:hAnsi="Arial"/>
          <w:rFonts w:ascii="Arial"/>
          <w:sz w:val="24"/>
          <w:color w:val="black"/>
        </w:rPr>
        <w:t xml:space="preserve">8. Adoptar su propio reglamento interno, y</w:t>
      </w:r>
    </w:p>
    <w:p>
      <w:pPr>
        <w:jc w:val="both"/>
      </w:pPr>
      <w:rPr>
        <w:color w:val="black"/>
      </w:rPr>
    </w:p>
    <w:p>
      <w:pPr>
        <w:jc w:val="both"/>
      </w:pPr>
      <w:r>
        <w:rPr>
          <w:rFonts w:hAnsi="Arial"/>
          <w:rFonts w:ascii="Arial"/>
          <w:sz w:val="24"/>
          <w:color w:val="black"/>
        </w:rPr>
        <w:t xml:space="preserve">9. Las demás que le asigne el Ministro de Defensa Nacional.</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20" w:name="2.2.1.2.3.4"/>
      <w:r>
        <w:rPr>
          <w:rFonts w:hAnsi="Arial"/>
          <w:rFonts w:ascii="Arial"/>
          <w:sz w:val="24"/>
          <w:color w:val="navy"/>
        </w:rPr>
        <w:t xml:space="preserve">ARTÍCULO 2.2.1.2.3.4. </w:t>
      </w:r>
      <w:r>
        <w:rPr>
          <w:rFonts w:hAnsi="Arial"/>
          <w:rFonts w:ascii="Arial"/>
          <w:sz w:val="24"/>
          <w:i/>
          <w:color w:val="navy"/>
        </w:rPr>
        <w:t xml:space="preserve">DIRECTOR O GERENTE.</w:t>
      </w:r>
      <w:bookmarkEnd w:id="59920"/>
      <w:r>
        <w:rPr>
          <w:rFonts w:hAnsi="Arial"/>
          <w:rFonts w:ascii="Arial"/>
          <w:sz w:val="24"/>
          <w:b/>
          <w:i/>
          <w:color w:val="black"/>
        </w:rPr>
        <w:t xml:space="preserve"> </w:t>
      </w:r>
      <w:r>
        <w:rPr>
          <w:rFonts w:hAnsi="Arial"/>
          <w:rFonts w:ascii="Arial"/>
          <w:sz w:val="24"/>
          <w:color w:val="black"/>
        </w:rPr>
        <w:t xml:space="preserve">El Director o Gerente del Fondo de Defensa Técnica y Especializada de los Miembros de la Fuerza Pública (Fondetec) tendrá las siguientes funciones:</w:t>
      </w:r>
    </w:p>
    <w:p>
      <w:pPr>
        <w:jc w:val="both"/>
      </w:pPr>
      <w:rPr>
        <w:sz w:val="24"/>
        <w:color w:val="black"/>
      </w:rPr>
    </w:p>
    <w:p>
      <w:pPr>
        <w:jc w:val="both"/>
      </w:pPr>
      <w:r>
        <w:rPr>
          <w:rFonts w:hAnsi="Arial"/>
          <w:rFonts w:ascii="Arial"/>
          <w:sz w:val="24"/>
          <w:color w:val="black"/>
        </w:rPr>
        <w:t xml:space="preserve">1. Administrar el Fondo de Defensa Técnica y Especializada de los Miembros de la Fuerza Pública (Fondetec), bajo la orientación y coordinación del Secretario General del Ministerio de Defensa Nacional.</w:t>
      </w:r>
    </w:p>
    <w:p>
      <w:pPr>
        <w:jc w:val="both"/>
      </w:pPr>
      <w:rPr>
        <w:sz w:val="24"/>
        <w:color w:val="black"/>
      </w:rPr>
    </w:p>
    <w:p>
      <w:pPr>
        <w:jc w:val="both"/>
      </w:pPr>
      <w:r>
        <w:rPr>
          <w:rFonts w:hAnsi="Arial"/>
          <w:rFonts w:ascii="Arial"/>
          <w:sz w:val="24"/>
          <w:color w:val="black"/>
        </w:rPr>
        <w:t xml:space="preserve">2. Ejercer la ordenación del gasto del Fondo de Defensa Técnica y Especializada de los Miembros de la Fuerza Pública (Fondetec) y ser parte del Consejo de Administración del Patrimonio Autónomo.</w:t>
      </w:r>
    </w:p>
    <w:p>
      <w:pPr>
        <w:jc w:val="both"/>
      </w:pPr>
      <w:rPr>
        <w:sz w:val="24"/>
        <w:color w:val="black"/>
      </w:rPr>
    </w:p>
    <w:p>
      <w:pPr>
        <w:jc w:val="both"/>
      </w:pPr>
      <w:r>
        <w:rPr>
          <w:rFonts w:hAnsi="Arial"/>
          <w:rFonts w:ascii="Arial"/>
          <w:sz w:val="24"/>
          <w:color w:val="black"/>
        </w:rPr>
        <w:t xml:space="preserve">3. Atender los negocios, las operaciones y las actividades administrativas, financieras, contables y legales a que haya lugar para el buen funcionamiento del Fondo de Defensa Técnica y Especializada de los Miembros de la Fuerza Pública (Fondetec). Así mismo, llevar la estadística general de los procesos atendidos y del Registro de Abogados vinculados al Sistema de Defensa Técnica y Especializada de los Miembros de la Fuerza Pública.</w:t>
      </w:r>
    </w:p>
    <w:p>
      <w:pPr>
        <w:jc w:val="both"/>
      </w:pPr>
      <w:rPr>
        <w:sz w:val="24"/>
        <w:color w:val="black"/>
      </w:rPr>
    </w:p>
    <w:p>
      <w:pPr>
        <w:jc w:val="both"/>
      </w:pPr>
      <w:r>
        <w:rPr>
          <w:rFonts w:hAnsi="Arial"/>
          <w:rFonts w:ascii="Arial"/>
          <w:sz w:val="24"/>
          <w:color w:val="black"/>
        </w:rPr>
        <w:t xml:space="preserve">4. Adoptar las medidas que permitan brindar instrucción y acompañamiento a los profesionales que atienden el servicio de la Defensoría Pública, en asuntos relacionados con derecho operacional, Derechos Humanos y Derecho Internacional Humanitario.</w:t>
      </w:r>
    </w:p>
    <w:p>
      <w:pPr>
        <w:jc w:val="both"/>
      </w:pPr>
      <w:rPr>
        <w:sz w:val="24"/>
        <w:color w:val="black"/>
      </w:rPr>
    </w:p>
    <w:p>
      <w:pPr>
        <w:jc w:val="both"/>
      </w:pPr>
      <w:r>
        <w:rPr>
          <w:rFonts w:hAnsi="Arial"/>
          <w:rFonts w:ascii="Arial"/>
          <w:sz w:val="24"/>
          <w:color w:val="black"/>
        </w:rPr>
        <w:t xml:space="preserve">5. Gestionar la consecución de recursos para el financiamiento del Fondo de Defensa Técnica y Especializada de los Miembros de la Fuerza Pública (Fondetec) y definir las prioridades de distribución de los recursos del Fondo, teniendo en cuenta la oportunidad, operatividad y eficiencia y presentarlas para aprobación de Comité Directivo.</w:t>
      </w:r>
    </w:p>
    <w:p>
      <w:pPr>
        <w:jc w:val="both"/>
      </w:pPr>
      <w:rPr>
        <w:sz w:val="24"/>
        <w:color w:val="black"/>
      </w:rPr>
    </w:p>
    <w:p>
      <w:pPr>
        <w:jc w:val="both"/>
      </w:pPr>
      <w:r>
        <w:rPr>
          <w:rFonts w:hAnsi="Arial"/>
          <w:rFonts w:ascii="Arial"/>
          <w:sz w:val="24"/>
          <w:color w:val="black"/>
        </w:rPr>
        <w:t xml:space="preserve">6. Dirigir los procesos contractuales, adjudicar y ordenar al patrimonio autónomo la suscripción, liquidación de los contratos y demás actos que se deriven de la actividad contractual y que se realizan con cargo a los recursos del Fondo, y suscribir cuando sea el caso los contratos conforme la normatividad vigente en materia de contratación estatal.</w:t>
      </w:r>
    </w:p>
    <w:p>
      <w:pPr>
        <w:jc w:val="both"/>
      </w:pPr>
      <w:rPr>
        <w:sz w:val="24"/>
        <w:color w:val="black"/>
      </w:rPr>
    </w:p>
    <w:p>
      <w:pPr>
        <w:jc w:val="both"/>
      </w:pPr>
      <w:r>
        <w:rPr>
          <w:rFonts w:hAnsi="Arial"/>
          <w:rFonts w:ascii="Arial"/>
          <w:sz w:val="24"/>
          <w:color w:val="black"/>
        </w:rPr>
        <w:t xml:space="preserve">7. Proponer al Comité Directivo, previa aprobación del Secretario General del Ministerio de Defensa Nacional, procedimientos administrativos y financieros para el cabal cumplimiento de las operaciones del Fondo.</w:t>
      </w:r>
    </w:p>
    <w:p>
      <w:pPr>
        <w:jc w:val="both"/>
      </w:pPr>
      <w:rPr>
        <w:sz w:val="24"/>
        <w:color w:val="black"/>
      </w:rPr>
    </w:p>
    <w:p>
      <w:pPr>
        <w:jc w:val="both"/>
      </w:pPr>
      <w:r>
        <w:rPr>
          <w:rFonts w:hAnsi="Arial"/>
          <w:rFonts w:ascii="Arial"/>
          <w:sz w:val="24"/>
          <w:color w:val="black"/>
        </w:rPr>
        <w:t xml:space="preserve">8. Diseñar procedimientos administrativos y financieros para el cabal cumplimiento de las operaciones del Fondo y presentarlos a las instancias correspondientes.</w:t>
      </w:r>
    </w:p>
    <w:p>
      <w:pPr>
        <w:jc w:val="both"/>
      </w:pPr>
      <w:rPr>
        <w:sz w:val="24"/>
        <w:color w:val="black"/>
      </w:rPr>
    </w:p>
    <w:p>
      <w:pPr>
        <w:jc w:val="both"/>
      </w:pPr>
      <w:r>
        <w:rPr>
          <w:rFonts w:hAnsi="Arial"/>
          <w:rFonts w:ascii="Arial"/>
          <w:sz w:val="24"/>
          <w:color w:val="black"/>
        </w:rPr>
        <w:t xml:space="preserve">9. Comunicar a las autoridades competentes las faltas cometidas por los Defensores vinculados al Fondo de Defensa Técnica y Especializada de la Fuerza Pública (Fondetec).</w:t>
      </w:r>
    </w:p>
    <w:p>
      <w:pPr>
        <w:jc w:val="both"/>
      </w:pPr>
      <w:rPr>
        <w:sz w:val="24"/>
        <w:color w:val="black"/>
      </w:rPr>
    </w:p>
    <w:p>
      <w:pPr>
        <w:jc w:val="both"/>
      </w:pPr>
      <w:r>
        <w:rPr>
          <w:rFonts w:hAnsi="Arial"/>
          <w:rFonts w:ascii="Arial"/>
          <w:sz w:val="24"/>
          <w:color w:val="black"/>
        </w:rPr>
        <w:t xml:space="preserve">10. Las demás que le asigne o delegue el Ministro de Defensa Nacional.</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modificado por el Decreto 2369 de 2014, artículo </w:t>
      </w:r>
      <w:r>
        <w:fldChar w:fldCharType="begin"/>
      </w:r>
      <w:r>
        <w:instrText>HYPERLINK "http://www.redjurista.com/document.aspx?ajcode=d2369014&amp;arts=2"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21" w:name="SECCIÓN 2.2.1.2.4"/>
      <w:r>
        <w:rPr>
          <w:rFonts w:hAnsi="Arial"/>
          <w:rFonts w:ascii="Arial"/>
          <w:sz w:val="24"/>
          <w:color w:val="navy"/>
        </w:rPr>
        <w:t xml:space="preserve">SECCIÓN 4. </w:t>
      </w:r>
    </w:p>
    <w:p>
      <w:pPr>
        <w:jc w:val="center"/>
      </w:pPr>
      <w:r>
        <w:rPr>
          <w:rFonts w:hAnsi="Arial"/>
          <w:rFonts w:ascii="Arial"/>
          <w:sz w:val="24"/>
          <w:color w:val="navy"/>
        </w:rPr>
        <w:t xml:space="preserve">RECURSOS Y ADMINISTRACIÓN DEL FONDO.</w:t>
      </w:r>
      <w:bookmarkEnd w:id="59921"/>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22" w:name="2.2.1.2.4.1"/>
      <w:r>
        <w:rPr>
          <w:rFonts w:hAnsi="Arial"/>
          <w:rFonts w:ascii="Arial"/>
          <w:sz w:val="24"/>
          <w:color w:val="navy"/>
        </w:rPr>
        <w:t xml:space="preserve">ARTÍCULO 2.2.1.2.4.1. </w:t>
      </w:r>
      <w:r>
        <w:rPr>
          <w:rFonts w:hAnsi="Arial"/>
          <w:rFonts w:ascii="Arial"/>
          <w:sz w:val="24"/>
          <w:i/>
          <w:color w:val="navy"/>
        </w:rPr>
        <w:t xml:space="preserve">CONVENIOS O CONTRATOS.</w:t>
      </w:r>
      <w:bookmarkEnd w:id="59922"/>
      <w:r>
        <w:rPr>
          <w:rFonts w:hAnsi="Arial"/>
          <w:rFonts w:ascii="Arial"/>
          <w:sz w:val="24"/>
          <w:b/>
          <w:i/>
          <w:color w:val="black"/>
        </w:rPr>
        <w:t xml:space="preserve"> </w:t>
      </w:r>
      <w:r>
        <w:rPr>
          <w:rFonts w:hAnsi="Arial"/>
          <w:rFonts w:ascii="Arial"/>
          <w:sz w:val="24"/>
          <w:color w:val="black"/>
        </w:rPr>
        <w:t xml:space="preserve">Fondetec podrá celebrar convenios o contratos con entidades oficiales o privadas para la designación de expertos en determinada ciencia, arte, técnica u oficio, entre otros, con el fin de contar con su asesoría cuando la naturaleza de los hechos objeto de un proceso asignado a un defensor público lo requiera.</w:t>
      </w:r>
    </w:p>
    <w:p>
      <w:pPr>
        <w:jc w:val="both"/>
      </w:pPr>
      <w:rPr>
        <w:sz w:val="24"/>
        <w:color w:val="black"/>
      </w:rPr>
    </w:p>
    <w:p>
      <w:pPr>
        <w:jc w:val="both"/>
      </w:pPr>
      <w:r>
        <w:rPr>
          <w:rFonts w:hAnsi="Arial"/>
          <w:rFonts w:ascii="Arial"/>
          <w:sz w:val="24"/>
          <w:i/>
          <w:color w:val="black"/>
        </w:rPr>
        <w:t xml:space="preserve">(Decreto 0124 de 2014 artículo </w:t>
      </w:r>
      <w:r>
        <w:fldChar w:fldCharType="begin"/>
      </w:r>
      <w:r>
        <w:instrText>HYPERLINK "http://www.redjurista.com/document.aspx?ajcode=d0124014&amp;arts=12"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59923" w:name="SECCIÓN 2.2.1.2.5"/>
      <w:r>
        <w:rPr>
          <w:rFonts w:hAnsi="Arial"/>
          <w:rFonts w:ascii="Arial"/>
          <w:sz w:val="24"/>
          <w:color w:val="navy"/>
        </w:rPr>
        <w:t xml:space="preserve">SECCIÓN 5. </w:t>
      </w:r>
    </w:p>
    <w:p>
      <w:pPr>
        <w:jc w:val="center"/>
      </w:pPr>
      <w:r>
        <w:rPr>
          <w:rFonts w:hAnsi="Arial"/>
          <w:rFonts w:ascii="Arial"/>
          <w:sz w:val="24"/>
          <w:color w:val="navy"/>
        </w:rPr>
        <w:t xml:space="preserve">REGLAMENTACIÓN DE LOS CRITERIOS QUE ORIENTAN LA ASIGNACIÓN DE RECURSOS PARA LOS SERVICIOS DE DEFENSA TÉCNICA Y ESPECIALIZADA DE LOS MIEMBROS DE LA FUERZA PÚBLICA CON CARGO A FONDETEC.</w:t>
      </w:r>
      <w:bookmarkEnd w:id="59923"/>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924" w:name="2.2.1.2.5.1"/>
      <w:r>
        <w:rPr>
          <w:rFonts w:hAnsi="Arial"/>
          <w:rFonts w:ascii="Arial"/>
          <w:sz w:val="24"/>
          <w:color w:val="navy"/>
        </w:rPr>
        <w:t xml:space="preserve">ARTÍCULO 2.2.1.2.5.1. OBJETO.</w:t>
      </w:r>
      <w:bookmarkEnd w:id="59924"/>
      <w:r>
        <w:rPr>
          <w:rFonts w:hAnsi="Arial"/>
          <w:rFonts w:ascii="Arial"/>
          <w:sz w:val="24"/>
          <w:color w:val="black"/>
        </w:rPr>
        <w:t xml:space="preserve"> &lt;Artículo adicionado por el artículo </w:t>
      </w:r>
      <w:r>
        <w:fldChar w:fldCharType="begin"/>
      </w:r>
      <w:r>
        <w:instrText>HYPERLINK "http://www.redjurista.com/document.aspx?ajcode=d1721015&amp;arts=1"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1721 de 2015. El nuevo texto es el siguiente:&gt; El presente decreto tiene como objeto precisar los criterios que orientan la asignación de recursos para los servicios de Defensa Técnica y Especializada de los Miembros de la Fuerza Pública con cargo a Fondetec, incluyendo criterios de distribución proporcional, cuando la demanda del servicio supere la apropiación presupuestal disponible, a fin de asegurar que se cubra la defensa de aquellos integrantes de la Fuerza Pública que no cuentan con rentas e ingresos suficientes para sufragar su defensa. </w:t>
      </w:r>
    </w:p>
    <w:p>
      <w:pPr>
        <w:jc w:val="both"/>
      </w:pPr>
      <w:rPr>
        <w:sz w:val="24"/>
        <w:color w:val="black"/>
      </w:rPr>
    </w:p>
    <w:p>
      <w:pPr>
        <w:jc w:val="both"/>
      </w:pPr>
      <w:r>
        <w:rPr>
          <w:rFonts w:hAnsi="Arial"/>
          <w:rFonts w:ascii="Arial"/>
          <w:sz w:val="24"/>
          <w:vanish/>
          <w:color w:val="black"/>
        </w:rPr>
        <w:t>&amp;$</w:t>
      </w:r>
      <w:bookmarkStart w:id="59925" w:name="2.2.1.2.5.2"/>
      <w:r>
        <w:rPr>
          <w:rFonts w:hAnsi="Arial"/>
          <w:rFonts w:ascii="Arial"/>
          <w:sz w:val="24"/>
          <w:color w:val="navy"/>
        </w:rPr>
        <w:t xml:space="preserve">ARTÍCULO 2.2.1.2.5.2. ÁMBITO DE APLICACIÓN.</w:t>
      </w:r>
      <w:bookmarkEnd w:id="59925"/>
      <w:r>
        <w:rPr>
          <w:rFonts w:hAnsi="Arial"/>
          <w:rFonts w:ascii="Arial"/>
          <w:sz w:val="24"/>
          <w:color w:val="black"/>
        </w:rPr>
        <w:t xml:space="preserve"> &lt;Artículo adicionado por el artículo </w:t>
      </w:r>
      <w:r>
        <w:fldChar w:fldCharType="begin"/>
      </w:r>
      <w:r>
        <w:instrText>HYPERLINK "http://www.redjurista.com/document.aspx?ajcode=d1721015&amp;arts=1"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1721 de 2015. El nuevo texto es el siguiente:&gt; Las disposiciones contenidas en este decreto son aplicables a los miembros de la Fuerza Pública activos o retirados, que solicitan el servicio de defensa técnica especializada, incursos en investigaciones que surjan por actuaciones adelantadas en cumplimiento de la misión constitucional o con ocasión de ella, en la jurisdicción penal ordinaria, penal militar, o disciplinaria del orden nacional, internacional y de terceros estados por excepción. </w:t>
      </w:r>
    </w:p>
    <w:p>
      <w:pPr>
        <w:jc w:val="both"/>
      </w:pPr>
      <w:rPr>
        <w:sz w:val="24"/>
        <w:color w:val="black"/>
      </w:rPr>
    </w:p>
    <w:p>
      <w:pPr>
        <w:jc w:val="both"/>
      </w:pPr>
      <w:r>
        <w:rPr>
          <w:rFonts w:hAnsi="Arial"/>
          <w:rFonts w:ascii="Arial"/>
          <w:sz w:val="24"/>
          <w:vanish/>
          <w:color w:val="black"/>
        </w:rPr>
        <w:t>&amp;$</w:t>
      </w:r>
      <w:bookmarkStart w:id="59926" w:name="2.2.1.2.5.3"/>
      <w:r>
        <w:rPr>
          <w:rFonts w:hAnsi="Arial"/>
          <w:rFonts w:ascii="Arial"/>
          <w:sz w:val="24"/>
          <w:color w:val="navy"/>
        </w:rPr>
        <w:t xml:space="preserve">ARTÍCULO 2.2.1.2.5.3. CRITERIOS DE DISTRIBUCIÓN.</w:t>
      </w:r>
      <w:bookmarkEnd w:id="59926"/>
      <w:r>
        <w:rPr>
          <w:rFonts w:hAnsi="Arial"/>
          <w:rFonts w:ascii="Arial"/>
          <w:sz w:val="24"/>
          <w:color w:val="black"/>
        </w:rPr>
        <w:t xml:space="preserve"> &lt;Artículo adicionado por el artículo </w:t>
      </w:r>
      <w:r>
        <w:fldChar w:fldCharType="begin"/>
      </w:r>
      <w:r>
        <w:instrText>HYPERLINK "http://www.redjurista.com/document.aspx?ajcode=d1721015&amp;arts=1"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1721 de 2015. El nuevo texto es el siguiente:&gt; Se establecen los siguientes criterios de distribución en orden de preferencia, así: </w:t>
      </w:r>
    </w:p>
    <w:p>
      <w:pPr>
        <w:jc w:val="both"/>
      </w:pPr>
      <w:rPr>
        <w:sz w:val="24"/>
        <w:color w:val="black"/>
      </w:rPr>
    </w:p>
    <w:p>
      <w:pPr>
        <w:jc w:val="both"/>
      </w:pPr>
      <w:r>
        <w:rPr>
          <w:rFonts w:hAnsi="Arial"/>
          <w:rFonts w:ascii="Arial"/>
          <w:sz w:val="24"/>
          <w:color w:val="black"/>
        </w:rPr>
        <w:t xml:space="preserve">1. Capacidad Económica para sufragar una defensa técnica y especializada. </w:t>
      </w:r>
    </w:p>
    <w:p>
      <w:pPr>
        <w:jc w:val="both"/>
      </w:pPr>
      <w:rPr>
        <w:sz w:val="24"/>
        <w:color w:val="black"/>
      </w:rPr>
    </w:p>
    <w:p>
      <w:pPr>
        <w:jc w:val="both"/>
      </w:pPr>
      <w:r>
        <w:rPr>
          <w:rFonts w:hAnsi="Arial"/>
          <w:rFonts w:ascii="Arial"/>
          <w:sz w:val="24"/>
          <w:color w:val="black"/>
        </w:rPr>
        <w:t xml:space="preserve">2. Privación de la libertad. </w:t>
      </w:r>
    </w:p>
    <w:p>
      <w:pPr>
        <w:jc w:val="both"/>
      </w:pPr>
      <w:rPr>
        <w:sz w:val="24"/>
        <w:color w:val="black"/>
      </w:rPr>
    </w:p>
    <w:p>
      <w:pPr>
        <w:jc w:val="both"/>
      </w:pPr>
      <w:r>
        <w:rPr>
          <w:rFonts w:hAnsi="Arial"/>
          <w:rFonts w:ascii="Arial"/>
          <w:sz w:val="24"/>
          <w:color w:val="black"/>
        </w:rPr>
        <w:t xml:space="preserve">3. Menor grado en el nivel jerárquico, según su Régimen de Carrera o vinculación con el Estado. </w:t>
      </w:r>
    </w:p>
    <w:p>
      <w:pPr>
        <w:jc w:val="both"/>
      </w:pPr>
      <w:rPr>
        <w:sz w:val="24"/>
        <w:color w:val="black"/>
      </w:rPr>
    </w:p>
    <w:p>
      <w:pPr>
        <w:jc w:val="both"/>
      </w:pPr>
      <w:r>
        <w:rPr>
          <w:rFonts w:hAnsi="Arial"/>
          <w:rFonts w:ascii="Arial"/>
          <w:sz w:val="24"/>
          <w:color w:val="black"/>
        </w:rPr>
        <w:t xml:space="preserve">4. Procesos penales o disciplinarios con mayor número de vinculados en un mismo proceso. </w:t>
      </w:r>
    </w:p>
    <w:p>
      <w:pPr>
        <w:jc w:val="both"/>
      </w:pPr>
      <w:rPr>
        <w:sz w:val="24"/>
        <w:color w:val="black"/>
      </w:rPr>
    </w:p>
    <w:p>
      <w:pPr>
        <w:jc w:val="both"/>
      </w:pPr>
      <w:r>
        <w:rPr>
          <w:rFonts w:hAnsi="Arial"/>
          <w:rFonts w:ascii="Arial"/>
          <w:sz w:val="24"/>
          <w:color w:val="black"/>
        </w:rPr>
        <w:t xml:space="preserve">5. Procesos penales o disciplinarios que el Comité Directivo considere, conforme a los principios que rigen el Sistema de Defensa Técnica y Especializada de los miembros de la Fuerza Pública.</w:t>
      </w:r>
    </w:p>
    <w:p>
      <w:pPr>
        <w:jc w:val="both"/>
      </w:pPr>
      <w:rPr>
        <w:sz w:val="24"/>
        <w:color w:val="black"/>
      </w:rPr>
    </w:p>
    <w:p>
      <w:pPr>
        <w:jc w:val="both"/>
      </w:pPr>
      <w:r>
        <w:rPr>
          <w:rFonts w:hAnsi="Arial"/>
          <w:rFonts w:ascii="Arial"/>
          <w:sz w:val="24"/>
          <w:vanish/>
          <w:color w:val="black"/>
        </w:rPr>
        <w:t>&amp;$</w:t>
      </w:r>
      <w:bookmarkStart w:id="59927" w:name="2.2.1.2.5.4"/>
      <w:r>
        <w:rPr>
          <w:rFonts w:hAnsi="Arial"/>
          <w:rFonts w:ascii="Arial"/>
          <w:sz w:val="24"/>
          <w:color w:val="navy"/>
        </w:rPr>
        <w:t xml:space="preserve">ARTÍCULO 2.2.1.2.5.4. EXPEDICIÓN DE REGLAS.</w:t>
      </w:r>
      <w:bookmarkEnd w:id="59927"/>
      <w:r>
        <w:rPr>
          <w:rFonts w:hAnsi="Arial"/>
          <w:rFonts w:ascii="Arial"/>
          <w:sz w:val="24"/>
          <w:color w:val="black"/>
        </w:rPr>
        <w:t xml:space="preserve"> &lt;Artículo adicionado por el artículo </w:t>
      </w:r>
      <w:r>
        <w:fldChar w:fldCharType="begin"/>
      </w:r>
      <w:r>
        <w:instrText>HYPERLINK "http://www.redjurista.com/document.aspx?ajcode=d1721015&amp;arts=1"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1721 de 2015. El nuevo texto es el siguiente:&gt; El Comité Directivo de Fondetec, establecerá las reglas aplicables conforme el artículo anterior.</w:t>
      </w:r>
    </w:p>
    <w:p>
      <w:pPr>
        <w:jc w:val="both"/>
        <w:outlineLvl w:val="1"/>
        <w:tabs>
          <w:tab w:val="left" w:leader="none" w:pos="144"/>
        </w:tabs>
      </w:pPr>
      <w:rPr>
        <w:sz w:val="24"/>
        <w:b/>
        <w:color w:val="black"/>
      </w:rPr>
    </w:p>
    <w:p>
      <w:pPr>
        <w:jc w:val="center"/>
        <w:outlineLvl w:val="1"/>
        <w:tabs>
          <w:tab w:val="left" w:leader="none" w:pos="144"/>
        </w:tabs>
      </w:pPr>
      <w:r>
        <w:rPr>
          <w:rFonts w:hAnsi="Arial"/>
          <w:rFonts w:ascii="Arial"/>
          <w:sz w:val="24"/>
          <w:b/>
          <w:vanish/>
          <w:color w:val="black"/>
        </w:rPr>
        <w:t>&amp;$</w:t>
      </w:r>
      <w:bookmarkStart w:id="59928" w:name="SECCIÓN 2.2.1.2.6"/>
      <w:r>
        <w:rPr>
          <w:rFonts w:hAnsi="Arial"/>
          <w:rFonts w:ascii="Arial"/>
          <w:sz w:val="24"/>
          <w:color w:val="navy"/>
        </w:rPr>
        <w:t xml:space="preserve">SECCIÓN 6. </w:t>
      </w:r>
    </w:p>
    <w:p>
      <w:pPr>
        <w:jc w:val="center"/>
        <w:outlineLvl w:val="1"/>
        <w:tabs>
          <w:tab w:val="left" w:leader="none" w:pos="144"/>
        </w:tabs>
      </w:pPr>
      <w:r>
        <w:rPr>
          <w:rFonts w:hAnsi="Arial"/>
          <w:rFonts w:ascii="Arial"/>
          <w:sz w:val="24"/>
          <w:color w:val="navy"/>
        </w:rPr>
        <w:t xml:space="preserve">HOMOLOGACIÓN Y/O EQUIVALENCIA DE LOS REQUISITOS DE ESTUDIO, CONOCIMIENTOS Y EXPERIENCIA DE LOS ABOGADOS DEFENSORES.</w:t>
      </w:r>
      <w:bookmarkEnd w:id="59928"/>
      <w:r>
        <w:rPr>
          <w:rFonts w:hAnsi="Arial"/>
          <w:rFonts w:ascii="Arial"/>
          <w:sz w:val="24"/>
          <w:b/>
          <w:color w:val="black"/>
        </w:rPr>
        <w:t xml:space="preserve">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29" w:name="2.2.1.2.6.1"/>
      <w:r>
        <w:rPr>
          <w:rFonts w:hAnsi="Arial"/>
          <w:rFonts w:ascii="Arial"/>
          <w:sz w:val="24"/>
          <w:color w:val="navy"/>
        </w:rPr>
        <w:t xml:space="preserve">ARTÍCULO 2.2.1.2.6.1. REQUISITOS DE LOS ABOGADOS DEFENSORES.</w:t>
      </w:r>
      <w:bookmarkEnd w:id="59929"/>
      <w:r>
        <w:rPr>
          <w:rFonts w:hAnsi="Arial"/>
          <w:rFonts w:ascii="Arial"/>
          <w:sz w:val="24"/>
          <w:color w:val="black"/>
        </w:rPr>
        <w:t xml:space="preserve"> &lt;Artículo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Los requisitos de estudio y experiencia que se fijan en la presente Sección para los abogados defensores de que trata el artículo </w:t>
      </w:r>
      <w:r>
        <w:fldChar w:fldCharType="begin"/>
      </w:r>
      <w:r>
        <w:instrText>HYPERLINK "http://www.redjurista.com/document.aspx?ajcode=l1698013&amp;arts=3"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1698 de 2013, servirán de base para que Fondetec elabore sus lineamientos generales para contratistas.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0" w:name="2.2.1.2.6.2"/>
      <w:r>
        <w:rPr>
          <w:rFonts w:hAnsi="Arial"/>
          <w:rFonts w:ascii="Arial"/>
          <w:sz w:val="24"/>
          <w:color w:val="navy"/>
        </w:rPr>
        <w:t xml:space="preserve">ARTÍCULO 2.2.1.2.6.2. FACTORES PARA LA DETERMINACIÓN DE LOS REQUISITOS.</w:t>
      </w:r>
      <w:bookmarkEnd w:id="5993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Los factores que se tendrán en cuenta para determinar los requisitos de los abogados defensores de Fondetec, serán: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1. Los estudios, que serán la educación formal y la educación superior.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2. La experiencia, que podrá ser profesional y/o relacionada.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1" w:name="2.2.1.2.6.3"/>
      <w:r>
        <w:rPr>
          <w:rFonts w:hAnsi="Arial"/>
          <w:rFonts w:ascii="Arial"/>
          <w:sz w:val="24"/>
          <w:color w:val="navy"/>
        </w:rPr>
        <w:t xml:space="preserve">ARTÍCULO 2.2.1.2.6.3. ESTUDIOS.</w:t>
      </w:r>
      <w:bookmarkEnd w:id="599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Son los conocimientos académicos adquiridos y certificados por instituciones públicas o privadas, debidamente reconocidas por el Gobierno nacional, correspondientes a la educación superior en los programas de pregrado en la modalidad de formación profesional, y en programas de postgrado en las modalidades de especialización, maestría, doctorado y posdoctorado.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2" w:name="2.2.1.2.6.4"/>
      <w:r>
        <w:rPr>
          <w:rFonts w:hAnsi="Arial"/>
          <w:rFonts w:ascii="Arial"/>
          <w:sz w:val="24"/>
          <w:color w:val="navy"/>
        </w:rPr>
        <w:t xml:space="preserve">ARTÍCULO 2.2.1.2.6.4. CERTIFICACIÓN DE LA EXPERIENCIA.</w:t>
      </w:r>
      <w:bookmarkEnd w:id="599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La experiencia se acreditará mediante la presentación de constancias escritas, expedidas por la autoridad competente de las respectivas instituciones oficiales o privadas.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Las certificaciones de experiencia deberán contener como mínimo, los siguientes datos: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1. Nombre o razón social de la entidad o empresa.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2. Tiempo de servicio.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3. Funciones u obligaciones contractuales desempeñadas.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navy"/>
        </w:rPr>
        <w:t>PARÁGRAFO.</w:t>
      </w:r>
      <w:r>
        <w:rPr>
          <w:rFonts w:hAnsi="Arial"/>
          <w:rFonts w:ascii="Arial"/>
          <w:sz w:val="24"/>
          <w:color w:val="black"/>
        </w:rPr>
        <w:t xml:space="preserve"> Cuando la persona haya asesorado en el mismo período a una o varias instituciones, el tiempo de experiencia se contabilizará por una sola vez.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3" w:name="2.2.1.2.6.5"/>
      <w:r>
        <w:rPr>
          <w:rFonts w:hAnsi="Arial"/>
          <w:rFonts w:ascii="Arial"/>
          <w:sz w:val="24"/>
          <w:color w:val="navy"/>
        </w:rPr>
        <w:t xml:space="preserve">ARTÍCULO 2.2.1.2.6.5. DEFINICIONES.</w:t>
      </w:r>
      <w:bookmarkEnd w:id="599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Para efectos de interpretación y aplicación de la presente Sección, se considerarán las siguientes definiciones: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b/>
          <w:color w:val="black"/>
        </w:rPr>
        <w:t xml:space="preserve">1. EDUCACIÓN FORMAL: </w:t>
      </w:r>
      <w:r>
        <w:rPr>
          <w:rFonts w:hAnsi="Arial"/>
          <w:rFonts w:ascii="Arial"/>
          <w:sz w:val="24"/>
          <w:color w:val="black"/>
        </w:rPr>
        <w:t xml:space="preserve">Es aquella que se imparte en establecimientos educativos aprobados, en una secuencia regular de ciclos lectivos, con sujeción a pautas curriculares progresivas, y conducente a grados y títulos.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b/>
          <w:color w:val="black"/>
        </w:rPr>
        <w:t xml:space="preserve">2. EDUCACIÓN SUPERIOR: </w:t>
      </w:r>
      <w:r>
        <w:rPr>
          <w:rFonts w:hAnsi="Arial"/>
          <w:rFonts w:ascii="Arial"/>
          <w:sz w:val="24"/>
          <w:color w:val="black"/>
        </w:rPr>
        <w:t xml:space="preserve">Es un proceso permanente que posibilita el desarrollo de las potencialidades del ser humano de una manera integral, se realiza con posterioridad a la educación media o secundaria y tiene por objeto el pleno desarrollo de los alumnos y su formación académica o profesional.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b/>
          <w:color w:val="black"/>
        </w:rPr>
        <w:t xml:space="preserve">3. EXPERIENCIA: </w:t>
      </w:r>
      <w:r>
        <w:rPr>
          <w:rFonts w:hAnsi="Arial"/>
          <w:rFonts w:ascii="Arial"/>
          <w:sz w:val="24"/>
          <w:color w:val="black"/>
        </w:rPr>
        <w:t xml:space="preserve">Se entiende por experiencia los conocimientos, las habilidades y las destrezas adquiridas o desarrolladas mediante el ejercicio de una profesión, arte u oficio.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b/>
          <w:color w:val="black"/>
        </w:rPr>
        <w:t xml:space="preserve">4. EXPERIENCIA RELACIONADA: </w:t>
      </w:r>
      <w:r>
        <w:rPr>
          <w:rFonts w:hAnsi="Arial"/>
          <w:rFonts w:ascii="Arial"/>
          <w:sz w:val="24"/>
          <w:color w:val="black"/>
        </w:rPr>
        <w:t xml:space="preserve">Es la adquirida a partir del grado profesional y en el ejercicio de empleos actividades que tengan funciones similares a las del objeto contractual de abogado defensor, es decir, litigio en las materias objeto de la labor que asumirá, penal y/o disciplinario.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4" w:name="2.2.1.2.6.6"/>
      <w:r>
        <w:rPr>
          <w:rFonts w:hAnsi="Arial"/>
          <w:rFonts w:ascii="Arial"/>
          <w:sz w:val="24"/>
          <w:color w:val="navy"/>
        </w:rPr>
        <w:t xml:space="preserve">ARTÍCULO 2.2.1.2.6.6. REQUISITOS MÍNIMOS DE LOS ABOGADOS DEFENSORES.</w:t>
      </w:r>
      <w:bookmarkEnd w:id="599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Se tendrán en cuenta los siguientes parámetros: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1. Defensor Técnico Especializado: Título de abogado, título de posgrado en el nivel educativo de especialización y/o Maestría, y cinco (5) años de experiencia relacionada.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2. Defensor Técnico: Título de abogado, título de posgrado en el nivel educativo de especialización y/o Maestría, y tres (3) años de experiencia relacionada.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navy"/>
        </w:rPr>
        <w:t xml:space="preserve">PARÁGRAFO 1o.</w:t>
      </w:r>
      <w:r>
        <w:rPr>
          <w:rFonts w:hAnsi="Arial"/>
          <w:rFonts w:ascii="Arial"/>
          <w:sz w:val="24"/>
          <w:color w:val="black"/>
        </w:rPr>
        <w:t xml:space="preserve"> En todo caso, y de conformidad con el principio de “Especialidad” incluido en la Ley </w:t>
      </w:r>
      <w:r>
        <w:fldChar w:fldCharType="begin"/>
      </w:r>
      <w:r>
        <w:instrText>HYPERLINK "http://www.redjurista.com/document.aspx?ajcode=l1698013&amp;arts=INICIO"</w:instrText>
      </w:r>
      <w:r>
        <w:fldChar w:fldCharType="separate"/>
      </w:r>
      <w:r>
        <w:rPr>
          <w:rFonts w:hAnsi="Arial"/>
          <w:rFonts w:ascii="Arial"/>
          <w:sz w:val="24"/>
          <w:u w:val="single"/>
          <w:color w:val="black"/>
        </w:rPr>
        <w:t>1698</w:t>
      </w:r>
      <w:r>
        <w:fldChar w:fldCharType="end"/>
      </w:r>
      <w:r>
        <w:rPr>
          <w:rFonts w:hAnsi="Arial"/>
          <w:rFonts w:ascii="Arial"/>
          <w:sz w:val="24"/>
          <w:u w:val="none"/>
          <w:color w:val="black"/>
        </w:rPr>
        <w:t xml:space="preserve"> de 2013, los abogados defensores deberán tener estudios en grado de especialización o maestría en derecho disciplinario, penal o procesal penal y experiencia en litigio penal o en disciplinario, así como conocimientos en derecho operacional o derechos humanos y Derecho Internacional Humanitario. </w:t>
      </w:r>
    </w:p>
    <w:p>
      <w:pPr>
        <w:jc w:val="both"/>
        <w:outlineLvl w:val="1"/>
        <w:tabs>
          <w:tab w:val="left" w:leader="none" w:pos="144"/>
        </w:tabs>
      </w:pPr>
      <w:rPr>
        <w:sz w:val="24"/>
        <w:color w:val="black"/>
      </w:rPr>
    </w:p>
    <w:p>
      <w:pPr>
        <w:jc w:val="both"/>
        <w:outlineLvl w:val="1"/>
        <w:tabs>
          <w:tab w:val="left" w:leader="none" w:pos="144"/>
        </w:tabs>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título profesional de abogado exigido para el objeto contractual de abogado defensor, deberá ser de conformidad con la normatividad que el Gobierno nacional expida al respecto.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59935" w:name="2.2.1.2.6.7"/>
      <w:r>
        <w:rPr>
          <w:rFonts w:hAnsi="Arial"/>
          <w:rFonts w:ascii="Arial"/>
          <w:sz w:val="24"/>
          <w:color w:val="navy"/>
        </w:rPr>
        <w:t xml:space="preserve">ARTÍCULO 2.2.1.2.6.7. EQUIVALENCIAS ENTRE ESTUDIOS Y EXPERIENCIAS.</w:t>
      </w:r>
      <w:bookmarkEnd w:id="599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Las equivalencias generales de los requisitos de los abogados defensores de Fondetec, se harán con sujeción a los siguientes parámetros: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1. El título de posgrado en el nivel educativo de maestría por: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 Cuatro (4) años adicionales a los señalados en el artículo </w:t>
      </w:r>
      <w:r>
        <w:fldChar w:fldCharType="begin"/>
      </w:r>
      <w:r>
        <w:instrText>HYPERLINK "http://www.redjurista.com/document.aspx?ajcode=d1070015&amp;arts=2.2.1.2.6.6"</w:instrText>
      </w:r>
      <w:r>
        <w:fldChar w:fldCharType="separate"/>
      </w:r>
      <w:r>
        <w:rPr>
          <w:rFonts w:hAnsi="Arial"/>
          <w:rFonts w:ascii="Arial"/>
          <w:sz w:val="24"/>
          <w:u w:val="single"/>
          <w:color w:val="black"/>
        </w:rPr>
        <w:t>2.2.1.2.6.6</w:t>
      </w:r>
      <w:r>
        <w:fldChar w:fldCharType="end"/>
      </w:r>
      <w:r>
        <w:rPr>
          <w:rFonts w:hAnsi="Arial"/>
          <w:rFonts w:ascii="Arial"/>
          <w:sz w:val="24"/>
          <w:u w:val="none"/>
          <w:color w:val="black"/>
        </w:rPr>
        <w:t xml:space="preserve">. de experiencia relacionada.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 Título profesional adicional al exigido, y dos (2) años adicionales a los señalados en el artículo </w:t>
      </w:r>
      <w:r>
        <w:fldChar w:fldCharType="begin"/>
      </w:r>
      <w:r>
        <w:instrText>HYPERLINK "http://www.redjurista.com/document.aspx?ajcode=d1070015&amp;arts=2.2.1.2.6.6"</w:instrText>
      </w:r>
      <w:r>
        <w:fldChar w:fldCharType="separate"/>
      </w:r>
      <w:r>
        <w:rPr>
          <w:rFonts w:hAnsi="Arial"/>
          <w:rFonts w:ascii="Arial"/>
          <w:sz w:val="24"/>
          <w:u w:val="single"/>
          <w:color w:val="black"/>
        </w:rPr>
        <w:t>2.2.1.2.6.6</w:t>
      </w:r>
      <w:r>
        <w:fldChar w:fldCharType="end"/>
      </w:r>
      <w:r>
        <w:rPr>
          <w:rFonts w:hAnsi="Arial"/>
          <w:rFonts w:ascii="Arial"/>
          <w:sz w:val="24"/>
          <w:u w:val="none"/>
          <w:color w:val="black"/>
        </w:rPr>
        <w:t xml:space="preserve">. de experiencia relacionada.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2. El título de posgrado en el nivel educativo de especialización por: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 Dos (2) años adicionales a los señalados en el artículo </w:t>
      </w:r>
      <w:r>
        <w:fldChar w:fldCharType="begin"/>
      </w:r>
      <w:r>
        <w:instrText>HYPERLINK "http://www.redjurista.com/document.aspx?ajcode=d1070015&amp;arts=2.2.1.2.6.6"</w:instrText>
      </w:r>
      <w:r>
        <w:fldChar w:fldCharType="separate"/>
      </w:r>
      <w:r>
        <w:rPr>
          <w:rFonts w:hAnsi="Arial"/>
          <w:rFonts w:ascii="Arial"/>
          <w:sz w:val="24"/>
          <w:u w:val="single"/>
          <w:color w:val="black"/>
        </w:rPr>
        <w:t>2.2.1.2.6.6</w:t>
      </w:r>
      <w:r>
        <w:fldChar w:fldCharType="end"/>
      </w:r>
      <w:r>
        <w:rPr>
          <w:rFonts w:hAnsi="Arial"/>
          <w:rFonts w:ascii="Arial"/>
          <w:sz w:val="24"/>
          <w:u w:val="none"/>
          <w:color w:val="black"/>
        </w:rPr>
        <w:t xml:space="preserve">. de experiencia relacionada.</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black"/>
        </w:rPr>
        <w:t xml:space="preserve">- Título profesional adicional al exigido, y un (1) año adicional a los señalados en el artículo </w:t>
      </w:r>
      <w:r>
        <w:fldChar w:fldCharType="begin"/>
      </w:r>
      <w:r>
        <w:instrText>HYPERLINK "http://www.redjurista.com/document.aspx?ajcode=d1070015&amp;arts=2.2.1.2.6.6"</w:instrText>
      </w:r>
      <w:r>
        <w:fldChar w:fldCharType="separate"/>
      </w:r>
      <w:r>
        <w:rPr>
          <w:rFonts w:hAnsi="Arial"/>
          <w:rFonts w:ascii="Arial"/>
          <w:sz w:val="24"/>
          <w:u w:val="single"/>
          <w:color w:val="black"/>
        </w:rPr>
        <w:t>2.2.1.2.6.6</w:t>
      </w:r>
      <w:r>
        <w:fldChar w:fldCharType="end"/>
      </w:r>
      <w:r>
        <w:rPr>
          <w:rFonts w:hAnsi="Arial"/>
          <w:rFonts w:ascii="Arial"/>
          <w:sz w:val="24"/>
          <w:u w:val="none"/>
          <w:color w:val="black"/>
        </w:rPr>
        <w:t xml:space="preserve">. de experiencia relacionada. </w:t>
      </w:r>
    </w:p>
    <w:p>
      <w:pPr>
        <w:jc w:val="both"/>
        <w:outlineLvl w:val="1"/>
        <w:tabs>
          <w:tab w:val="left" w:leader="none" w:pos="144"/>
        </w:tabs>
      </w:pPr>
      <w:rPr>
        <w:sz w:val="24"/>
        <w:b/>
        <w:color w:val="black"/>
      </w:rPr>
    </w:p>
    <w:p>
      <w:pPr>
        <w:jc w:val="both"/>
        <w:outlineLvl w:val="1"/>
        <w:tabs>
          <w:tab w:val="left" w:leader="none" w:pos="144"/>
        </w:tabs>
      </w:pPr>
      <w:r>
        <w:rPr>
          <w:rFonts w:hAnsi="Arial"/>
          <w:rFonts w:ascii="Arial"/>
          <w:sz w:val="24"/>
          <w:color w:val="navy"/>
        </w:rPr>
        <w:t>PARÁGRAFO.</w:t>
      </w:r>
      <w:r>
        <w:rPr>
          <w:rFonts w:hAnsi="Arial"/>
          <w:rFonts w:ascii="Arial"/>
          <w:sz w:val="24"/>
          <w:color w:val="black"/>
        </w:rPr>
        <w:t xml:space="preserve"> La equivalencia establecida para la experiencia relacionada, podrá aplicarse solo por una vez, es decir, no podrá ser acumulativa con varios títulos de posgrado. </w:t>
      </w:r>
    </w:p>
    <w:p>
      <w:pPr>
        <w:jc w:val="both"/>
        <w:tabs>
          <w:tab w:val="left" w:leader="none" w:pos="144"/>
        </w:tabs>
      </w:pPr>
      <w:rPr>
        <w:color w:val="black"/>
      </w:rPr>
    </w:p>
    <w:p>
      <w:pPr>
        <w:jc w:val="both"/>
      </w:pPr>
      <w:r>
        <w:rPr>
          <w:rFonts w:hAnsi="Arial"/>
          <w:rFonts w:ascii="Arial"/>
          <w:sz w:val="24"/>
          <w:b/>
          <w:vanish/>
          <w:color w:val="black"/>
        </w:rPr>
        <w:t>&amp;$</w:t>
      </w:r>
      <w:bookmarkStart w:id="59936" w:name="2.2.1.2.6.7sic"/>
      <w:r>
        <w:rPr>
          <w:rFonts w:hAnsi="Arial"/>
          <w:rFonts w:ascii="Arial"/>
          <w:sz w:val="24"/>
          <w:color w:val="navy"/>
        </w:rPr>
        <w:t xml:space="preserve">ARTÍCULO 2.2.1.2.6.7sic. REQUISITOS YA ACREDITADOS.</w:t>
      </w:r>
      <w:bookmarkEnd w:id="599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648 de 2021. El nuevo texto es el siguiente:&gt; Para todos los efectos legales, y a la fecha de entrada en vigencia del presente Decreto, a los actuales abogados defensores contratistas de Fondetec, no les serán exigibles requisitos distintos a los acreditados al momento en que suscribió el contrato de prestación de servicios, ni los establecidos en la presente Sección mientras se ejecute el contrato.</w:t>
      </w:r>
    </w:p>
    <w:p>
      <w:pPr>
        <w:jc w:val="both"/>
      </w:pPr>
      <w:rPr>
        <w:sz w:val="24"/>
        <w:color w:val="black"/>
      </w:rPr>
    </w:p>
    <w:p>
      <w:pPr>
        <w:jc w:val="center"/>
      </w:pPr>
      <w:r>
        <w:rPr>
          <w:rFonts w:hAnsi="Arial"/>
          <w:rFonts w:ascii="Arial"/>
          <w:sz w:val="24"/>
          <w:vanish/>
          <w:color w:val="black"/>
        </w:rPr>
        <w:t>&amp;$</w:t>
      </w:r>
      <w:bookmarkStart w:id="59937" w:name="TÍTULO 2.2.2"/>
      <w:r>
        <w:rPr>
          <w:rFonts w:hAnsi="Arial"/>
          <w:rFonts w:ascii="Arial"/>
          <w:sz w:val="24"/>
          <w:color w:val="navy"/>
        </w:rPr>
        <w:t xml:space="preserve">TÍTULO 2. </w:t>
      </w:r>
    </w:p>
    <w:p>
      <w:pPr>
        <w:jc w:val="center"/>
      </w:pPr>
      <w:r>
        <w:rPr>
          <w:rFonts w:hAnsi="Arial"/>
          <w:rFonts w:ascii="Arial"/>
          <w:sz w:val="24"/>
          <w:color w:val="navy"/>
        </w:rPr>
        <w:t xml:space="preserve">ADAPTACIÓN DE MEDIDAS PARA IMPLEMENTAR EL SISTEMA PENAL ACUSATORIO EN LA JURISDICCIÓN PENAL MILITAR.</w:t>
      </w:r>
      <w:bookmarkEnd w:id="5993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59938" w:name="2.2.2.1"/>
      <w:r>
        <w:rPr>
          <w:rFonts w:hAnsi="Arial"/>
          <w:rFonts w:ascii="Arial"/>
          <w:sz w:val="24"/>
          <w:color w:val="navy"/>
        </w:rPr>
        <w:t xml:space="preserve">ARTÍCULO 2.2.2.1. </w:t>
      </w:r>
      <w:r>
        <w:rPr>
          <w:rFonts w:hAnsi="Arial"/>
          <w:rFonts w:ascii="Arial"/>
          <w:sz w:val="24"/>
          <w:i/>
          <w:color w:val="navy"/>
        </w:rPr>
        <w:t xml:space="preserve">PLAN DE IMPLEMENTACIÓN.</w:t>
      </w:r>
      <w:bookmarkEnd w:id="59938"/>
      <w:r>
        <w:rPr>
          <w:rFonts w:hAnsi="Arial"/>
          <w:rFonts w:ascii="Arial"/>
          <w:sz w:val="24"/>
          <w:b/>
          <w:i/>
          <w:color w:val="black"/>
        </w:rPr>
        <w:t xml:space="preserve"> </w:t>
      </w:r>
      <w:r>
        <w:rPr>
          <w:rFonts w:hAnsi="Arial"/>
          <w:rFonts w:ascii="Arial"/>
          <w:sz w:val="24"/>
          <w:color w:val="black"/>
        </w:rPr>
        <w:t xml:space="preserve">Adoptar el Plan de implementación del Sistema Penal Acusatorio en la Justicia Penal Militar en cuatro (4) fases que se desarrollarán de manera gradual y sucesiva a lo largo del territorio nacional, garantizando la continuidad de los proceso vigentes, respetando el marco fiscal de mediano plazo vigente y el marco de gasto de mediano plazo vigente del sector defensa, de acuerdo con los recursos que se apropien de conformidad con lo señalado en la ley.</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39" w:name="2.2.2.2"/>
      <w:r>
        <w:rPr>
          <w:rFonts w:hAnsi="Arial"/>
          <w:rFonts w:ascii="Arial"/>
          <w:sz w:val="24"/>
          <w:color w:val="navy"/>
        </w:rPr>
        <w:t xml:space="preserve">ARTÍCULO 2.2.2.2. </w:t>
      </w:r>
      <w:r>
        <w:rPr>
          <w:rFonts w:hAnsi="Arial"/>
          <w:rFonts w:ascii="Arial"/>
          <w:sz w:val="24"/>
          <w:i/>
          <w:color w:val="navy"/>
        </w:rPr>
        <w:t>FASES.</w:t>
      </w:r>
      <w:bookmarkEnd w:id="59939"/>
      <w:r>
        <w:rPr>
          <w:rFonts w:hAnsi="Arial"/>
          <w:rFonts w:ascii="Arial"/>
          <w:sz w:val="24"/>
          <w:b/>
          <w:i/>
          <w:color w:val="black"/>
        </w:rPr>
        <w:t xml:space="preserve"> </w:t>
      </w:r>
      <w:r>
        <w:rPr>
          <w:rFonts w:hAnsi="Arial"/>
          <w:rFonts w:ascii="Arial"/>
          <w:sz w:val="24"/>
          <w:color w:val="black"/>
        </w:rPr>
        <w:t xml:space="preserve">&lt;Artrículo modificado por el artículo </w:t>
      </w:r>
      <w:r>
        <w:fldChar w:fldCharType="begin"/>
      </w:r>
      <w:r>
        <w:instrText>HYPERLINK "http://www.redjurista.com/document.aspx?ajcode=d1768020&amp;arts=1"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1768 de 2020. El nuevo texto es el siguiente:&gt; Las cuatro (4) fases territoriales de implementación del Sistema Penal Acusatorio en la Justicia Penal Militar y Policial, con sus planes pilotos, iniciarán en el año 2022 de la siguiente manera:</w:t>
      </w:r>
    </w:p>
    <w:p>
      <w:pPr>
        <w:jc w:val="both"/>
      </w:pPr>
      <w:rPr>
        <w:sz w:val="24"/>
        <w:color w:val="black"/>
      </w:rPr>
    </w:p>
    <w:p>
      <w:pPr>
        <w:jc w:val="both"/>
      </w:pPr>
      <w:r>
        <w:rPr>
          <w:rFonts w:hAnsi="Arial"/>
          <w:rFonts w:ascii="Arial"/>
          <w:sz w:val="24"/>
          <w:color w:val="black"/>
        </w:rPr>
        <w:t xml:space="preserve">FASE I: Año 2022. BOGOTÁ.</w:t>
      </w:r>
    </w:p>
    <w:p>
      <w:pPr>
        <w:jc w:val="both"/>
      </w:pPr>
      <w:rPr>
        <w:sz w:val="24"/>
        <w:color w:val="black"/>
      </w:rPr>
    </w:p>
    <w:p>
      <w:pPr>
        <w:jc w:val="both"/>
      </w:pPr>
      <w:r>
        <w:rPr>
          <w:rFonts w:hAnsi="Arial"/>
          <w:rFonts w:ascii="Arial"/>
          <w:sz w:val="24"/>
          <w:color w:val="black"/>
        </w:rPr>
        <w:t xml:space="preserve">Inicia Piloto de Implementación el 1 de enero del año 2022 e Irá hasta el 30 de junio del mismo año. En forma definitiva, el Sistema Penal Acusatorio en la Justicia Penal Militar y Policial Iniciará en Bogotá el 1 de julio del año 2022.</w:t>
      </w:r>
    </w:p>
    <w:p>
      <w:pPr>
        <w:jc w:val="both"/>
        <w:outlineLvl w:val="1"/>
      </w:pPr>
      <w:rPr>
        <w:sz w:val="24"/>
        <w:color w:val="black"/>
      </w:rPr>
    </w:p>
    <w:p>
      <w:pPr>
        <w:jc w:val="both"/>
        <w:outlineLvl w:val="1"/>
      </w:pPr>
      <w:r>
        <w:rPr>
          <w:rFonts w:hAnsi="Arial"/>
          <w:rFonts w:ascii="Arial"/>
          <w:sz w:val="24"/>
          <w:color w:val="black"/>
        </w:rPr>
        <w:t xml:space="preserve">FASE II: Año 2023. BOYACÁ, CALDAS, CAUCA, CUNDINAMARCA, HUILA, NARIÑO, QUINDÍO, RISARALDA, TOLIMA y VALLE DEL CAUCA.</w:t>
      </w:r>
    </w:p>
    <w:p>
      <w:pPr>
        <w:jc w:val="both"/>
        <w:outlineLvl w:val="1"/>
      </w:pPr>
      <w:rPr>
        <w:sz w:val="24"/>
        <w:color w:val="black"/>
      </w:rPr>
    </w:p>
    <w:p>
      <w:pPr>
        <w:jc w:val="both"/>
        <w:outlineLvl w:val="1"/>
      </w:pPr>
      <w:r>
        <w:rPr>
          <w:rFonts w:hAnsi="Arial"/>
          <w:rFonts w:ascii="Arial"/>
          <w:sz w:val="24"/>
          <w:color w:val="black"/>
        </w:rPr>
        <w:t xml:space="preserve">Inicia Piloto de Implementación el 1 de enero del año 2023 e Irá hasta el 30 de junio del mismo año. En forma definitiva, el Sistema Penal Acusatorio en la Justicia Penal Militar y Policial en estos departamentos iniciará el 1 de julio del año 2023.</w:t>
      </w:r>
    </w:p>
    <w:p>
      <w:pPr>
        <w:jc w:val="both"/>
        <w:outlineLvl w:val="1"/>
      </w:pPr>
      <w:rPr>
        <w:sz w:val="24"/>
        <w:color w:val="black"/>
      </w:rPr>
    </w:p>
    <w:p>
      <w:pPr>
        <w:jc w:val="both"/>
        <w:outlineLvl w:val="1"/>
      </w:pPr>
      <w:r>
        <w:rPr>
          <w:rFonts w:hAnsi="Arial"/>
          <w:rFonts w:ascii="Arial"/>
          <w:sz w:val="24"/>
          <w:color w:val="black"/>
        </w:rPr>
        <w:t xml:space="preserve">FASE III: Año 2024: ANTIOQUIA, ATLÁNTICO, BOLÍVAR, SAN ANDRÉS y PROVIDENCIA, CESAR, CHOCÓ, CÓRDOBA, GUAJIRA, MAGDALENA, NORTE DE SANTANDER, SANTANDER y SUCRE.</w:t>
      </w:r>
    </w:p>
    <w:p>
      <w:pPr>
        <w:jc w:val="both"/>
        <w:outlineLvl w:val="1"/>
      </w:pPr>
      <w:rPr>
        <w:sz w:val="24"/>
        <w:color w:val="black"/>
      </w:rPr>
    </w:p>
    <w:p>
      <w:pPr>
        <w:jc w:val="both"/>
        <w:outlineLvl w:val="1"/>
      </w:pPr>
      <w:r>
        <w:rPr>
          <w:rFonts w:hAnsi="Arial"/>
          <w:rFonts w:ascii="Arial"/>
          <w:sz w:val="24"/>
          <w:color w:val="black"/>
        </w:rPr>
        <w:t xml:space="preserve">Inicia Piloto de implementación el 1 de enero del año 2024 e Irá hasta el 30 de junio del mismo año. En forma definitiva, el Sistema Penal Acusatorio en la Justicia Penal Militar y Policial en estos departamentos Iniciará el 1 de julio del año 2024.</w:t>
      </w:r>
    </w:p>
    <w:p>
      <w:pPr>
        <w:jc w:val="both"/>
        <w:outlineLvl w:val="1"/>
      </w:pPr>
      <w:rPr>
        <w:sz w:val="24"/>
        <w:color w:val="black"/>
      </w:rPr>
    </w:p>
    <w:p>
      <w:pPr>
        <w:jc w:val="both"/>
        <w:outlineLvl w:val="1"/>
      </w:pPr>
      <w:r>
        <w:rPr>
          <w:rFonts w:hAnsi="Arial"/>
          <w:rFonts w:ascii="Arial"/>
          <w:sz w:val="24"/>
          <w:color w:val="black"/>
        </w:rPr>
        <w:t xml:space="preserve">FASE IV: Año 2025. AMAZONAS, ARAUCA, CAQUETÁ, CASANARE, GUAINÍA, GUAVIARE, META, PUTUMAYO, VAUPÉS y VICHADA.</w:t>
      </w:r>
    </w:p>
    <w:p>
      <w:pPr>
        <w:jc w:val="both"/>
        <w:outlineLvl w:val="1"/>
      </w:pPr>
      <w:rPr>
        <w:sz w:val="24"/>
        <w:color w:val="black"/>
      </w:rPr>
    </w:p>
    <w:p>
      <w:pPr>
        <w:jc w:val="both"/>
        <w:outlineLvl w:val="1"/>
      </w:pPr>
      <w:r>
        <w:rPr>
          <w:rFonts w:hAnsi="Arial"/>
          <w:rFonts w:ascii="Arial"/>
          <w:sz w:val="24"/>
          <w:color w:val="black"/>
        </w:rPr>
        <w:t xml:space="preserve">Inicia Piloto de Implementación el 1 de enero del año 2025 e Irá hasta el 30 de junio del mismo año. En forma definitiva, el Sistema Penal Acusatorio en la Justicia Penal Militar y Policial en estos departamentos Iniciará el 1 de julio del año 2025</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Dirección Ejecutiva de la Justicia Penal Militar o la entidad en que ella se transforme, tendrá a su cargo la planeación y ejecución de lo dispuesto en este artículo.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fases territoriales establecidas en este artículo podrán ser modificadas de acuerdo con las necesidades del proceso de transición.</w:t>
      </w:r>
    </w:p>
    <w:p>
      <w:pPr>
        <w:jc w:val="both"/>
      </w:pPr>
      <w:rPr>
        <w:sz w:val="24"/>
        <w:color w:val="black"/>
      </w:rPr>
    </w:p>
    <w:p>
      <w:pPr>
        <w:jc w:val="both"/>
      </w:pPr>
      <w:r>
        <w:rPr>
          <w:rFonts w:hAnsi="Arial"/>
          <w:rFonts w:ascii="Arial"/>
          <w:sz w:val="24"/>
          <w:vanish/>
          <w:color w:val="black"/>
        </w:rPr>
        <w:t>&amp;$</w:t>
      </w:r>
      <w:bookmarkStart w:id="59940" w:name="2.2.2.3"/>
      <w:r>
        <w:rPr>
          <w:rFonts w:hAnsi="Arial"/>
          <w:rFonts w:ascii="Arial"/>
          <w:sz w:val="24"/>
          <w:color w:val="navy"/>
        </w:rPr>
        <w:t xml:space="preserve">ARTÍCULO 2.2.2.3. </w:t>
      </w:r>
      <w:r>
        <w:rPr>
          <w:rFonts w:hAnsi="Arial"/>
          <w:rFonts w:ascii="Arial"/>
          <w:sz w:val="24"/>
          <w:i/>
          <w:color w:val="navy"/>
        </w:rPr>
        <w:t xml:space="preserve">FUNCIONES DE LA JURISDICCIÓN ESPECIALIZADA.</w:t>
      </w:r>
      <w:bookmarkEnd w:id="59940"/>
      <w:r>
        <w:rPr>
          <w:rFonts w:hAnsi="Arial"/>
          <w:rFonts w:ascii="Arial"/>
          <w:sz w:val="24"/>
          <w:b/>
          <w:i/>
          <w:color w:val="black"/>
        </w:rPr>
        <w:t xml:space="preserve"> </w:t>
      </w:r>
      <w:r>
        <w:rPr>
          <w:rFonts w:hAnsi="Arial"/>
          <w:rFonts w:ascii="Arial"/>
          <w:sz w:val="24"/>
          <w:color w:val="black"/>
        </w:rPr>
        <w:t xml:space="preserve">En la implementación de las fases del Sistema Penal Acusatorio en la Justicia Penal Militar, se tendrán en cuenta para el cumplimiento de las funciones de la Jurisdicción Especializada, los siguientes criterios y factores:</w:t>
      </w:r>
    </w:p>
    <w:p>
      <w:pPr>
        <w:jc w:val="both"/>
      </w:pPr>
      <w:rPr>
        <w:sz w:val="24"/>
        <w:color w:val="black"/>
      </w:rPr>
    </w:p>
    <w:p>
      <w:pPr>
        <w:jc w:val="both"/>
      </w:pPr>
      <w:r>
        <w:rPr>
          <w:rFonts w:hAnsi="Arial"/>
          <w:rFonts w:ascii="Arial"/>
          <w:sz w:val="24"/>
          <w:color w:val="black"/>
        </w:rPr>
        <w:t xml:space="preserve">1. Número de despachos y procesos en los Juzgados de Instrucción Penal Militar, en la Fiscalía Penal Militar y en los Juzgados de conocimiento.</w:t>
      </w:r>
    </w:p>
    <w:p>
      <w:pPr>
        <w:jc w:val="both"/>
      </w:pPr>
      <w:rPr>
        <w:sz w:val="24"/>
        <w:color w:val="black"/>
      </w:rPr>
    </w:p>
    <w:p>
      <w:pPr>
        <w:jc w:val="both"/>
      </w:pPr>
      <w:r>
        <w:rPr>
          <w:rFonts w:hAnsi="Arial"/>
          <w:rFonts w:ascii="Arial"/>
          <w:sz w:val="24"/>
          <w:color w:val="black"/>
        </w:rPr>
        <w:t xml:space="preserve">2. Registro de funcionarios de la Justicia Penal Militar capacitados en oralidad y previsión de demanda de capacitación.</w:t>
      </w:r>
    </w:p>
    <w:p>
      <w:pPr>
        <w:jc w:val="both"/>
      </w:pPr>
      <w:rPr>
        <w:sz w:val="24"/>
        <w:color w:val="black"/>
      </w:rPr>
    </w:p>
    <w:p>
      <w:pPr>
        <w:jc w:val="both"/>
      </w:pPr>
      <w:r>
        <w:rPr>
          <w:rFonts w:hAnsi="Arial"/>
          <w:rFonts w:ascii="Arial"/>
          <w:sz w:val="24"/>
          <w:color w:val="black"/>
        </w:rPr>
        <w:t xml:space="preserve">3. Proyección sobre el número de salas de audiencia requeridas.</w:t>
      </w:r>
    </w:p>
    <w:p>
      <w:pPr>
        <w:jc w:val="both"/>
      </w:pPr>
      <w:rPr>
        <w:sz w:val="24"/>
        <w:color w:val="black"/>
      </w:rPr>
    </w:p>
    <w:p>
      <w:pPr>
        <w:jc w:val="both"/>
      </w:pPr>
      <w:r>
        <w:rPr>
          <w:rFonts w:hAnsi="Arial"/>
          <w:rFonts w:ascii="Arial"/>
          <w:sz w:val="24"/>
          <w:color w:val="black"/>
        </w:rPr>
        <w:t xml:space="preserve">4. Requerimiento de Sistema de Defensoría Penal militar y Cuerpo Técnico de investigación de la Justicia Penal Militar.</w:t>
      </w:r>
    </w:p>
    <w:p>
      <w:pPr>
        <w:jc w:val="both"/>
      </w:pPr>
      <w:rPr>
        <w:sz w:val="24"/>
        <w:color w:val="black"/>
      </w:rPr>
    </w:p>
    <w:p>
      <w:pPr>
        <w:jc w:val="both"/>
      </w:pPr>
      <w:r>
        <w:rPr>
          <w:rFonts w:hAnsi="Arial"/>
          <w:rFonts w:ascii="Arial"/>
          <w:sz w:val="24"/>
          <w:color w:val="black"/>
        </w:rPr>
        <w:t xml:space="preserve">5. Nivel de congestión.</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41" w:name="2.2.2.4"/>
      <w:r>
        <w:rPr>
          <w:rFonts w:hAnsi="Arial"/>
          <w:rFonts w:ascii="Arial"/>
          <w:sz w:val="24"/>
          <w:color w:val="navy"/>
        </w:rPr>
        <w:t xml:space="preserve">ARTÍCULO 2.2.2.4. </w:t>
      </w:r>
      <w:r>
        <w:rPr>
          <w:rFonts w:hAnsi="Arial"/>
          <w:rFonts w:ascii="Arial"/>
          <w:sz w:val="24"/>
          <w:i/>
          <w:color w:val="navy"/>
        </w:rPr>
        <w:t xml:space="preserve">ESTUDIOS TÉCNICOS.</w:t>
      </w:r>
      <w:bookmarkEnd w:id="59941"/>
      <w:r>
        <w:rPr>
          <w:rFonts w:hAnsi="Arial"/>
          <w:rFonts w:ascii="Arial"/>
          <w:sz w:val="24"/>
          <w:b/>
          <w:i/>
          <w:color w:val="black"/>
        </w:rPr>
        <w:t xml:space="preserve"> </w:t>
      </w:r>
      <w:r>
        <w:rPr>
          <w:rFonts w:hAnsi="Arial"/>
          <w:rFonts w:ascii="Arial"/>
          <w:sz w:val="24"/>
          <w:color w:val="black"/>
        </w:rPr>
        <w:t xml:space="preserve">El Ministerio de Defensa Nacional - Dirección Ejecutiva de la Justicia Penal Militar, presentará los estudios técnicos al Departamento Administrativo de la Función Pública de conformidad con los artículos </w:t>
      </w:r>
      <w:r>
        <w:fldChar w:fldCharType="begin"/>
      </w:r>
      <w:r>
        <w:instrText>HYPERLINK "http://www.redjurista.com/document.aspx?ajcode=l0909004&amp;arts=46"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909 de 2004 y </w:t>
      </w:r>
      <w:r>
        <w:fldChar w:fldCharType="begin"/>
      </w:r>
      <w:r>
        <w:instrText>HYPERLINK "http://www.redjurista.com/document.aspx?ajcode=d1227005&amp;arts=95"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Decreto 1227 de 2005 o las normas que lo compilen, adicionen, modifiquen complementen o sustituyan, para efectos de ajustar su planta de personal a las necesidades de la Justicia Penal Militar, de acuerdo con las fases de implementación del Sistema Penal Acusatorio previstas en este Título y los criterios y factores determinados por la ley.</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puesta en marcha de la primera fase del Sistema Penal Acusatorio, se atenderá con la realización de ajustes a la planta de personal existente y con servidores pertenecientes a la Dirección de Investigación Criminal e Interpol de la Policía Nacional, con funciones de Policía Judicial.</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42" w:name="2.2.2.5"/>
      <w:r>
        <w:rPr>
          <w:rFonts w:hAnsi="Arial"/>
          <w:rFonts w:ascii="Arial"/>
          <w:sz w:val="24"/>
          <w:color w:val="navy"/>
        </w:rPr>
        <w:t xml:space="preserve">ARTÍCULO 2.2.2.5. </w:t>
      </w:r>
      <w:r>
        <w:rPr>
          <w:rFonts w:hAnsi="Arial"/>
          <w:rFonts w:ascii="Arial"/>
          <w:sz w:val="24"/>
          <w:i/>
          <w:color w:val="navy"/>
        </w:rPr>
        <w:t>ESTADÍSTICA.</w:t>
      </w:r>
      <w:bookmarkEnd w:id="59942"/>
      <w:r>
        <w:rPr>
          <w:rFonts w:hAnsi="Arial"/>
          <w:rFonts w:ascii="Arial"/>
          <w:sz w:val="24"/>
          <w:b/>
          <w:i/>
          <w:color w:val="black"/>
        </w:rPr>
        <w:t xml:space="preserve"> </w:t>
      </w:r>
      <w:r>
        <w:rPr>
          <w:rFonts w:hAnsi="Arial"/>
          <w:rFonts w:ascii="Arial"/>
          <w:sz w:val="24"/>
          <w:color w:val="black"/>
        </w:rPr>
        <w:t xml:space="preserve">La Dirección Ejecutiva de la Justicia Penal Militar, ejercerá el control estadístico de los procesos adelantados por los despachos de la Justicia Penal Militar bajo el amparo de la Ley </w:t>
      </w:r>
      <w:r>
        <w:fldChar w:fldCharType="begin"/>
      </w:r>
      <w:r>
        <w:instrText>HYPERLINK "http://www.redjurista.com/document.aspx?ajcode=l0522_99&amp;arts=INICIO"</w:instrText>
      </w:r>
      <w:r>
        <w:fldChar w:fldCharType="separate"/>
      </w:r>
      <w:r>
        <w:rPr>
          <w:rFonts w:hAnsi="Arial"/>
          <w:rFonts w:ascii="Arial"/>
          <w:sz w:val="24"/>
          <w:u w:val="single"/>
          <w:color w:val="black"/>
        </w:rPr>
        <w:t>522</w:t>
      </w:r>
      <w:r>
        <w:fldChar w:fldCharType="end"/>
      </w:r>
      <w:r>
        <w:rPr>
          <w:rFonts w:hAnsi="Arial"/>
          <w:rFonts w:ascii="Arial"/>
          <w:sz w:val="24"/>
          <w:u w:val="none"/>
          <w:color w:val="black"/>
        </w:rPr>
        <w:t xml:space="preserve"> de 1999 y tomará las decisiones necesarias para su descongestión, hasta la culminación de los mismos e ingreso de dichos despachos al nuevo Sistemas Penal Acusatorio.</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43" w:name="2.2.2.6"/>
      <w:r>
        <w:rPr>
          <w:rFonts w:hAnsi="Arial"/>
          <w:rFonts w:ascii="Arial"/>
          <w:sz w:val="24"/>
          <w:color w:val="navy"/>
        </w:rPr>
        <w:t xml:space="preserve">ARTÍCULO 2.2.2.6. </w:t>
      </w:r>
      <w:r>
        <w:rPr>
          <w:rFonts w:hAnsi="Arial"/>
          <w:rFonts w:ascii="Arial"/>
          <w:sz w:val="24"/>
          <w:i/>
          <w:color w:val="navy"/>
        </w:rPr>
        <w:t xml:space="preserve">SEDES DE LOS DESPACHOS.</w:t>
      </w:r>
      <w:bookmarkEnd w:id="59943"/>
      <w:r>
        <w:rPr>
          <w:rFonts w:hAnsi="Arial"/>
          <w:rFonts w:ascii="Arial"/>
          <w:sz w:val="24"/>
          <w:b/>
          <w:i/>
          <w:color w:val="black"/>
        </w:rPr>
        <w:t xml:space="preserve"> </w:t>
      </w:r>
      <w:r>
        <w:rPr>
          <w:rFonts w:hAnsi="Arial"/>
          <w:rFonts w:ascii="Arial"/>
          <w:sz w:val="24"/>
          <w:color w:val="black"/>
        </w:rPr>
        <w:t xml:space="preserve">La Dirección Ejecutiva de la Justicia Penal Militar determinará la sede de los despachos y la nomenclatura de estos en orden ascendente, en la medida que vayan ingresando al nuevo Sistema Penal Acusatorio, ajustándola a las denominaciones del nuevo Código Penal Militar y al Mapa Judicial de la Justicia Penal Militar.</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44" w:name="2.2.2.7"/>
      <w:r>
        <w:rPr>
          <w:rFonts w:hAnsi="Arial"/>
          <w:rFonts w:ascii="Arial"/>
          <w:sz w:val="24"/>
          <w:color w:val="navy"/>
        </w:rPr>
        <w:t xml:space="preserve">ARTÍCULO 2.2.2.7. </w:t>
      </w:r>
      <w:r>
        <w:rPr>
          <w:rFonts w:hAnsi="Arial"/>
          <w:rFonts w:ascii="Arial"/>
          <w:sz w:val="24"/>
          <w:i/>
          <w:color w:val="navy"/>
        </w:rPr>
        <w:t>CAPACITACIÓN.</w:t>
      </w:r>
      <w:bookmarkEnd w:id="59944"/>
      <w:r>
        <w:rPr>
          <w:rFonts w:hAnsi="Arial"/>
          <w:rFonts w:ascii="Arial"/>
          <w:sz w:val="24"/>
          <w:b/>
          <w:i/>
          <w:color w:val="black"/>
        </w:rPr>
        <w:t xml:space="preserve"> </w:t>
      </w:r>
      <w:r>
        <w:rPr>
          <w:rFonts w:hAnsi="Arial"/>
          <w:rFonts w:ascii="Arial"/>
          <w:sz w:val="24"/>
          <w:color w:val="black"/>
        </w:rPr>
        <w:t xml:space="preserve">La Dirección Ejecutiva de la Justicia Penal Militar establecerá el plan de capacitación en el Sistema Penal Acusatorio para los funcionarios y empleados de la Jurisdicción de acuerdo con las fases de implementación, las necesidades del servicio y los recursos disponibles.</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45" w:name="2.2.2.8"/>
      <w:r>
        <w:rPr>
          <w:rFonts w:hAnsi="Arial"/>
          <w:rFonts w:ascii="Arial"/>
          <w:sz w:val="24"/>
          <w:color w:val="navy"/>
        </w:rPr>
        <w:t xml:space="preserve">ARTÍCULO 2.2.2.8. </w:t>
      </w:r>
      <w:r>
        <w:rPr>
          <w:rFonts w:hAnsi="Arial"/>
          <w:rFonts w:ascii="Arial"/>
          <w:sz w:val="24"/>
          <w:i/>
          <w:color w:val="navy"/>
        </w:rPr>
        <w:t xml:space="preserve">CUMPLIMIENTO DE FASES.</w:t>
      </w:r>
      <w:bookmarkEnd w:id="59945"/>
      <w:r>
        <w:rPr>
          <w:rFonts w:hAnsi="Arial"/>
          <w:rFonts w:ascii="Arial"/>
          <w:sz w:val="24"/>
          <w:b/>
          <w:i/>
          <w:color w:val="black"/>
        </w:rPr>
        <w:t xml:space="preserve"> </w:t>
      </w:r>
      <w:r>
        <w:rPr>
          <w:rFonts w:hAnsi="Arial"/>
          <w:rFonts w:ascii="Arial"/>
          <w:sz w:val="24"/>
          <w:color w:val="black"/>
        </w:rPr>
        <w:t xml:space="preserve">El Comando General de las Fuerzas Militares, los Comandos de Fuerza, la Dirección General de la Policía Nacional y las demás dependencias del Ministerio de Defensa Nacional, brindarán el apoyo logístico requerido por la Dirección Ejecutiva de la Justicia Penal Militar para el cumplimiento de las Fases de implementación del Sistema Penal Acusatorio aquí establecidas.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construir la plataforma tecnología requerida para la implementación del Sistema Penal Acusatorio, el Comité de Integración de Tecnologías de la Información del Ministerio de Defensa Nacional, las Oficinas de Telemática de las Fuerzas Militares y de la Dirección General de la Policía Nacional, colaborarán en el suministro de hardware, desarrollo de software y conectividad necesarios, así como en los ajustes técnicos requeridos para la operatividad del Sistema en los despachos de la Justicia Penal Militar.</w:t>
      </w:r>
    </w:p>
    <w:p>
      <w:pPr>
        <w:jc w:val="both"/>
      </w:pPr>
      <w:rPr>
        <w:sz w:val="24"/>
        <w:color w:val="black"/>
      </w:rPr>
    </w:p>
    <w:p>
      <w:pPr>
        <w:jc w:val="both"/>
      </w:pPr>
      <w:r>
        <w:rPr>
          <w:rFonts w:hAnsi="Arial"/>
          <w:rFonts w:ascii="Arial"/>
          <w:sz w:val="24"/>
          <w:i/>
          <w:color w:val="black"/>
        </w:rPr>
        <w:t xml:space="preserve">(Decreto 2960 de 2011 artículo </w:t>
      </w:r>
      <w:r>
        <w:fldChar w:fldCharType="begin"/>
      </w:r>
      <w:r>
        <w:instrText>HYPERLINK "http://www.redjurista.com/document.aspx?ajcode=d2960011&amp;arts=8"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b/>
          <w:vanish/>
          <w:color w:val="black"/>
        </w:rPr>
        <w:t>&amp;$</w:t>
      </w:r>
      <w:bookmarkStart w:id="59946" w:name="2.2.2.9"/>
      <w:r>
        <w:rPr>
          <w:rFonts w:hAnsi="Arial"/>
          <w:rFonts w:ascii="Arial"/>
          <w:sz w:val="24"/>
          <w:color w:val="navy"/>
        </w:rPr>
        <w:t xml:space="preserve">ARTÍCULO 2.2.2.9. OBJETO.</w:t>
      </w:r>
      <w:bookmarkEnd w:id="59946"/>
      <w:r>
        <w:rPr>
          <w:rFonts w:hAnsi="Arial"/>
          <w:rFonts w:ascii="Arial"/>
          <w:sz w:val="24"/>
          <w:color w:val="black"/>
        </w:rPr>
        <w:t xml:space="preserve"> &lt;Artículo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El presente decreto tiene por objeto establecer el procedimiento para la integración de las listas de candidatos a ocupar los cargos de Magistrados del Tribunal Superior Militar y Policial, Fiscal General Penal Militar y Policial y Fiscales Penales Militares y Policiales Delegados ante el Tribunal Superior Penal Militar y Policial.</w:t>
      </w:r>
    </w:p>
    <w:p>
      <w:pPr>
        <w:jc w:val="both"/>
      </w:pPr>
      <w:rPr>
        <w:color w:val="black"/>
      </w:rPr>
    </w:p>
    <w:p>
      <w:pPr>
        <w:jc w:val="both"/>
      </w:pPr>
      <w:r>
        <w:rPr>
          <w:rFonts w:hAnsi="Arial"/>
          <w:rFonts w:ascii="Arial"/>
          <w:sz w:val="24"/>
          <w:b/>
          <w:vanish/>
          <w:color w:val="black"/>
        </w:rPr>
        <w:t>&amp;$</w:t>
      </w:r>
      <w:bookmarkStart w:id="59947" w:name="2.2.2.10"/>
      <w:r>
        <w:rPr>
          <w:rFonts w:hAnsi="Arial"/>
          <w:rFonts w:ascii="Arial"/>
          <w:sz w:val="24"/>
          <w:color w:val="navy"/>
        </w:rPr>
        <w:t xml:space="preserve">ARTÍCULO 2.2.2.10. PROCEDIMIENTO PARA LA CONFORMACIÓN DE LAS LISTAS.</w:t>
      </w:r>
      <w:bookmarkEnd w:id="5994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El procedimiento para conformar las listas de candidatos para ocupar los cargos de Magistrados del Tribunal Superior Militar y Policial, Fiscal General Penal Militar y Policial y Fiscales Penales Militares y Policiales Delegados ante el Tribunal Superior Penal Militar y Policial, surtirá las siguientes fases: </w:t>
      </w:r>
    </w:p>
    <w:p>
      <w:pPr>
        <w:jc w:val="both"/>
      </w:pPr>
      <w:rPr>
        <w:sz w:val="24"/>
        <w:color w:val="black"/>
      </w:rPr>
    </w:p>
    <w:p>
      <w:pPr>
        <w:jc w:val="both"/>
        <w:outlineLvl w:val="1"/>
      </w:pPr>
      <w:r>
        <w:rPr>
          <w:rFonts w:hAnsi="Arial"/>
          <w:rFonts w:ascii="Arial"/>
          <w:sz w:val="24"/>
          <w:color w:val="black"/>
        </w:rPr>
        <w:t xml:space="preserve">1. Solicitud Convocatoria. </w:t>
      </w:r>
    </w:p>
    <w:p>
      <w:pPr>
        <w:jc w:val="both"/>
        <w:outlineLvl w:val="1"/>
      </w:pPr>
      <w:rPr>
        <w:sz w:val="24"/>
        <w:color w:val="black"/>
      </w:rPr>
    </w:p>
    <w:p>
      <w:pPr>
        <w:jc w:val="both"/>
        <w:outlineLvl w:val="1"/>
      </w:pPr>
      <w:r>
        <w:rPr>
          <w:rFonts w:hAnsi="Arial"/>
          <w:rFonts w:ascii="Arial"/>
          <w:sz w:val="24"/>
          <w:color w:val="black"/>
        </w:rPr>
        <w:t xml:space="preserve">2. Postulación de aspirantes que reúnan los requisitos generales y especiales del cargo. </w:t>
      </w:r>
    </w:p>
    <w:p>
      <w:pPr>
        <w:jc w:val="both"/>
        <w:outlineLvl w:val="1"/>
      </w:pPr>
      <w:rPr>
        <w:sz w:val="24"/>
        <w:b/>
        <w:color w:val="black"/>
      </w:rPr>
    </w:p>
    <w:p>
      <w:pPr>
        <w:jc w:val="both"/>
        <w:outlineLvl w:val="1"/>
      </w:pPr>
      <w:r>
        <w:rPr>
          <w:rFonts w:hAnsi="Arial"/>
          <w:rFonts w:ascii="Arial"/>
          <w:sz w:val="24"/>
          <w:color w:val="black"/>
        </w:rPr>
        <w:t xml:space="preserve">3. Verificación del cumplimiento de los requisitos generales y especiales del cargo y preselección de candidatos. </w:t>
      </w:r>
    </w:p>
    <w:p>
      <w:pPr>
        <w:jc w:val="both"/>
        <w:outlineLvl w:val="1"/>
      </w:pPr>
      <w:rPr>
        <w:sz w:val="24"/>
        <w:b/>
        <w:color w:val="black"/>
      </w:rPr>
    </w:p>
    <w:p>
      <w:pPr>
        <w:jc w:val="both"/>
        <w:outlineLvl w:val="1"/>
      </w:pPr>
      <w:r>
        <w:rPr>
          <w:rFonts w:hAnsi="Arial"/>
          <w:rFonts w:ascii="Arial"/>
          <w:sz w:val="24"/>
          <w:color w:val="black"/>
        </w:rPr>
        <w:t xml:space="preserve">4. Evaluación de competencias. </w:t>
      </w:r>
    </w:p>
    <w:p>
      <w:pPr>
        <w:jc w:val="both"/>
        <w:outlineLvl w:val="1"/>
      </w:pPr>
      <w:rPr>
        <w:sz w:val="24"/>
        <w:b/>
        <w:color w:val="black"/>
      </w:rPr>
    </w:p>
    <w:p>
      <w:pPr>
        <w:jc w:val="both"/>
        <w:outlineLvl w:val="1"/>
      </w:pPr>
      <w:r>
        <w:rPr>
          <w:rFonts w:hAnsi="Arial"/>
          <w:rFonts w:ascii="Arial"/>
          <w:sz w:val="24"/>
          <w:color w:val="black"/>
        </w:rPr>
        <w:t xml:space="preserve">5. Entrevista preseleccionados. </w:t>
      </w:r>
    </w:p>
    <w:p>
      <w:pPr>
        <w:jc w:val="both"/>
        <w:outlineLvl w:val="1"/>
      </w:pPr>
      <w:rPr>
        <w:sz w:val="24"/>
        <w:b/>
        <w:color w:val="black"/>
      </w:rPr>
    </w:p>
    <w:p>
      <w:pPr>
        <w:jc w:val="both"/>
        <w:outlineLvl w:val="1"/>
      </w:pPr>
      <w:r>
        <w:rPr>
          <w:rFonts w:hAnsi="Arial"/>
          <w:rFonts w:ascii="Arial"/>
          <w:sz w:val="24"/>
          <w:color w:val="black"/>
        </w:rPr>
        <w:t xml:space="preserve">6. Conformación y remisión de la lista o terna de candidatos </w:t>
      </w:r>
    </w:p>
    <w:p>
      <w:pPr>
        <w:jc w:val="both"/>
        <w:outlineLvl w:val="1"/>
      </w:pPr>
      <w:rPr>
        <w:sz w:val="24"/>
        <w:b/>
        <w:color w:val="black"/>
      </w:rPr>
    </w:p>
    <w:p>
      <w:pPr>
        <w:jc w:val="both"/>
        <w:outlineLvl w:val="1"/>
      </w:pPr>
      <w:r>
        <w:rPr>
          <w:rFonts w:hAnsi="Arial"/>
          <w:rFonts w:ascii="Arial"/>
          <w:sz w:val="24"/>
          <w:color w:val="black"/>
        </w:rPr>
        <w:t xml:space="preserve">7. Nombramiento </w:t>
      </w:r>
    </w:p>
    <w:p>
      <w:pPr>
        <w:jc w:val="both"/>
        <w:outlineLvl w:val="1"/>
      </w:pPr>
      <w:rPr>
        <w:color w:val="black"/>
      </w:rPr>
    </w:p>
    <w:p>
      <w:pPr>
        <w:jc w:val="both"/>
        <w:outlineLvl w:val="1"/>
      </w:pPr>
      <w:r>
        <w:rPr>
          <w:rFonts w:hAnsi="Arial"/>
          <w:rFonts w:ascii="Arial"/>
          <w:sz w:val="24"/>
          <w:b/>
          <w:vanish/>
          <w:color w:val="black"/>
        </w:rPr>
        <w:t>&amp;$</w:t>
      </w:r>
      <w:bookmarkStart w:id="59948" w:name="2.2.2.11"/>
      <w:r>
        <w:rPr>
          <w:rFonts w:hAnsi="Arial"/>
          <w:rFonts w:ascii="Arial"/>
          <w:sz w:val="24"/>
          <w:color w:val="navy"/>
        </w:rPr>
        <w:t xml:space="preserve">ARTÍCULO 2.2.2.11. SOLICITUD CONVOCATORIA.</w:t>
      </w:r>
      <w:bookmarkEnd w:id="599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De acuerdo con las necesidades del servicio, el Director Ejecutivo de la Unidad Administrativa Especial de la Justicia Penal Militar y Policial solicitará por escrito a los comandantes del Ejército, Armada Nacional,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al Subdirector de la Policía Nacional se realice invitación para postular y preseleccionar a los interesados que reúnan los requisitos constitucionales y legales para ocupar los cargos de Magistrados de Tribunal Superior, de Fiscal General, o de Fiscales Penales Militares y Policiales delegados ante el Tribunal Superior Militar y Policial.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la solicitud, el Director Ejecutivo de la Unidad Administrativa Especial de la Justicia Penal Militar y Policial, establecer el número de vacantes a proveer y el número de preseleccionados que cada fuerza debe remitir. </w:t>
      </w:r>
    </w:p>
    <w:p>
      <w:pPr>
        <w:jc w:val="both"/>
        <w:outlineLvl w:val="1"/>
      </w:pPr>
      <w:rPr>
        <w:color w:val="black"/>
      </w:rPr>
    </w:p>
    <w:p>
      <w:pPr>
        <w:jc w:val="both"/>
        <w:outlineLvl w:val="1"/>
      </w:pPr>
      <w:r>
        <w:rPr>
          <w:rFonts w:hAnsi="Arial"/>
          <w:rFonts w:ascii="Arial"/>
          <w:sz w:val="24"/>
          <w:b/>
          <w:vanish/>
          <w:color w:val="black"/>
        </w:rPr>
        <w:t>&amp;$</w:t>
      </w:r>
      <w:bookmarkStart w:id="59949" w:name="2.2.2.12"/>
      <w:r>
        <w:rPr>
          <w:rFonts w:hAnsi="Arial"/>
          <w:rFonts w:ascii="Arial"/>
          <w:sz w:val="24"/>
          <w:color w:val="navy"/>
        </w:rPr>
        <w:t xml:space="preserve">ARTÍCULO 2.2.2.12. POSTULACIÓN DE ASPIRANTES QUE REÚNAN LOS REQUISITOS GENERALES Y ESPECIALES DEL CARGO.</w:t>
      </w:r>
      <w:bookmarkEnd w:id="599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Dentro de los tres (3) días siguientes a la recepción de la solicitud mencionada en el artículo anterior, los Comandantes del Ejército Nacional, Armada Nacional,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el Subdirector General de la Policía Nacional, invitarán a través de medios institucionales a los interesados que reúnan los requisitos establecidos en la Constitución Política y en la Ley </w:t>
      </w:r>
      <w:r>
        <w:fldChar w:fldCharType="begin"/>
      </w:r>
      <w:r>
        <w:instrText>HYPERLINK "http://www.redjurista.com/document.aspx?ajcode=l1765015&amp;arts=INICIO"</w:instrText>
      </w:r>
      <w:r>
        <w:fldChar w:fldCharType="separate"/>
      </w:r>
      <w:r>
        <w:rPr>
          <w:rFonts w:hAnsi="Arial"/>
          <w:rFonts w:ascii="Arial"/>
          <w:sz w:val="24"/>
          <w:u w:val="single"/>
          <w:color w:val="black"/>
        </w:rPr>
        <w:t>1765</w:t>
      </w:r>
      <w:r>
        <w:fldChar w:fldCharType="end"/>
      </w:r>
      <w:r>
        <w:rPr>
          <w:rFonts w:hAnsi="Arial"/>
          <w:rFonts w:ascii="Arial"/>
          <w:sz w:val="24"/>
          <w:u w:val="none"/>
          <w:color w:val="black"/>
        </w:rPr>
        <w:t xml:space="preserve"> de 2015, para ocupar los cargos de Magistrados del Tribunal Superior, de Fiscal General, o de Fiscales Penales Militares y Policiales Delegados ante el Tribunal Superior Militar y Policial. Los aspirantes a los cargos se postularán dentro de los cinco (5) días siguientes a la publicación allegando su hoja de vida con los soportes documentales que correspondan.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aspirantes deberán anexar declaración juramentada de no hallarse incursos en causales de inhabilidad o incompatibilidad para el ejercicio del cargo.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hojas de vida, anexos y demás documentos que se aporten de manera extemporánea serán rechazados y no serán valorados para ningún efecto en el proceso. </w:t>
      </w:r>
    </w:p>
    <w:p>
      <w:pPr>
        <w:jc w:val="both"/>
        <w:outlineLvl w:val="1"/>
      </w:pPr>
      <w:rPr>
        <w:color w:val="black"/>
      </w:rPr>
    </w:p>
    <w:p>
      <w:pPr>
        <w:jc w:val="both"/>
        <w:outlineLvl w:val="1"/>
      </w:pPr>
      <w:r>
        <w:rPr>
          <w:rFonts w:hAnsi="Arial"/>
          <w:rFonts w:ascii="Arial"/>
          <w:sz w:val="24"/>
          <w:b/>
          <w:vanish/>
          <w:color w:val="black"/>
        </w:rPr>
        <w:t>&amp;$</w:t>
      </w:r>
      <w:bookmarkStart w:id="59950" w:name="2.2.2.13"/>
      <w:r>
        <w:rPr>
          <w:rFonts w:hAnsi="Arial"/>
          <w:rFonts w:ascii="Arial"/>
          <w:sz w:val="24"/>
          <w:color w:val="navy"/>
        </w:rPr>
        <w:t xml:space="preserve">ARTÍCULO 2.2.2.13. VERIFICACIÓN DEL CUMPLIMIENTO DE LOS REQUISITOS GENERALES Y ESPECIALES DEL CARGO Y PRESELECCIÓN DE CANDIDATOS.</w:t>
      </w:r>
      <w:bookmarkEnd w:id="599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Dentro de los diez (10) días siguientes al vencimiento del plazo para la postulación de los aspirantes, los Comandantes del Ejército Nacional, Armada Nacional,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el Subdirector General de la Policía Nacional, verificarán el cumplimiento de los requisitos generales y especiales establecidos en la Ley </w:t>
      </w:r>
      <w:r>
        <w:fldChar w:fldCharType="begin"/>
      </w:r>
      <w:r>
        <w:instrText>HYPERLINK "http://www.redjurista.com/document.aspx?ajcode=l1765015&amp;arts=INICIO"</w:instrText>
      </w:r>
      <w:r>
        <w:fldChar w:fldCharType="separate"/>
      </w:r>
      <w:r>
        <w:rPr>
          <w:rFonts w:hAnsi="Arial"/>
          <w:rFonts w:ascii="Arial"/>
          <w:sz w:val="24"/>
          <w:u w:val="single"/>
          <w:color w:val="black"/>
        </w:rPr>
        <w:t>1765</w:t>
      </w:r>
      <w:r>
        <w:fldChar w:fldCharType="end"/>
      </w:r>
      <w:r>
        <w:rPr>
          <w:rFonts w:hAnsi="Arial"/>
          <w:rFonts w:ascii="Arial"/>
          <w:sz w:val="24"/>
          <w:u w:val="none"/>
          <w:color w:val="black"/>
        </w:rPr>
        <w:t xml:space="preserve"> de 2015 de las personas que se postulen para ocupar los cargos convocados, y conformarán la lista de preseleccionados, aplicando criterios como: probidad, independencia, imparcialidad, responsabilidad, idoneidad, transparencia, formación académica y experiencia profesional de los candidatos.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Comandante del Ejército Nacional, de la Armada Nacional,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el Subdirector General de la Policía Nacional, enviarán de manera inmediata a la Unidad Administrativa Especial de la Justicia Penal Militar y Policial la lista de aspirantes preseleccionados. </w:t>
      </w:r>
    </w:p>
    <w:p>
      <w:pPr>
        <w:jc w:val="both"/>
        <w:outlineLvl w:val="1"/>
      </w:pPr>
      <w:rPr>
        <w:color w:val="black"/>
      </w:rPr>
    </w:p>
    <w:p>
      <w:pPr>
        <w:jc w:val="both"/>
        <w:outlineLvl w:val="1"/>
      </w:pPr>
      <w:r>
        <w:rPr>
          <w:rFonts w:hAnsi="Arial"/>
          <w:rFonts w:ascii="Arial"/>
          <w:sz w:val="24"/>
          <w:b/>
          <w:vanish/>
          <w:color w:val="black"/>
        </w:rPr>
        <w:t>&amp;$</w:t>
      </w:r>
      <w:bookmarkStart w:id="59951" w:name="2.2.2.14"/>
      <w:r>
        <w:rPr>
          <w:rFonts w:hAnsi="Arial"/>
          <w:rFonts w:ascii="Arial"/>
          <w:sz w:val="24"/>
          <w:color w:val="navy"/>
        </w:rPr>
        <w:t xml:space="preserve">ARTÍCULO 2.2.2.14. EVALUACIÓN DE COMPETENCIAS COMPORTAMENTALES.</w:t>
      </w:r>
      <w:bookmarkEnd w:id="599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El Director Ejecutivo de la Unidad Administrativa Especial de la Justicia Penal Militar y Policial consolidará la lista de aspirantes preseleccionados por la Fuerza Pública para ocupar los cargos de Magistrados del Tribunal Superior Penal Militar y Policial, Fiscal General Penal Militar y Policial, y Fiscales Penales Militares y Policiales Delegados ante el Tribunal Superior Militar y Policial, la cual deberá ser remitida al Departamento Administrativo de la Función Pública, entidad que realizará la evaluación de competencias comportamentales de manera virtual o presencial y ele conformidad con la normatividad vigente.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resultados de la evaluación serán enviados a la Unidad Administrativa Especial de la Justicia Penal Militar y Policial, no otorgará puntaje alguno, constituirá un criterio orientador para el Consejo Directivo, y contra sus resultados no procede la interposición de reclamaciones ni recursos. </w:t>
      </w:r>
    </w:p>
    <w:p>
      <w:pPr>
        <w:jc w:val="both"/>
        <w:outlineLvl w:val="1"/>
      </w:pPr>
      <w:rPr>
        <w:color w:val="black"/>
      </w:rPr>
    </w:p>
    <w:p>
      <w:pPr>
        <w:jc w:val="both"/>
        <w:outlineLvl w:val="1"/>
      </w:pPr>
      <w:r>
        <w:rPr>
          <w:rFonts w:hAnsi="Arial"/>
          <w:rFonts w:ascii="Arial"/>
          <w:sz w:val="24"/>
          <w:b/>
          <w:vanish/>
          <w:color w:val="black"/>
        </w:rPr>
        <w:t>&amp;$</w:t>
      </w:r>
      <w:bookmarkStart w:id="59952" w:name="2.2.2.15"/>
      <w:r>
        <w:rPr>
          <w:rFonts w:hAnsi="Arial"/>
          <w:rFonts w:ascii="Arial"/>
          <w:sz w:val="24"/>
          <w:color w:val="navy"/>
        </w:rPr>
        <w:t xml:space="preserve">ARTÍCULO 2.2.2.15. ENTREVISTA PRESELECCIONADOS.</w:t>
      </w:r>
      <w:bookmarkEnd w:id="599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Dentro de los tres (3) días siguientes a la recepción de los resultados de la evaluación de competencias comportamentales y una vez se cuente con la lista de preseleccionados; el Presidente del Consejo Directivo convocará a una sesión del Consejo Directivo de la Unidad Administrativa Especial de la Justicia Penal Militar y Policial con el fin de realizar entrevistas a los preseleccionados.</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entrevista no otorgará puntaje alguno, ni prevé la interposición de reclamaciones ni recursos contra la decisión que al respecto se adopte, constituirá un criterio orientador para el Consejo Directivo. </w:t>
      </w:r>
    </w:p>
    <w:p>
      <w:pPr>
        <w:jc w:val="both"/>
        <w:outlineLvl w:val="1"/>
      </w:pPr>
      <w:rPr>
        <w:color w:val="black"/>
      </w:rPr>
    </w:p>
    <w:p>
      <w:pPr>
        <w:jc w:val="both"/>
        <w:outlineLvl w:val="1"/>
      </w:pPr>
      <w:r>
        <w:rPr>
          <w:rFonts w:hAnsi="Arial"/>
          <w:rFonts w:ascii="Arial"/>
          <w:sz w:val="24"/>
          <w:b/>
          <w:vanish/>
          <w:color w:val="black"/>
        </w:rPr>
        <w:t>&amp;$</w:t>
      </w:r>
      <w:bookmarkStart w:id="59953" w:name="2.2.2.16"/>
      <w:r>
        <w:rPr>
          <w:rFonts w:hAnsi="Arial"/>
          <w:rFonts w:ascii="Arial"/>
          <w:sz w:val="24"/>
          <w:color w:val="navy"/>
        </w:rPr>
        <w:t xml:space="preserve">ARTÍCULO 2.2.2.16. CONFORMACIÓN Y REMISIÓN DE LA LISTA DE CANDIDATOS.</w:t>
      </w:r>
      <w:bookmarkEnd w:id="5995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El Consejo Directivo de la Unidad Administrativa Especial de la Justicia Penal Militar y Policial conformará la lista de candidatos para ocupar los cargos de Magistrados del Tribunal Superior, de Fiscal General, o de Fiscales Penales Delegados ante el Tribunal Superior, en un número no menor a tres (3) candidatos por cargo; lista que será presentada por el Presidente del Consejo Directivo de la Unidad Administrativa Especial de la Justicia Penal Militar y Policial, al Presidente de la República. </w:t>
      </w:r>
    </w:p>
    <w:p>
      <w:pPr>
        <w:jc w:val="both"/>
        <w:outlineLvl w:val="1"/>
      </w:pPr>
      <w:rPr>
        <w:color w:val="black"/>
      </w:rPr>
    </w:p>
    <w:p>
      <w:pPr>
        <w:jc w:val="both"/>
        <w:outlineLvl w:val="1"/>
      </w:pPr>
      <w:r>
        <w:rPr>
          <w:rFonts w:hAnsi="Arial"/>
          <w:rFonts w:ascii="Arial"/>
          <w:sz w:val="24"/>
          <w:b/>
          <w:vanish/>
          <w:color w:val="black"/>
        </w:rPr>
        <w:t>&amp;$</w:t>
      </w:r>
      <w:bookmarkStart w:id="59954" w:name="2.2.2.17"/>
      <w:r>
        <w:rPr>
          <w:rFonts w:hAnsi="Arial"/>
          <w:rFonts w:ascii="Arial"/>
          <w:sz w:val="24"/>
          <w:color w:val="navy"/>
        </w:rPr>
        <w:t xml:space="preserve">ARTÍCULO 2.2.2.17. NOMBRAMIENTO.</w:t>
      </w:r>
      <w:bookmarkEnd w:id="599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631 de 2022. El nuevo texto es el siguiente:&gt; Presentada la lista de candidatos para ocupar los cargos de Magistrados del Tribunal Superior Militar y Policial, de Fiscal General Penal Militar y Policial, o de Fiscales Penales Militares y Policiales Delegados ante el Tribunal Superior Militar y Policial, el Presidente de la República procederá a nombrar a quien va a desempeñar cada cargo.</w:t>
      </w:r>
    </w:p>
    <w:p>
      <w:pPr>
        <w:jc w:val="both"/>
        <w:outlineLvl w:val="1"/>
      </w:pPr>
      <w:rPr>
        <w:sz w:val="24"/>
        <w:color w:val="black"/>
      </w:rPr>
    </w:p>
    <w:p>
      <w:pPr>
        <w:jc w:val="center"/>
        <w:outlineLvl w:val="1"/>
      </w:pPr>
      <w:r>
        <w:rPr>
          <w:rFonts w:hAnsi="Arial"/>
          <w:rFonts w:ascii="Arial"/>
          <w:sz w:val="24"/>
          <w:vanish/>
          <w:color w:val="black"/>
        </w:rPr>
        <w:t>&amp;$</w:t>
      </w:r>
      <w:bookmarkStart w:id="59955" w:name="TÍTULO 2.2.3"/>
      <w:r>
        <w:rPr>
          <w:rFonts w:hAnsi="Arial"/>
          <w:rFonts w:ascii="Arial"/>
          <w:sz w:val="24"/>
          <w:color w:val="navy"/>
        </w:rPr>
        <w:t xml:space="preserve">TÍTULO 3. </w:t>
      </w:r>
    </w:p>
    <w:p>
      <w:pPr>
        <w:jc w:val="center"/>
        <w:outlineLvl w:val="1"/>
      </w:pPr>
      <w:r>
        <w:rPr>
          <w:rFonts w:hAnsi="Arial"/>
          <w:rFonts w:ascii="Arial"/>
          <w:sz w:val="24"/>
          <w:color w:val="navy"/>
        </w:rPr>
        <w:t xml:space="preserve">NORMAS PARA FORTALECER EL MARCO LEGAL QUE PERMITE A LOS ORGANISMOS QUE LLEVAN A CABO ACTIVIDADES DE INTELIGENCIA Y CONTRAINTELIGENCIA CUMPLIR CON SU MISIÓN CONSTITUCIONAL.</w:t>
      </w:r>
      <w:bookmarkEnd w:id="59955"/>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59956" w:name="CAPÍTULO 2.2.3.1"/>
      <w:r>
        <w:rPr>
          <w:rFonts w:hAnsi="Arial"/>
          <w:rFonts w:ascii="Arial"/>
          <w:sz w:val="24"/>
          <w:color w:val="navy"/>
        </w:rPr>
        <w:t xml:space="preserve">CAPÍTULO 1. </w:t>
      </w:r>
    </w:p>
    <w:p>
      <w:pPr>
        <w:jc w:val="center"/>
        <w:outlineLvl w:val="1"/>
      </w:pPr>
      <w:r>
        <w:rPr>
          <w:rFonts w:hAnsi="Arial"/>
          <w:rFonts w:ascii="Arial"/>
          <w:sz w:val="24"/>
          <w:color w:val="navy"/>
        </w:rPr>
        <w:t xml:space="preserve">DELIMITACIÓN DE LOS ORGANISMOS, DEPENDENCIAS Y PERSONAL QUE REALIZAN ACTIVIDADES DE INTELIGENCIA Y CONTRAINTELIGENCIA.</w:t>
      </w:r>
      <w:bookmarkEnd w:id="59956"/>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59957" w:name="2.2.3.1.1"/>
      <w:r>
        <w:rPr>
          <w:rFonts w:hAnsi="Arial"/>
          <w:rFonts w:ascii="Arial"/>
          <w:sz w:val="24"/>
          <w:color w:val="navy"/>
        </w:rPr>
        <w:t xml:space="preserve">ARTÍCULO 2.2.3.1.1. </w:t>
      </w:r>
      <w:r>
        <w:rPr>
          <w:rFonts w:hAnsi="Arial"/>
          <w:rFonts w:ascii="Arial"/>
          <w:sz w:val="24"/>
          <w:i/>
          <w:color w:val="navy"/>
        </w:rPr>
        <w:t xml:space="preserve">DELIMITACIÓN DE LOS ORGANISMOS Y DEPENDENCIAS.</w:t>
      </w:r>
      <w:bookmarkEnd w:id="59957"/>
      <w:r>
        <w:rPr>
          <w:rFonts w:hAnsi="Arial"/>
          <w:rFonts w:ascii="Arial"/>
          <w:sz w:val="24"/>
          <w:b/>
          <w:i/>
          <w:color w:val="black"/>
        </w:rPr>
        <w:t xml:space="preserve"> </w:t>
      </w:r>
      <w:r>
        <w:rPr>
          <w:rFonts w:hAnsi="Arial"/>
          <w:rFonts w:ascii="Arial"/>
          <w:sz w:val="24"/>
          <w:color w:val="black"/>
        </w:rPr>
        <w:t xml:space="preserve">Llevarán a cabo actividades de inteligencia y contrainteligencia los organismos y dependencias autorizados por la ley. Estos organismos y las dependencias autorizadas desarrollarán estas actividades observando la Constitución y la Ley y serán los siguientes:</w:t>
      </w:r>
    </w:p>
    <w:p>
      <w:pPr>
        <w:jc w:val="both"/>
        <w:outlineLvl w:val="1"/>
      </w:pPr>
      <w:rPr>
        <w:sz w:val="24"/>
        <w:color w:val="black"/>
      </w:rPr>
    </w:p>
    <w:p>
      <w:pPr>
        <w:jc w:val="both"/>
        <w:outlineLvl w:val="1"/>
      </w:pPr>
      <w:r>
        <w:rPr>
          <w:rFonts w:hAnsi="Arial"/>
          <w:rFonts w:ascii="Arial"/>
          <w:sz w:val="24"/>
          <w:b/>
          <w:color w:val="black"/>
        </w:rPr>
        <w:t xml:space="preserve">1. En las Fuerzas Militares:</w:t>
      </w:r>
    </w:p>
    <w:p>
      <w:pPr>
        <w:jc w:val="both"/>
        <w:outlineLvl w:val="1"/>
      </w:pPr>
      <w:rPr>
        <w:sz w:val="24"/>
        <w:color w:val="black"/>
      </w:rPr>
    </w:p>
    <w:p>
      <w:pPr>
        <w:jc w:val="both"/>
        <w:outlineLvl w:val="1"/>
      </w:pPr>
      <w:r>
        <w:rPr>
          <w:rFonts w:hAnsi="Arial"/>
          <w:rFonts w:ascii="Arial"/>
          <w:sz w:val="24"/>
          <w:b/>
          <w:color w:val="black"/>
        </w:rPr>
        <w:t xml:space="preserve">a) En el Comando General de las Fuerzas Militares:</w:t>
      </w:r>
    </w:p>
    <w:p>
      <w:pPr>
        <w:jc w:val="both"/>
        <w:outlineLvl w:val="1"/>
      </w:pPr>
      <w:rPr>
        <w:sz w:val="24"/>
        <w:color w:val="black"/>
      </w:rPr>
    </w:p>
    <w:p>
      <w:pPr>
        <w:jc w:val="both"/>
        <w:outlineLvl w:val="1"/>
      </w:pPr>
      <w:r>
        <w:rPr>
          <w:rFonts w:hAnsi="Arial"/>
          <w:rFonts w:ascii="Arial"/>
          <w:sz w:val="24"/>
          <w:color w:val="black"/>
        </w:rPr>
        <w:t xml:space="preserve">1. La Jefatura de Inteligencia y Contrainteligencia Militar Conjunta, sus Direcciones, Divisiones y/o equivalentes y demás unidades o dependencias de inteligencia y contrainteligencia subordinadas a ella.</w:t>
      </w:r>
    </w:p>
    <w:p>
      <w:pPr>
        <w:jc w:val="both"/>
        <w:outlineLvl w:val="1"/>
      </w:pPr>
      <w:rPr>
        <w:sz w:val="24"/>
        <w:color w:val="black"/>
      </w:rPr>
    </w:p>
    <w:p>
      <w:pPr>
        <w:jc w:val="both"/>
        <w:outlineLvl w:val="1"/>
      </w:pPr>
      <w:r>
        <w:rPr>
          <w:rFonts w:hAnsi="Arial"/>
          <w:rFonts w:ascii="Arial"/>
          <w:sz w:val="24"/>
          <w:color w:val="black"/>
        </w:rPr>
        <w:t xml:space="preserve">2. Las unidades o dependencias de inteligencia y contrainteligencia en cada uno de los Comandos Conjuntos o Comandos de Fuerza de Tarea Conjunta.</w:t>
      </w:r>
    </w:p>
    <w:p>
      <w:pPr>
        <w:jc w:val="both"/>
        <w:outlineLvl w:val="1"/>
      </w:pPr>
      <w:rPr>
        <w:sz w:val="24"/>
        <w:color w:val="black"/>
      </w:rPr>
    </w:p>
    <w:p>
      <w:pPr>
        <w:jc w:val="both"/>
        <w:outlineLvl w:val="1"/>
      </w:pPr>
      <w:r>
        <w:rPr>
          <w:rFonts w:hAnsi="Arial"/>
          <w:rFonts w:ascii="Arial"/>
          <w:sz w:val="24"/>
          <w:color w:val="black"/>
        </w:rPr>
        <w:t xml:space="preserve">3. Las unidades o dependencias especiales creadas por el Comandante General de las Fuerzas Militares, mediante acto administrativo, para realizar actividades de Inteligencia y Contrainteligencia, previo concepto de la Jefatura de Inteligencia y Contrainteligencia Militar Conjunta, de acuerdo con su misión, competencias y funciones.</w:t>
      </w:r>
    </w:p>
    <w:p>
      <w:pPr>
        <w:jc w:val="both"/>
        <w:outlineLvl w:val="1"/>
      </w:pPr>
      <w:rPr>
        <w:sz w:val="24"/>
        <w:color w:val="black"/>
      </w:rPr>
    </w:p>
    <w:p>
      <w:pPr>
        <w:jc w:val="both"/>
        <w:outlineLvl w:val="1"/>
      </w:pPr>
      <w:r>
        <w:rPr>
          <w:rFonts w:hAnsi="Arial"/>
          <w:rFonts w:ascii="Arial"/>
          <w:sz w:val="24"/>
          <w:b/>
          <w:color w:val="black"/>
        </w:rPr>
        <w:t xml:space="preserve">b) En el Ejército Nacional:</w:t>
      </w:r>
    </w:p>
    <w:p>
      <w:pPr>
        <w:jc w:val="both"/>
        <w:outlineLvl w:val="1"/>
      </w:pPr>
      <w:rPr>
        <w:sz w:val="24"/>
        <w:color w:val="black"/>
      </w:rPr>
    </w:p>
    <w:p>
      <w:pPr>
        <w:jc w:val="both"/>
        <w:outlineLvl w:val="1"/>
      </w:pPr>
      <w:r>
        <w:rPr>
          <w:rFonts w:hAnsi="Arial"/>
          <w:rFonts w:ascii="Arial"/>
          <w:sz w:val="24"/>
          <w:color w:val="black"/>
        </w:rPr>
        <w:t xml:space="preserve">1. La Jefatura de Inteligencia y Contrainteligencia del Ejército Nacional, las dependencias y unidades de inteligencia y contrainteligencia subordinadas a ella.</w:t>
      </w:r>
    </w:p>
    <w:p>
      <w:pPr>
        <w:jc w:val="both"/>
        <w:outlineLvl w:val="1"/>
      </w:pPr>
      <w:rPr>
        <w:sz w:val="24"/>
        <w:color w:val="black"/>
      </w:rPr>
    </w:p>
    <w:p>
      <w:pPr>
        <w:jc w:val="both"/>
        <w:outlineLvl w:val="1"/>
      </w:pPr>
      <w:r>
        <w:rPr>
          <w:rFonts w:hAnsi="Arial"/>
          <w:rFonts w:ascii="Arial"/>
          <w:sz w:val="24"/>
          <w:color w:val="black"/>
        </w:rPr>
        <w:t xml:space="preserve">2. Las dependencias de inteligencia y contrainteligencia en cada División, Brigada, Batallón y unidades que por su naturaleza y misión desarrollen estas actividades en sus diferentes niveles.</w:t>
      </w:r>
    </w:p>
    <w:p>
      <w:pPr>
        <w:jc w:val="both"/>
        <w:outlineLvl w:val="1"/>
      </w:pPr>
      <w:rPr>
        <w:sz w:val="24"/>
        <w:color w:val="black"/>
      </w:rPr>
    </w:p>
    <w:p>
      <w:pPr>
        <w:jc w:val="both"/>
        <w:outlineLvl w:val="1"/>
      </w:pPr>
      <w:r>
        <w:rPr>
          <w:rFonts w:hAnsi="Arial"/>
          <w:rFonts w:ascii="Arial"/>
          <w:sz w:val="24"/>
          <w:color w:val="black"/>
        </w:rPr>
        <w:t xml:space="preserve">3. Las unidades especiales creadas por el Comandante del Ejército, mediante acto administrativo, para realizar actividades de Inteligencia y Contrainteligencia, previo concepto de la Jefatura de Inteligencia y Contrainteligencia Militar, de acuerdo con su misión, competencias y funciones.</w:t>
      </w:r>
    </w:p>
    <w:p>
      <w:pPr>
        <w:jc w:val="both"/>
        <w:outlineLvl w:val="1"/>
      </w:pPr>
      <w:rPr>
        <w:sz w:val="24"/>
        <w:color w:val="black"/>
      </w:rPr>
    </w:p>
    <w:p>
      <w:pPr>
        <w:jc w:val="both"/>
        <w:outlineLvl w:val="1"/>
      </w:pPr>
      <w:r>
        <w:rPr>
          <w:rFonts w:hAnsi="Arial"/>
          <w:rFonts w:ascii="Arial"/>
          <w:sz w:val="24"/>
          <w:b/>
          <w:color w:val="black"/>
        </w:rPr>
        <w:t xml:space="preserve">c) En la Armada Nacional:</w:t>
      </w:r>
    </w:p>
    <w:p>
      <w:pPr>
        <w:jc w:val="both"/>
        <w:outlineLvl w:val="1"/>
      </w:pPr>
      <w:rPr>
        <w:sz w:val="24"/>
        <w:color w:val="black"/>
      </w:rPr>
    </w:p>
    <w:p>
      <w:pPr>
        <w:jc w:val="both"/>
        <w:outlineLvl w:val="1"/>
      </w:pPr>
      <w:r>
        <w:rPr>
          <w:rFonts w:hAnsi="Arial"/>
          <w:rFonts w:ascii="Arial"/>
          <w:sz w:val="24"/>
          <w:color w:val="black"/>
        </w:rPr>
        <w:t xml:space="preserve">1. La Jefatura de Inteligencia Naval, las dependencias y unidades de inteligencia y contrainteligencia subordinadas a ella.</w:t>
      </w:r>
    </w:p>
    <w:p>
      <w:pPr>
        <w:jc w:val="both"/>
        <w:outlineLvl w:val="1"/>
      </w:pPr>
      <w:rPr>
        <w:sz w:val="24"/>
        <w:color w:val="black"/>
      </w:rPr>
    </w:p>
    <w:p>
      <w:pPr>
        <w:jc w:val="both"/>
        <w:outlineLvl w:val="1"/>
      </w:pPr>
      <w:r>
        <w:rPr>
          <w:rFonts w:hAnsi="Arial"/>
          <w:rFonts w:ascii="Arial"/>
          <w:sz w:val="24"/>
          <w:color w:val="black"/>
        </w:rPr>
        <w:t xml:space="preserve">2. Las dependencias de inteligencia y contrainteligencia en cada una de las unidades de la Armada Nacional, que por su naturaleza, misión y organización desarrollen estas actividades en sus diferentes niveles.</w:t>
      </w:r>
    </w:p>
    <w:p>
      <w:pPr>
        <w:jc w:val="both"/>
        <w:outlineLvl w:val="1"/>
      </w:pPr>
      <w:rPr>
        <w:sz w:val="24"/>
        <w:color w:val="black"/>
      </w:rPr>
    </w:p>
    <w:p>
      <w:pPr>
        <w:jc w:val="both"/>
        <w:outlineLvl w:val="1"/>
      </w:pPr>
      <w:r>
        <w:rPr>
          <w:rFonts w:hAnsi="Arial"/>
          <w:rFonts w:ascii="Arial"/>
          <w:sz w:val="24"/>
          <w:color w:val="black"/>
        </w:rPr>
        <w:t xml:space="preserve">3. Las unidades especiales creadas por el Comandante de la Armada Nacional, mediante acto administrativo, para realizar actividades de Inteligencia y Contrainteligencia, previo concepto de la Jefatura de Inteligencia Naval, de acuerdo con su misión, competencias y funciones.</w:t>
      </w:r>
    </w:p>
    <w:p>
      <w:pPr>
        <w:jc w:val="both"/>
        <w:outlineLvl w:val="1"/>
      </w:pPr>
      <w:rPr>
        <w:sz w:val="24"/>
        <w:color w:val="black"/>
      </w:rPr>
    </w:p>
    <w:p>
      <w:pPr>
        <w:jc w:val="both"/>
        <w:outlineLvl w:val="1"/>
      </w:pPr>
      <w:r>
        <w:rPr>
          <w:rFonts w:hAnsi="Arial"/>
          <w:rFonts w:ascii="Arial"/>
          <w:sz w:val="24"/>
          <w:b/>
          <w:color w:val="black"/>
        </w:rPr>
        <w:t xml:space="preserve">d) En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b/>
          <w:u w:val="none"/>
          <w:color w:val="black"/>
        </w:rPr>
        <w:t>:</w:t>
      </w:r>
    </w:p>
    <w:p>
      <w:pPr>
        <w:jc w:val="both"/>
        <w:outlineLvl w:val="1"/>
      </w:pPr>
      <w:rPr>
        <w:sz w:val="24"/>
        <w:color w:val="black"/>
      </w:rPr>
    </w:p>
    <w:p>
      <w:pPr>
        <w:jc w:val="both"/>
        <w:outlineLvl w:val="1"/>
      </w:pPr>
      <w:r>
        <w:rPr>
          <w:rFonts w:hAnsi="Arial"/>
          <w:rFonts w:ascii="Arial"/>
          <w:sz w:val="24"/>
          <w:color w:val="black"/>
        </w:rPr>
        <w:t xml:space="preserve">1. La Jefatura de Inteligencia Aérea, las dependencias y unidades de inteligencia y contrainteligencia subordinadas a ella.</w:t>
      </w:r>
    </w:p>
    <w:p>
      <w:pPr>
        <w:jc w:val="both"/>
        <w:outlineLvl w:val="1"/>
      </w:pPr>
      <w:rPr>
        <w:sz w:val="24"/>
        <w:color w:val="black"/>
      </w:rPr>
    </w:p>
    <w:p>
      <w:pPr>
        <w:jc w:val="both"/>
        <w:outlineLvl w:val="1"/>
      </w:pPr>
      <w:r>
        <w:rPr>
          <w:rFonts w:hAnsi="Arial"/>
          <w:rFonts w:ascii="Arial"/>
          <w:sz w:val="24"/>
          <w:color w:val="black"/>
        </w:rPr>
        <w:t xml:space="preserve">2. Las dependencias de inteligencia y contrainteligencia en cada una de las unidades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a nivel estratégico, operacional y táctico, que por su naturaleza y misión desarrollen estas actividades en sus diferentes niveles.</w:t>
      </w:r>
    </w:p>
    <w:p>
      <w:pPr>
        <w:jc w:val="both"/>
        <w:outlineLvl w:val="1"/>
      </w:pPr>
      <w:rPr>
        <w:sz w:val="24"/>
        <w:color w:val="black"/>
      </w:rPr>
    </w:p>
    <w:p>
      <w:pPr>
        <w:jc w:val="both"/>
        <w:outlineLvl w:val="1"/>
      </w:pPr>
      <w:r>
        <w:rPr>
          <w:rFonts w:hAnsi="Arial"/>
          <w:rFonts w:ascii="Arial"/>
          <w:sz w:val="24"/>
          <w:color w:val="black"/>
        </w:rPr>
        <w:t xml:space="preserve">3. Las unidades especiales autorizadas por el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mediante acto administrativo, para realizar actividades de Inteligencia y Contrainteligencia, previo concepto de la Jefatura de Inteligencia Aérea, de acuerdo con su misión, competencias y funciones.</w:t>
      </w:r>
    </w:p>
    <w:p>
      <w:pPr>
        <w:jc w:val="both"/>
        <w:outlineLvl w:val="1"/>
      </w:pPr>
      <w:rPr>
        <w:sz w:val="24"/>
        <w:color w:val="black"/>
      </w:rPr>
    </w:p>
    <w:p>
      <w:pPr>
        <w:jc w:val="both"/>
        <w:outlineLvl w:val="1"/>
      </w:pPr>
      <w:r>
        <w:rPr>
          <w:rFonts w:hAnsi="Arial"/>
          <w:rFonts w:ascii="Arial"/>
          <w:sz w:val="24"/>
          <w:b/>
          <w:color w:val="black"/>
        </w:rPr>
        <w:t xml:space="preserve">2. En la Policía Nacional:</w:t>
      </w:r>
    </w:p>
    <w:p>
      <w:pPr>
        <w:jc w:val="both"/>
        <w:outlineLvl w:val="1"/>
      </w:pPr>
      <w:rPr>
        <w:sz w:val="24"/>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La Dirección de Inteligencia Policial con sus dependencias subordinadas, la cual dirigirá, coordinará e integrará la función de inteligencia y contrainteligencia en la Policía Nacional.</w:t>
      </w:r>
    </w:p>
    <w:p>
      <w:pPr>
        <w:jc w:val="both"/>
        <w:outlineLvl w:val="1"/>
      </w:pPr>
      <w:rPr>
        <w:sz w:val="24"/>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Los grupos especializados de la Policía Nacional que sean creados por el Director General de la Policía Nacional, previo concepto de la Dirección de Inteligencia Policial, de acuerdo con su misión, competencias y funciones.</w:t>
      </w:r>
    </w:p>
    <w:p>
      <w:pPr>
        <w:jc w:val="both"/>
        <w:outlineLvl w:val="1"/>
      </w:pPr>
      <w:rPr>
        <w:sz w:val="24"/>
        <w:color w:val="black"/>
      </w:rPr>
    </w:p>
    <w:p>
      <w:pPr>
        <w:jc w:val="both"/>
        <w:outlineLvl w:val="1"/>
      </w:pPr>
      <w:r>
        <w:rPr>
          <w:rFonts w:hAnsi="Arial"/>
          <w:rFonts w:ascii="Arial"/>
          <w:sz w:val="24"/>
          <w:b/>
          <w:color w:val="black"/>
        </w:rPr>
        <w:t xml:space="preserve">3. En el Departamento Administrativo "Dirección Nacional de Inteligencia"</w:t>
      </w:r>
    </w:p>
    <w:p>
      <w:pPr>
        <w:jc w:val="both"/>
        <w:outlineLvl w:val="1"/>
      </w:pPr>
      <w:rPr>
        <w:sz w:val="24"/>
        <w:color w:val="black"/>
      </w:rPr>
    </w:p>
    <w:p>
      <w:pPr>
        <w:jc w:val="both"/>
        <w:outlineLvl w:val="1"/>
      </w:pPr>
      <w:r>
        <w:rPr>
          <w:rFonts w:hAnsi="Arial"/>
          <w:rFonts w:ascii="Arial"/>
          <w:sz w:val="24"/>
          <w:color w:val="black"/>
        </w:rPr>
        <w:t xml:space="preserve">Todas las dependencias orgánicas a ella.</w:t>
      </w:r>
    </w:p>
    <w:p>
      <w:pPr>
        <w:jc w:val="both"/>
        <w:outlineLvl w:val="1"/>
      </w:pPr>
      <w:rPr>
        <w:sz w:val="24"/>
        <w:color w:val="black"/>
      </w:rPr>
    </w:p>
    <w:p>
      <w:pPr>
        <w:jc w:val="both"/>
        <w:outlineLvl w:val="1"/>
      </w:pPr>
      <w:r>
        <w:rPr>
          <w:rFonts w:hAnsi="Arial"/>
          <w:rFonts w:ascii="Arial"/>
          <w:sz w:val="24"/>
          <w:b/>
          <w:color w:val="black"/>
        </w:rPr>
        <w:t xml:space="preserve">4. En la Unidad de Información y Análisis Financiero (UIAF)</w:t>
      </w:r>
    </w:p>
    <w:p>
      <w:pPr>
        <w:jc w:val="both"/>
        <w:outlineLvl w:val="1"/>
      </w:pPr>
      <w:rPr>
        <w:sz w:val="24"/>
        <w:color w:val="black"/>
      </w:rPr>
    </w:p>
    <w:p>
      <w:pPr>
        <w:jc w:val="both"/>
        <w:outlineLvl w:val="1"/>
      </w:pPr>
      <w:r>
        <w:rPr>
          <w:rFonts w:hAnsi="Arial"/>
          <w:rFonts w:ascii="Arial"/>
          <w:sz w:val="24"/>
          <w:color w:val="black"/>
        </w:rPr>
        <w:t xml:space="preserve">Todas las dependencias orgánicas a ella.</w:t>
      </w:r>
    </w:p>
    <w:p>
      <w:pPr>
        <w:jc w:val="both"/>
        <w:outlineLvl w:val="1"/>
      </w:pPr>
      <w:rPr>
        <w:sz w:val="24"/>
        <w:color w:val="black"/>
      </w:rPr>
    </w:p>
    <w:p>
      <w:pPr>
        <w:jc w:val="both"/>
        <w:outlineLvl w:val="1"/>
      </w:pPr>
      <w:r>
        <w:rPr>
          <w:rFonts w:hAnsi="Arial"/>
          <w:rFonts w:ascii="Arial"/>
          <w:sz w:val="24"/>
          <w:i/>
          <w:color w:val="black"/>
        </w:rPr>
        <w:t xml:space="preserve">(Decreto 857 de 2014 artículo </w:t>
      </w:r>
      <w:r>
        <w:fldChar w:fldCharType="begin"/>
      </w:r>
      <w:r>
        <w:instrText>HYPERLINK "http://www.redjurista.com/document.aspx?ajcode=d0857014&amp;arts=1"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58" w:name="CAPÍTULO 2.2.3.2"/>
      <w:r>
        <w:rPr>
          <w:rFonts w:hAnsi="Arial"/>
          <w:rFonts w:ascii="Arial"/>
          <w:sz w:val="24"/>
          <w:color w:val="navy"/>
        </w:rPr>
        <w:t xml:space="preserve">CAPÍTULO 2. </w:t>
      </w:r>
    </w:p>
    <w:p>
      <w:pPr>
        <w:jc w:val="center"/>
      </w:pPr>
      <w:r>
        <w:rPr>
          <w:rFonts w:hAnsi="Arial"/>
          <w:rFonts w:ascii="Arial"/>
          <w:sz w:val="24"/>
          <w:color w:val="navy"/>
        </w:rPr>
        <w:t xml:space="preserve">REQUERIMIENTOS DE INTELIGENCIA Y CONTRAINTELIGENCIA.</w:t>
      </w:r>
      <w:bookmarkEnd w:id="5995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59" w:name="2.2.3.2.1"/>
      <w:r>
        <w:rPr>
          <w:rFonts w:hAnsi="Arial"/>
          <w:rFonts w:ascii="Arial"/>
          <w:sz w:val="24"/>
          <w:color w:val="navy"/>
        </w:rPr>
        <w:t xml:space="preserve">ARTÍCULO 2.2.3.2.1. </w:t>
      </w:r>
      <w:r>
        <w:rPr>
          <w:rFonts w:hAnsi="Arial"/>
          <w:rFonts w:ascii="Arial"/>
          <w:sz w:val="24"/>
          <w:i/>
          <w:color w:val="navy"/>
        </w:rPr>
        <w:t xml:space="preserve">PLAN NACIONAL DE INTELIGENCIA.</w:t>
      </w:r>
      <w:bookmarkEnd w:id="59959"/>
      <w:r>
        <w:rPr>
          <w:rFonts w:hAnsi="Arial"/>
          <w:rFonts w:ascii="Arial"/>
          <w:sz w:val="24"/>
          <w:b/>
          <w:i/>
          <w:color w:val="black"/>
        </w:rPr>
        <w:t xml:space="preserve"> </w:t>
      </w:r>
      <w:r>
        <w:rPr>
          <w:rFonts w:hAnsi="Arial"/>
          <w:rFonts w:ascii="Arial"/>
          <w:sz w:val="24"/>
          <w:color w:val="black"/>
        </w:rPr>
        <w:t xml:space="preserve">El Plan Nacional de Inteligencia, es el documento que desarrolla los requerimientos y las prioridades establecidas por el Gobierno Nacional en materia de inteligencia y contrainteligencia, y asigna responsabilidades, deberá contener como mínimo los siguientes elementos estructurales en su elaboración y adopción:</w:t>
      </w:r>
    </w:p>
    <w:p>
      <w:pPr>
        <w:jc w:val="both"/>
      </w:pPr>
      <w:rPr>
        <w:sz w:val="24"/>
        <w:color w:val="black"/>
      </w:rPr>
    </w:p>
    <w:p>
      <w:pPr>
        <w:jc w:val="both"/>
      </w:pPr>
      <w:r>
        <w:rPr>
          <w:rFonts w:hAnsi="Arial"/>
          <w:rFonts w:ascii="Arial"/>
          <w:sz w:val="24"/>
          <w:b/>
          <w:color w:val="black"/>
        </w:rPr>
        <w:t xml:space="preserve">a) Objetivo General</w:t>
      </w:r>
      <w:r>
        <w:rPr>
          <w:rFonts w:hAnsi="Arial"/>
          <w:rFonts w:ascii="Arial"/>
          <w:sz w:val="24"/>
          <w:color w:val="black"/>
        </w:rPr>
        <w:t xml:space="preserve">. En este punto se indicarán los aspectos ordenados por la Constitución y la ley para la elaboración del Plan Nacional de Inteligencia.</w:t>
      </w:r>
    </w:p>
    <w:p>
      <w:pPr>
        <w:jc w:val="both"/>
      </w:pPr>
      <w:rPr>
        <w:sz w:val="24"/>
        <w:color w:val="black"/>
      </w:rPr>
    </w:p>
    <w:p>
      <w:pPr>
        <w:jc w:val="both"/>
      </w:pPr>
      <w:r>
        <w:rPr>
          <w:rFonts w:hAnsi="Arial"/>
          <w:rFonts w:ascii="Arial"/>
          <w:sz w:val="24"/>
          <w:b/>
          <w:color w:val="black"/>
        </w:rPr>
        <w:t xml:space="preserve">b) Límites y fines. </w:t>
      </w:r>
      <w:r>
        <w:rPr>
          <w:rFonts w:hAnsi="Arial"/>
          <w:rFonts w:ascii="Arial"/>
          <w:sz w:val="24"/>
          <w:color w:val="black"/>
        </w:rPr>
        <w:t xml:space="preserve">El Plan Nacional de Inteligencia, se ajustará a lo dispuesto en los artículos </w:t>
      </w:r>
      <w:r>
        <w:fldChar w:fldCharType="begin"/>
      </w:r>
      <w:r>
        <w:instrText>HYPERLINK "http://www.redjurista.com/document.aspx?ajcode=l1621013&amp;arts=4"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y </w:t>
      </w:r>
      <w:r>
        <w:fldChar w:fldCharType="begin"/>
      </w:r>
      <w:r>
        <w:instrText>HYPERLINK "http://www.redjurista.com/document.aspx?ajcode=l1621013&amp;arts=5"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1621 de 2013.</w:t>
      </w:r>
    </w:p>
    <w:p>
      <w:pPr>
        <w:jc w:val="both"/>
      </w:pPr>
      <w:rPr>
        <w:sz w:val="24"/>
        <w:color w:val="black"/>
      </w:rPr>
    </w:p>
    <w:p>
      <w:pPr>
        <w:jc w:val="both"/>
      </w:pPr>
      <w:r>
        <w:rPr>
          <w:rFonts w:hAnsi="Arial"/>
          <w:rFonts w:ascii="Arial"/>
          <w:sz w:val="24"/>
          <w:b/>
          <w:color w:val="black"/>
        </w:rPr>
        <w:t xml:space="preserve">c) Requerimientos</w:t>
      </w:r>
      <w:r>
        <w:rPr>
          <w:rFonts w:hAnsi="Arial"/>
          <w:rFonts w:ascii="Arial"/>
          <w:sz w:val="24"/>
          <w:color w:val="black"/>
        </w:rPr>
        <w:t xml:space="preserve">. Son aquellos determinados en los artículos </w:t>
      </w:r>
      <w:r>
        <w:fldChar w:fldCharType="begin"/>
      </w:r>
      <w:r>
        <w:instrText>HYPERLINK "http://www.redjurista.com/document.aspx?ajcode=l1621013&amp;arts=7"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y </w:t>
      </w:r>
      <w:r>
        <w:fldChar w:fldCharType="begin"/>
      </w:r>
      <w:r>
        <w:instrText>HYPERLINK "http://www.redjurista.com/document.aspx?ajcode=l1621013&amp;arts=9"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1621 de 2013.</w:t>
      </w:r>
    </w:p>
    <w:p>
      <w:pPr>
        <w:jc w:val="both"/>
      </w:pPr>
      <w:rPr>
        <w:sz w:val="24"/>
        <w:color w:val="black"/>
      </w:rPr>
    </w:p>
    <w:p>
      <w:pPr>
        <w:jc w:val="both"/>
      </w:pPr>
      <w:r>
        <w:rPr>
          <w:rFonts w:hAnsi="Arial"/>
          <w:rFonts w:ascii="Arial"/>
          <w:sz w:val="24"/>
          <w:b/>
          <w:color w:val="black"/>
        </w:rPr>
        <w:t xml:space="preserve">d) Amenazas, riesgos, prioridades</w:t>
      </w:r>
      <w:r>
        <w:rPr>
          <w:rFonts w:hAnsi="Arial"/>
          <w:rFonts w:ascii="Arial"/>
          <w:sz w:val="24"/>
          <w:color w:val="black"/>
        </w:rPr>
        <w:t xml:space="preserve">. El Plan Nacional de Inteligencia debe orientar la coordinación, cooperación y esfuerzo relacionados con el desarrollo de la función y las actividades de inteligencia y contrainteligencia, frente a posibles amenazas y riesgos contra la seguridad y defensa nacional y demás fines enunciados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observando las potencialidades y capacidades del Estado, dando prioridad en su ejecución a aquellas actividades de inteligencia y contrainteligencia que el Gobierno Nacional requiera, bien sea por su impacto, probabilidad de ocurrencia, valor estratégico y/o afectación de los intereses nacionales.</w:t>
      </w:r>
    </w:p>
    <w:p>
      <w:pPr>
        <w:jc w:val="both"/>
      </w:pPr>
      <w:rPr>
        <w:sz w:val="24"/>
        <w:color w:val="black"/>
      </w:rPr>
    </w:p>
    <w:p>
      <w:pPr>
        <w:jc w:val="both"/>
      </w:pPr>
      <w:r>
        <w:rPr>
          <w:rFonts w:hAnsi="Arial"/>
          <w:rFonts w:ascii="Arial"/>
          <w:sz w:val="24"/>
          <w:b/>
          <w:color w:val="black"/>
        </w:rPr>
        <w:t xml:space="preserve">e) Asignación de responsabilidades. </w:t>
      </w:r>
      <w:r>
        <w:rPr>
          <w:rFonts w:hAnsi="Arial"/>
          <w:rFonts w:ascii="Arial"/>
          <w:sz w:val="24"/>
          <w:color w:val="black"/>
        </w:rPr>
        <w:t xml:space="preserve">La asignación de responsabilidades en el Plan debe estar alineada con la misión constitucional y legal, y ser conforme a las competencias y al principio de especialidad de cada uno de los organismos que desarrollan actividades de inteligencia y contrainteligencia.</w:t>
      </w:r>
    </w:p>
    <w:p>
      <w:pPr>
        <w:jc w:val="both"/>
      </w:pPr>
      <w:rPr>
        <w:sz w:val="24"/>
        <w:color w:val="black"/>
      </w:rPr>
    </w:p>
    <w:p>
      <w:pPr>
        <w:jc w:val="both"/>
      </w:pPr>
      <w:r>
        <w:rPr>
          <w:rFonts w:hAnsi="Arial"/>
          <w:rFonts w:ascii="Arial"/>
          <w:sz w:val="24"/>
          <w:b/>
          <w:color w:val="black"/>
        </w:rPr>
        <w:t xml:space="preserve">f) Seguimiento y evaluación. </w:t>
      </w:r>
      <w:r>
        <w:rPr>
          <w:rFonts w:hAnsi="Arial"/>
          <w:rFonts w:ascii="Arial"/>
          <w:sz w:val="24"/>
          <w:color w:val="black"/>
        </w:rPr>
        <w:t xml:space="preserve">Estará a cargo de la Junta de Inteligencia Conjunta realizar seguimiento y evaluación periódica al cumplimiento de los requerimientos de inteligencia y contrainteligencia establecidos en el Plan Nacional de Inteligencia.</w:t>
      </w:r>
    </w:p>
    <w:p>
      <w:pPr>
        <w:jc w:val="both"/>
      </w:pPr>
      <w:rPr>
        <w:sz w:val="24"/>
        <w:color w:val="black"/>
      </w:rPr>
    </w:p>
    <w:p>
      <w:pPr>
        <w:jc w:val="both"/>
      </w:pPr>
      <w:r>
        <w:rPr>
          <w:rFonts w:hAnsi="Arial"/>
          <w:rFonts w:ascii="Arial"/>
          <w:sz w:val="24"/>
          <w:b/>
          <w:color w:val="black"/>
        </w:rPr>
        <w:t xml:space="preserve">g) Vigencia</w:t>
      </w:r>
      <w:r>
        <w:rPr>
          <w:rFonts w:hAnsi="Arial"/>
          <w:rFonts w:ascii="Arial"/>
          <w:sz w:val="24"/>
          <w:color w:val="black"/>
        </w:rPr>
        <w:t xml:space="preserve">. El Plan Nacional de Inteligencia tendrá una vigencia de un (1) año a partir de su adopción.</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60" w:name="CAPÍTULO 2.2.3.3"/>
      <w:r>
        <w:rPr>
          <w:rFonts w:hAnsi="Arial"/>
          <w:rFonts w:ascii="Arial"/>
          <w:sz w:val="24"/>
          <w:color w:val="navy"/>
        </w:rPr>
        <w:t xml:space="preserve">CAPÍTULO 3. </w:t>
      </w:r>
    </w:p>
    <w:p>
      <w:pPr>
        <w:jc w:val="center"/>
      </w:pPr>
      <w:r>
        <w:rPr>
          <w:rFonts w:hAnsi="Arial"/>
          <w:rFonts w:ascii="Arial"/>
          <w:sz w:val="24"/>
          <w:color w:val="navy"/>
        </w:rPr>
        <w:t xml:space="preserve">COORDINACIÓN, COOPERACIÓN Y COLABORACIÓN.</w:t>
      </w:r>
      <w:bookmarkEnd w:id="59960"/>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61" w:name="2.2.3.3.1"/>
      <w:r>
        <w:rPr>
          <w:rFonts w:hAnsi="Arial"/>
          <w:rFonts w:ascii="Arial"/>
          <w:sz w:val="24"/>
          <w:color w:val="navy"/>
        </w:rPr>
        <w:t xml:space="preserve">ARTÍCULO 2.2.3.3.1. </w:t>
      </w:r>
      <w:r>
        <w:rPr>
          <w:rFonts w:hAnsi="Arial"/>
          <w:rFonts w:ascii="Arial"/>
          <w:sz w:val="24"/>
          <w:i/>
          <w:color w:val="navy"/>
        </w:rPr>
        <w:t xml:space="preserve">COORDINACIÓN Y COOPERACIÓN PARA EL INTERCAMBIO DE INFORMACIÓN.</w:t>
      </w:r>
      <w:bookmarkEnd w:id="59961"/>
      <w:r>
        <w:rPr>
          <w:rFonts w:hAnsi="Arial"/>
          <w:rFonts w:ascii="Arial"/>
          <w:sz w:val="24"/>
          <w:b/>
          <w:i/>
          <w:color w:val="black"/>
        </w:rPr>
        <w:t xml:space="preserve"> </w:t>
      </w:r>
      <w:r>
        <w:rPr>
          <w:rFonts w:hAnsi="Arial"/>
          <w:rFonts w:ascii="Arial"/>
          <w:sz w:val="24"/>
          <w:color w:val="black"/>
        </w:rPr>
        <w:t xml:space="preserve">En el marco del cumplimiento de sus funciones los organismos de inteligencia y contrainteligencia deberán compartir información de acuerdo con la misión constitucional, legal y conforme a las competencias y principio de especialidad. Cada entidad será responsable de manejar la información que se comparta con la debida reserva y observando los protocolos de seguridad y acceso de la información establecidos por la Junta de Inteligencia Conjunta JIC.</w:t>
      </w:r>
    </w:p>
    <w:p>
      <w:pPr>
        <w:jc w:val="both"/>
      </w:pPr>
      <w:rPr>
        <w:sz w:val="24"/>
        <w:color w:val="black"/>
      </w:rPr>
    </w:p>
    <w:p>
      <w:pPr>
        <w:jc w:val="both"/>
      </w:pPr>
      <w:r>
        <w:rPr>
          <w:rFonts w:hAnsi="Arial"/>
          <w:rFonts w:ascii="Arial"/>
          <w:sz w:val="24"/>
          <w:color w:val="black"/>
        </w:rPr>
        <w:t xml:space="preserve">Cuando se intercambie información con organismos o entidades homólogas de orden nacional o internacional, los Jefes o Directores de los organismos de inteligencia y contrainteligencia podrán suscribir los acuerdos, protocolos y/o memorandos de entendimiento, en los que se deben fijar con claridad los parámetros que garanticen la reserva legal, la seguridad de la información y las restricciones legales a la difusión de la misma.</w:t>
      </w:r>
    </w:p>
    <w:p>
      <w:pPr>
        <w:jc w:val="both"/>
      </w:pPr>
      <w:rPr>
        <w:sz w:val="24"/>
        <w:color w:val="black"/>
      </w:rPr>
    </w:p>
    <w:p>
      <w:pPr>
        <w:jc w:val="both"/>
      </w:pPr>
      <w:r>
        <w:rPr>
          <w:rFonts w:hAnsi="Arial"/>
          <w:rFonts w:ascii="Arial"/>
          <w:sz w:val="24"/>
          <w:color w:val="black"/>
        </w:rPr>
        <w:t xml:space="preserve">Los acuerdos, protocolos y/o memorandos de entendimiento deberán estar ajustados a la Constitución, a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y los decretos específicos en materia de la función y actividades de inteligencia y contrainteligencia.</w:t>
      </w:r>
    </w:p>
    <w:p>
      <w:pPr>
        <w:jc w:val="both"/>
      </w:pPr>
      <w:rPr>
        <w:sz w:val="24"/>
        <w:color w:val="black"/>
      </w:rPr>
    </w:p>
    <w:p>
      <w:pPr>
        <w:jc w:val="both"/>
      </w:pPr>
      <w:r>
        <w:rPr>
          <w:rFonts w:hAnsi="Arial"/>
          <w:rFonts w:ascii="Arial"/>
          <w:sz w:val="24"/>
          <w:color w:val="black"/>
        </w:rPr>
        <w:t xml:space="preserve">Los Jefes y Directores de los organismos de inteligencia y contrainteligencia podrán suscribir directamente acuerdos, convenios y protocolos con los organismos homólogos, nacionales e internacionales, en los cuales se garantice la reserva legal, la seguridad y la protección de la información.</w:t>
      </w:r>
    </w:p>
    <w:p>
      <w:pPr>
        <w:jc w:val="both"/>
      </w:pPr>
      <w:rPr>
        <w:sz w:val="24"/>
        <w:color w:val="black"/>
      </w:rPr>
    </w:p>
    <w:p>
      <w:pPr>
        <w:jc w:val="both"/>
      </w:pPr>
      <w:r>
        <w:rPr>
          <w:rFonts w:hAnsi="Arial"/>
          <w:rFonts w:ascii="Arial"/>
          <w:sz w:val="24"/>
          <w:color w:val="black"/>
        </w:rPr>
        <w:t xml:space="preserve">Tratándose de intercambio de información con organismos internacionales se establecerán y ajustarán los instrumentos internacionales, convenios, tratados y protocolos para establecer su uso, garantizar la reserva legal, la seguridad de la misma y evitar la difusión no autorizada a terceros.</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62" w:name="2.2.3.3.2"/>
      <w:r>
        <w:rPr>
          <w:rFonts w:hAnsi="Arial"/>
          <w:rFonts w:ascii="Arial"/>
          <w:sz w:val="24"/>
          <w:color w:val="navy"/>
        </w:rPr>
        <w:t xml:space="preserve">ARTÍCULO 2.2.3.3.2. </w:t>
      </w:r>
      <w:r>
        <w:rPr>
          <w:rFonts w:hAnsi="Arial"/>
          <w:rFonts w:ascii="Arial"/>
          <w:sz w:val="24"/>
          <w:i/>
          <w:color w:val="navy"/>
        </w:rPr>
        <w:t xml:space="preserve">COLABORACIÓN DE OTRAS ENTIDADES PÚBLICAS Y PRIVADAS EN EL SUMINISTRO DE INFORMACIÓN.</w:t>
      </w:r>
      <w:bookmarkEnd w:id="59962"/>
      <w:r>
        <w:rPr>
          <w:rFonts w:hAnsi="Arial"/>
          <w:rFonts w:ascii="Arial"/>
          <w:sz w:val="24"/>
          <w:b/>
          <w:i/>
          <w:color w:val="black"/>
        </w:rPr>
        <w:t xml:space="preserve"> </w:t>
      </w:r>
      <w:r>
        <w:rPr>
          <w:rFonts w:hAnsi="Arial"/>
          <w:rFonts w:ascii="Arial"/>
          <w:sz w:val="24"/>
          <w:color w:val="black"/>
        </w:rPr>
        <w:t xml:space="preserve">En el marco de la colaboración y coordinación interinstitucional, con el fin de requerir información útil y necesaria para la función de inteligencia y contrainteligencia del Estado, los Jefes o Directores de los organismos de inteligencia y contrainteligencia, podrán suscribir convenios, acuerdos o protocolos interinstitucionales con otras entidades públicas y privadas, de acuerdo con lo consagrado en el artículo </w:t>
      </w:r>
      <w:r>
        <w:fldChar w:fldCharType="begin"/>
      </w:r>
      <w:r>
        <w:instrText>HYPERLINK "http://www.redjurista.com/document.aspx?ajcode=l1621013&amp;arts=42"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1621 de 2013.</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63" w:name="2.2.3.4"/>
      <w:r>
        <w:rPr>
          <w:rFonts w:hAnsi="Arial"/>
          <w:rFonts w:ascii="Arial"/>
          <w:sz w:val="24"/>
          <w:color w:val="navy"/>
        </w:rPr>
        <w:t xml:space="preserve">CAPÍTULO 4. </w:t>
      </w:r>
    </w:p>
    <w:p>
      <w:pPr>
        <w:jc w:val="center"/>
      </w:pPr>
      <w:r>
        <w:rPr>
          <w:rFonts w:hAnsi="Arial"/>
          <w:rFonts w:ascii="Arial"/>
          <w:sz w:val="24"/>
          <w:color w:val="navy"/>
        </w:rPr>
        <w:t xml:space="preserve">DOCUMENTOS DE INTELIGENCIA Y CONTRAINTELIGENCIA, ÓRDENES DE OPERACIONES Y/O MISIONES DE TRABAJO.</w:t>
      </w:r>
      <w:bookmarkEnd w:id="59963"/>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64" w:name="2.2.3.4.1"/>
      <w:r>
        <w:rPr>
          <w:rFonts w:hAnsi="Arial"/>
          <w:rFonts w:ascii="Arial"/>
          <w:sz w:val="24"/>
          <w:color w:val="navy"/>
        </w:rPr>
        <w:t xml:space="preserve">ARTÍCULO 2.2.3.4.1. </w:t>
      </w:r>
      <w:r>
        <w:rPr>
          <w:rFonts w:hAnsi="Arial"/>
          <w:rFonts w:ascii="Arial"/>
          <w:sz w:val="24"/>
          <w:i/>
          <w:color w:val="navy"/>
        </w:rPr>
        <w:t xml:space="preserve">DOCUMENTOS DE INTELIGENCIA Y CONTRAINTELIGENCIA.</w:t>
      </w:r>
      <w:bookmarkEnd w:id="59964"/>
      <w:r>
        <w:rPr>
          <w:rFonts w:hAnsi="Arial"/>
          <w:rFonts w:ascii="Arial"/>
          <w:sz w:val="24"/>
          <w:b/>
          <w:i/>
          <w:color w:val="black"/>
        </w:rPr>
        <w:t xml:space="preserve"> </w:t>
      </w:r>
      <w:r>
        <w:rPr>
          <w:rFonts w:hAnsi="Arial"/>
          <w:rFonts w:ascii="Arial"/>
          <w:sz w:val="24"/>
          <w:color w:val="black"/>
        </w:rPr>
        <w:t xml:space="preserve">Son documentos de inteligencia y contrainteligencia todos aquellos originados, procesados y/o producidos en los organismos de inteligencia y contrainteligencia con los niveles de clasificación establecidos en el presente Título. Estos documentos de conformidad con la ley están protegidos por la reserva legal.</w:t>
      </w:r>
    </w:p>
    <w:p>
      <w:rPr>
        <w:color w:val="black"/>
      </w:rPr>
    </w:p>
    <w:p>
      <w:pPr>
        <w:jc w:val="both"/>
      </w:pPr>
      <w:r>
        <w:rPr>
          <w:rFonts w:hAnsi="Arial"/>
          <w:rFonts w:ascii="Arial"/>
          <w:sz w:val="24"/>
          <w:color w:val="black"/>
        </w:rPr>
        <w:t xml:space="preserve">Los documentos de inteligencia y contrainteligencia pueden estar contenidos en medios físicos, digitales o similares, de acuerdo con los desarrollos científicos o tecnológicos y deben encontrarse bajo la administración, protección, custodia y seguridad de los organismos de inteligencia y contrainteligencia, los receptores autorizados o las entidades del Estado que de acuerdo con la ley deban conocer de ellos.</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65" w:name="2.2.3.4.2"/>
      <w:r>
        <w:rPr>
          <w:rFonts w:hAnsi="Arial"/>
          <w:rFonts w:ascii="Arial"/>
          <w:sz w:val="24"/>
          <w:color w:val="navy"/>
        </w:rPr>
        <w:t xml:space="preserve">ARTÍCULO 2.2.3.4.2. </w:t>
      </w:r>
      <w:r>
        <w:rPr>
          <w:rFonts w:hAnsi="Arial"/>
          <w:rFonts w:ascii="Arial"/>
          <w:sz w:val="24"/>
          <w:i/>
          <w:color w:val="navy"/>
        </w:rPr>
        <w:t xml:space="preserve">PROTECCIÓN DE LOS DOCUMENTOS DE INTELIGENCIA Y CONTRAINTELIGENCIA.</w:t>
      </w:r>
      <w:bookmarkEnd w:id="59965"/>
      <w:r>
        <w:rPr>
          <w:rFonts w:hAnsi="Arial"/>
          <w:rFonts w:ascii="Arial"/>
          <w:sz w:val="24"/>
          <w:b/>
          <w:i/>
          <w:color w:val="black"/>
        </w:rPr>
        <w:t xml:space="preserve"> </w:t>
      </w:r>
      <w:r>
        <w:rPr>
          <w:rFonts w:hAnsi="Arial"/>
          <w:rFonts w:ascii="Arial"/>
          <w:sz w:val="24"/>
          <w:color w:val="black"/>
        </w:rPr>
        <w:t xml:space="preserve">De conformidad con la ley, los documentos de inteligencia y contrainteligencia estarán amparados, en todo momento, por la reserva legal en cualquiera de los niveles de clasificación que se les asigne. La difusión contenida en estos documentos de inteligencia y contrainteligencia observará los parámetros y restricciones consagrados en la Constitución,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el presente Título, los manuales y protocolos que se establezcan al interior de cada organismo para su adecuada administración, protección, custodia y seguridad de la información.</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59966" w:name="2.2.3.4.3"/>
      <w:r>
        <w:rPr>
          <w:rFonts w:hAnsi="Arial"/>
          <w:rFonts w:ascii="Arial"/>
          <w:sz w:val="24"/>
          <w:color w:val="navy"/>
        </w:rPr>
        <w:t xml:space="preserve">ARTÍCULO 2.2.3.4.3. </w:t>
      </w:r>
      <w:r>
        <w:rPr>
          <w:rFonts w:hAnsi="Arial"/>
          <w:rFonts w:ascii="Arial"/>
          <w:sz w:val="24"/>
          <w:i/>
          <w:color w:val="navy"/>
        </w:rPr>
        <w:t xml:space="preserve">ORDEN DE OPERACIONES Y/O MISIÓN DE TRABAJO. </w:t>
      </w:r>
      <w:bookmarkEnd w:id="59966"/>
      <w:r>
        <w:rPr>
          <w:rFonts w:hAnsi="Arial"/>
          <w:rFonts w:ascii="Arial"/>
          <w:sz w:val="24"/>
          <w:color w:val="black"/>
        </w:rPr>
        <w:t xml:space="preserve">Las órdenes de operaciones y/o misión de trabajo de inteligencia y contrainteligencia serán los documentos soportes básicos de las actividades de inteligencia y contrainteligencia y deberán contener:</w:t>
      </w:r>
    </w:p>
    <w:p>
      <w:pPr>
        <w:jc w:val="both"/>
      </w:pPr>
      <w:rPr>
        <w:sz w:val="24"/>
        <w:color w:val="black"/>
      </w:rPr>
    </w:p>
    <w:p>
      <w:pPr>
        <w:jc w:val="both"/>
      </w:pPr>
      <w:r>
        <w:rPr>
          <w:rFonts w:hAnsi="Arial"/>
          <w:rFonts w:ascii="Arial"/>
          <w:sz w:val="24"/>
          <w:b/>
          <w:color w:val="black"/>
        </w:rPr>
        <w:t xml:space="preserve">a) </w:t>
      </w:r>
      <w:r>
        <w:rPr>
          <w:rFonts w:hAnsi="Arial"/>
          <w:rFonts w:ascii="Arial"/>
          <w:sz w:val="24"/>
          <w:color w:val="black"/>
        </w:rPr>
        <w:t xml:space="preserve">Marco jurídico. Referencia de las normas legales en que se sustenta.</w:t>
      </w:r>
    </w:p>
    <w:p>
      <w:pPr>
        <w:jc w:val="both"/>
      </w:pPr>
      <w:rPr>
        <w:sz w:val="24"/>
        <w:color w:val="black"/>
      </w:rPr>
    </w:p>
    <w:p>
      <w:pPr>
        <w:jc w:val="both"/>
      </w:pPr>
      <w:r>
        <w:rPr>
          <w:rFonts w:hAnsi="Arial"/>
          <w:rFonts w:ascii="Arial"/>
          <w:sz w:val="24"/>
          <w:b/>
          <w:color w:val="black"/>
        </w:rPr>
        <w:t xml:space="preserve">b) </w:t>
      </w:r>
      <w:r>
        <w:rPr>
          <w:rFonts w:hAnsi="Arial"/>
          <w:rFonts w:ascii="Arial"/>
          <w:sz w:val="24"/>
          <w:color w:val="black"/>
        </w:rPr>
        <w:t xml:space="preserve">Motivación. Indicará el literal o literales correspondientes del artículo </w:t>
      </w:r>
      <w:r>
        <w:fldChar w:fldCharType="begin"/>
      </w:r>
      <w:r>
        <w:instrText>HYPERLINK "http://www.redjurista.com/document.aspx?ajcode=l1621013&amp;arts=4"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1621 de 2013 que sustenta o sustentan la actividad de inteligencia o contrainteligencia. Incluirá la relación entre la actividad de inteligencia, los fines y la ponderación respecto de los principios consagrados en el artículo </w:t>
      </w:r>
      <w:r>
        <w:fldChar w:fldCharType="begin"/>
      </w:r>
      <w:r>
        <w:instrText>HYPERLINK "http://www.redjurista.com/document.aspx?ajcode=l1621013&amp;arts=5"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1621 de 2013.</w:t>
      </w:r>
    </w:p>
    <w:p>
      <w:pPr>
        <w:jc w:val="both"/>
      </w:pPr>
      <w:rPr>
        <w:sz w:val="24"/>
        <w:color w:val="black"/>
      </w:rPr>
    </w:p>
    <w:p>
      <w:pPr>
        <w:jc w:val="both"/>
      </w:pPr>
      <w:r>
        <w:rPr>
          <w:rFonts w:hAnsi="Arial"/>
          <w:rFonts w:ascii="Arial"/>
          <w:sz w:val="24"/>
          <w:b/>
          <w:color w:val="black"/>
        </w:rPr>
        <w:t xml:space="preserve">c) </w:t>
      </w:r>
      <w:r>
        <w:rPr>
          <w:rFonts w:hAnsi="Arial"/>
          <w:rFonts w:ascii="Arial"/>
          <w:sz w:val="24"/>
          <w:color w:val="black"/>
        </w:rPr>
        <w:t xml:space="preserve">Planeamiento de la actividad: Contemplará las actividades, medios y recursos.</w:t>
      </w:r>
    </w:p>
    <w:p>
      <w:pPr>
        <w:jc w:val="both"/>
      </w:pPr>
      <w:rPr>
        <w:sz w:val="24"/>
        <w:color w:val="black"/>
      </w:rPr>
    </w:p>
    <w:p>
      <w:pPr>
        <w:jc w:val="both"/>
      </w:pPr>
      <w:r>
        <w:rPr>
          <w:rFonts w:hAnsi="Arial"/>
          <w:rFonts w:ascii="Arial"/>
          <w:sz w:val="24"/>
          <w:b/>
          <w:color w:val="black"/>
        </w:rPr>
        <w:t xml:space="preserve">d) </w:t>
      </w:r>
      <w:r>
        <w:rPr>
          <w:rFonts w:hAnsi="Arial"/>
          <w:rFonts w:ascii="Arial"/>
          <w:sz w:val="24"/>
          <w:color w:val="black"/>
        </w:rPr>
        <w:t xml:space="preserve">Dependencia o unidad que desarrollará la operación y/o actividad.</w:t>
      </w:r>
    </w:p>
    <w:p>
      <w:pPr>
        <w:jc w:val="both"/>
      </w:pPr>
      <w:rPr>
        <w:sz w:val="24"/>
        <w:color w:val="black"/>
      </w:rPr>
    </w:p>
    <w:p>
      <w:pPr>
        <w:jc w:val="both"/>
      </w:pPr>
      <w:r>
        <w:rPr>
          <w:rFonts w:hAnsi="Arial"/>
          <w:rFonts w:ascii="Arial"/>
          <w:sz w:val="24"/>
          <w:b/>
          <w:color w:val="black"/>
        </w:rPr>
        <w:t xml:space="preserve">e) </w:t>
      </w:r>
      <w:r>
        <w:rPr>
          <w:rFonts w:hAnsi="Arial"/>
          <w:rFonts w:ascii="Arial"/>
          <w:sz w:val="24"/>
          <w:color w:val="black"/>
        </w:rPr>
        <w:t xml:space="preserve">Personal que efectuará la misión.</w:t>
      </w:r>
    </w:p>
    <w:p>
      <w:pPr>
        <w:jc w:val="both"/>
      </w:pPr>
      <w:rPr>
        <w:sz w:val="24"/>
        <w:color w:val="black"/>
      </w:rPr>
    </w:p>
    <w:p>
      <w:pPr>
        <w:jc w:val="both"/>
      </w:pPr>
      <w:r>
        <w:rPr>
          <w:rFonts w:hAnsi="Arial"/>
          <w:rFonts w:ascii="Arial"/>
          <w:sz w:val="24"/>
          <w:b/>
          <w:color w:val="black"/>
        </w:rPr>
        <w:t xml:space="preserve">f) </w:t>
      </w:r>
      <w:r>
        <w:rPr>
          <w:rFonts w:hAnsi="Arial"/>
          <w:rFonts w:ascii="Arial"/>
          <w:sz w:val="24"/>
          <w:color w:val="black"/>
        </w:rPr>
        <w:t xml:space="preserve">Nivel de clasificación del documento.</w:t>
      </w:r>
    </w:p>
    <w:p>
      <w:pPr>
        <w:jc w:val="both"/>
      </w:pPr>
      <w:rPr>
        <w:sz w:val="24"/>
        <w:color w:val="black"/>
      </w:rPr>
    </w:p>
    <w:p>
      <w:pPr>
        <w:jc w:val="both"/>
      </w:pPr>
      <w:r>
        <w:rPr>
          <w:rFonts w:hAnsi="Arial"/>
          <w:rFonts w:ascii="Arial"/>
          <w:sz w:val="24"/>
          <w:b/>
          <w:color w:val="black"/>
        </w:rPr>
        <w:t xml:space="preserve">g) </w:t>
      </w:r>
      <w:r>
        <w:rPr>
          <w:rFonts w:hAnsi="Arial"/>
          <w:rFonts w:ascii="Arial"/>
          <w:sz w:val="24"/>
          <w:color w:val="black"/>
        </w:rPr>
        <w:t xml:space="preserve">Anexos cuando se consideren pertinentes.</w:t>
      </w:r>
    </w:p>
    <w:p>
      <w:pPr>
        <w:jc w:val="both"/>
      </w:pPr>
      <w:rPr>
        <w:sz w:val="24"/>
        <w:color w:val="black"/>
      </w:rPr>
    </w:p>
    <w:p>
      <w:pPr>
        <w:jc w:val="both"/>
      </w:pPr>
      <w:r>
        <w:rPr>
          <w:rFonts w:hAnsi="Arial"/>
          <w:rFonts w:ascii="Arial"/>
          <w:sz w:val="24"/>
          <w:b/>
          <w:color w:val="black"/>
        </w:rPr>
        <w:t xml:space="preserve">h) </w:t>
      </w:r>
      <w:r>
        <w:rPr>
          <w:rFonts w:hAnsi="Arial"/>
          <w:rFonts w:ascii="Arial"/>
          <w:sz w:val="24"/>
          <w:color w:val="black"/>
        </w:rPr>
        <w:t xml:space="preserve">Firma del jefe o director del organismo, o jefe o subjefe de unidad, sección o dependencia, según el equivalente en cada organismo, de conformidad con su estructura interna y atendiendo los criterios establecidos en el artículo </w:t>
      </w:r>
      <w:r>
        <w:fldChar w:fldCharType="begin"/>
      </w:r>
      <w:r>
        <w:instrText>HYPERLINK "http://www.redjurista.com/document.aspx?ajcode=l1621013&amp;arts=14"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w:t>
      </w:r>
      <w:r>
        <w:fldChar w:fldCharType="begin"/>
      </w:r>
      <w:r>
        <w:instrText>HYPERLINK "http://www.redjurista.com/document.aspx?ajcode=l1621013&amp;arts=15"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1621 de 2013. Los Jefes o Directores de los Organismos que integran la comunidad de inteligencia, deberán establecer por medio de acto administrativo los niveles de autorización para la emisión de órdenes de operaciones y/o misiones de trabajo.</w:t>
      </w:r>
    </w:p>
    <w:p>
      <w:pPr>
        <w:jc w:val="both"/>
      </w:pPr>
      <w:rPr>
        <w:sz w:val="24"/>
        <w:color w:val="black"/>
      </w:rPr>
    </w:p>
    <w:p>
      <w:pPr>
        <w:jc w:val="both"/>
      </w:pPr>
      <w:r>
        <w:rPr>
          <w:rFonts w:hAnsi="Arial"/>
          <w:rFonts w:ascii="Arial"/>
          <w:sz w:val="24"/>
          <w:b/>
          <w:color w:val="black"/>
        </w:rPr>
        <w:t xml:space="preserve">i) </w:t>
      </w:r>
      <w:r>
        <w:rPr>
          <w:rFonts w:hAnsi="Arial"/>
          <w:rFonts w:ascii="Arial"/>
          <w:sz w:val="24"/>
          <w:color w:val="black"/>
        </w:rPr>
        <w:t>Vigencia.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órdenes de operaciones y/o misión de trabajo de inteligencia y contrainteligencia deberán observar los postulados consagrados en la Constitución, la Ley estatutaria propia de la función de inteligencia y contrainteligencia, la Ley de gastos reservados, los decretos reglamentarios que se expidan sobre la materia, la estrategia que en materia de inteligencia emita el Gobierno Nacional para su periodo constitucional, el Plan Nacional de Inteligencia, los requerimientos adicionales, los manuales y los demás actos administrativos correspondientes a inteligencia y contrainteligencia que expidan los respectivos organismos.</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59967" w:name="2.2.3.4.4"/>
      <w:r>
        <w:rPr>
          <w:rFonts w:hAnsi="Arial"/>
          <w:rFonts w:ascii="Arial"/>
          <w:sz w:val="24"/>
          <w:color w:val="navy"/>
        </w:rPr>
        <w:t xml:space="preserve">ARTÍCULO 2.2.3.4.4. </w:t>
      </w:r>
      <w:r>
        <w:rPr>
          <w:rFonts w:hAnsi="Arial"/>
          <w:rFonts w:ascii="Arial"/>
          <w:sz w:val="24"/>
          <w:i/>
          <w:color w:val="navy"/>
        </w:rPr>
        <w:t xml:space="preserve">CRITERIO ORIENTADOR DE LOS INFORMES DE INTELIGENCIA FINANCIERA DE LA UIAF.</w:t>
      </w:r>
      <w:bookmarkEnd w:id="59967"/>
      <w:r>
        <w:rPr>
          <w:rFonts w:hAnsi="Arial"/>
          <w:rFonts w:ascii="Arial"/>
          <w:sz w:val="24"/>
          <w:b/>
          <w:i/>
          <w:color w:val="black"/>
        </w:rPr>
        <w:t xml:space="preserve"> </w:t>
      </w:r>
      <w:r>
        <w:rPr>
          <w:rFonts w:hAnsi="Arial"/>
          <w:rFonts w:ascii="Arial"/>
          <w:sz w:val="24"/>
          <w:color w:val="black"/>
        </w:rPr>
        <w:t xml:space="preserve">Sin perjuicio de la información que obtenga de las unidades homólogas de inteligencia financiera de otros países y de los reportes de operaciones sospechosas que por su naturaleza y de acuerdo con las prescripciones legales reciba la Unidad de Información y Análisis Financiero (UIAF), este organismo podrá con base en la información que reciba de los organismos que hacen parte de la comunidad de inteligencia del Estado, iniciar una misión de trabajo que dé origen a informes de inteligencia financiera como criterio orientador con destino a las fiscalías competentes, de conformidad con el parágrafo del artículo </w:t>
      </w:r>
      <w:r>
        <w:fldChar w:fldCharType="begin"/>
      </w:r>
      <w:r>
        <w:instrText>HYPERLINK "http://www.redjurista.com/document.aspx?ajcode=l1621013&amp;arts=34"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1621 de 2013.</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68" w:name="CAPÍTULO 2.2.3.5"/>
      <w:r>
        <w:rPr>
          <w:rFonts w:hAnsi="Arial"/>
          <w:rFonts w:ascii="Arial"/>
          <w:sz w:val="24"/>
          <w:color w:val="navy"/>
        </w:rPr>
        <w:t xml:space="preserve">CAPÍTULO 5. </w:t>
      </w:r>
    </w:p>
    <w:p>
      <w:pPr>
        <w:jc w:val="center"/>
      </w:pPr>
      <w:r>
        <w:rPr>
          <w:rFonts w:hAnsi="Arial"/>
          <w:rFonts w:ascii="Arial"/>
          <w:sz w:val="24"/>
          <w:color w:val="navy"/>
        </w:rPr>
        <w:t>MANUALES.</w:t>
      </w:r>
      <w:bookmarkEnd w:id="5996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69" w:name="2.2.3.5.1"/>
      <w:r>
        <w:rPr>
          <w:rFonts w:hAnsi="Arial"/>
          <w:rFonts w:ascii="Arial"/>
          <w:sz w:val="24"/>
          <w:color w:val="navy"/>
        </w:rPr>
        <w:t xml:space="preserve">ARTÍCULO 2.2.3.5.1. </w:t>
      </w:r>
      <w:r>
        <w:rPr>
          <w:rFonts w:hAnsi="Arial"/>
          <w:rFonts w:ascii="Arial"/>
          <w:sz w:val="24"/>
          <w:i/>
          <w:color w:val="navy"/>
        </w:rPr>
        <w:t>MANUALES.</w:t>
      </w:r>
      <w:bookmarkEnd w:id="59969"/>
      <w:r>
        <w:rPr>
          <w:rFonts w:hAnsi="Arial"/>
          <w:rFonts w:ascii="Arial"/>
          <w:sz w:val="24"/>
          <w:b/>
          <w:i/>
          <w:color w:val="black"/>
        </w:rPr>
        <w:t xml:space="preserve"> </w:t>
      </w:r>
      <w:r>
        <w:rPr>
          <w:rFonts w:hAnsi="Arial"/>
          <w:rFonts w:ascii="Arial"/>
          <w:sz w:val="24"/>
          <w:color w:val="black"/>
        </w:rPr>
        <w:t xml:space="preserve">Los Jefes o Directores de los organismos que integran la comunidad de inteligencia establecerán los contenidos, adoptarán y expedirán los manuales de inteligencia y contrainteligencia en cada uno de sus organismos, derogando aquellas disposiciones contrarias a la Constitución y a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Los manuales deberán ser revisados y actualizados periódicamente, dejando constancia de la fecha en que se revisan o actualizan, de los cambios que se efectúan y de la fecha a partir de la cual entran en vigencia las modificaciones.</w:t>
      </w:r>
    </w:p>
    <w:p>
      <w:pPr>
        <w:jc w:val="both"/>
      </w:pPr>
      <w:rPr>
        <w:sz w:val="24"/>
        <w:color w:val="black"/>
      </w:rPr>
    </w:p>
    <w:p>
      <w:pPr>
        <w:jc w:val="both"/>
      </w:pPr>
      <w:r>
        <w:rPr>
          <w:rFonts w:hAnsi="Arial"/>
          <w:rFonts w:ascii="Arial"/>
          <w:sz w:val="24"/>
          <w:color w:val="black"/>
        </w:rPr>
        <w:t xml:space="preserve">Los manuales y los demás documentos que hagan parte de ellos tendrán el nivel de clasificación que establezca cada organismo y mantendrán la reserva legal, de acuerdo con la Constitución, la ley estatutaria vigente en materia de inteligencia y contrainteligencia y el presente Título.</w:t>
      </w:r>
    </w:p>
    <w:p>
      <w:rPr>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59970" w:name="CAPÍTULO 2.2.3.6"/>
      <w:r>
        <w:rPr>
          <w:rFonts w:hAnsi="Arial"/>
          <w:rFonts w:ascii="Arial"/>
          <w:sz w:val="24"/>
          <w:color w:val="navy"/>
        </w:rPr>
        <w:t xml:space="preserve">CAPÍTULO 6. </w:t>
      </w:r>
    </w:p>
    <w:p>
      <w:pPr>
        <w:jc w:val="center"/>
      </w:pPr>
      <w:r>
        <w:rPr>
          <w:rFonts w:hAnsi="Arial"/>
          <w:rFonts w:ascii="Arial"/>
          <w:sz w:val="24"/>
          <w:color w:val="navy"/>
        </w:rPr>
        <w:t xml:space="preserve">RESERVA LEGAL, NIVELES DE CLASIFICACIÓN, SISTEMA PARA LA DESIGNACIÓN DE LOS NIVELES DE ACCESO A LA INFORMACIÓN Y DESCLASIFICACIÓN DE DOCUMENTOS.</w:t>
      </w:r>
      <w:bookmarkEnd w:id="59970"/>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71" w:name="2.2.3.6.1"/>
      <w:r>
        <w:rPr>
          <w:rFonts w:hAnsi="Arial"/>
          <w:rFonts w:ascii="Arial"/>
          <w:sz w:val="24"/>
          <w:color w:val="navy"/>
        </w:rPr>
        <w:t xml:space="preserve">ARTÍCULO 2.2.3.6.1. </w:t>
      </w:r>
      <w:r>
        <w:rPr>
          <w:rFonts w:hAnsi="Arial"/>
          <w:rFonts w:ascii="Arial"/>
          <w:sz w:val="24"/>
          <w:i/>
          <w:color w:val="navy"/>
        </w:rPr>
        <w:t xml:space="preserve">RESERVA LEGAL.</w:t>
      </w:r>
      <w:bookmarkEnd w:id="59971"/>
      <w:r>
        <w:rPr>
          <w:rFonts w:hAnsi="Arial"/>
          <w:rFonts w:ascii="Arial"/>
          <w:sz w:val="24"/>
          <w:b/>
          <w:i/>
          <w:color w:val="black"/>
        </w:rPr>
        <w:t xml:space="preserve"> </w:t>
      </w:r>
      <w:r>
        <w:rPr>
          <w:rFonts w:hAnsi="Arial"/>
          <w:rFonts w:ascii="Arial"/>
          <w:sz w:val="24"/>
          <w:color w:val="black"/>
        </w:rPr>
        <w:t xml:space="preserve">En los términos del artículo </w:t>
      </w:r>
      <w:r>
        <w:fldChar w:fldCharType="begin"/>
      </w:r>
      <w:r>
        <w:instrText>HYPERLINK "http://www.redjurista.com/document.aspx?ajcode=l1621013&amp;arts=33"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1621 de 2013, los documentos, información y elementos técnicos de los organismos de inteligencia y contrainteligencia estarán amparados por la reserva legal y se les asignará un nivel de clasificación de acuerdo con lo establecido en el siguiente artículo.</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972" w:name="2.2.3.6.2"/>
      <w:r>
        <w:rPr>
          <w:rFonts w:hAnsi="Arial"/>
          <w:rFonts w:ascii="Arial"/>
          <w:sz w:val="24"/>
          <w:color w:val="navy"/>
        </w:rPr>
        <w:t xml:space="preserve">ARTÍCULO 2.2.3.6.2. </w:t>
      </w:r>
      <w:r>
        <w:rPr>
          <w:rFonts w:hAnsi="Arial"/>
          <w:rFonts w:ascii="Arial"/>
          <w:sz w:val="24"/>
          <w:i/>
          <w:color w:val="navy"/>
        </w:rPr>
        <w:t xml:space="preserve">NIVELES DE CLASIFICACIÓN DE LA INFORMACIÓN.</w:t>
      </w:r>
      <w:bookmarkEnd w:id="59972"/>
      <w:r>
        <w:rPr>
          <w:rFonts w:hAnsi="Arial"/>
          <w:rFonts w:ascii="Arial"/>
          <w:sz w:val="24"/>
          <w:b/>
          <w:i/>
          <w:color w:val="black"/>
        </w:rPr>
        <w:t xml:space="preserve"> </w:t>
      </w:r>
      <w:r>
        <w:rPr>
          <w:rFonts w:hAnsi="Arial"/>
          <w:rFonts w:ascii="Arial"/>
          <w:sz w:val="24"/>
          <w:color w:val="black"/>
        </w:rPr>
        <w:t xml:space="preserve">Los niveles de clasificación de seguridad de la información que goza de reserva legal serán los siguientes:</w:t>
      </w:r>
    </w:p>
    <w:p>
      <w:pPr>
        <w:jc w:val="both"/>
      </w:pPr>
      <w:rPr>
        <w:sz w:val="24"/>
        <w:color w:val="black"/>
      </w:rPr>
    </w:p>
    <w:p>
      <w:pPr>
        <w:jc w:val="both"/>
      </w:pPr>
      <w:r>
        <w:rPr>
          <w:rFonts w:hAnsi="Arial"/>
          <w:rFonts w:ascii="Arial"/>
          <w:sz w:val="24"/>
          <w:b/>
          <w:color w:val="black"/>
        </w:rPr>
        <w:t xml:space="preserve">a) Ultrasecreto</w:t>
      </w:r>
      <w:r>
        <w:rPr>
          <w:rFonts w:hAnsi="Arial"/>
          <w:rFonts w:ascii="Arial"/>
          <w:sz w:val="24"/>
          <w:color w:val="black"/>
        </w:rPr>
        <w:t xml:space="preserve">. Es el nivel de clasificación que se debe dar a todos los documentos de inteligencia y contrainteligencia que contengan información sobre posibles amenazas, riesgos, oportunidades o capacidades, que puedan afectar al exterior del país los intereses del Estado o las relaciones internacionales.</w:t>
      </w:r>
    </w:p>
    <w:p>
      <w:pPr>
        <w:jc w:val="both"/>
      </w:pPr>
      <w:rPr>
        <w:sz w:val="24"/>
        <w:color w:val="black"/>
      </w:rPr>
    </w:p>
    <w:p>
      <w:pPr>
        <w:jc w:val="both"/>
      </w:pPr>
      <w:r>
        <w:rPr>
          <w:rFonts w:hAnsi="Arial"/>
          <w:rFonts w:ascii="Arial"/>
          <w:sz w:val="24"/>
          <w:b/>
          <w:color w:val="black"/>
        </w:rPr>
        <w:t xml:space="preserve">b) Secreto</w:t>
      </w:r>
      <w:r>
        <w:rPr>
          <w:rFonts w:hAnsi="Arial"/>
          <w:rFonts w:ascii="Arial"/>
          <w:sz w:val="24"/>
          <w:color w:val="black"/>
        </w:rPr>
        <w:t xml:space="preserve">. Es el nivel de clasificación que se debe dar a todos los documentos de inteligencia y contrainteligencia que contengan información sobre posibles amenazas, riesgos, oportunidades o capacidades, que puedan afectar al interior del país los intereses del Estado.</w:t>
      </w:r>
    </w:p>
    <w:p>
      <w:pPr>
        <w:jc w:val="both"/>
      </w:pPr>
      <w:rPr>
        <w:sz w:val="24"/>
        <w:color w:val="black"/>
      </w:rPr>
    </w:p>
    <w:p>
      <w:pPr>
        <w:jc w:val="both"/>
      </w:pPr>
      <w:r>
        <w:rPr>
          <w:rFonts w:hAnsi="Arial"/>
          <w:rFonts w:ascii="Arial"/>
          <w:sz w:val="24"/>
          <w:b/>
          <w:color w:val="black"/>
        </w:rPr>
        <w:t xml:space="preserve">c) Confidencial</w:t>
      </w:r>
      <w:r>
        <w:rPr>
          <w:rFonts w:hAnsi="Arial"/>
          <w:rFonts w:ascii="Arial"/>
          <w:sz w:val="24"/>
          <w:color w:val="black"/>
        </w:rPr>
        <w:t xml:space="preserve">. Es el nivel de clasificación que se debe dar a todos los documentos de inteligencia y contrainteligencia que contengan información sobre posibles amenazas, riesgos, oportunidades o capacidades, que puedan afectar directamente las instituciones democráticas.</w:t>
      </w:r>
    </w:p>
    <w:p>
      <w:pPr>
        <w:jc w:val="both"/>
      </w:pPr>
      <w:rPr>
        <w:sz w:val="24"/>
        <w:color w:val="black"/>
      </w:rPr>
    </w:p>
    <w:p>
      <w:pPr>
        <w:jc w:val="both"/>
      </w:pPr>
      <w:r>
        <w:rPr>
          <w:rFonts w:hAnsi="Arial"/>
          <w:rFonts w:ascii="Arial"/>
          <w:sz w:val="24"/>
          <w:b/>
          <w:color w:val="black"/>
        </w:rPr>
        <w:t xml:space="preserve">d) Restringido</w:t>
      </w:r>
      <w:r>
        <w:rPr>
          <w:rFonts w:hAnsi="Arial"/>
          <w:rFonts w:ascii="Arial"/>
          <w:sz w:val="24"/>
          <w:color w:val="black"/>
        </w:rPr>
        <w:t xml:space="preserve">. Es el nivel de clasificación que se debe dar a todos los documentos de inteligencia y contrainteligencia que contengan información de las instituciones militares, de la Policía Nacional o de los organismos y dependencias de inteligencia y contrainteligencia, sobre posibles amenazas, riesgos, oportunidades o capacidades, que puedan afectar en las citadas instituciones y organismos, su seguridad, operaciones, medios, métodos, procedimientos, integrantes y fuentes.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documentos de inteligencia y contrainteligencia que contengan información relacionada con diferentes niveles de clasificación de seguridad, asumirán la del nivel más alto que tenga la información contenida en ellos.</w:t>
      </w:r>
    </w:p>
    <w:p>
      <w:pPr>
        <w:jc w:val="both"/>
      </w:pPr>
      <w:rPr>
        <w:sz w:val="24"/>
        <w:color w:val="black"/>
      </w:rPr>
    </w:p>
    <w:p>
      <w:pPr>
        <w:jc w:val="both"/>
      </w:pPr>
      <w:r>
        <w:rPr>
          <w:rFonts w:hAnsi="Arial"/>
          <w:rFonts w:ascii="Arial"/>
          <w:sz w:val="24"/>
          <w:color w:val="black"/>
        </w:rPr>
        <w:t xml:space="preserve">Sin perjuicio de lo establecido en el artículo </w:t>
      </w:r>
      <w:r>
        <w:fldChar w:fldCharType="begin"/>
      </w:r>
      <w:r>
        <w:instrText>HYPERLINK "http://www.redjurista.com/document.aspx?ajcode=l1621013&amp;arts=34"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1621 de 2013, a mayor nivel de clasificación de seguridad de la información, mayores serán las restricciones y controles para el acceso a la misma por parte de los receptores, las autoridades, los servidores públicos y asesores que deban conocer de ella. Estas restricciones deberán quedar establecidas en actos administrativos, manuales, protocolos, tarjetas de autorización para manejo y acceso a la información y contratos respectivos en cada uno de los organismos de inteligencia y contrainteligencia.</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59973" w:name="2.2.3.6.3"/>
      <w:r>
        <w:rPr>
          <w:rFonts w:hAnsi="Arial"/>
          <w:rFonts w:ascii="Arial"/>
          <w:sz w:val="24"/>
          <w:color w:val="navy"/>
        </w:rPr>
        <w:t xml:space="preserve">ARTÍCULO 2.2.3.6.3. </w:t>
      </w:r>
      <w:r>
        <w:rPr>
          <w:rFonts w:hAnsi="Arial"/>
          <w:rFonts w:ascii="Arial"/>
          <w:sz w:val="24"/>
          <w:i/>
          <w:color w:val="navy"/>
        </w:rPr>
        <w:t xml:space="preserve">CRITERIOS PARA DAR ACCESO A LA INFORMACIÓN.</w:t>
      </w:r>
      <w:bookmarkEnd w:id="59973"/>
      <w:r>
        <w:rPr>
          <w:rFonts w:hAnsi="Arial"/>
          <w:rFonts w:ascii="Arial"/>
          <w:sz w:val="24"/>
          <w:b/>
          <w:i/>
          <w:color w:val="black"/>
        </w:rPr>
        <w:t xml:space="preserve"> </w:t>
      </w:r>
      <w:r>
        <w:rPr>
          <w:rFonts w:hAnsi="Arial"/>
          <w:rFonts w:ascii="Arial"/>
          <w:sz w:val="24"/>
          <w:color w:val="black"/>
        </w:rPr>
        <w:t xml:space="preserve">Los organismos de inteligencia y contrainteligencia para dar acceso interno y externo a la información que goza de reserva legal y tenga nivel de clasificación, cumplirán con los siguientes criterios:</w:t>
      </w:r>
    </w:p>
    <w:p>
      <w:pPr>
        <w:jc w:val="both"/>
      </w:pPr>
      <w:rPr>
        <w:sz w:val="24"/>
        <w:color w:val="black"/>
      </w:rPr>
    </w:p>
    <w:p>
      <w:pPr>
        <w:jc w:val="both"/>
      </w:pPr>
      <w:r>
        <w:rPr>
          <w:rFonts w:hAnsi="Arial"/>
          <w:rFonts w:ascii="Arial"/>
          <w:sz w:val="24"/>
          <w:b/>
          <w:color w:val="black"/>
        </w:rPr>
        <w:t xml:space="preserve">a) </w:t>
      </w:r>
      <w:r>
        <w:rPr>
          <w:rFonts w:hAnsi="Arial"/>
          <w:rFonts w:ascii="Arial"/>
          <w:sz w:val="24"/>
          <w:color w:val="black"/>
        </w:rPr>
        <w:t xml:space="preserve">Mantener el principio de compartimentación a partir de la necesidad de saber y conocer estrictamente lo necesario para el desempeño de la función que le es propia. Así mismo, establecerán un mecanismo interno que determine los niveles de acceso para cada funcionario o asesor del organismo de inteligencia y contrainteligencia.</w:t>
      </w:r>
    </w:p>
    <w:p>
      <w:pPr>
        <w:jc w:val="both"/>
      </w:pPr>
      <w:rPr>
        <w:sz w:val="24"/>
        <w:color w:val="black"/>
      </w:rPr>
    </w:p>
    <w:p>
      <w:pPr>
        <w:jc w:val="both"/>
      </w:pPr>
      <w:r>
        <w:rPr>
          <w:rFonts w:hAnsi="Arial"/>
          <w:rFonts w:ascii="Arial"/>
          <w:sz w:val="24"/>
          <w:b/>
          <w:color w:val="black"/>
        </w:rPr>
        <w:t xml:space="preserve">b) </w:t>
      </w:r>
      <w:r>
        <w:rPr>
          <w:rFonts w:hAnsi="Arial"/>
          <w:rFonts w:ascii="Arial"/>
          <w:sz w:val="24"/>
          <w:color w:val="black"/>
        </w:rPr>
        <w:t xml:space="preserve">Entre mayor sea el nivel de clasificación de la información, mayores serán las restricciones como los controles que se deben aplicar para tener acceso a ella.</w:t>
      </w:r>
    </w:p>
    <w:p>
      <w:pPr>
        <w:jc w:val="both"/>
      </w:pPr>
      <w:rPr>
        <w:sz w:val="24"/>
        <w:color w:val="black"/>
      </w:rPr>
    </w:p>
    <w:p>
      <w:pPr>
        <w:jc w:val="both"/>
      </w:pPr>
      <w:r>
        <w:rPr>
          <w:rFonts w:hAnsi="Arial"/>
          <w:rFonts w:ascii="Arial"/>
          <w:sz w:val="24"/>
          <w:b/>
          <w:color w:val="black"/>
        </w:rPr>
        <w:t xml:space="preserve">c) </w:t>
      </w:r>
      <w:r>
        <w:rPr>
          <w:rFonts w:hAnsi="Arial"/>
          <w:rFonts w:ascii="Arial"/>
          <w:sz w:val="24"/>
          <w:color w:val="black"/>
        </w:rPr>
        <w:t xml:space="preserve">Identificar a los receptores de productos de inteligencia y contrainteligencia, estableciendo su nivel de acceso.</w:t>
      </w:r>
    </w:p>
    <w:p>
      <w:pPr>
        <w:jc w:val="both"/>
      </w:pPr>
      <w:rPr>
        <w:sz w:val="24"/>
        <w:color w:val="black"/>
      </w:rPr>
    </w:p>
    <w:p>
      <w:pPr>
        <w:jc w:val="both"/>
      </w:pPr>
      <w:r>
        <w:rPr>
          <w:rFonts w:hAnsi="Arial"/>
          <w:rFonts w:ascii="Arial"/>
          <w:sz w:val="24"/>
          <w:b/>
          <w:color w:val="black"/>
        </w:rPr>
        <w:t xml:space="preserve">d) </w:t>
      </w:r>
      <w:r>
        <w:rPr>
          <w:rFonts w:hAnsi="Arial"/>
          <w:rFonts w:ascii="Arial"/>
          <w:sz w:val="24"/>
          <w:color w:val="black"/>
        </w:rPr>
        <w:t xml:space="preserve">Desarrollar guías y/o protocolos, cuando sea el caso, para recibir, compartir e intercambiar información de inteligencia y contrainteligencia.</w:t>
      </w:r>
    </w:p>
    <w:p>
      <w:pPr>
        <w:jc w:val="both"/>
      </w:pPr>
      <w:rPr>
        <w:sz w:val="24"/>
        <w:color w:val="black"/>
      </w:rPr>
    </w:p>
    <w:p>
      <w:pPr>
        <w:jc w:val="both"/>
      </w:pPr>
      <w:r>
        <w:rPr>
          <w:rFonts w:hAnsi="Arial"/>
          <w:rFonts w:ascii="Arial"/>
          <w:sz w:val="24"/>
          <w:b/>
          <w:color w:val="black"/>
        </w:rPr>
        <w:t xml:space="preserve">e) </w:t>
      </w:r>
      <w:r>
        <w:rPr>
          <w:rFonts w:hAnsi="Arial"/>
          <w:rFonts w:ascii="Arial"/>
          <w:sz w:val="24"/>
          <w:color w:val="black"/>
        </w:rPr>
        <w:t xml:space="preserve">Implementar de forma física y/o mediante la utilización de herramientas tecnológicas, el sistema de acceso a los diferentes niveles de clasificación, con capacidades de administración, monitoreo y control, con base en los cargos, perfiles y funciones determinadas en la estructura de cada organismo de inteligencia y contrainteligencia.</w:t>
      </w:r>
    </w:p>
    <w:p>
      <w:pPr>
        <w:jc w:val="both"/>
      </w:pPr>
      <w:rPr>
        <w:sz w:val="24"/>
        <w:color w:val="black"/>
      </w:rPr>
    </w:p>
    <w:p>
      <w:pPr>
        <w:jc w:val="both"/>
      </w:pPr>
      <w:r>
        <w:rPr>
          <w:rFonts w:hAnsi="Arial"/>
          <w:rFonts w:ascii="Arial"/>
          <w:sz w:val="24"/>
          <w:b/>
          <w:color w:val="black"/>
        </w:rPr>
        <w:t xml:space="preserve">f) </w:t>
      </w:r>
      <w:r>
        <w:rPr>
          <w:rFonts w:hAnsi="Arial"/>
          <w:rFonts w:ascii="Arial"/>
          <w:sz w:val="24"/>
          <w:color w:val="black"/>
        </w:rPr>
        <w:t xml:space="preserve">Suscribir acuerdos, protocolos o convenios, en los términos de la Constitución y la Ley, para recibir, compartir o intercambiar información que goce de reserva legal con agencias de inteligencia y contrainteligencia extranjeras.</w:t>
      </w:r>
    </w:p>
    <w:p>
      <w:pPr>
        <w:jc w:val="both"/>
      </w:pPr>
      <w:rPr>
        <w:sz w:val="24"/>
        <w:color w:val="black"/>
      </w:rPr>
    </w:p>
    <w:p>
      <w:pPr>
        <w:jc w:val="both"/>
      </w:pPr>
      <w:r>
        <w:rPr>
          <w:rFonts w:hAnsi="Arial"/>
          <w:rFonts w:ascii="Arial"/>
          <w:sz w:val="24"/>
          <w:color w:val="black"/>
        </w:rPr>
        <w:t xml:space="preserve">Cada organismo documentará sus procedimientos, en sus manuales o protocolos, para asegurar la reserva legal, los niveles de clasificación y dar acceso a la información a las autoridades o receptores competentes.</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center"/>
      </w:pPr>
      <w:r>
        <w:rPr>
          <w:rFonts w:hAnsi="Arial"/>
          <w:rFonts w:ascii="Arial"/>
          <w:sz w:val="24"/>
          <w:vanish/>
          <w:color w:val="black"/>
        </w:rPr>
        <w:t>&amp;$</w:t>
      </w:r>
      <w:bookmarkStart w:id="59974" w:name="CAPÍTULO 2.2.3.7"/>
      <w:r>
        <w:rPr>
          <w:rFonts w:hAnsi="Arial"/>
          <w:rFonts w:ascii="Arial"/>
          <w:sz w:val="24"/>
          <w:color w:val="navy"/>
        </w:rPr>
        <w:t xml:space="preserve">CAPÍTULO 7. </w:t>
      </w:r>
    </w:p>
    <w:p>
      <w:pPr>
        <w:jc w:val="center"/>
      </w:pPr>
      <w:r>
        <w:rPr>
          <w:rFonts w:hAnsi="Arial"/>
          <w:rFonts w:ascii="Arial"/>
          <w:sz w:val="24"/>
          <w:color w:val="navy"/>
        </w:rPr>
        <w:t xml:space="preserve">SEGURIDAD Y RESTRICCIONES EN LA DIFUSIÓN DE PRODUCTOS E INFORMACIÓN DE INTELIGENCIA Y CONTRAINTELIGENCIA.</w:t>
      </w:r>
      <w:bookmarkEnd w:id="59974"/>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75" w:name="2.2.3.7.1"/>
      <w:r>
        <w:rPr>
          <w:rFonts w:hAnsi="Arial"/>
          <w:rFonts w:ascii="Arial"/>
          <w:sz w:val="24"/>
          <w:color w:val="navy"/>
        </w:rPr>
        <w:t xml:space="preserve">ARTÍCULO 2.2.3.7.1. </w:t>
      </w:r>
      <w:r>
        <w:rPr>
          <w:rFonts w:hAnsi="Arial"/>
          <w:rFonts w:ascii="Arial"/>
          <w:sz w:val="24"/>
          <w:i/>
          <w:color w:val="navy"/>
        </w:rPr>
        <w:t xml:space="preserve">SEGURIDAD Y RESTRICCIONES EN LA DIFUSIÓN DE PRODUCTOS DE INTELIGENCIA Y CONTRAINTELIGENCIA.</w:t>
      </w:r>
      <w:bookmarkEnd w:id="59975"/>
      <w:r>
        <w:rPr>
          <w:rFonts w:hAnsi="Arial"/>
          <w:rFonts w:ascii="Arial"/>
          <w:sz w:val="24"/>
          <w:b/>
          <w:i/>
          <w:color w:val="black"/>
        </w:rPr>
        <w:t xml:space="preserve"> </w:t>
      </w:r>
      <w:r>
        <w:rPr>
          <w:rFonts w:hAnsi="Arial"/>
          <w:rFonts w:ascii="Arial"/>
          <w:sz w:val="24"/>
          <w:color w:val="black"/>
        </w:rPr>
        <w:t xml:space="preserve">Los organismos y dependencias de inteligencia y contrainteligencia deberán para los casos de difusión de productos de inteligencia y contrainteligencia a los receptores autorizados por la ley, indicar la reserva legal a la que está sometida la información y expresar, al receptor autorizado de la misma, si se trata de un producto de inteligencia o contrainteligencia "de solo conocimiento" o "de uso exclusivo", teniendo como referencia las siguientes restricciones para cada caso, así:</w:t>
      </w:r>
    </w:p>
    <w:p>
      <w:pPr>
        <w:jc w:val="both"/>
      </w:pPr>
      <w:rPr>
        <w:sz w:val="24"/>
        <w:color w:val="black"/>
      </w:rPr>
    </w:p>
    <w:p>
      <w:pPr>
        <w:jc w:val="both"/>
      </w:pPr>
      <w:r>
        <w:rPr>
          <w:rFonts w:hAnsi="Arial"/>
          <w:rFonts w:ascii="Arial"/>
          <w:sz w:val="24"/>
          <w:b/>
          <w:color w:val="black"/>
        </w:rPr>
        <w:t xml:space="preserve">a) De solo conocimiento</w:t>
      </w:r>
      <w:r>
        <w:rPr>
          <w:rFonts w:hAnsi="Arial"/>
          <w:rFonts w:ascii="Arial"/>
          <w:sz w:val="24"/>
          <w:color w:val="black"/>
        </w:rPr>
        <w:t xml:space="preserve">. Es aquel producto de inteligencia y contrainteligencia que tiene un receptor autorizado por ley, solo para conocimiento directo y, únicamente, como referencia o criterio orientador para tomar decisiones dentro de su órbita funcional. El receptor autorizado recibe el producto bajo las más estrictas medidas de seguridad, reserva legal y protocolos adecuados. El receptor autorizado no podrá difundir la información contenida en el producto de inteligencia y contrainteligencia.</w:t>
      </w:r>
    </w:p>
    <w:p>
      <w:pPr>
        <w:jc w:val="both"/>
      </w:pPr>
      <w:rPr>
        <w:sz w:val="24"/>
        <w:color w:val="black"/>
      </w:rPr>
    </w:p>
    <w:p>
      <w:pPr>
        <w:jc w:val="both"/>
      </w:pPr>
      <w:r>
        <w:rPr>
          <w:rFonts w:hAnsi="Arial"/>
          <w:rFonts w:ascii="Arial"/>
          <w:sz w:val="24"/>
          <w:b/>
          <w:color w:val="black"/>
        </w:rPr>
        <w:t xml:space="preserve">b) De uso exclusivo</w:t>
      </w:r>
      <w:r>
        <w:rPr>
          <w:rFonts w:hAnsi="Arial"/>
          <w:rFonts w:ascii="Arial"/>
          <w:sz w:val="24"/>
          <w:color w:val="black"/>
        </w:rPr>
        <w:t xml:space="preserve">. Es aquel producto de inteligencia y contrainteligencia que tiene un receptor autorizado por ley, solo para su conocimiento directo y uso exclusivo. Este producto solo podrá ser empleado como referencia para tomar decisiones dentro de su órbita funcional. El receptor autorizado recibe el producto, bajo las más estrictas medidas de seguridad, reserva legal y protocolos adecuados. El receptor autorizado podrá difundir esta clase de información bajo su responsabilidad, únicamente, para establecer cursos de acción que permitan la toma de decisiones para el cumplimiento de los fines establecidos en la Constitución y la ley.</w:t>
      </w:r>
    </w:p>
    <w:p>
      <w:pPr>
        <w:jc w:val="both"/>
      </w:pPr>
      <w:rPr>
        <w:sz w:val="24"/>
        <w:color w:val="black"/>
      </w:rPr>
    </w:p>
    <w:p>
      <w:pPr>
        <w:jc w:val="both"/>
      </w:pPr>
      <w:r>
        <w:rPr>
          <w:rFonts w:hAnsi="Arial"/>
          <w:rFonts w:ascii="Arial"/>
          <w:sz w:val="24"/>
          <w:color w:val="black"/>
        </w:rPr>
        <w:t xml:space="preserve">En ninguno de los anteriores casos, se podrá revelar fuentes, métodos, procedimientos, identidad de quienes desarrollan o desarrollaron actividades de inteligencia y contrainteligencia o poner en peligro la seguridad y defensa nacional.</w:t>
      </w:r>
    </w:p>
    <w:p>
      <w:pPr>
        <w:jc w:val="both"/>
      </w:pPr>
      <w:rPr>
        <w:sz w:val="24"/>
        <w:color w:val="black"/>
      </w:rPr>
    </w:p>
    <w:p>
      <w:pPr>
        <w:jc w:val="both"/>
      </w:pPr>
      <w:r>
        <w:rPr>
          <w:rFonts w:hAnsi="Arial"/>
          <w:rFonts w:ascii="Arial"/>
          <w:sz w:val="24"/>
          <w:color w:val="black"/>
        </w:rPr>
        <w:t xml:space="preserve">Las autoridades competentes y los receptores de productos de inteligencia o contrainteligencia deberán garantizar, en todo momento, la reserva legal de la misma.</w:t>
      </w:r>
    </w:p>
    <w:p>
      <w:pPr>
        <w:jc w:val="both"/>
      </w:pPr>
      <w:rPr>
        <w:sz w:val="24"/>
        <w:color w:val="black"/>
      </w:rPr>
    </w:p>
    <w:p>
      <w:pPr>
        <w:jc w:val="both"/>
      </w:pPr>
      <w:r>
        <w:rPr>
          <w:rFonts w:hAnsi="Arial"/>
          <w:rFonts w:ascii="Arial"/>
          <w:sz w:val="24"/>
          <w:color w:val="black"/>
        </w:rPr>
        <w:t xml:space="preserve">No se entregarán productos de inteligencia y contrainteligencia a aquellas autoridades competentes o receptores autorizados que no garanticen, por escrito, la reserva legal, la seguridad y la protección de la información contenida en los documentos o informes que les vayan a ser suministrados.</w:t>
      </w:r>
    </w:p>
    <w:p>
      <w:pPr>
        <w:jc w:val="both"/>
      </w:pPr>
      <w:rPr>
        <w:sz w:val="24"/>
        <w:color w:val="black"/>
      </w:rPr>
    </w:p>
    <w:p>
      <w:pPr>
        <w:jc w:val="both"/>
      </w:pPr>
      <w:r>
        <w:rPr>
          <w:rFonts w:hAnsi="Arial"/>
          <w:rFonts w:ascii="Arial"/>
          <w:sz w:val="24"/>
          <w:color w:val="black"/>
        </w:rPr>
        <w:t xml:space="preserve">El documento con el cual se traslade la reserva legal de la información, a las autoridades competentes o receptores autorizados, deberá especificar la prohibición de emitir copias o duplicados de la misma, alertando sobre las acciones penales y disciplinarias que acarrea la no observancia de lo consagrado en la ley.</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76" w:name="2.2.3.7.2"/>
      <w:r>
        <w:rPr>
          <w:rFonts w:hAnsi="Arial"/>
          <w:rFonts w:ascii="Arial"/>
          <w:sz w:val="24"/>
          <w:color w:val="navy"/>
        </w:rPr>
        <w:t xml:space="preserve">ARTÍCULO 2.2.3.7.2. </w:t>
      </w:r>
      <w:r>
        <w:rPr>
          <w:rFonts w:hAnsi="Arial"/>
          <w:rFonts w:ascii="Arial"/>
          <w:sz w:val="24"/>
          <w:i/>
          <w:color w:val="navy"/>
        </w:rPr>
        <w:t xml:space="preserve">SUMINISTRO DE INFORMACIÓN.</w:t>
      </w:r>
      <w:bookmarkEnd w:id="59976"/>
      <w:r>
        <w:rPr>
          <w:rFonts w:hAnsi="Arial"/>
          <w:rFonts w:ascii="Arial"/>
          <w:sz w:val="24"/>
          <w:b/>
          <w:i/>
          <w:color w:val="black"/>
        </w:rPr>
        <w:t xml:space="preserve"> </w:t>
      </w:r>
      <w:r>
        <w:rPr>
          <w:rFonts w:hAnsi="Arial"/>
          <w:rFonts w:ascii="Arial"/>
          <w:sz w:val="24"/>
          <w:color w:val="black"/>
        </w:rPr>
        <w:t xml:space="preserve">Cuando proceda, el organismo de inteligencia y contrainteligencia, responsable de dar respuesta legal a un requerimiento de información de inteligencia, deberá verificar previamente que:</w:t>
      </w:r>
    </w:p>
    <w:p>
      <w:pPr>
        <w:jc w:val="both"/>
      </w:pPr>
      <w:rPr>
        <w:sz w:val="24"/>
        <w:color w:val="black"/>
      </w:rPr>
    </w:p>
    <w:p>
      <w:pPr>
        <w:jc w:val="both"/>
      </w:pPr>
      <w:r>
        <w:rPr>
          <w:rFonts w:hAnsi="Arial"/>
          <w:rFonts w:ascii="Arial"/>
          <w:sz w:val="24"/>
          <w:b/>
          <w:color w:val="black"/>
        </w:rPr>
        <w:t xml:space="preserve">a) </w:t>
      </w:r>
      <w:r>
        <w:rPr>
          <w:rFonts w:hAnsi="Arial"/>
          <w:rFonts w:ascii="Arial"/>
          <w:sz w:val="24"/>
          <w:color w:val="black"/>
        </w:rPr>
        <w:t xml:space="preserve">La solicitud se ajuste a lo preceptuado en el artículo </w:t>
      </w:r>
      <w:r>
        <w:fldChar w:fldCharType="begin"/>
      </w:r>
      <w:r>
        <w:instrText>HYPERLINK "http://www.redjurista.com/document.aspx?ajcode=l1621013&amp;arts=34"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1621 de 2013.</w:t>
      </w:r>
    </w:p>
    <w:p>
      <w:pPr>
        <w:jc w:val="both"/>
      </w:pPr>
      <w:rPr>
        <w:sz w:val="24"/>
        <w:color w:val="black"/>
      </w:rPr>
    </w:p>
    <w:p>
      <w:pPr>
        <w:jc w:val="both"/>
      </w:pPr>
      <w:r>
        <w:rPr>
          <w:rFonts w:hAnsi="Arial"/>
          <w:rFonts w:ascii="Arial"/>
          <w:sz w:val="24"/>
          <w:b/>
          <w:color w:val="black"/>
        </w:rPr>
        <w:t xml:space="preserve">b) </w:t>
      </w:r>
      <w:r>
        <w:rPr>
          <w:rFonts w:hAnsi="Arial"/>
          <w:rFonts w:ascii="Arial"/>
          <w:sz w:val="24"/>
          <w:color w:val="black"/>
        </w:rPr>
        <w:t xml:space="preserve">La respuesta identifique el nivel de clasificación, correspondiente a la naturaleza del documento o la información que se ponga en conocimiento de la autoridad competente.</w:t>
      </w:r>
    </w:p>
    <w:p>
      <w:pPr>
        <w:jc w:val="both"/>
      </w:pPr>
      <w:rPr>
        <w:sz w:val="24"/>
        <w:color w:val="black"/>
      </w:rPr>
    </w:p>
    <w:p>
      <w:pPr>
        <w:jc w:val="both"/>
      </w:pPr>
      <w:r>
        <w:rPr>
          <w:rFonts w:hAnsi="Arial"/>
          <w:rFonts w:ascii="Arial"/>
          <w:sz w:val="24"/>
          <w:b/>
          <w:color w:val="black"/>
        </w:rPr>
        <w:t xml:space="preserve">c) </w:t>
      </w:r>
      <w:r>
        <w:rPr>
          <w:rFonts w:hAnsi="Arial"/>
          <w:rFonts w:ascii="Arial"/>
          <w:sz w:val="24"/>
          <w:color w:val="black"/>
        </w:rPr>
        <w:t xml:space="preserve">La respuesta debe reflejar adecuadamente la valoración de la información, el uso de términos condicionales y dubitativos, que garantice entre otros la reserva, el debido proceso, el buen nombre y el derecho a la intimidad.</w:t>
      </w:r>
    </w:p>
    <w:p>
      <w:pPr>
        <w:jc w:val="both"/>
      </w:pPr>
      <w:rPr>
        <w:sz w:val="24"/>
        <w:color w:val="black"/>
      </w:rPr>
    </w:p>
    <w:p>
      <w:pPr>
        <w:jc w:val="both"/>
      </w:pPr>
      <w:r>
        <w:rPr>
          <w:rFonts w:hAnsi="Arial"/>
          <w:rFonts w:ascii="Arial"/>
          <w:sz w:val="24"/>
          <w:b/>
          <w:color w:val="black"/>
        </w:rPr>
        <w:t xml:space="preserve">d) </w:t>
      </w:r>
      <w:r>
        <w:rPr>
          <w:rFonts w:hAnsi="Arial"/>
          <w:rFonts w:ascii="Arial"/>
          <w:sz w:val="24"/>
          <w:color w:val="black"/>
        </w:rPr>
        <w:t xml:space="preserve">La respuesta cumpla los protocolos de seguridad, acceso y reserva.</w:t>
      </w:r>
    </w:p>
    <w:p>
      <w:pPr>
        <w:jc w:val="both"/>
      </w:pPr>
      <w:rPr>
        <w:sz w:val="24"/>
        <w:color w:val="black"/>
      </w:rPr>
    </w:p>
    <w:p>
      <w:pPr>
        <w:jc w:val="both"/>
      </w:pPr>
      <w:r>
        <w:rPr>
          <w:rFonts w:hAnsi="Arial"/>
          <w:rFonts w:ascii="Arial"/>
          <w:sz w:val="24"/>
          <w:b/>
          <w:color w:val="black"/>
        </w:rPr>
        <w:t xml:space="preserve">e) </w:t>
      </w:r>
      <w:r>
        <w:rPr>
          <w:rFonts w:hAnsi="Arial"/>
          <w:rFonts w:ascii="Arial"/>
          <w:sz w:val="24"/>
          <w:color w:val="black"/>
        </w:rPr>
        <w:t xml:space="preserve">La respuesta con la información suministrada no debe poner en peligro o riesgo la seguridad y defensa nacional, y, en los organismos que integran la comunidad de inteligencia, sus métodos, sus procedimientos, sus medios, sus fuentes, sus agentes, sus servidores públicos o sus asesores. Los criterios de valoración y ponderación del presente literal los fijará el Jefe o Director de cada organismo, según corresponda.</w:t>
      </w:r>
    </w:p>
    <w:p>
      <w:pPr>
        <w:jc w:val="both"/>
      </w:pPr>
      <w:rPr>
        <w:sz w:val="24"/>
        <w:color w:val="black"/>
      </w:rPr>
    </w:p>
    <w:p>
      <w:pPr>
        <w:jc w:val="both"/>
      </w:pPr>
      <w:r>
        <w:rPr>
          <w:rFonts w:hAnsi="Arial"/>
          <w:rFonts w:ascii="Arial"/>
          <w:sz w:val="24"/>
          <w:b/>
          <w:color w:val="black"/>
        </w:rPr>
        <w:t xml:space="preserve">f) </w:t>
      </w:r>
      <w:r>
        <w:rPr>
          <w:rFonts w:hAnsi="Arial"/>
          <w:rFonts w:ascii="Arial"/>
          <w:sz w:val="24"/>
          <w:color w:val="black"/>
        </w:rPr>
        <w:t xml:space="preserve">La respuesta no debe dar a conocer capacidades, procedimientos, métodos, medios, elementos técnicos, fuentes, operaciones o actividades de inteligencia o contrainteligencia.</w:t>
      </w:r>
    </w:p>
    <w:p>
      <w:pPr>
        <w:jc w:val="both"/>
      </w:pPr>
      <w:rPr>
        <w:sz w:val="24"/>
        <w:color w:val="black"/>
      </w:rPr>
    </w:p>
    <w:p>
      <w:pPr>
        <w:jc w:val="both"/>
      </w:pPr>
      <w:r>
        <w:rPr>
          <w:rFonts w:hAnsi="Arial"/>
          <w:rFonts w:ascii="Arial"/>
          <w:sz w:val="24"/>
          <w:b/>
          <w:color w:val="black"/>
        </w:rPr>
        <w:t xml:space="preserve">g) </w:t>
      </w:r>
      <w:r>
        <w:rPr>
          <w:rFonts w:hAnsi="Arial"/>
          <w:rFonts w:ascii="Arial"/>
          <w:sz w:val="24"/>
          <w:color w:val="black"/>
        </w:rPr>
        <w:t xml:space="preserve">La respuesta debe quedar debidamente registrada para tener la trazabilidad de la misma. En el documento de respuesta se debe trasladar a las autoridades competentes o receptores autorizados la reserva legal de la información y especificar las prohibiciones o restricciones de su difusión, alertando sobre las acciones penales y disciplinarias que acarrea la no observancia de lo consagrado en la ley.</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977" w:name="CAPÍTULO 2.2.3.8"/>
      <w:r>
        <w:rPr>
          <w:rFonts w:hAnsi="Arial"/>
          <w:rFonts w:ascii="Arial"/>
          <w:sz w:val="24"/>
          <w:color w:val="navy"/>
        </w:rPr>
        <w:t xml:space="preserve">CAPÍTULO 8. </w:t>
      </w:r>
    </w:p>
    <w:p>
      <w:pPr>
        <w:jc w:val="center"/>
      </w:pPr>
      <w:r>
        <w:rPr>
          <w:rFonts w:hAnsi="Arial"/>
          <w:rFonts w:ascii="Arial"/>
          <w:sz w:val="24"/>
          <w:color w:val="navy"/>
        </w:rPr>
        <w:t xml:space="preserve">CENTROS DE PROTECCIÓN DE DATOS DE INTELIGENCIA Y CONTRAINTELIGENCIA.</w:t>
      </w:r>
      <w:bookmarkEnd w:id="59977"/>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78" w:name="2.2.3.8.1"/>
      <w:r>
        <w:rPr>
          <w:rFonts w:hAnsi="Arial"/>
          <w:rFonts w:ascii="Arial"/>
          <w:sz w:val="24"/>
          <w:color w:val="navy"/>
        </w:rPr>
        <w:t xml:space="preserve">ARTÍCULO 2.2.3.8.1. </w:t>
      </w:r>
      <w:r>
        <w:rPr>
          <w:rFonts w:hAnsi="Arial"/>
          <w:rFonts w:ascii="Arial"/>
          <w:sz w:val="24"/>
          <w:i/>
          <w:color w:val="navy"/>
        </w:rPr>
        <w:t xml:space="preserve">CENTROS DE PROTECCIÓN DE DATOS DE INTELIGENCIA Y CONTRAINTELIGENCIA (CPD).</w:t>
      </w:r>
      <w:bookmarkEnd w:id="59978"/>
      <w:r>
        <w:rPr>
          <w:rFonts w:hAnsi="Arial"/>
          <w:rFonts w:ascii="Arial"/>
          <w:sz w:val="24"/>
          <w:b/>
          <w:i/>
          <w:color w:val="black"/>
        </w:rPr>
        <w:t xml:space="preserve"> </w:t>
      </w:r>
      <w:r>
        <w:rPr>
          <w:rFonts w:hAnsi="Arial"/>
          <w:rFonts w:ascii="Arial"/>
          <w:sz w:val="24"/>
          <w:color w:val="black"/>
        </w:rPr>
        <w:t xml:space="preserve">Los Jefes o Directores de cada uno de los organismos de inteligencia y contrainteligencia implementarán y/o adecuarán los CPD y archivos de inteligencia y contrainteligencia, designando un responsable por cada CPD en cada una de las dependencias, según su órbita funcional, nivel de clasificación de la información, desarrollo de la función en sus actividades estratégicas, operacionales o tácticas, o sus equivalentes, en cada uno de los organismos que hacen parte de la comunidad de inteligencia.</w:t>
      </w:r>
    </w:p>
    <w:p>
      <w:pPr>
        <w:jc w:val="both"/>
      </w:pPr>
      <w:rPr>
        <w:sz w:val="24"/>
        <w:color w:val="black"/>
      </w:rPr>
    </w:p>
    <w:p>
      <w:pPr>
        <w:jc w:val="both"/>
      </w:pPr>
      <w:r>
        <w:rPr>
          <w:rFonts w:hAnsi="Arial"/>
          <w:rFonts w:ascii="Arial"/>
          <w:sz w:val="24"/>
          <w:color w:val="black"/>
        </w:rPr>
        <w:t xml:space="preserve">Los Jefes o Directores de inteligencia y contrainteligencia implementarán un plan anual de capacitación, para el personal responsable y comprometido en el ingreso, permanencia, difusión y protección de la información de inteligencia y contrainteligencia, en los CPD y en los archivos respectivos, que permita dar cumplimiento a los fines, límites y principios de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79" w:name="2.2.3.8.2"/>
      <w:r>
        <w:rPr>
          <w:rFonts w:hAnsi="Arial"/>
          <w:rFonts w:ascii="Arial"/>
          <w:sz w:val="24"/>
          <w:color w:val="navy"/>
        </w:rPr>
        <w:t xml:space="preserve">ARTÍCULO 2.2.3.8.2. </w:t>
      </w:r>
      <w:r>
        <w:rPr>
          <w:rFonts w:hAnsi="Arial"/>
          <w:rFonts w:ascii="Arial"/>
          <w:sz w:val="24"/>
          <w:i/>
          <w:color w:val="navy"/>
        </w:rPr>
        <w:t xml:space="preserve">ACTUALIZACIÓN, CORRECCIÓN Y RETIRO DE DATOS Y ARCHIVOS DE INTELIGENCIA.</w:t>
      </w:r>
      <w:bookmarkEnd w:id="59979"/>
      <w:r>
        <w:rPr>
          <w:rFonts w:hAnsi="Arial"/>
          <w:rFonts w:ascii="Arial"/>
          <w:sz w:val="24"/>
          <w:b/>
          <w:i/>
          <w:color w:val="black"/>
        </w:rPr>
        <w:t xml:space="preserve"> </w:t>
      </w:r>
      <w:r>
        <w:rPr>
          <w:rFonts w:hAnsi="Arial"/>
          <w:rFonts w:ascii="Arial"/>
          <w:sz w:val="24"/>
          <w:color w:val="black"/>
        </w:rPr>
        <w:t xml:space="preserve">Para atender lo establecido en el artículo </w:t>
      </w:r>
      <w:r>
        <w:fldChar w:fldCharType="begin"/>
      </w:r>
      <w:r>
        <w:instrText>HYPERLINK "http://www.redjurista.com/document.aspx?ajcode=l1621013&amp;arts=31"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1621 de 2013, los Jefes o Directores de los organismos de inteligencia y contrainteligencia crearán un comité para la actualización, corrección y retiro de datos y archivos de inteligencia.</w:t>
      </w:r>
    </w:p>
    <w:p>
      <w:pPr>
        <w:jc w:val="both"/>
      </w:pPr>
      <w:rPr>
        <w:sz w:val="24"/>
        <w:color w:val="black"/>
      </w:rPr>
    </w:p>
    <w:p>
      <w:pPr>
        <w:jc w:val="both"/>
      </w:pPr>
      <w:r>
        <w:rPr>
          <w:rFonts w:hAnsi="Arial"/>
          <w:rFonts w:ascii="Arial"/>
          <w:sz w:val="24"/>
          <w:color w:val="black"/>
        </w:rPr>
        <w:t xml:space="preserve">El comité de actualización, corrección y retiro de datos y archivos de inteligencia en cada uno de los organismos que integran la comunidad de inteligencia, para efectos de fijar los criterios de actualización, corrección y retiro de datos y archivos de inteligencia y contrainteligencia, deberá observar los límites, fines y principios de los artículos </w:t>
      </w:r>
      <w:r>
        <w:fldChar w:fldCharType="begin"/>
      </w:r>
      <w:r>
        <w:instrText>HYPERLINK "http://www.redjurista.com/document.aspx?ajcode=l1621013&amp;arts=4"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y </w:t>
      </w:r>
      <w:r>
        <w:fldChar w:fldCharType="begin"/>
      </w:r>
      <w:r>
        <w:instrText>HYPERLINK "http://www.redjurista.com/document.aspx?ajcode=l1621013&amp;arts=5"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1621 de 2013.</w:t>
      </w:r>
    </w:p>
    <w:p>
      <w:pPr>
        <w:jc w:val="both"/>
      </w:pPr>
      <w:rPr>
        <w:sz w:val="24"/>
        <w:color w:val="black"/>
      </w:rPr>
    </w:p>
    <w:p>
      <w:pPr>
        <w:jc w:val="both"/>
      </w:pPr>
      <w:r>
        <w:rPr>
          <w:rFonts w:hAnsi="Arial"/>
          <w:rFonts w:ascii="Arial"/>
          <w:sz w:val="24"/>
          <w:color w:val="black"/>
        </w:rPr>
        <w:t xml:space="preserve">Una vez conformado el comité de actualización, corrección y retiro de datos y archivos de inteligencia en cada uno de los organismos que integran la comunidad de inteligencia, este comité deberá presentar al Jefe o Director del organismo de inteligencia y contrainteligencia, un primer informe de avance e implementación dentro de los seis meses siguientes a su conformación y, posteriormente, el comité presentará un informe periódico, cada cuatro meses, o, en forma extraordinaria, cuando lo requiera el Jefe o Director del organismo.</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980" w:name="CAPÍTULO 2.2.3.9"/>
      <w:r>
        <w:rPr>
          <w:rFonts w:hAnsi="Arial"/>
          <w:rFonts w:ascii="Arial"/>
          <w:sz w:val="24"/>
          <w:color w:val="navy"/>
        </w:rPr>
        <w:t xml:space="preserve">CAPÍTULO 9. </w:t>
      </w:r>
    </w:p>
    <w:p>
      <w:pPr>
        <w:jc w:val="center"/>
      </w:pPr>
      <w:r>
        <w:rPr>
          <w:rFonts w:hAnsi="Arial"/>
          <w:rFonts w:ascii="Arial"/>
          <w:sz w:val="24"/>
          <w:color w:val="navy"/>
        </w:rPr>
        <w:t xml:space="preserve">MECANISMOS DE PROTECCIÓN DE LA INTEGRIDAD E IDENTIDAD DE LOS SERVIDORES PÚBLICOS DE LOS ORGANISMOS DE INTELIGENCIA Y CONTRAINTELIGENCIA.</w:t>
      </w:r>
      <w:bookmarkEnd w:id="59980"/>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81" w:name="2.2.3.9.1"/>
      <w:r>
        <w:rPr>
          <w:rFonts w:hAnsi="Arial"/>
          <w:rFonts w:ascii="Arial"/>
          <w:sz w:val="24"/>
          <w:color w:val="navy"/>
        </w:rPr>
        <w:t xml:space="preserve">ARTÍCULO 2.2.3.9.1. </w:t>
      </w:r>
      <w:r>
        <w:rPr>
          <w:rFonts w:hAnsi="Arial"/>
          <w:rFonts w:ascii="Arial"/>
          <w:sz w:val="24"/>
          <w:i/>
          <w:color w:val="navy"/>
        </w:rPr>
        <w:t xml:space="preserve">PROTECCIÓN DE LA IDENTIDAD.</w:t>
      </w:r>
      <w:bookmarkEnd w:id="59981"/>
      <w:r>
        <w:rPr>
          <w:rFonts w:hAnsi="Arial"/>
          <w:rFonts w:ascii="Arial"/>
          <w:sz w:val="24"/>
          <w:b/>
          <w:i/>
          <w:color w:val="black"/>
        </w:rPr>
        <w:t xml:space="preserve"> </w:t>
      </w:r>
      <w:r>
        <w:rPr>
          <w:rFonts w:hAnsi="Arial"/>
          <w:rFonts w:ascii="Arial"/>
          <w:sz w:val="24"/>
          <w:color w:val="black"/>
        </w:rPr>
        <w:t xml:space="preserve">Para garantizar la protección de la identidad de los servidores públicos que desarrollan actividades de inteligencia y contrainteligencia, la Registraduría Nacional del Estado Civil, en coordinación con las Direcciones y Jefaturas de Inteligencia de las Fuerzas Militares, la Policía Nacional, la Dirección Nacional de Inteligencia y la Unidad de Información y Análisis Financiero, establecerán mecanismos, manuales de procedimiento, formas de llevar los registros, trámites ágiles para la expedición del documento de nueva identidad, control de archivos y bases de datos, entre otros aspectos, que permitan mantener sistemas adecuados, seguros, confiables y reservados, a la hora de asignar nueva identidad con cupo numérico a quienes deban realizar misiones y operaciones de inteligencia y contrainteligencia previamente autorizadas.</w:t>
      </w:r>
    </w:p>
    <w:p>
      <w:pPr>
        <w:jc w:val="both"/>
      </w:pPr>
      <w:rPr>
        <w:sz w:val="24"/>
        <w:color w:val="black"/>
      </w:rPr>
    </w:p>
    <w:p>
      <w:pPr>
        <w:jc w:val="both"/>
      </w:pPr>
      <w:r>
        <w:rPr>
          <w:rFonts w:hAnsi="Arial"/>
          <w:rFonts w:ascii="Arial"/>
          <w:sz w:val="24"/>
          <w:color w:val="black"/>
        </w:rPr>
        <w:t xml:space="preserve">El suministro de nueva identidad solo se realizará previa solicitud escrita del respectivo Director o Jefe de Inteligencia y contrainteligencia, únicamente para las personas que él determine y que desarrollen misiones de trabajo en el marco de los artículos </w:t>
      </w:r>
      <w:r>
        <w:fldChar w:fldCharType="begin"/>
      </w:r>
      <w:r>
        <w:instrText>HYPERLINK "http://www.redjurista.com/document.aspx?ajcode=l1621013&amp;arts=4"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y </w:t>
      </w:r>
      <w:r>
        <w:fldChar w:fldCharType="begin"/>
      </w:r>
      <w:r>
        <w:instrText>HYPERLINK "http://www.redjurista.com/document.aspx?ajcode=l1621013&amp;arts=5"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1621 de 2013.</w:t>
      </w:r>
    </w:p>
    <w:p>
      <w:pPr>
        <w:jc w:val="both"/>
      </w:pPr>
      <w:rPr>
        <w:sz w:val="24"/>
        <w:color w:val="black"/>
      </w:rPr>
    </w:p>
    <w:p>
      <w:pPr>
        <w:jc w:val="both"/>
      </w:pPr>
      <w:r>
        <w:rPr>
          <w:rFonts w:hAnsi="Arial"/>
          <w:rFonts w:ascii="Arial"/>
          <w:sz w:val="24"/>
          <w:color w:val="black"/>
        </w:rPr>
        <w:t xml:space="preserve">La nueva identidad solo se suministrará por el tiempo necesario, prorrogable y controlable por quien autoriza, para cumplir con la misión y garantizar la protección e integridad del servidor público que en ella participe.</w:t>
      </w:r>
    </w:p>
    <w:p>
      <w:pPr>
        <w:jc w:val="both"/>
      </w:pPr>
      <w:rPr>
        <w:sz w:val="24"/>
        <w:color w:val="black"/>
      </w:rPr>
    </w:p>
    <w:p>
      <w:pPr>
        <w:jc w:val="both"/>
      </w:pPr>
      <w:r>
        <w:rPr>
          <w:rFonts w:hAnsi="Arial"/>
          <w:rFonts w:ascii="Arial"/>
          <w:sz w:val="24"/>
          <w:color w:val="black"/>
        </w:rPr>
        <w:t xml:space="preserve">Los Comandantes de Fuerza, las Jefaturas y las Direcciones de los organismos de inteligencia y contrainteligencia adoptarán los procedimientos administrativos, académicos y demás que sean necesarios para facilitar la protección de la identidad funcional e instruir a los servidores públicos que harán uso de ella.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Director o Jefe de Inteligencia y contrainteligencia será quien determine el tiempo necesario y tendrá la potestad de requerir, en el momento que lo estime pertinente, la cancelación de la nueva identidad, mediante documento escrito clasificado dirigido al Registrador Nacional del Estado Civil.</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82" w:name="2.2.3.9.2"/>
      <w:r>
        <w:rPr>
          <w:rFonts w:hAnsi="Arial"/>
          <w:rFonts w:ascii="Arial"/>
          <w:sz w:val="24"/>
          <w:color w:val="navy"/>
        </w:rPr>
        <w:t xml:space="preserve">ARTÍCULO 2.2.3.9.2. </w:t>
      </w:r>
      <w:r>
        <w:rPr>
          <w:rFonts w:hAnsi="Arial"/>
          <w:rFonts w:ascii="Arial"/>
          <w:sz w:val="24"/>
          <w:i/>
          <w:color w:val="navy"/>
        </w:rPr>
        <w:t xml:space="preserve">MEDIDAS DE SEGURIDAD.</w:t>
      </w:r>
      <w:bookmarkEnd w:id="59982"/>
      <w:r>
        <w:rPr>
          <w:rFonts w:hAnsi="Arial"/>
          <w:rFonts w:ascii="Arial"/>
          <w:sz w:val="24"/>
          <w:b/>
          <w:i/>
          <w:color w:val="black"/>
        </w:rPr>
        <w:t xml:space="preserve"> </w:t>
      </w:r>
      <w:r>
        <w:rPr>
          <w:rFonts w:hAnsi="Arial"/>
          <w:rFonts w:ascii="Arial"/>
          <w:sz w:val="24"/>
          <w:color w:val="black"/>
        </w:rPr>
        <w:t xml:space="preserve">La Registraduría Nacional del Estado Civil, en coordinación con los organismos de inteligencia y contrainteligencia, establecerá los protocolos, medidas de seguridad y mecanismos necesarios, incluyendo estudios de seguridad y pruebas de confiabilidad de los funcionarios responsables de la administración del sistema de nueva identidad, garantizando en todo momento y lugar la reserva legal.</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83" w:name="2.2.3.9.3"/>
      <w:r>
        <w:rPr>
          <w:rFonts w:hAnsi="Arial"/>
          <w:rFonts w:ascii="Arial"/>
          <w:sz w:val="24"/>
          <w:color w:val="navy"/>
        </w:rPr>
        <w:t xml:space="preserve">ARTÍCULO 2.2.3.9.3. </w:t>
      </w:r>
      <w:r>
        <w:rPr>
          <w:rFonts w:hAnsi="Arial"/>
          <w:rFonts w:ascii="Arial"/>
          <w:sz w:val="24"/>
          <w:i/>
          <w:color w:val="navy"/>
        </w:rPr>
        <w:t xml:space="preserve">MECANISMOS DE PROTECCIÓN PARA LOS SERVIDORES PÚBLICOS QUE DESARROLLAN ACTIVIDADES DE INTELIGENCIA Y CONTRAINTELIGENCIA Y SU NÚCLEO FAMILIAR.</w:t>
      </w:r>
      <w:bookmarkEnd w:id="59983"/>
      <w:r>
        <w:rPr>
          <w:rFonts w:hAnsi="Arial"/>
          <w:rFonts w:ascii="Arial"/>
          <w:sz w:val="24"/>
          <w:b/>
          <w:i/>
          <w:color w:val="black"/>
        </w:rPr>
        <w:t xml:space="preserve"> </w:t>
      </w:r>
      <w:r>
        <w:rPr>
          <w:rFonts w:hAnsi="Arial"/>
          <w:rFonts w:ascii="Arial"/>
          <w:sz w:val="24"/>
          <w:color w:val="black"/>
        </w:rPr>
        <w:t xml:space="preserve">Para garantizar la debida protección de los servidores públicos pertenecientes a los organismos que desarrollan actividades de inteligencia y contrainteligencia, que con ocasión del cumplimiento de sus funciones y actividades se vean compelidos a riesgo o amenaza, actual e inminente, contra su integridad personal o la de su núcleo familiar, las Direcciones y Jefaturas de Inteligencia de las Fuerzas Militares, la Policía Nacional, la Dirección Nacional de Inteligencia, la UIAF y de los demás organismos de inteligencia y contrainteligencia que se creen por ley, coordinarán la realización del estudio técnico de nivel de amenaza o riesgo, para la toma de las decisiones a que haya lugar, con la dependencia de contrainteligencia, su equivalente o se apoyarán con otro organismo de la comunidad de inteligencia para tal fin.</w:t>
      </w:r>
    </w:p>
    <w:p>
      <w:pPr>
        <w:jc w:val="both"/>
      </w:pPr>
      <w:rPr>
        <w:sz w:val="24"/>
        <w:color w:val="black"/>
      </w:rPr>
    </w:p>
    <w:p>
      <w:pPr>
        <w:jc w:val="both"/>
      </w:pPr>
      <w:r>
        <w:rPr>
          <w:rFonts w:hAnsi="Arial"/>
          <w:rFonts w:ascii="Arial"/>
          <w:sz w:val="24"/>
          <w:color w:val="black"/>
        </w:rPr>
        <w:t xml:space="preserve">El estudio técnico de nivel de amenaza o riesgo, para la toma de decisiones en materia de protección, se realizará al servidor público perteneciente a un organismo de inteligencia y contrainteligencia que se encuentre por sus funciones en situación de amenaza o riesgo, y, cuando sea el caso, se efectuará al núcleo familiar de dicho servidor, siempre que estén dentro del primer grado de consanguinidad, primero de afinidad, primero civil, cónyuge, compañero o compañera permanente.</w:t>
      </w:r>
    </w:p>
    <w:p>
      <w:pPr>
        <w:jc w:val="both"/>
      </w:pPr>
      <w:rPr>
        <w:sz w:val="24"/>
        <w:color w:val="black"/>
      </w:rPr>
    </w:p>
    <w:p>
      <w:pPr>
        <w:jc w:val="both"/>
      </w:pPr>
      <w:r>
        <w:rPr>
          <w:rFonts w:hAnsi="Arial"/>
          <w:rFonts w:ascii="Arial"/>
          <w:sz w:val="24"/>
          <w:color w:val="black"/>
        </w:rPr>
        <w:t xml:space="preserve">Los Comandantes de Fuerza, las Jefaturas y las Direcciones de los organismos de inteligencia y contrainteligencia adoptarán los procedimientos que sean necesarios para implementar los mecanismos de protección para los servidores públicos que desarrollan actividades de inteligencia y contrainteligencia y su núcleo familiar.</w:t>
      </w:r>
    </w:p>
    <w:p>
      <w:pPr>
        <w:jc w:val="both"/>
      </w:pPr>
      <w:rPr>
        <w:sz w:val="24"/>
        <w:color w:val="black"/>
      </w:rPr>
    </w:p>
    <w:p>
      <w:pPr>
        <w:jc w:val="both"/>
      </w:pPr>
      <w:r>
        <w:rPr>
          <w:rFonts w:hAnsi="Arial"/>
          <w:rFonts w:ascii="Arial"/>
          <w:sz w:val="24"/>
          <w:color w:val="black"/>
        </w:rPr>
        <w:t xml:space="preserve">Los Comandantes de Fuerza, los Jefes y los Directores de los organismos de inteligencia y contrainteligencia adelantarán los trámites legales y las coordinaciones directas para garantizar las medidas de protección que se estimen necesarias y pertinentes.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hojas de vida, los perfiles o los datos de los servidores públicos de inteligencia y contrainteligencia y de los contratistas que lleven a cabo estas actividades, no deberán ser revelados, incorporados, ni publicados en páginas y/o portales electrónicos o web u otros medios similares.</w:t>
      </w:r>
    </w:p>
    <w:p>
      <w:rPr>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autoridades competentes que por razón de sus funciones conozcan acerca de la identidad y actividades propias de los servidores públicos de los organismos de inteligencia y contrainteligencia, deberán garantizar la reserva legal de dicha información como mecanismo de protección.</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984" w:name="CAPÍTULO 2.2.3.10"/>
      <w:r>
        <w:rPr>
          <w:rFonts w:hAnsi="Arial"/>
          <w:rFonts w:ascii="Arial"/>
          <w:sz w:val="24"/>
          <w:color w:val="navy"/>
        </w:rPr>
        <w:t xml:space="preserve">CAPÍTULO 10. </w:t>
      </w:r>
    </w:p>
    <w:p>
      <w:pPr>
        <w:jc w:val="center"/>
      </w:pPr>
      <w:r>
        <w:rPr>
          <w:rFonts w:hAnsi="Arial"/>
          <w:rFonts w:ascii="Arial"/>
          <w:sz w:val="24"/>
          <w:color w:val="navy"/>
        </w:rPr>
        <w:t xml:space="preserve">ESTUDIOS DE CREDIBILIDAD Y CONFIABILIDAD E INGRESO Y RETIRO DE PERSONAL DE LOS ORGANISMOS DE INTELIGENCIA Y CONTRAINTELIGENCIA.</w:t>
      </w:r>
      <w:bookmarkEnd w:id="59984"/>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85" w:name="2.2.3.10.1"/>
      <w:r>
        <w:rPr>
          <w:rFonts w:hAnsi="Arial"/>
          <w:rFonts w:ascii="Arial"/>
          <w:sz w:val="24"/>
          <w:color w:val="navy"/>
        </w:rPr>
        <w:t xml:space="preserve">ARTÍCULO 2.2.3.10.1. </w:t>
      </w:r>
      <w:r>
        <w:rPr>
          <w:rFonts w:hAnsi="Arial"/>
          <w:rFonts w:ascii="Arial"/>
          <w:sz w:val="24"/>
          <w:i/>
          <w:color w:val="navy"/>
        </w:rPr>
        <w:t xml:space="preserve">ESTUDIOS DE CREDIBILIDAD Y CONFIABILIDAD.</w:t>
      </w:r>
      <w:bookmarkEnd w:id="59985"/>
      <w:r>
        <w:rPr>
          <w:rFonts w:hAnsi="Arial"/>
          <w:rFonts w:ascii="Arial"/>
          <w:sz w:val="24"/>
          <w:b/>
          <w:i/>
          <w:color w:val="black"/>
        </w:rPr>
        <w:t xml:space="preserve"> </w:t>
      </w:r>
      <w:r>
        <w:rPr>
          <w:rFonts w:hAnsi="Arial"/>
          <w:rFonts w:ascii="Arial"/>
          <w:sz w:val="24"/>
          <w:color w:val="black"/>
        </w:rPr>
        <w:t xml:space="preserve">Los estudios de credibilidad y confiabilidad, son de obligatorio acatamiento y comprenden un conjunto de actividades, exámenes y/o evaluaciones, orientadas a asegurar los más altos estándares en materia de seguridad y reserva de la información, mediante la aplicación de exámenes técnicos o evaluaciones periódicas que verifiquen la idoneidad, credibilidad y confiabilidad de los servidores públicos y/o contratistas de los organismos de inteligencia y contrainteligencia y/o de personas que por razón de sus funciones y actividades tengan que conocer información con nivel de clasificación.</w:t>
      </w:r>
    </w:p>
    <w:p>
      <w:pPr>
        <w:jc w:val="both"/>
      </w:pPr>
      <w:rPr>
        <w:sz w:val="24"/>
        <w:color w:val="black"/>
      </w:rPr>
    </w:p>
    <w:p>
      <w:pPr>
        <w:jc w:val="both"/>
      </w:pPr>
      <w:r>
        <w:rPr>
          <w:rFonts w:hAnsi="Arial"/>
          <w:rFonts w:ascii="Arial"/>
          <w:sz w:val="24"/>
          <w:color w:val="black"/>
        </w:rPr>
        <w:t xml:space="preserve">En este sentido, los estudios de credibilidad y confiabilidad podrán componerse, entre otros similares, de los siguientes exámenes técnicos que evalúen los siguientes aspectos:</w:t>
      </w:r>
    </w:p>
    <w:p>
      <w:pPr>
        <w:jc w:val="both"/>
      </w:pPr>
      <w:rPr>
        <w:sz w:val="24"/>
        <w:color w:val="black"/>
      </w:rPr>
    </w:p>
    <w:p>
      <w:pPr>
        <w:jc w:val="both"/>
      </w:pPr>
      <w:r>
        <w:rPr>
          <w:rFonts w:hAnsi="Arial"/>
          <w:rFonts w:ascii="Arial"/>
          <w:sz w:val="24"/>
          <w:b/>
          <w:color w:val="black"/>
        </w:rPr>
        <w:t xml:space="preserve">a) Individual</w:t>
      </w:r>
      <w:r>
        <w:rPr>
          <w:rFonts w:hAnsi="Arial"/>
          <w:rFonts w:ascii="Arial"/>
          <w:sz w:val="24"/>
          <w:color w:val="black"/>
        </w:rPr>
        <w:t xml:space="preserve">: Verificación administrativa de información y datos, referencias, anotaciones, antecedentes judiciales, antecedentes disciplinarios, antecedentes médicos, prueba y evaluación psicotécnica, entrevistas, competencias, prueba informatizada de integridad y veracidad, examen psicofisiológico de polígrafo.</w:t>
      </w:r>
    </w:p>
    <w:p>
      <w:pPr>
        <w:jc w:val="both"/>
      </w:pPr>
      <w:rPr>
        <w:sz w:val="24"/>
        <w:color w:val="black"/>
      </w:rPr>
    </w:p>
    <w:p>
      <w:pPr>
        <w:jc w:val="both"/>
      </w:pPr>
      <w:r>
        <w:rPr>
          <w:rFonts w:hAnsi="Arial"/>
          <w:rFonts w:ascii="Arial"/>
          <w:sz w:val="24"/>
          <w:b/>
          <w:color w:val="black"/>
        </w:rPr>
        <w:t xml:space="preserve">b) Familiar</w:t>
      </w:r>
      <w:r>
        <w:rPr>
          <w:rFonts w:hAnsi="Arial"/>
          <w:rFonts w:ascii="Arial"/>
          <w:sz w:val="24"/>
          <w:color w:val="black"/>
        </w:rPr>
        <w:t xml:space="preserve">: Visita domiciliaria y de vecindario.</w:t>
      </w:r>
    </w:p>
    <w:p>
      <w:pPr>
        <w:jc w:val="both"/>
      </w:pPr>
      <w:rPr>
        <w:sz w:val="24"/>
        <w:color w:val="black"/>
      </w:rPr>
    </w:p>
    <w:p>
      <w:pPr>
        <w:jc w:val="both"/>
      </w:pPr>
      <w:r>
        <w:rPr>
          <w:rFonts w:hAnsi="Arial"/>
          <w:rFonts w:ascii="Arial"/>
          <w:sz w:val="24"/>
          <w:b/>
          <w:color w:val="black"/>
        </w:rPr>
        <w:t xml:space="preserve">c) Social</w:t>
      </w:r>
      <w:r>
        <w:rPr>
          <w:rFonts w:hAnsi="Arial"/>
          <w:rFonts w:ascii="Arial"/>
          <w:sz w:val="24"/>
          <w:color w:val="black"/>
        </w:rPr>
        <w:t xml:space="preserve">: Estudio socioeconómico, referencias personales, profesionales, laborales, comerciales y financieras.</w:t>
      </w:r>
    </w:p>
    <w:p>
      <w:pPr>
        <w:jc w:val="both"/>
      </w:pPr>
      <w:rPr>
        <w:sz w:val="24"/>
        <w:color w:val="black"/>
      </w:rPr>
    </w:p>
    <w:p>
      <w:pPr>
        <w:jc w:val="both"/>
      </w:pPr>
      <w:r>
        <w:rPr>
          <w:rFonts w:hAnsi="Arial"/>
          <w:rFonts w:ascii="Arial"/>
          <w:sz w:val="24"/>
          <w:color w:val="black"/>
        </w:rPr>
        <w:t xml:space="preserve">Cada organismo de inteligencia y contrainteligencia determinará el objeto, finalidad y alcance de los estudios de credibilidad y confiabilidad, sus características, ámbito de aplicación, periodicidad, protocolos y procedimientos de realización y evaluación, privilegiando el interés general y la dignidad de los evaluados.</w:t>
      </w:r>
    </w:p>
    <w:p>
      <w:pPr>
        <w:jc w:val="both"/>
      </w:pPr>
      <w:rPr>
        <w:sz w:val="24"/>
        <w:color w:val="black"/>
      </w:rPr>
    </w:p>
    <w:p>
      <w:pPr>
        <w:jc w:val="both"/>
      </w:pPr>
      <w:r>
        <w:rPr>
          <w:rFonts w:hAnsi="Arial"/>
          <w:rFonts w:ascii="Arial"/>
          <w:sz w:val="24"/>
          <w:color w:val="black"/>
        </w:rPr>
        <w:t xml:space="preserve">Los organismos de inteligencia y contrainteligencia podrán coordinar su realización con otras dependencias y extenderlos a los procesos y procedimientos internos en cada institución, siempre que tengan relación directa con las actividades de inteligencia, contrainteligencia y los demás fines enunciados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organismos que integran la comunidad de inteligencia, cuando las circunstancias lo requieran, podrán apoyarse entre sí o con organismos homólogos internacionales, para la coordinación y realización de estudios de credibilidad y confiabilidad, con el fin de optimizar las fortalezas institucionales en materia de conocimiento específico, recursos humanos y recursos técnicos especializados.</w:t>
      </w:r>
    </w:p>
    <w:p>
      <w:pPr>
        <w:jc w:val="both"/>
      </w:pPr>
      <w:rPr>
        <w:sz w:val="24"/>
        <w:color w:val="black"/>
      </w:rPr>
    </w:p>
    <w:p>
      <w:pPr>
        <w:jc w:val="both"/>
      </w:pPr>
      <w:r>
        <w:rPr>
          <w:rFonts w:hAnsi="Arial"/>
          <w:rFonts w:ascii="Arial"/>
          <w:sz w:val="24"/>
          <w:color w:val="black"/>
        </w:rPr>
        <w:t xml:space="preserve">Para la aplicación de las pruebas de credibilidad y confianza, el nivel de acceso a la información que se haya dado al funcionario y el nivel que posea para la autorización de cada operación o misión de trabajo, cuando fuere el caso, serán factores decisivos para el diseño e implementación del conjunto de exámenes a practicar al funcionario.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organismos de inteligencia y contrainteligencia desarrollarán protocolos internos para la aplicación de las pruebas de credibilidad y confiabilidad, cuando se trate de actividades específicas, de apoyo dirigido a la recolección de información a través de fuentes humanas y, de la dirección, orientación y coordinación de equipos especializados de inteligencia, contrainteligencia o asuntos internos, entre otros.</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59986" w:name="CAPÍTULO 2.2.3.11"/>
      <w:r>
        <w:rPr>
          <w:rFonts w:hAnsi="Arial"/>
          <w:rFonts w:ascii="Arial"/>
          <w:sz w:val="24"/>
          <w:color w:val="navy"/>
        </w:rPr>
        <w:t xml:space="preserve">CAPÍTULO 11. </w:t>
      </w:r>
    </w:p>
    <w:p>
      <w:pPr>
        <w:jc w:val="center"/>
      </w:pPr>
      <w:r>
        <w:rPr>
          <w:rFonts w:hAnsi="Arial"/>
          <w:rFonts w:ascii="Arial"/>
          <w:sz w:val="24"/>
          <w:color w:val="navy"/>
        </w:rPr>
        <w:t xml:space="preserve">OTRAS DISPOSICIONES.</w:t>
      </w:r>
      <w:bookmarkEnd w:id="59986"/>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59987" w:name="2.2.3.11.1"/>
      <w:r>
        <w:rPr>
          <w:rFonts w:hAnsi="Arial"/>
          <w:rFonts w:ascii="Arial"/>
          <w:sz w:val="24"/>
          <w:color w:val="navy"/>
        </w:rPr>
        <w:t xml:space="preserve">ARTÍCULO 2.2.3.11.1. </w:t>
      </w:r>
      <w:r>
        <w:rPr>
          <w:rFonts w:hAnsi="Arial"/>
          <w:rFonts w:ascii="Arial"/>
          <w:sz w:val="24"/>
          <w:i/>
          <w:color w:val="navy"/>
        </w:rPr>
        <w:t xml:space="preserve">PROGRAMAS DE FORMACIÓN Y CAPACITACIÓN DEL PERSONAL DE INTELIGENCIA Y CONTRAINTELIGENCIA.</w:t>
      </w:r>
      <w:bookmarkEnd w:id="59987"/>
      <w:r>
        <w:rPr>
          <w:rFonts w:hAnsi="Arial"/>
          <w:rFonts w:ascii="Arial"/>
          <w:sz w:val="24"/>
          <w:b/>
          <w:i/>
          <w:color w:val="black"/>
        </w:rPr>
        <w:t xml:space="preserve"> </w:t>
      </w:r>
      <w:r>
        <w:rPr>
          <w:rFonts w:hAnsi="Arial"/>
          <w:rFonts w:ascii="Arial"/>
          <w:sz w:val="24"/>
          <w:color w:val="black"/>
        </w:rPr>
        <w:t xml:space="preserve">Los organismos de inteligencia y contrainteligencia, en el marco de su naturaleza jurídica crearán, orientarán y/o implementarán programas académicos para formar, instruir, capacitar periódicamente a los servidores públicos que cumplan funciones relacionadas con las actividades de inteligencia y contrainteligencia, y expedirán los certificados de idoneidad y las constancias sobre el desarrollo y aprobación de dichos programas.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asegurar la formación, instrucción, capacitación y adiestramiento de los servidores públicos, los organismos que integran la comunidad de inteligencia podrán apoyarse entre sí o con otras entidades del orden nacional o internacional.</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59988" w:name="2.2.3.11.2"/>
      <w:r>
        <w:rPr>
          <w:rFonts w:hAnsi="Arial"/>
          <w:rFonts w:ascii="Arial"/>
          <w:sz w:val="24"/>
          <w:color w:val="navy"/>
        </w:rPr>
        <w:t xml:space="preserve">ARTÍCULO 2.2.3.11.2. </w:t>
      </w:r>
      <w:r>
        <w:rPr>
          <w:rFonts w:hAnsi="Arial"/>
          <w:rFonts w:ascii="Arial"/>
          <w:sz w:val="24"/>
          <w:i/>
          <w:color w:val="navy"/>
        </w:rPr>
        <w:t xml:space="preserve">ASIGNACIÓN PRESUPUESTAL.</w:t>
      </w:r>
      <w:bookmarkEnd w:id="59988"/>
      <w:r>
        <w:rPr>
          <w:rFonts w:hAnsi="Arial"/>
          <w:rFonts w:ascii="Arial"/>
          <w:sz w:val="24"/>
          <w:b/>
          <w:i/>
          <w:color w:val="black"/>
        </w:rPr>
        <w:t xml:space="preserve"> </w:t>
      </w:r>
      <w:r>
        <w:rPr>
          <w:rFonts w:hAnsi="Arial"/>
          <w:rFonts w:ascii="Arial"/>
          <w:sz w:val="24"/>
          <w:color w:val="black"/>
        </w:rPr>
        <w:t xml:space="preserve">Los organismos de inteligencia y contrainteligencia que conforman la comunidad de inteligencia tramitarán la partida presupuestal "Gastos Generales" Gastos Reservados con cargo a su asignación presupuestal, observando el conducto regular, a fin de atender las diferentes actividades de inteligencia y contrainteligencia asignadas de conformidad con su marco legal.</w:t>
      </w:r>
    </w:p>
    <w:p>
      <w:pPr>
        <w:jc w:val="both"/>
      </w:pPr>
      <w:rPr>
        <w:sz w:val="24"/>
        <w:color w:val="black"/>
      </w:rPr>
    </w:p>
    <w:p>
      <w:pPr>
        <w:jc w:val="both"/>
      </w:pPr>
      <w:r>
        <w:rPr>
          <w:rFonts w:hAnsi="Arial"/>
          <w:rFonts w:ascii="Arial"/>
          <w:sz w:val="24"/>
          <w:i/>
          <w:color w:val="black"/>
        </w:rPr>
        <w:t xml:space="preserve">(Decreto 857 de 2014 artículo </w:t>
      </w:r>
      <w:r>
        <w:fldChar w:fldCharType="begin"/>
      </w:r>
      <w:r>
        <w:instrText>HYPERLINK "http://www.redjurista.com/document.aspx?ajcode=d0857014&amp;arts=22"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b/>
        <w:color w:val="black"/>
      </w:rPr>
    </w:p>
    <w:p>
      <w:pPr>
        <w:jc w:val="center"/>
      </w:pPr>
      <w:r>
        <w:rPr>
          <w:rFonts w:hAnsi="Arial"/>
          <w:rFonts w:ascii="Arial"/>
          <w:sz w:val="24"/>
          <w:b/>
          <w:vanish/>
          <w:color w:val="black"/>
        </w:rPr>
        <w:t>&amp;$</w:t>
      </w:r>
      <w:bookmarkStart w:id="59989" w:name="CAPÍTULO 2.2.3.12"/>
      <w:r>
        <w:rPr>
          <w:rFonts w:hAnsi="Arial"/>
          <w:rFonts w:ascii="Arial"/>
          <w:sz w:val="24"/>
          <w:color w:val="navy"/>
        </w:rPr>
        <w:t xml:space="preserve">CAPÍTULO 12. </w:t>
      </w:r>
    </w:p>
    <w:p>
      <w:pPr>
        <w:jc w:val="center"/>
      </w:pPr>
      <w:r>
        <w:rPr>
          <w:rFonts w:hAnsi="Arial"/>
          <w:rFonts w:ascii="Arial"/>
          <w:sz w:val="24"/>
          <w:color w:val="navy"/>
        </w:rPr>
        <w:t xml:space="preserve">POR MEDIO DEL CUAL SE CREA EL SISTEMA NACIONAL DE DEPURACIÓN DE DATOS Y ARCHIVOS DE INTELIGENCIA Y CONTRAINTELIGENCIA Y SE DICTAN OTRAS DISPOSICIONES.</w:t>
      </w:r>
      <w:bookmarkEnd w:id="59989"/>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59990" w:name="SECCIÓN 2.2.3.12.1.1"/>
      <w:r>
        <w:rPr>
          <w:rFonts w:hAnsi="Arial"/>
          <w:rFonts w:ascii="Arial"/>
          <w:sz w:val="24"/>
          <w:color w:val="navy"/>
        </w:rPr>
        <w:t xml:space="preserve">SECCIÓN 1. </w:t>
      </w:r>
    </w:p>
    <w:p>
      <w:pPr>
        <w:jc w:val="center"/>
      </w:pPr>
      <w:r>
        <w:rPr>
          <w:rFonts w:hAnsi="Arial"/>
          <w:rFonts w:ascii="Arial"/>
          <w:sz w:val="24"/>
          <w:color w:val="navy"/>
        </w:rPr>
        <w:t xml:space="preserve">DE LA CREACIÓN DEL SISTEMA NACIONAL DE DEPURACIÓN DE DATOS Y ARCHIVOS DE INTELIGENCIA Y CONTRAINTELIGENCIA.</w:t>
      </w:r>
      <w:bookmarkEnd w:id="59990"/>
      <w:r>
        <w:rPr>
          <w:rFonts w:hAnsi="Arial"/>
          <w:rFonts w:ascii="Arial"/>
          <w:sz w:val="24"/>
          <w:b/>
          <w:color w:val="black"/>
        </w:rPr>
        <w:t xml:space="preserve"> </w:t>
      </w:r>
    </w:p>
    <w:p>
      <w:pPr>
        <w:jc w:val="both"/>
      </w:pPr>
      <w:rPr>
        <w:sz w:val="24"/>
        <w:b/>
        <w:color w:val="black"/>
      </w:rPr>
    </w:p>
    <w:p>
      <w:pPr>
        <w:jc w:val="both"/>
      </w:pPr>
      <w:r>
        <w:rPr>
          <w:rFonts w:hAnsi="Arial"/>
          <w:rFonts w:ascii="Arial"/>
          <w:sz w:val="24"/>
          <w:vanish/>
          <w:color w:val="black"/>
        </w:rPr>
        <w:t>&amp;$</w:t>
      </w:r>
      <w:bookmarkStart w:id="59991" w:name="2.2.3.12.1.1"/>
      <w:r>
        <w:rPr>
          <w:rFonts w:hAnsi="Arial"/>
          <w:rFonts w:ascii="Arial"/>
          <w:sz w:val="24"/>
          <w:color w:val="navy"/>
        </w:rPr>
        <w:t xml:space="preserve">ARTÍCULO 2.2.3.12.1.1. DEL SISTEMA NACIONAL DE DEPURACIÓN DE DATOS ARCHIVOS DE INTELIGENCIA Y CONTRAINTELIGENCIA.</w:t>
      </w:r>
      <w:bookmarkEnd w:id="599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Créase el Sistema Nacional de Depuración de Datos y Archivos de Inteligencia y Contrainteligencia, denominado - “SND”, como un conjunto de instancias, orientaciones, actividades, recursos, definiciones, programas e instituciones que permiten la aplicación de los principios generales y las disposiciones sobre actualización, corrección y retiro de datos y archivos de inteligencia y contrainteligencia. </w:t>
      </w:r>
    </w:p>
    <w:p>
      <w:pPr>
        <w:jc w:val="both"/>
      </w:pPr>
      <w:rPr>
        <w:color w:val="black"/>
      </w:rPr>
    </w:p>
    <w:p>
      <w:pPr>
        <w:jc w:val="both"/>
      </w:pPr>
      <w:r>
        <w:rPr>
          <w:rFonts w:hAnsi="Arial"/>
          <w:rFonts w:ascii="Arial"/>
          <w:sz w:val="24"/>
          <w:b/>
          <w:vanish/>
          <w:color w:val="black"/>
        </w:rPr>
        <w:t>&amp;$</w:t>
      </w:r>
      <w:bookmarkStart w:id="59992" w:name="2.2.3.12.1.2"/>
      <w:r>
        <w:rPr>
          <w:rFonts w:hAnsi="Arial"/>
          <w:rFonts w:ascii="Arial"/>
          <w:sz w:val="24"/>
          <w:color w:val="navy"/>
        </w:rPr>
        <w:t xml:space="preserve">ARTÍCULO 2.2.3.12.1.2. ESTRUCTURA DEL SISTEMA NACIONAL DE DEPURACIÓN DE DATOS Y ARCHIVOS DE INTELIGENCIA Y CONTRAINTELIGENCIA.</w:t>
      </w:r>
      <w:bookmarkEnd w:id="599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Sistema Nacional de Depuración “SND” estará conformado por un Consejo Directivo, un Consejo Técnico, un Consejo Operativo. </w:t>
      </w:r>
    </w:p>
    <w:p>
      <w:pPr>
        <w:jc w:val="center"/>
      </w:pPr>
      <w:rPr>
        <w:sz w:val="24"/>
        <w:b/>
        <w:color w:val="black"/>
      </w:rPr>
    </w:p>
    <w:p>
      <w:pPr>
        <w:jc w:val="center"/>
      </w:pPr>
      <w:r>
        <w:rPr>
          <w:rFonts w:hAnsi="Arial"/>
          <w:rFonts w:ascii="Arial"/>
          <w:sz w:val="24"/>
          <w:b/>
          <w:vanish/>
          <w:color w:val="black"/>
        </w:rPr>
        <w:t>&amp;$</w:t>
      </w:r>
      <w:bookmarkStart w:id="59993" w:name="SECCIÓN 2.2.3.12.1.2"/>
      <w:r>
        <w:rPr>
          <w:rFonts w:hAnsi="Arial"/>
          <w:rFonts w:ascii="Arial"/>
          <w:sz w:val="24"/>
          <w:color w:val="navy"/>
        </w:rPr>
        <w:t xml:space="preserve">SECCIÓN 2. </w:t>
      </w:r>
    </w:p>
    <w:p>
      <w:pPr>
        <w:jc w:val="center"/>
      </w:pPr>
      <w:r>
        <w:rPr>
          <w:rFonts w:hAnsi="Arial"/>
          <w:rFonts w:ascii="Arial"/>
          <w:sz w:val="24"/>
          <w:color w:val="navy"/>
        </w:rPr>
        <w:t xml:space="preserve">DEL CONSEJO DIRECTIVO.</w:t>
      </w:r>
      <w:bookmarkEnd w:id="59993"/>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59994" w:name="2.2.3.12.2.1"/>
      <w:r>
        <w:rPr>
          <w:rFonts w:hAnsi="Arial"/>
          <w:rFonts w:ascii="Arial"/>
          <w:sz w:val="24"/>
          <w:color w:val="navy"/>
        </w:rPr>
        <w:t xml:space="preserve">ARTÍCULO 2.2.3.12.2.1. DEL CONSEJO DIRECTIVO DEL SISTEMA NACIONAL DE DEPURACIÓN DE DATOS Y ARCHIVOS DE INTELIGENCIA Y CONTRAINTELIGENCIA.</w:t>
      </w:r>
      <w:bookmarkEnd w:id="599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Directivo del Sistema Nacional de Depuración “SND” lo conformarán: </w:t>
      </w:r>
    </w:p>
    <w:p>
      <w:pPr>
        <w:jc w:val="both"/>
      </w:pPr>
      <w:rPr>
        <w:sz w:val="24"/>
        <w:color w:val="black"/>
      </w:rPr>
    </w:p>
    <w:p>
      <w:pPr>
        <w:jc w:val="both"/>
      </w:pPr>
      <w:r>
        <w:rPr>
          <w:rFonts w:hAnsi="Arial"/>
          <w:rFonts w:ascii="Arial"/>
          <w:sz w:val="24"/>
          <w:color w:val="black"/>
        </w:rPr>
        <w:t xml:space="preserve">1. El o la Ministro (a) del Interior o su delegado (a). </w:t>
      </w:r>
    </w:p>
    <w:p>
      <w:pPr>
        <w:jc w:val="both"/>
      </w:pPr>
      <w:r>
        <w:rPr>
          <w:rFonts w:hAnsi="Arial"/>
          <w:rFonts w:ascii="Arial"/>
          <w:sz w:val="24"/>
          <w:color w:val="black"/>
        </w:rPr>
        <w:t xml:space="preserve">2. El o la Ministro (a) de Relaciones Exteriores o su delegado (a). </w:t>
      </w:r>
    </w:p>
    <w:p>
      <w:pPr>
        <w:jc w:val="both"/>
      </w:pPr>
      <w:r>
        <w:rPr>
          <w:rFonts w:hAnsi="Arial"/>
          <w:rFonts w:ascii="Arial"/>
          <w:sz w:val="24"/>
          <w:color w:val="black"/>
        </w:rPr>
        <w:t xml:space="preserve">3. El o la Ministro (a) de Defensa Nacional o su delegado (a) quien lo presidirá; </w:t>
      </w:r>
    </w:p>
    <w:p>
      <w:pPr>
        <w:jc w:val="both"/>
      </w:pPr>
      <w:r>
        <w:rPr>
          <w:rFonts w:hAnsi="Arial"/>
          <w:rFonts w:ascii="Arial"/>
          <w:sz w:val="24"/>
          <w:color w:val="black"/>
        </w:rPr>
        <w:t xml:space="preserve">4. El o la Ministro (a) de Justicia y del Derecho o su delegado (a). </w:t>
      </w:r>
    </w:p>
    <w:p>
      <w:pPr>
        <w:jc w:val="both"/>
      </w:pPr>
      <w:r>
        <w:rPr>
          <w:rFonts w:hAnsi="Arial"/>
          <w:rFonts w:ascii="Arial"/>
          <w:sz w:val="24"/>
          <w:color w:val="black"/>
        </w:rPr>
        <w:t xml:space="preserve">5. El o la Ministro (a) de Hacienda y Crédito Público o su delegado (a). </w:t>
      </w:r>
    </w:p>
    <w:p>
      <w:pPr>
        <w:jc w:val="both"/>
      </w:pPr>
      <w:r>
        <w:rPr>
          <w:rFonts w:hAnsi="Arial"/>
          <w:rFonts w:ascii="Arial"/>
          <w:sz w:val="24"/>
          <w:color w:val="black"/>
        </w:rPr>
        <w:t xml:space="preserve">6. El o la Ministro (a) de Cultura o su delegado (a).</w:t>
      </w:r>
    </w:p>
    <w:p>
      <w:pPr>
        <w:jc w:val="both"/>
        <w:outlineLvl w:val="1"/>
      </w:pPr>
      <w:r>
        <w:rPr>
          <w:rFonts w:hAnsi="Arial"/>
          <w:rFonts w:ascii="Arial"/>
          <w:sz w:val="24"/>
          <w:color w:val="black"/>
        </w:rPr>
        <w:t xml:space="preserve">7. El o la Director (a) del Departamento Administrativo “Dirección Nacional de Inteligencia” o su delegado (a).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delegados asignados por los titulares tendrán voz y voto en las reuniones.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Consejo Directivo del Sistema “SND” se reunirá cada seis (6) meses o en forma extraordinaria cuando lo estimen pertinente.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La documentación que se genere con ocasión de las actividades del Consejo Directivo del “SND” estará bajo la responsabilidad y custodia de su secretaría técnica. </w:t>
      </w:r>
    </w:p>
    <w:p>
      <w:pPr>
        <w:jc w:val="both"/>
      </w:pPr>
      <w:rPr>
        <w:sz w:val="24"/>
        <w:b/>
        <w:color w:val="black"/>
      </w:rPr>
    </w:p>
    <w:p>
      <w:pPr>
        <w:jc w:val="both"/>
      </w:pPr>
      <w:r>
        <w:rPr>
          <w:rFonts w:hAnsi="Arial"/>
          <w:rFonts w:ascii="Arial"/>
          <w:sz w:val="24"/>
          <w:color w:val="navy"/>
        </w:rPr>
        <w:t xml:space="preserve">PARÁGRAFO 4.</w:t>
      </w:r>
      <w:r>
        <w:rPr>
          <w:rFonts w:hAnsi="Arial"/>
          <w:rFonts w:ascii="Arial"/>
          <w:sz w:val="24"/>
          <w:b/>
          <w:color w:val="black"/>
        </w:rPr>
        <w:t xml:space="preserve"> </w:t>
      </w:r>
      <w:r>
        <w:rPr>
          <w:rFonts w:hAnsi="Arial"/>
          <w:rFonts w:ascii="Arial"/>
          <w:sz w:val="24"/>
          <w:color w:val="black"/>
        </w:rPr>
        <w:t xml:space="preserve">La Procuraduría General de la Nación, la Defensoría del Pueblo y la Contraloría General de la República, sin perjuicio de las funciones Constitucionales y legales que les corresponden, podrán designar un o una delegado (a) para que asistan como invitados a las reuniones del Consejo Directivo, sin derecho a voto en las sesiones. </w:t>
      </w:r>
    </w:p>
    <w:p>
      <w:pPr>
        <w:jc w:val="both"/>
      </w:pPr>
      <w:rPr>
        <w:color w:val="black"/>
      </w:rPr>
    </w:p>
    <w:p>
      <w:pPr>
        <w:jc w:val="both"/>
      </w:pPr>
      <w:r>
        <w:rPr>
          <w:rFonts w:hAnsi="Arial"/>
          <w:rFonts w:ascii="Arial"/>
          <w:sz w:val="24"/>
          <w:b/>
          <w:vanish/>
          <w:color w:val="black"/>
        </w:rPr>
        <w:t>&amp;$</w:t>
      </w:r>
      <w:bookmarkStart w:id="59995" w:name="2.2.3.12.2.2"/>
      <w:r>
        <w:rPr>
          <w:rFonts w:hAnsi="Arial"/>
          <w:rFonts w:ascii="Arial"/>
          <w:sz w:val="24"/>
          <w:color w:val="navy"/>
        </w:rPr>
        <w:t xml:space="preserve">ARTÍCULO 2.2.3.12.2.2 DE LA SECRETARÍA TÉCNICA DEL CONSEJO DIRECTIVO DEL SISTEMA NACIONAL DE DEPURACIÓN DE DATOS Y ARCHIVOS DE INTELIGENCIA Y CONTRAINTELIGENCIA.</w:t>
      </w:r>
      <w:bookmarkEnd w:id="599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Directivo del Sistema Nacional de Depuración de Datos y Archivos de Inteligencia y Contrainteligencia tendrá una secretaría técnica, a cargo del Viceministerio para las Políticas y Asuntos Internacionales del Ministerio de Defensa Nacional. </w:t>
      </w:r>
    </w:p>
    <w:p>
      <w:pPr>
        <w:jc w:val="both"/>
      </w:pPr>
      <w:rPr>
        <w:color w:val="black"/>
      </w:rPr>
    </w:p>
    <w:p>
      <w:pPr>
        <w:jc w:val="both"/>
      </w:pPr>
      <w:r>
        <w:rPr>
          <w:rFonts w:hAnsi="Arial"/>
          <w:rFonts w:ascii="Arial"/>
          <w:sz w:val="24"/>
          <w:b/>
          <w:vanish/>
          <w:color w:val="black"/>
        </w:rPr>
        <w:t>&amp;$</w:t>
      </w:r>
      <w:bookmarkStart w:id="59996" w:name="2.2.3.12.2.3"/>
      <w:r>
        <w:rPr>
          <w:rFonts w:hAnsi="Arial"/>
          <w:rFonts w:ascii="Arial"/>
          <w:sz w:val="24"/>
          <w:color w:val="navy"/>
        </w:rPr>
        <w:t xml:space="preserve">ARTÍCULO 2.2.3.12.2.3. DE LAS FUNCIONES DEL CONSEJO DIRECTIVO DEL SISTEMA NACIONAL DE DEPURACIÓN DE DATOS Y ARCHIVOS DE INTELIGENCIA Y CONTRAINTELIGENCIA.</w:t>
      </w:r>
      <w:bookmarkEnd w:id="599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Directivo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Unificar y expedir las políticas para adelantar el proceso de depuración de datos y archivos de inteligencia y contrainteligencia. </w:t>
      </w:r>
    </w:p>
    <w:p>
      <w:pPr>
        <w:jc w:val="both"/>
      </w:pPr>
      <w:rPr>
        <w:sz w:val="24"/>
        <w:color w:val="black"/>
      </w:rPr>
    </w:p>
    <w:p>
      <w:pPr>
        <w:jc w:val="both"/>
      </w:pPr>
      <w:r>
        <w:rPr>
          <w:rFonts w:hAnsi="Arial"/>
          <w:rFonts w:ascii="Arial"/>
          <w:sz w:val="24"/>
          <w:color w:val="black"/>
        </w:rPr>
        <w:t xml:space="preserve">2. Garantizar la existencia de un informe preliminar que permita conocer cifras aproximadas acerca del estado actual de los archivos de inteligencia y contrainteligencia, en especial, volumen de archivos físicos y digitales, posibles costos del proceso de actualización, corrección y retiro de datos y archivos, recurso humano disponible, recurso humano requerido, equipos, técnicas o tecnologías necesarias para su implementación, espacios físicos presentes y futuros, parámetros de adecuación de los repositorios y/o lugares de depósito, que permitan la adopción de decisiones al interior del presente Sistema. </w:t>
      </w:r>
    </w:p>
    <w:p>
      <w:pPr>
        <w:jc w:val="both"/>
      </w:pPr>
      <w:rPr>
        <w:sz w:val="24"/>
        <w:color w:val="black"/>
      </w:rPr>
    </w:p>
    <w:p>
      <w:pPr>
        <w:jc w:val="both"/>
      </w:pPr>
      <w:r>
        <w:rPr>
          <w:rFonts w:hAnsi="Arial"/>
          <w:rFonts w:ascii="Arial"/>
          <w:sz w:val="24"/>
          <w:color w:val="black"/>
        </w:rPr>
        <w:t xml:space="preserve">3. Coordinar las correspondientes acciones, a nivel nacional, que permitan con eficacia y eficiencia adoptar medidas para que los organismos de inteligencia y contrainteligencia desarrollen adecuadamente las labores del proceso de depuración de datos y archivos de inteligencia y contrainteligencia. </w:t>
      </w:r>
    </w:p>
    <w:p>
      <w:pPr>
        <w:jc w:val="both"/>
      </w:pPr>
      <w:rPr>
        <w:sz w:val="24"/>
        <w:color w:val="black"/>
      </w:rPr>
    </w:p>
    <w:p>
      <w:pPr>
        <w:jc w:val="both"/>
      </w:pPr>
      <w:r>
        <w:rPr>
          <w:rFonts w:hAnsi="Arial"/>
          <w:rFonts w:ascii="Arial"/>
          <w:sz w:val="24"/>
          <w:color w:val="black"/>
        </w:rPr>
        <w:t xml:space="preserve">4. Fijar parámetros para el tratamiento adecuado de los documentos de inteligencia, </w:t>
      </w:r>
    </w:p>
    <w:p>
      <w:pPr>
        <w:jc w:val="both"/>
      </w:pPr>
      <w:rPr>
        <w:sz w:val="24"/>
        <w:b/>
        <w:color w:val="black"/>
      </w:rPr>
    </w:p>
    <w:p>
      <w:pPr>
        <w:jc w:val="both"/>
      </w:pPr>
      <w:r>
        <w:rPr>
          <w:rFonts w:hAnsi="Arial"/>
          <w:rFonts w:ascii="Arial"/>
          <w:sz w:val="24"/>
          <w:color w:val="black"/>
        </w:rPr>
        <w:t xml:space="preserve">contrainteligencia y gastos reservados del extinto D.A.S., que se encuentran en custodia del Archivo General de la Nación. </w:t>
      </w:r>
    </w:p>
    <w:p>
      <w:pPr>
        <w:jc w:val="both"/>
        <w:outlineLvl w:val="1"/>
      </w:pPr>
      <w:rPr>
        <w:sz w:val="24"/>
        <w:color w:val="black"/>
      </w:rPr>
    </w:p>
    <w:p>
      <w:pPr>
        <w:jc w:val="both"/>
        <w:outlineLvl w:val="1"/>
      </w:pPr>
      <w:r>
        <w:rPr>
          <w:rFonts w:hAnsi="Arial"/>
          <w:rFonts w:ascii="Arial"/>
          <w:sz w:val="24"/>
          <w:color w:val="black"/>
        </w:rPr>
        <w:t xml:space="preserve">5. Establecer los mecanismos de entrega, recepción, custodia, niveles y protocolos de acceso a los archivos de inteligencia y contrainteligencia que sean retirados, fijando procedimientos que garanticen durante todo el proceso de depuración observar el ordenamiento jurídico, en especial, el derecho al buen nombre, la honra, la vida e integridad de todas las personas, el debido proceso, la memoria histórica, la reserva legal de la información, los receptores legales y los protocolos de seguridad de la misma. </w:t>
      </w:r>
    </w:p>
    <w:p>
      <w:pPr>
        <w:jc w:val="both"/>
        <w:outlineLvl w:val="1"/>
      </w:pPr>
      <w:rPr>
        <w:sz w:val="24"/>
        <w:color w:val="black"/>
      </w:rPr>
    </w:p>
    <w:p>
      <w:pPr>
        <w:jc w:val="both"/>
        <w:outlineLvl w:val="1"/>
      </w:pPr>
      <w:r>
        <w:rPr>
          <w:rFonts w:hAnsi="Arial"/>
          <w:rFonts w:ascii="Arial"/>
          <w:sz w:val="24"/>
          <w:color w:val="black"/>
        </w:rPr>
        <w:t xml:space="preserve">6. Presentar a la Procuraduría General de la Nación, a partir de la puesta en marcha del Sistema Nacional de Depuración de Datos y Archivos de Inteligencia y Contrainteligencia, un informe anual sobre la implementación del mismo. </w:t>
      </w:r>
    </w:p>
    <w:p>
      <w:pPr>
        <w:jc w:val="both"/>
        <w:outlineLvl w:val="1"/>
      </w:pPr>
      <w:rPr>
        <w:sz w:val="24"/>
        <w:color w:val="black"/>
      </w:rPr>
    </w:p>
    <w:p>
      <w:pPr>
        <w:jc w:val="both"/>
        <w:outlineLvl w:val="1"/>
      </w:pPr>
      <w:r>
        <w:rPr>
          <w:rFonts w:hAnsi="Arial"/>
          <w:rFonts w:ascii="Arial"/>
          <w:sz w:val="24"/>
          <w:color w:val="black"/>
        </w:rPr>
        <w:t xml:space="preserve">7. Comunicar al Consejo Técnico del Sistema Nacional de Depuración de Datos y Archivos de Inteligencia y Contrainteligencia las decisiones adoptadas para su implementación. </w:t>
      </w:r>
    </w:p>
    <w:p>
      <w:pPr>
        <w:jc w:val="both"/>
        <w:outlineLvl w:val="1"/>
      </w:pPr>
      <w:rPr>
        <w:sz w:val="24"/>
        <w:color w:val="black"/>
      </w:rPr>
    </w:p>
    <w:p>
      <w:pPr>
        <w:jc w:val="both"/>
        <w:outlineLvl w:val="1"/>
      </w:pPr>
      <w:r>
        <w:rPr>
          <w:rFonts w:hAnsi="Arial"/>
          <w:rFonts w:ascii="Arial"/>
          <w:sz w:val="24"/>
          <w:color w:val="black"/>
        </w:rPr>
        <w:t xml:space="preserve">8. Establecer su reglamento interno. </w:t>
      </w:r>
    </w:p>
    <w:p>
      <w:pPr>
        <w:jc w:val="both"/>
        <w:outlineLvl w:val="1"/>
      </w:pPr>
      <w:rPr>
        <w:sz w:val="24"/>
        <w:color w:val="black"/>
      </w:rPr>
    </w:p>
    <w:p>
      <w:pPr>
        <w:jc w:val="both"/>
        <w:outlineLvl w:val="1"/>
      </w:pPr>
      <w:r>
        <w:rPr>
          <w:rFonts w:hAnsi="Arial"/>
          <w:rFonts w:ascii="Arial"/>
          <w:sz w:val="24"/>
          <w:color w:val="black"/>
        </w:rPr>
        <w:t xml:space="preserve">9. Las demás que defina el señor Presidente de la República. </w:t>
      </w:r>
    </w:p>
    <w:p>
      <w:pPr>
        <w:jc w:val="both"/>
        <w:outlineLvl w:val="1"/>
      </w:pPr>
      <w:rPr>
        <w:sz w:val="24"/>
        <w:b/>
        <w:color w:val="black"/>
      </w:rPr>
    </w:p>
    <w:p>
      <w:pPr>
        <w:jc w:val="both"/>
        <w:outlineLvl w:val="1"/>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Las reuniones, deliberaciones, actos y documentos del Consejo Directivo del Sistema Nacional de Depuración de Datos y Archivos de Inteligencia y Contrainteligencia, gozarán de reserva legal por tratarse de asuntos relacionados con inteligencia, contrainteligencia, defensa y seguridad nacional, para lo cual se firmarán en todas la reuniones las actas de compromiso de reserva legal de la información, por parte de los asistentes. En materia de reserva legal se debe observar lo consagrado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w:t>
      </w:r>
    </w:p>
    <w:p>
      <w:pPr>
        <w:jc w:val="both"/>
      </w:pPr>
      <w:rPr>
        <w:color w:val="black"/>
      </w:rPr>
    </w:p>
    <w:p>
      <w:pPr>
        <w:jc w:val="both"/>
      </w:pPr>
      <w:r>
        <w:rPr>
          <w:rFonts w:hAnsi="Arial"/>
          <w:rFonts w:ascii="Arial"/>
          <w:sz w:val="24"/>
          <w:b/>
          <w:vanish/>
          <w:color w:val="black"/>
        </w:rPr>
        <w:t>&amp;$</w:t>
      </w:r>
      <w:bookmarkStart w:id="59997" w:name="2.2.3.12.2.4"/>
      <w:r>
        <w:rPr>
          <w:rFonts w:hAnsi="Arial"/>
          <w:rFonts w:ascii="Arial"/>
          <w:sz w:val="24"/>
          <w:color w:val="navy"/>
        </w:rPr>
        <w:t xml:space="preserve">ARTÍCULO 2.2.3.12.2.4. DE LAS FUNCIONES DE LA SECRETARIA TÉCNICA DEL CONSEJO DIRECTIVO DEL SISTEMA NACIONAL DE DEPURACIÓN DE DATOS Y ARCHIVOS DE INTELIGENCIA Y CONTRAINTELIGENCIA.</w:t>
      </w:r>
      <w:bookmarkEnd w:id="599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La Secretaría Técnica del Consejo Directivo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Elaborar las comunicaciones de convocatoria a las reuniones ordinarias o extraordinarias del Consejo Directivo del “SND”. </w:t>
      </w:r>
    </w:p>
    <w:p>
      <w:pPr>
        <w:jc w:val="both"/>
      </w:pPr>
      <w:rPr>
        <w:sz w:val="24"/>
        <w:color w:val="black"/>
      </w:rPr>
    </w:p>
    <w:p>
      <w:pPr>
        <w:jc w:val="both"/>
      </w:pPr>
      <w:r>
        <w:rPr>
          <w:rFonts w:hAnsi="Arial"/>
          <w:rFonts w:ascii="Arial"/>
          <w:sz w:val="24"/>
          <w:color w:val="black"/>
        </w:rPr>
        <w:t xml:space="preserve">2. Elaborar, hacer firmar, registrar, archivar y custodiar las actas de las reuniones del Consejo Directivo. </w:t>
      </w:r>
    </w:p>
    <w:p>
      <w:pPr>
        <w:jc w:val="both"/>
      </w:pPr>
      <w:rPr>
        <w:sz w:val="24"/>
        <w:color w:val="black"/>
      </w:rPr>
    </w:p>
    <w:p>
      <w:pPr>
        <w:jc w:val="both"/>
      </w:pPr>
      <w:r>
        <w:rPr>
          <w:rFonts w:hAnsi="Arial"/>
          <w:rFonts w:ascii="Arial"/>
          <w:sz w:val="24"/>
          <w:color w:val="black"/>
        </w:rPr>
        <w:t xml:space="preserve">3. Elaborar, hacer firmar, registrar, archivar y custodiar las actas de compromiso de reserva legal de la información a todos los asistentes a las reuniones del Consejo Directivo del “SND”. </w:t>
      </w:r>
    </w:p>
    <w:p>
      <w:pPr>
        <w:jc w:val="both"/>
      </w:pPr>
      <w:rPr>
        <w:sz w:val="24"/>
        <w:color w:val="black"/>
      </w:rPr>
    </w:p>
    <w:p>
      <w:pPr>
        <w:jc w:val="both"/>
      </w:pPr>
      <w:r>
        <w:rPr>
          <w:rFonts w:hAnsi="Arial"/>
          <w:rFonts w:ascii="Arial"/>
          <w:sz w:val="24"/>
          <w:color w:val="black"/>
        </w:rPr>
        <w:t xml:space="preserve">4. Tener bajo su responsabilidad y custodia la documentación relacionada con las actividades del Consejo Directivo del “SND”. </w:t>
      </w:r>
    </w:p>
    <w:p>
      <w:pPr>
        <w:jc w:val="both"/>
      </w:pPr>
      <w:rPr>
        <w:sz w:val="24"/>
        <w:color w:val="black"/>
      </w:rPr>
    </w:p>
    <w:p>
      <w:pPr>
        <w:jc w:val="both"/>
      </w:pPr>
      <w:r>
        <w:rPr>
          <w:rFonts w:hAnsi="Arial"/>
          <w:rFonts w:ascii="Arial"/>
          <w:sz w:val="24"/>
          <w:color w:val="black"/>
        </w:rPr>
        <w:t xml:space="preserve">5. Comunicar al Consejo Técnico del Sistema Nacional de Depuración de Datos y Archivos de Inteligencia y Contrainteligencia las decisiones que adopte el Consejo Directivo del “SND”. </w:t>
      </w:r>
    </w:p>
    <w:p>
      <w:pPr>
        <w:jc w:val="both"/>
      </w:pPr>
      <w:rPr>
        <w:sz w:val="24"/>
        <w:color w:val="black"/>
      </w:rPr>
    </w:p>
    <w:p>
      <w:pPr>
        <w:jc w:val="both"/>
      </w:pPr>
      <w:r>
        <w:rPr>
          <w:rFonts w:hAnsi="Arial"/>
          <w:rFonts w:ascii="Arial"/>
          <w:sz w:val="24"/>
          <w:color w:val="black"/>
        </w:rPr>
        <w:t xml:space="preserve">6. Las demás que le asigne el Consejo Directivo del “SND”. </w:t>
      </w:r>
    </w:p>
    <w:p>
      <w:pPr>
        <w:jc w:val="center"/>
      </w:pPr>
      <w:rPr>
        <w:sz w:val="24"/>
        <w:b/>
        <w:color w:val="black"/>
      </w:rPr>
    </w:p>
    <w:p>
      <w:pPr>
        <w:jc w:val="center"/>
      </w:pPr>
      <w:r>
        <w:rPr>
          <w:rFonts w:hAnsi="Arial"/>
          <w:rFonts w:ascii="Arial"/>
          <w:sz w:val="24"/>
          <w:b/>
          <w:vanish/>
          <w:color w:val="black"/>
        </w:rPr>
        <w:t>&amp;$</w:t>
      </w:r>
      <w:bookmarkStart w:id="59998" w:name="SECCIÓN 2.2.3.12.1.3"/>
      <w:r>
        <w:rPr>
          <w:rFonts w:hAnsi="Arial"/>
          <w:rFonts w:ascii="Arial"/>
          <w:sz w:val="24"/>
          <w:color w:val="navy"/>
        </w:rPr>
        <w:t xml:space="preserve">SECCIÓN 3. </w:t>
      </w:r>
    </w:p>
    <w:p>
      <w:pPr>
        <w:jc w:val="center"/>
      </w:pPr>
      <w:r>
        <w:rPr>
          <w:rFonts w:hAnsi="Arial"/>
          <w:rFonts w:ascii="Arial"/>
          <w:sz w:val="24"/>
          <w:color w:val="navy"/>
        </w:rPr>
        <w:t xml:space="preserve">DEL CONSEJO TÉCNICO.</w:t>
      </w:r>
      <w:bookmarkEnd w:id="5999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59999" w:name="2.2.3.12.3.1"/>
      <w:r>
        <w:rPr>
          <w:rFonts w:hAnsi="Arial"/>
          <w:rFonts w:ascii="Arial"/>
          <w:sz w:val="24"/>
          <w:color w:val="navy"/>
        </w:rPr>
        <w:t xml:space="preserve">ARTÍCULO 2.2.3.12.3.1. DEL CONSEJO TÉCNICO DEL SISTEMA NACIONAL DE DEPURACIÓN DE DATOS Y ARCHIVOS DE INTELIGENCIA Y CONTRAINTELIGENCIA.</w:t>
      </w:r>
      <w:bookmarkEnd w:id="599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Técnico del Sistema Nacional de Depuración “SND” lo conformarán: </w:t>
      </w:r>
    </w:p>
    <w:p>
      <w:pPr>
        <w:jc w:val="both"/>
      </w:pPr>
      <w:rPr>
        <w:sz w:val="24"/>
        <w:color w:val="black"/>
      </w:rPr>
    </w:p>
    <w:p>
      <w:pPr>
        <w:jc w:val="both"/>
      </w:pPr>
      <w:r>
        <w:rPr>
          <w:rFonts w:hAnsi="Arial"/>
          <w:rFonts w:ascii="Arial"/>
          <w:sz w:val="24"/>
          <w:color w:val="black"/>
        </w:rPr>
        <w:t xml:space="preserve">1. El o la Jefe de Inteligencia y Contrainteligencia Militar Conjunta del Comando General de las Fuerzas Militares o la dependencia que haga sus veces, o su delegado (a), quien lo presidirá; </w:t>
      </w:r>
    </w:p>
    <w:p>
      <w:pPr>
        <w:jc w:val="both"/>
      </w:pPr>
      <w:rPr>
        <w:sz w:val="24"/>
        <w:color w:val="black"/>
      </w:rPr>
    </w:p>
    <w:p>
      <w:pPr>
        <w:jc w:val="both"/>
      </w:pPr>
      <w:r>
        <w:rPr>
          <w:rFonts w:hAnsi="Arial"/>
          <w:rFonts w:ascii="Arial"/>
          <w:sz w:val="24"/>
          <w:color w:val="black"/>
        </w:rPr>
        <w:t xml:space="preserve">2. El o la Jefe del Departamento de Inteligencia y Contrainteligencia Militar del Ejército - CEDE2, o la dependencia que haga sus veces, o su delegado (a). </w:t>
      </w:r>
    </w:p>
    <w:p>
      <w:pPr>
        <w:jc w:val="both"/>
      </w:pPr>
      <w:rPr>
        <w:sz w:val="24"/>
        <w:color w:val="black"/>
      </w:rPr>
    </w:p>
    <w:p>
      <w:pPr>
        <w:jc w:val="both"/>
      </w:pPr>
      <w:r>
        <w:rPr>
          <w:rFonts w:hAnsi="Arial"/>
          <w:rFonts w:ascii="Arial"/>
          <w:sz w:val="24"/>
          <w:color w:val="black"/>
        </w:rPr>
        <w:t xml:space="preserve">3. El o la Jefe de Inteligencia Naval, la dependencia que haga sus veces, o su delegado (a). </w:t>
      </w:r>
    </w:p>
    <w:p>
      <w:pPr>
        <w:jc w:val="both"/>
      </w:pPr>
      <w:rPr>
        <w:sz w:val="24"/>
        <w:color w:val="black"/>
      </w:rPr>
    </w:p>
    <w:p>
      <w:pPr>
        <w:jc w:val="both"/>
      </w:pPr>
      <w:r>
        <w:rPr>
          <w:rFonts w:hAnsi="Arial"/>
          <w:rFonts w:ascii="Arial"/>
          <w:sz w:val="24"/>
          <w:color w:val="black"/>
        </w:rPr>
        <w:t xml:space="preserve">4. El o la Jefe de Inteligencia Aérea, la dependencia que haga sus veces, o su delegado (a). </w:t>
      </w:r>
    </w:p>
    <w:p>
      <w:pPr>
        <w:jc w:val="both"/>
      </w:pPr>
      <w:rPr>
        <w:sz w:val="24"/>
        <w:color w:val="black"/>
      </w:rPr>
    </w:p>
    <w:p>
      <w:pPr>
        <w:jc w:val="both"/>
      </w:pPr>
      <w:r>
        <w:rPr>
          <w:rFonts w:hAnsi="Arial"/>
          <w:rFonts w:ascii="Arial"/>
          <w:sz w:val="24"/>
          <w:color w:val="black"/>
        </w:rPr>
        <w:t xml:space="preserve">5. El o la Director (a) de Inteligencia Policial, la dependencia que haga sus veces, o su delegado (a). </w:t>
      </w:r>
    </w:p>
    <w:p>
      <w:pPr>
        <w:jc w:val="both"/>
      </w:pPr>
      <w:rPr>
        <w:sz w:val="24"/>
        <w:color w:val="black"/>
      </w:rPr>
    </w:p>
    <w:p>
      <w:pPr>
        <w:jc w:val="both"/>
      </w:pPr>
      <w:r>
        <w:rPr>
          <w:rFonts w:hAnsi="Arial"/>
          <w:rFonts w:ascii="Arial"/>
          <w:sz w:val="24"/>
          <w:color w:val="black"/>
        </w:rPr>
        <w:t xml:space="preserve">6. El o la Director (a) de la Dirección de Inteligencia y Contrainteligencia o la dependencia que haga sus veces, del Departamento Administrativo “Dirección Nacional de Inteligencia”, o su delegado (a). </w:t>
      </w:r>
    </w:p>
    <w:p>
      <w:pPr>
        <w:jc w:val="both"/>
      </w:pPr>
      <w:rPr>
        <w:sz w:val="24"/>
        <w:color w:val="black"/>
      </w:rPr>
    </w:p>
    <w:p>
      <w:pPr>
        <w:jc w:val="both"/>
      </w:pPr>
      <w:r>
        <w:rPr>
          <w:rFonts w:hAnsi="Arial"/>
          <w:rFonts w:ascii="Arial"/>
          <w:sz w:val="24"/>
          <w:color w:val="black"/>
        </w:rPr>
        <w:t xml:space="preserve">7. El o la Director (a) de la Unidad de Información y Análisis Financiero (U.I.A.F.), o su delegado (a).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delegados asignados por los titulares tendrán voz y voto en las reuniones.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Consejo Técnico del Sistema “SND” se reunirá cada tres (3) meses o en forma extraordinaria cuando lo estimen pertinente.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La documentación que se genere con ocasión de las actividades del Consejo Técnico del “SND” estará bajo la responsabilidad y custodia de su secretaría técnica. </w:t>
      </w:r>
    </w:p>
    <w:p>
      <w:pPr>
        <w:jc w:val="both"/>
      </w:pPr>
      <w:rPr>
        <w:color w:val="black"/>
      </w:rPr>
    </w:p>
    <w:p>
      <w:pPr>
        <w:jc w:val="both"/>
      </w:pPr>
      <w:r>
        <w:rPr>
          <w:rFonts w:hAnsi="Arial"/>
          <w:rFonts w:ascii="Arial"/>
          <w:sz w:val="24"/>
          <w:b/>
          <w:vanish/>
          <w:color w:val="black"/>
        </w:rPr>
        <w:t>&amp;$</w:t>
      </w:r>
      <w:bookmarkStart w:id="60000" w:name="2.2.3.12.3.2"/>
      <w:r>
        <w:rPr>
          <w:rFonts w:hAnsi="Arial"/>
          <w:rFonts w:ascii="Arial"/>
          <w:sz w:val="24"/>
          <w:color w:val="navy"/>
        </w:rPr>
        <w:t xml:space="preserve">ARTÍCULO 2.2.3.12.3.2. DE LA SECRETARIA TÉCNICA DEL CONSEJO TÉCNICO DEL SISTEMA NACIONAL DE DEPURACIÓN DE DATOS Y ARCHIVOS DE INTELIGENCIA Y CONTRAINTELIGENCIA.</w:t>
      </w:r>
      <w:bookmarkEnd w:id="600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Técnico del Sistema Nacional de Depuración de Datos y Archivos de Inteligencia y Contrainteligencia tendrá una secretaría técnica, a cargo del Director de Producción Estratégica (DIPES), de la Jefatura de Inteligencia y Contrainteligencia Militar Conjunta del Comando General de las Fuerzas Militares o quien haga sus veces. </w:t>
      </w:r>
    </w:p>
    <w:p>
      <w:pPr>
        <w:jc w:val="both"/>
      </w:pPr>
      <w:rPr>
        <w:color w:val="black"/>
      </w:rPr>
    </w:p>
    <w:p>
      <w:pPr>
        <w:jc w:val="both"/>
      </w:pPr>
      <w:r>
        <w:rPr>
          <w:rFonts w:hAnsi="Arial"/>
          <w:rFonts w:ascii="Arial"/>
          <w:sz w:val="24"/>
          <w:b/>
          <w:vanish/>
          <w:color w:val="black"/>
        </w:rPr>
        <w:t>&amp;$</w:t>
      </w:r>
      <w:bookmarkStart w:id="60001" w:name="2.2.3.12.3.3"/>
      <w:r>
        <w:rPr>
          <w:rFonts w:hAnsi="Arial"/>
          <w:rFonts w:ascii="Arial"/>
          <w:sz w:val="24"/>
          <w:color w:val="navy"/>
        </w:rPr>
        <w:t xml:space="preserve">ARTÍCULO 2.2.3.12.3.3. DE LAS FUNCIONES DEL CONSEJO TÉCNICO DEL SISTEMA NACIONAL DE DEPURACIÓN DE DATOS Y ARCHIVOS DE INTELIGENCIA Y CONTRAINTELIGENCIA.</w:t>
      </w:r>
      <w:bookmarkEnd w:id="600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Técnico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Adoptar las políticas o directrices que imparta el Consejo Directivo del Sistema Nacional de Depuración de Datos y Archivos de Inteligencia y Contrainteligencia. </w:t>
      </w:r>
    </w:p>
    <w:p>
      <w:pPr>
        <w:jc w:val="both"/>
      </w:pPr>
      <w:rPr>
        <w:sz w:val="24"/>
        <w:color w:val="black"/>
      </w:rPr>
    </w:p>
    <w:p>
      <w:pPr>
        <w:jc w:val="both"/>
      </w:pPr>
      <w:r>
        <w:rPr>
          <w:rFonts w:hAnsi="Arial"/>
          <w:rFonts w:ascii="Arial"/>
          <w:sz w:val="24"/>
          <w:color w:val="black"/>
        </w:rPr>
        <w:t xml:space="preserve">2. Presentar al Consejo Directivo del Sistema Nacional de Depuración de Datos y Archivos de Inteligencia y Contrainteligencia, los informes que le sean requeridos. </w:t>
      </w:r>
    </w:p>
    <w:p>
      <w:pPr>
        <w:jc w:val="both"/>
      </w:pPr>
      <w:rPr>
        <w:sz w:val="24"/>
        <w:color w:val="black"/>
      </w:rPr>
    </w:p>
    <w:p>
      <w:pPr>
        <w:jc w:val="both"/>
      </w:pPr>
      <w:r>
        <w:rPr>
          <w:rFonts w:hAnsi="Arial"/>
          <w:rFonts w:ascii="Arial"/>
          <w:sz w:val="24"/>
          <w:color w:val="black"/>
        </w:rPr>
        <w:t xml:space="preserve">3. Impartir instrucciones a los organismos que integran la comunidad de inteligencia, para poner en marcha las políticas que fije el Consejo Directivo del Sistema Nacional de Depuración de Datos y Archivos de Inteligencia y Contrainteligencia, que permitan a nivel nacional adoptar con eficacia y eficiencia las medidas para que los organismos de inteligencia y contrainteligencia desarrollen adecuadamente las labores del proceso de depuración de datos y archivos de inteligencia y contrainteligencia. </w:t>
      </w:r>
    </w:p>
    <w:p>
      <w:pPr>
        <w:jc w:val="both"/>
      </w:pPr>
      <w:rPr>
        <w:sz w:val="24"/>
        <w:color w:val="black"/>
      </w:rPr>
    </w:p>
    <w:p>
      <w:pPr>
        <w:jc w:val="both"/>
      </w:pPr>
      <w:r>
        <w:rPr>
          <w:rFonts w:hAnsi="Arial"/>
          <w:rFonts w:ascii="Arial"/>
          <w:sz w:val="24"/>
          <w:color w:val="black"/>
        </w:rPr>
        <w:t xml:space="preserve">4. Presentar recomendaciones al Consejo Directivo del Sistema Nacional de Depuración de Datos y Archivos de Inteligencia y Contrainteligencia, para adelantar de forma adecuada el proceso de depuración. </w:t>
      </w:r>
    </w:p>
    <w:p>
      <w:pPr>
        <w:jc w:val="both"/>
      </w:pPr>
      <w:rPr>
        <w:sz w:val="24"/>
        <w:color w:val="black"/>
      </w:rPr>
    </w:p>
    <w:p>
      <w:pPr>
        <w:jc w:val="both"/>
      </w:pPr>
      <w:r>
        <w:rPr>
          <w:rFonts w:hAnsi="Arial"/>
          <w:rFonts w:ascii="Arial"/>
          <w:sz w:val="24"/>
          <w:color w:val="black"/>
        </w:rPr>
        <w:t xml:space="preserve">5. Adoptar las acciones correspondientes para observar los parámetros que establezca el Consejo Directivo del Sistema Nacional de Depuración de Datos Archivos de Inteligencia y Contrainteligencia, para el tratamiento adecuado de los documentos de inteligencia, contrainteligencia y gastos reservados del extinto D.A.S., que se encuentran en custodia del Archivo General de la Nación. </w:t>
      </w:r>
    </w:p>
    <w:p>
      <w:pPr>
        <w:jc w:val="both"/>
      </w:pPr>
      <w:rPr>
        <w:sz w:val="24"/>
        <w:color w:val="black"/>
      </w:rPr>
    </w:p>
    <w:p>
      <w:pPr>
        <w:jc w:val="both"/>
      </w:pPr>
      <w:r>
        <w:rPr>
          <w:rFonts w:hAnsi="Arial"/>
          <w:rFonts w:ascii="Arial"/>
          <w:sz w:val="24"/>
          <w:color w:val="black"/>
        </w:rPr>
        <w:t xml:space="preserve">6. Unificar criterios con los organismos de inteligencia y contrainteligencia, para la elaboración de los formatos correspondientes a la entrega, recepción, custodia, niveles y protocolos de acceso a los archivos de inteligencia y contrainteligencia que sean retirados, fijando procedimientos que garanticen durante todas las etapas del proceso de depuración, observar el ordenamiento jurídico, en especial, el derecho al buen nombre, la honra, la vida e integridad de todas las personas, el debido proceso, la memoria histórica, la reserva legal de la información, los receptores legales y los protocolos de seguridad de la misma. </w:t>
      </w:r>
    </w:p>
    <w:p>
      <w:pPr>
        <w:jc w:val="both"/>
      </w:pPr>
      <w:rPr>
        <w:sz w:val="24"/>
        <w:color w:val="black"/>
      </w:rPr>
    </w:p>
    <w:p>
      <w:pPr>
        <w:jc w:val="both"/>
      </w:pPr>
      <w:r>
        <w:rPr>
          <w:rFonts w:hAnsi="Arial"/>
          <w:rFonts w:ascii="Arial"/>
          <w:sz w:val="24"/>
          <w:color w:val="black"/>
        </w:rPr>
        <w:t xml:space="preserve">7. Comunicar al Consejo Operativo del Sistema Nacional de Depuración de Datos y Archivos de Inteligencia y Contrainteligencia las decisiones adoptadas para su implementación. </w:t>
      </w:r>
    </w:p>
    <w:p>
      <w:pPr>
        <w:jc w:val="both"/>
      </w:pPr>
      <w:rPr>
        <w:sz w:val="24"/>
        <w:color w:val="black"/>
      </w:rPr>
    </w:p>
    <w:p>
      <w:pPr>
        <w:jc w:val="both"/>
      </w:pPr>
      <w:r>
        <w:rPr>
          <w:rFonts w:hAnsi="Arial"/>
          <w:rFonts w:ascii="Arial"/>
          <w:sz w:val="24"/>
          <w:color w:val="black"/>
        </w:rPr>
        <w:t xml:space="preserve">8. Establecer su reglamento interno. </w:t>
      </w:r>
    </w:p>
    <w:p>
      <w:pPr>
        <w:jc w:val="both"/>
      </w:pPr>
      <w:rPr>
        <w:sz w:val="24"/>
        <w:color w:val="black"/>
      </w:rPr>
    </w:p>
    <w:p>
      <w:pPr>
        <w:jc w:val="both"/>
      </w:pPr>
      <w:r>
        <w:rPr>
          <w:rFonts w:hAnsi="Arial"/>
          <w:rFonts w:ascii="Arial"/>
          <w:sz w:val="24"/>
          <w:color w:val="black"/>
        </w:rPr>
        <w:t xml:space="preserve">9. Las demás que defina el Señor Presidente de la República.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Las reuniones, deliberaciones, actos y documentos del Consejo Técnico del Sistema Nacional de Depuración de Datos y Archivos de Inteligencia y Contrainteligencia, gozarán de reserva legal por tratarse de asuntos relacionados con inteligencia, contrainteligencia, defensa y seguridad nacional, para lo cual se firmarán en todas la reuniones las actas de compromiso de reserva legal de la información, por parte de los asistentes. En materia de reserva legal se debe observar lo consagrado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w:t>
      </w:r>
    </w:p>
    <w:p>
      <w:pPr>
        <w:jc w:val="both"/>
      </w:pPr>
      <w:rPr>
        <w:color w:val="black"/>
      </w:rPr>
    </w:p>
    <w:p>
      <w:pPr>
        <w:jc w:val="both"/>
      </w:pPr>
      <w:r>
        <w:rPr>
          <w:rFonts w:hAnsi="Arial"/>
          <w:rFonts w:ascii="Arial"/>
          <w:sz w:val="24"/>
          <w:b/>
          <w:vanish/>
          <w:color w:val="black"/>
        </w:rPr>
        <w:t>&amp;$</w:t>
      </w:r>
      <w:bookmarkStart w:id="60002" w:name="2.2.3.12.3.4"/>
      <w:r>
        <w:rPr>
          <w:rFonts w:hAnsi="Arial"/>
          <w:rFonts w:ascii="Arial"/>
          <w:sz w:val="24"/>
          <w:color w:val="navy"/>
        </w:rPr>
        <w:t xml:space="preserve">ARTÍCULO 2.2.3.12.3.4. DE LAS FUNCIONES DE LA SECRETARIA TÉCNICA DEL CONSEJO TÉCNICO DEL SISTEMA NACIONAL DE DEPURACIÓN DE DATOS Y ARCHIVOS DE INTELIGENCIA Y CONTRAINTELIGENCIA.</w:t>
      </w:r>
      <w:bookmarkEnd w:id="600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La Secretaría Técnica del Consejo Técnico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Elaborar las comunicaciones de convocatoria a las reuniones ordinarias o extraordinarias del Consejo Técnico del “SND”. </w:t>
      </w:r>
    </w:p>
    <w:p>
      <w:pPr>
        <w:jc w:val="both"/>
      </w:pPr>
      <w:rPr>
        <w:sz w:val="24"/>
        <w:color w:val="black"/>
      </w:rPr>
    </w:p>
    <w:p>
      <w:pPr>
        <w:jc w:val="both"/>
      </w:pPr>
      <w:r>
        <w:rPr>
          <w:rFonts w:hAnsi="Arial"/>
          <w:rFonts w:ascii="Arial"/>
          <w:sz w:val="24"/>
          <w:color w:val="black"/>
        </w:rPr>
        <w:t xml:space="preserve">2. Elaborar, hacer firmar, registrar, archivar y custodiar las actas de las reuniones del Consejo Técnico. </w:t>
      </w:r>
    </w:p>
    <w:p>
      <w:pPr>
        <w:jc w:val="both"/>
      </w:pPr>
      <w:rPr>
        <w:sz w:val="24"/>
        <w:color w:val="black"/>
      </w:rPr>
    </w:p>
    <w:p>
      <w:pPr>
        <w:jc w:val="both"/>
      </w:pPr>
      <w:r>
        <w:rPr>
          <w:rFonts w:hAnsi="Arial"/>
          <w:rFonts w:ascii="Arial"/>
          <w:sz w:val="24"/>
          <w:color w:val="black"/>
        </w:rPr>
        <w:t xml:space="preserve">3. Elaborar, hacer firmar, registrar, archivar y custodiar las actas de compromiso de reserva legal de la información a todos los asistentes a las reuniones del Consejo Técnico del “SND”. </w:t>
      </w:r>
    </w:p>
    <w:p>
      <w:pPr>
        <w:jc w:val="both"/>
      </w:pPr>
      <w:rPr>
        <w:sz w:val="24"/>
        <w:color w:val="black"/>
      </w:rPr>
    </w:p>
    <w:p>
      <w:pPr>
        <w:jc w:val="both"/>
      </w:pPr>
      <w:r>
        <w:rPr>
          <w:rFonts w:hAnsi="Arial"/>
          <w:rFonts w:ascii="Arial"/>
          <w:sz w:val="24"/>
          <w:color w:val="black"/>
        </w:rPr>
        <w:t xml:space="preserve">4. Tener bajo su responsabilidad y custodia la documentación relacionada con las actividades del Consejo Técnico del “SND”. </w:t>
      </w:r>
    </w:p>
    <w:p>
      <w:pPr>
        <w:jc w:val="both"/>
      </w:pPr>
      <w:rPr>
        <w:sz w:val="24"/>
        <w:color w:val="black"/>
      </w:rPr>
    </w:p>
    <w:p>
      <w:pPr>
        <w:jc w:val="both"/>
      </w:pPr>
      <w:r>
        <w:rPr>
          <w:rFonts w:hAnsi="Arial"/>
          <w:rFonts w:ascii="Arial"/>
          <w:sz w:val="24"/>
          <w:color w:val="black"/>
        </w:rPr>
        <w:t xml:space="preserve">5. Comunicar al Consejo Operativo del Sistema Nacional de Depuración de Datos y Archivos de Inteligencia y Contrainteligencia las decisiones que adopte el Consejo Directivo y el Consejo Técnico del “SND”. </w:t>
      </w:r>
    </w:p>
    <w:p>
      <w:pPr>
        <w:jc w:val="both"/>
      </w:pPr>
      <w:rPr>
        <w:sz w:val="24"/>
        <w:color w:val="black"/>
      </w:rPr>
    </w:p>
    <w:p>
      <w:pPr>
        <w:jc w:val="both"/>
      </w:pPr>
      <w:r>
        <w:rPr>
          <w:rFonts w:hAnsi="Arial"/>
          <w:rFonts w:ascii="Arial"/>
          <w:sz w:val="24"/>
          <w:color w:val="black"/>
        </w:rPr>
        <w:t xml:space="preserve">6. Las demás que le asigne el Consejo Técnico del “SND”. </w:t>
      </w:r>
    </w:p>
    <w:p>
      <w:pPr>
        <w:jc w:val="center"/>
      </w:pPr>
      <w:rPr>
        <w:sz w:val="24"/>
        <w:b/>
        <w:color w:val="black"/>
      </w:rPr>
    </w:p>
    <w:p>
      <w:pPr>
        <w:jc w:val="center"/>
      </w:pPr>
      <w:r>
        <w:rPr>
          <w:rFonts w:hAnsi="Arial"/>
          <w:rFonts w:ascii="Arial"/>
          <w:sz w:val="24"/>
          <w:b/>
          <w:vanish/>
          <w:color w:val="black"/>
        </w:rPr>
        <w:t>&amp;$</w:t>
      </w:r>
      <w:bookmarkStart w:id="60003" w:name="SECCIÓN 2.2.3.12.1.4"/>
      <w:r>
        <w:rPr>
          <w:rFonts w:hAnsi="Arial"/>
          <w:rFonts w:ascii="Arial"/>
          <w:sz w:val="24"/>
          <w:color w:val="navy"/>
        </w:rPr>
        <w:t xml:space="preserve">SECCIÓN 4. </w:t>
      </w:r>
    </w:p>
    <w:p>
      <w:pPr>
        <w:jc w:val="center"/>
      </w:pPr>
      <w:r>
        <w:rPr>
          <w:rFonts w:hAnsi="Arial"/>
          <w:rFonts w:ascii="Arial"/>
          <w:sz w:val="24"/>
          <w:color w:val="navy"/>
        </w:rPr>
        <w:t xml:space="preserve">DEL CONSEJO OPERATIVO.</w:t>
      </w:r>
      <w:bookmarkEnd w:id="6000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0004" w:name="2.2.3.12.4.1"/>
      <w:r>
        <w:rPr>
          <w:rFonts w:hAnsi="Arial"/>
          <w:rFonts w:ascii="Arial"/>
          <w:sz w:val="24"/>
          <w:color w:val="navy"/>
        </w:rPr>
        <w:t xml:space="preserve">ARTÍCULO 2.2.3.12.4.1. DEL CONSEJO OPERATIVO DEL SISTEMA NACIONAL DE DEPURACIÓN DE DATOS Y ARCHIVOS DE INTELIGENCIA Y CONTRAINTELIGENCIA.</w:t>
      </w:r>
      <w:bookmarkEnd w:id="600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Operativo del Sistema Nacional de Depuración “SND” lo conformarán:</w:t>
      </w:r>
    </w:p>
    <w:p>
      <w:pPr>
        <w:jc w:val="both"/>
      </w:pPr>
      <w:rPr>
        <w:sz w:val="24"/>
        <w:b/>
        <w:color w:val="black"/>
      </w:rPr>
    </w:p>
    <w:p>
      <w:pPr>
        <w:jc w:val="both"/>
      </w:pPr>
      <w:r>
        <w:rPr>
          <w:rFonts w:hAnsi="Arial"/>
          <w:rFonts w:ascii="Arial"/>
          <w:sz w:val="24"/>
          <w:color w:val="black"/>
        </w:rPr>
        <w:t xml:space="preserve">1. El o la responsable del Centro de Protección de Datos por cada uno de los organismos de inteligencia y contrainteligencia. </w:t>
      </w:r>
    </w:p>
    <w:p>
      <w:pPr>
        <w:jc w:val="both"/>
      </w:pPr>
      <w:rPr>
        <w:sz w:val="24"/>
        <w:color w:val="black"/>
      </w:rPr>
    </w:p>
    <w:p>
      <w:pPr>
        <w:jc w:val="both"/>
      </w:pPr>
      <w:r>
        <w:rPr>
          <w:rFonts w:hAnsi="Arial"/>
          <w:rFonts w:ascii="Arial"/>
          <w:sz w:val="24"/>
          <w:color w:val="black"/>
        </w:rPr>
        <w:t xml:space="preserve">2. Un o una representante de los Comités de actualización, corrección y retiro por cada uno de los organismos de inteligencia y contrainteligencia. </w:t>
      </w:r>
    </w:p>
    <w:p>
      <w:pPr>
        <w:jc w:val="both"/>
      </w:pPr>
      <w:rPr>
        <w:sz w:val="24"/>
        <w:color w:val="black"/>
      </w:rPr>
    </w:p>
    <w:p>
      <w:pPr>
        <w:jc w:val="both"/>
      </w:pPr>
      <w:r>
        <w:rPr>
          <w:rFonts w:hAnsi="Arial"/>
          <w:rFonts w:ascii="Arial"/>
          <w:sz w:val="24"/>
          <w:color w:val="black"/>
        </w:rPr>
        <w:t xml:space="preserve">3. Un asesor jurídico de cada organismo de inteligencia y contrainteligencia. </w:t>
      </w:r>
    </w:p>
    <w:p>
      <w:pPr>
        <w:jc w:val="both"/>
      </w:pPr>
      <w:rPr>
        <w:sz w:val="24"/>
        <w:color w:val="black"/>
      </w:rPr>
    </w:p>
    <w:p>
      <w:pPr>
        <w:jc w:val="both"/>
      </w:pPr>
      <w:r>
        <w:rPr>
          <w:rFonts w:hAnsi="Arial"/>
          <w:rFonts w:ascii="Arial"/>
          <w:sz w:val="24"/>
          <w:color w:val="black"/>
        </w:rPr>
        <w:t xml:space="preserve">4. Un o una representante de los equipos interdisciplinarios para la depuración de datos y archivos de inteligencia y contrainteligencia, que se conformen en cada uno de los organismos de inteligencia y contrainteligencia, como apoyo a los Comités de actualización, corrección y retiro. </w:t>
      </w:r>
    </w:p>
    <w:p>
      <w:pPr>
        <w:jc w:val="both"/>
      </w:pPr>
      <w:rPr>
        <w:sz w:val="24"/>
        <w:color w:val="black"/>
      </w:rPr>
    </w:p>
    <w:p>
      <w:pPr>
        <w:jc w:val="both"/>
      </w:pPr>
      <w:r>
        <w:rPr>
          <w:rFonts w:hAnsi="Arial"/>
          <w:rFonts w:ascii="Arial"/>
          <w:sz w:val="24"/>
          <w:color w:val="black"/>
        </w:rPr>
        <w:t xml:space="preserve">5. Un o una representante experto (a) en archivos de inteligencia y contrainteligencia por cada uno de los organismos de inteligencia y contrainteligencia. </w:t>
      </w:r>
    </w:p>
    <w:p>
      <w:pPr>
        <w:jc w:val="both"/>
      </w:pPr>
      <w:rPr>
        <w:sz w:val="24"/>
        <w:color w:val="black"/>
      </w:rPr>
    </w:p>
    <w:p>
      <w:pPr>
        <w:jc w:val="both"/>
      </w:pPr>
      <w:r>
        <w:rPr>
          <w:rFonts w:hAnsi="Arial"/>
          <w:rFonts w:ascii="Arial"/>
          <w:sz w:val="24"/>
          <w:color w:val="black"/>
        </w:rPr>
        <w:t xml:space="preserve">6. Un delegado del Archivo General de la Nación, quien asesora técnicamente en materia archivística y de gestión documental al Consejo Operativo, acorde a la normatividad vigente. </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Los delegados asignados por cada organismo que integra la comunidad de inteligencia tendrán voz y voto en las reuniones.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El Consejo Operativo del Sistema “SND” se reunirá al menos una vez al mes o en forma extraordinaria cuando lo estimen pertinente.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b/>
          <w:color w:val="black"/>
        </w:rPr>
        <w:t xml:space="preserve"> </w:t>
      </w:r>
      <w:r>
        <w:rPr>
          <w:rFonts w:hAnsi="Arial"/>
          <w:rFonts w:ascii="Arial"/>
          <w:sz w:val="24"/>
          <w:color w:val="black"/>
        </w:rPr>
        <w:t xml:space="preserve">La documentación que se genere con ocasión de las actividades del Consejo Operativo del “SND” estará bajo la responsabilidad y custodia de su secretaría técnica. </w:t>
      </w:r>
    </w:p>
    <w:p>
      <w:pPr>
        <w:jc w:val="both"/>
      </w:pPr>
      <w:rPr>
        <w:color w:val="black"/>
      </w:rPr>
    </w:p>
    <w:p>
      <w:pPr>
        <w:jc w:val="both"/>
      </w:pPr>
      <w:r>
        <w:rPr>
          <w:rFonts w:hAnsi="Arial"/>
          <w:rFonts w:ascii="Arial"/>
          <w:sz w:val="24"/>
          <w:b/>
          <w:vanish/>
          <w:color w:val="black"/>
        </w:rPr>
        <w:t>&amp;$</w:t>
      </w:r>
      <w:bookmarkStart w:id="60005" w:name="2.2.3.12.4.2"/>
      <w:r>
        <w:rPr>
          <w:rFonts w:hAnsi="Arial"/>
          <w:rFonts w:ascii="Arial"/>
          <w:sz w:val="24"/>
          <w:color w:val="navy"/>
        </w:rPr>
        <w:t xml:space="preserve">ARTÍCULO 2.2.3.12.4.2. DE LA SECRETARIA TÉCNICA DEL CONSEJO OPERATIVO DEL SISTEMA NACIONAL DE DEPURACIÓN DE DATOS Y ARCHIVOS DE INTELIGENCIA Y CONTRAINTELIGENCIA.</w:t>
      </w:r>
      <w:bookmarkEnd w:id="600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Operativo del Sistema Nacional de Depuración de Datos y Archivos de Inteligencia y Contrainteligencia tendrá una secretaría técnica, a cargo del responsable del Centro de Protección de Datos de la Dirección de Inteligencia Policial. </w:t>
      </w:r>
    </w:p>
    <w:p>
      <w:pPr>
        <w:jc w:val="both"/>
      </w:pPr>
      <w:rPr>
        <w:color w:val="black"/>
      </w:rPr>
    </w:p>
    <w:p>
      <w:pPr>
        <w:jc w:val="both"/>
      </w:pPr>
      <w:r>
        <w:rPr>
          <w:rFonts w:hAnsi="Arial"/>
          <w:rFonts w:ascii="Arial"/>
          <w:sz w:val="24"/>
          <w:b/>
          <w:vanish/>
          <w:color w:val="black"/>
        </w:rPr>
        <w:t>&amp;$</w:t>
      </w:r>
      <w:bookmarkStart w:id="60006" w:name="2.2.3.12.4.3"/>
      <w:r>
        <w:rPr>
          <w:rFonts w:hAnsi="Arial"/>
          <w:rFonts w:ascii="Arial"/>
          <w:sz w:val="24"/>
          <w:color w:val="navy"/>
        </w:rPr>
        <w:t xml:space="preserve">ARTÍCULO 2.2.3.12.4.3. DE LAS FUNCIONES DEL CONSEJO OPERATIVO DEL SISTEMA NACIONAL DE DEPURACIÓN DE DATOS Y ARCHIVOS DE INTELIGENCIA Y CONTRAINTELIGENCIA.</w:t>
      </w:r>
      <w:bookmarkEnd w:id="60006"/>
      <w:r>
        <w:rPr>
          <w:rFonts w:hAnsi="Arial"/>
          <w:rFonts w:ascii="Arial"/>
          <w:sz w:val="24"/>
          <w:color w:val="black"/>
        </w:rPr>
        <w:t xml:space="preserve"> &lt;Artículo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Consejo Operativo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Elegir entre sus integrantes, un o una delegado (a) que presidirá el Consejo Operativo del Sistema Nacional de Depuración de Datos y Archivos de Inteligencia y Contrainteligencia. </w:t>
      </w:r>
    </w:p>
    <w:p>
      <w:pPr>
        <w:jc w:val="both"/>
      </w:pPr>
      <w:rPr>
        <w:sz w:val="24"/>
        <w:color w:val="black"/>
      </w:rPr>
    </w:p>
    <w:p>
      <w:pPr>
        <w:jc w:val="both"/>
      </w:pPr>
      <w:r>
        <w:rPr>
          <w:rFonts w:hAnsi="Arial"/>
          <w:rFonts w:ascii="Arial"/>
          <w:sz w:val="24"/>
          <w:color w:val="black"/>
        </w:rPr>
        <w:t xml:space="preserve">2. Adoptar las políticas o directrices que imparta el Consejo Directivo y el Consejo Técnico del Sistema Nacional de Depuración de Datos y Archivos de Inteligencia y Contrainteligencia. </w:t>
      </w:r>
    </w:p>
    <w:p>
      <w:pPr>
        <w:jc w:val="both"/>
      </w:pPr>
      <w:rPr>
        <w:sz w:val="24"/>
        <w:color w:val="black"/>
      </w:rPr>
    </w:p>
    <w:p>
      <w:pPr>
        <w:jc w:val="both"/>
      </w:pPr>
      <w:r>
        <w:rPr>
          <w:rFonts w:hAnsi="Arial"/>
          <w:rFonts w:ascii="Arial"/>
          <w:sz w:val="24"/>
          <w:color w:val="black"/>
        </w:rPr>
        <w:t xml:space="preserve">3. Presentar al Consejo Técnico del Sistema Nacional de Depuración de Datos y Archivos de Inteligencia y Contrainteligencia, dentro de los seis (6) meses siguientes a la expedición de este Capítulo, un informe preliminar que permita conocer cifras aproximadas acerca del estado actual de los archivos de inteligencia y contrainteligencia, en especial, volumen de archivos físicos y digitales, posibles costos del proceso de actualización, corrección y retiro de datos y archivos, recurso humano disponible, recurso humano requerido, equipos, técnicas o tecnologías necesarias para su implementación, espacios físicos presentes y futuros, parámetros de adecuación de los repositorios y/o lugares de depósito, que permitan la adopción de decisiones al interior del presente Sistema. </w:t>
      </w:r>
    </w:p>
    <w:p>
      <w:pPr>
        <w:jc w:val="both"/>
      </w:pPr>
      <w:rPr>
        <w:color w:val="black"/>
      </w:rPr>
    </w:p>
    <w:p>
      <w:pPr>
        <w:jc w:val="both"/>
      </w:pPr>
      <w:r>
        <w:rPr>
          <w:rFonts w:hAnsi="Arial"/>
          <w:rFonts w:ascii="Arial"/>
          <w:sz w:val="24"/>
          <w:color w:val="black"/>
        </w:rPr>
        <w:t xml:space="preserve">4. Presentar al Consejo Técnico del Sistema Nacional de Depuración de Datos y Archivos de Inteligencia y Contrainteligencia los informes que le sean requeridos. </w:t>
      </w:r>
    </w:p>
    <w:p>
      <w:pPr>
        <w:jc w:val="both"/>
      </w:pPr>
      <w:rPr>
        <w:sz w:val="24"/>
        <w:color w:val="black"/>
      </w:rPr>
    </w:p>
    <w:p>
      <w:pPr>
        <w:jc w:val="both"/>
      </w:pPr>
      <w:r>
        <w:rPr>
          <w:rFonts w:hAnsi="Arial"/>
          <w:rFonts w:ascii="Arial"/>
          <w:sz w:val="24"/>
          <w:color w:val="black"/>
        </w:rPr>
        <w:t xml:space="preserve">5. Impartir instrucciones en cada uno de los organismos de inteligencia y contrainteligencia, para poner en marcha las políticas que fije el Consejo Directivo y las directrices del Consejo Técnico del Sistema Nacional de Depuración de Datos y Archivos de Inteligencia y Contrainteligencia, que permitan a nivel nacional adoptar con eficacia y eficiencia las medidas para que los organismos de inteligencia y contrainteligencia desarrollen adecuadamente las labores del proceso de depuración de datos y archivos de inteligencia y contrainteligencia. </w:t>
      </w:r>
    </w:p>
    <w:p>
      <w:pPr>
        <w:jc w:val="both"/>
      </w:pPr>
      <w:rPr>
        <w:sz w:val="24"/>
        <w:color w:val="black"/>
      </w:rPr>
    </w:p>
    <w:p>
      <w:pPr>
        <w:jc w:val="both"/>
      </w:pPr>
      <w:r>
        <w:rPr>
          <w:rFonts w:hAnsi="Arial"/>
          <w:rFonts w:ascii="Arial"/>
          <w:sz w:val="24"/>
          <w:color w:val="black"/>
        </w:rPr>
        <w:t xml:space="preserve">6. Presentar recomendaciones al Consejo Técnico del Sistema Nacional de Depuración de Datos y Archivos de Inteligencia y Contrainteligencia, para adelantar de forma adecuada el proceso de depuración. </w:t>
      </w:r>
    </w:p>
    <w:p>
      <w:pPr>
        <w:jc w:val="both"/>
      </w:pPr>
      <w:rPr>
        <w:sz w:val="24"/>
        <w:color w:val="black"/>
      </w:rPr>
    </w:p>
    <w:p>
      <w:pPr>
        <w:jc w:val="both"/>
      </w:pPr>
      <w:r>
        <w:rPr>
          <w:rFonts w:hAnsi="Arial"/>
          <w:rFonts w:ascii="Arial"/>
          <w:sz w:val="24"/>
          <w:color w:val="black"/>
        </w:rPr>
        <w:t xml:space="preserve">7. Adoptar las acciones correspondientes para observar los parámetros que establezcan tanto el Consejo Directivo como el Consejo Técnico del Sistema Nacional de Depuración de Datos y Archivos de Inteligencia y Contrainteligencia. </w:t>
      </w:r>
    </w:p>
    <w:p>
      <w:pPr>
        <w:jc w:val="both"/>
      </w:pPr>
      <w:rPr>
        <w:sz w:val="24"/>
        <w:color w:val="black"/>
      </w:rPr>
    </w:p>
    <w:p>
      <w:pPr>
        <w:jc w:val="both"/>
      </w:pPr>
      <w:r>
        <w:rPr>
          <w:rFonts w:hAnsi="Arial"/>
          <w:rFonts w:ascii="Arial"/>
          <w:sz w:val="24"/>
          <w:color w:val="black"/>
        </w:rPr>
        <w:t xml:space="preserve">8. Aplicar los formatos correspondientes a la entrega, recepción, custodia, niveles y protocolos de acceso a los archivos de inteligencia y contrainteligencia que sean retirados, así como observar los procedimientos que garanticen durante todas las etapas del proceso de depuración, acatar el ordenamiento jurídico, en especial, el derecho al buen nombre, la honra, la vida e integridad de todas las personas, el debido proceso, la memoria histórica, la reserva legal de la información, los receptores legales y los protocolos de seguridad de la misma. </w:t>
      </w:r>
    </w:p>
    <w:p>
      <w:pPr>
        <w:jc w:val="both"/>
      </w:pPr>
      <w:rPr>
        <w:sz w:val="24"/>
        <w:color w:val="black"/>
      </w:rPr>
    </w:p>
    <w:p>
      <w:pPr>
        <w:jc w:val="both"/>
      </w:pPr>
      <w:r>
        <w:rPr>
          <w:rFonts w:hAnsi="Arial"/>
          <w:rFonts w:ascii="Arial"/>
          <w:sz w:val="24"/>
          <w:color w:val="black"/>
        </w:rPr>
        <w:t xml:space="preserve">9. Establecer su reglamento interno. </w:t>
      </w:r>
    </w:p>
    <w:p>
      <w:pPr>
        <w:jc w:val="both"/>
      </w:pPr>
      <w:rPr>
        <w:sz w:val="24"/>
        <w:color w:val="black"/>
      </w:rPr>
    </w:p>
    <w:p>
      <w:pPr>
        <w:jc w:val="both"/>
      </w:pPr>
      <w:r>
        <w:rPr>
          <w:rFonts w:hAnsi="Arial"/>
          <w:rFonts w:ascii="Arial"/>
          <w:sz w:val="24"/>
          <w:color w:val="black"/>
        </w:rPr>
        <w:t xml:space="preserve">10. Las demás que defina el señor Presidente de la República.</w:t>
      </w:r>
    </w:p>
    <w:p>
      <w:pPr>
        <w:jc w:val="both"/>
      </w:pPr>
      <w:rPr>
        <w:sz w:val="24"/>
        <w:b/>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Las reuniones, deliberaciones, actos y documentos del Consejo Operativo del Sistema Nacional de Depuración de Datos y Archivos de Inteligencia y Contrainteligencia, gozarán de reserva legal por tratarse de asuntos relacionados con inteligencia, contrainteligencia, defensa y seguridad nacional, para lo cual se firmarán en todas las reuniones las actas de compromiso de reserva legal de la información, por parte de los asistentes. En materia de reserva legal se debe observar lo consagrado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w:t>
      </w:r>
    </w:p>
    <w:p>
      <w:pPr>
        <w:jc w:val="both"/>
      </w:pPr>
      <w:rPr>
        <w:color w:val="black"/>
      </w:rPr>
    </w:p>
    <w:p>
      <w:pPr>
        <w:jc w:val="both"/>
      </w:pPr>
      <w:r>
        <w:rPr>
          <w:rFonts w:hAnsi="Arial"/>
          <w:rFonts w:ascii="Arial"/>
          <w:sz w:val="24"/>
          <w:b/>
          <w:vanish/>
          <w:color w:val="black"/>
        </w:rPr>
        <w:t>&amp;$</w:t>
      </w:r>
      <w:bookmarkStart w:id="60007" w:name="2.2.3.12.4.4"/>
      <w:r>
        <w:rPr>
          <w:rFonts w:hAnsi="Arial"/>
          <w:rFonts w:ascii="Arial"/>
          <w:sz w:val="24"/>
          <w:color w:val="navy"/>
        </w:rPr>
        <w:t xml:space="preserve">ARTÍCULO 2.2.3.12.4.4. DE LAS FUNCIONES DE LA SECRETARIA TÉCNICA DEL CONSEJO OPERATIVO DEL SISTEMA NACIONAL DE DEPURACIÓN DE DATOS Y ARCHIVOS DE INTELIGENCIA Y CONTRAINTELIGENCIA.</w:t>
      </w:r>
      <w:bookmarkEnd w:id="600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La Secretaría Técnica del Consejo Operativo del Sistema Nacional de Depuración de Datos y Archivos de inteligencia y Contrainteligencia tendrá las siguientes funciones: </w:t>
      </w:r>
    </w:p>
    <w:p>
      <w:pPr>
        <w:jc w:val="both"/>
      </w:pPr>
      <w:rPr>
        <w:sz w:val="24"/>
        <w:color w:val="black"/>
      </w:rPr>
    </w:p>
    <w:p>
      <w:pPr>
        <w:jc w:val="both"/>
      </w:pPr>
      <w:r>
        <w:rPr>
          <w:rFonts w:hAnsi="Arial"/>
          <w:rFonts w:ascii="Arial"/>
          <w:sz w:val="24"/>
          <w:color w:val="black"/>
        </w:rPr>
        <w:t xml:space="preserve">1. Elaborar las comunicaciones de convocatoria a las reuniones ordinarias o extraordinarias del Consejo Operativo del “SND”. </w:t>
      </w:r>
    </w:p>
    <w:p>
      <w:pPr>
        <w:jc w:val="both"/>
      </w:pPr>
      <w:rPr>
        <w:sz w:val="24"/>
        <w:color w:val="black"/>
      </w:rPr>
    </w:p>
    <w:p>
      <w:pPr>
        <w:jc w:val="both"/>
      </w:pPr>
      <w:r>
        <w:rPr>
          <w:rFonts w:hAnsi="Arial"/>
          <w:rFonts w:ascii="Arial"/>
          <w:sz w:val="24"/>
          <w:color w:val="black"/>
        </w:rPr>
        <w:t xml:space="preserve">2. Elaborar, hacer firmar, registrar, archivar y custodiar las actas de las reuniones del Consejo Operativo. </w:t>
      </w:r>
    </w:p>
    <w:p>
      <w:pPr>
        <w:jc w:val="both"/>
      </w:pPr>
      <w:rPr>
        <w:sz w:val="24"/>
        <w:color w:val="black"/>
      </w:rPr>
    </w:p>
    <w:p>
      <w:pPr>
        <w:jc w:val="both"/>
      </w:pPr>
      <w:r>
        <w:rPr>
          <w:rFonts w:hAnsi="Arial"/>
          <w:rFonts w:ascii="Arial"/>
          <w:sz w:val="24"/>
          <w:color w:val="black"/>
        </w:rPr>
        <w:t xml:space="preserve">3. Elaborar, hacer firmar, registrar, archivar y custodiar las actas de compromiso de reserva legal de la información a todos los asistentes a las reuniones del Consejo Operativo del “SND”. </w:t>
      </w:r>
    </w:p>
    <w:p>
      <w:pPr>
        <w:jc w:val="both"/>
      </w:pPr>
      <w:rPr>
        <w:sz w:val="24"/>
        <w:color w:val="black"/>
      </w:rPr>
    </w:p>
    <w:p>
      <w:pPr>
        <w:jc w:val="both"/>
      </w:pPr>
      <w:r>
        <w:rPr>
          <w:rFonts w:hAnsi="Arial"/>
          <w:rFonts w:ascii="Arial"/>
          <w:sz w:val="24"/>
          <w:color w:val="black"/>
        </w:rPr>
        <w:t xml:space="preserve">4. Tener bajo su responsabilidad y custodia la documentación relacionada con las actividades del Consejo Operativo del “SND”. </w:t>
      </w:r>
    </w:p>
    <w:p>
      <w:pPr>
        <w:jc w:val="both"/>
      </w:pPr>
      <w:rPr>
        <w:sz w:val="24"/>
        <w:color w:val="black"/>
      </w:rPr>
    </w:p>
    <w:p>
      <w:pPr>
        <w:jc w:val="both"/>
      </w:pPr>
      <w:r>
        <w:rPr>
          <w:rFonts w:hAnsi="Arial"/>
          <w:rFonts w:ascii="Arial"/>
          <w:sz w:val="24"/>
          <w:color w:val="black"/>
        </w:rPr>
        <w:t xml:space="preserve">5. Comunicar a los integrantes del Consejo Operativo del Sistema Nacional de Depuración de Datos y Archivos de Inteligencia y Contrainteligencia las decisiones que adopte el Consejo Directivo y el Consejo Técnico del “SND”. </w:t>
      </w:r>
    </w:p>
    <w:p>
      <w:pPr>
        <w:jc w:val="both"/>
      </w:pPr>
      <w:rPr>
        <w:sz w:val="24"/>
        <w:color w:val="black"/>
      </w:rPr>
    </w:p>
    <w:p>
      <w:pPr>
        <w:jc w:val="both"/>
      </w:pPr>
      <w:r>
        <w:rPr>
          <w:rFonts w:hAnsi="Arial"/>
          <w:rFonts w:ascii="Arial"/>
          <w:sz w:val="24"/>
          <w:color w:val="black"/>
        </w:rPr>
        <w:t xml:space="preserve">6. Las demás que le asigne el Consejo Operativo del “SND”. </w:t>
      </w:r>
    </w:p>
    <w:p>
      <w:pPr>
        <w:jc w:val="center"/>
      </w:pPr>
      <w:rPr>
        <w:sz w:val="24"/>
        <w:b/>
        <w:color w:val="black"/>
      </w:rPr>
    </w:p>
    <w:p>
      <w:pPr>
        <w:jc w:val="center"/>
      </w:pPr>
      <w:r>
        <w:rPr>
          <w:rFonts w:hAnsi="Arial"/>
          <w:rFonts w:ascii="Arial"/>
          <w:sz w:val="24"/>
          <w:b/>
          <w:vanish/>
          <w:color w:val="black"/>
        </w:rPr>
        <w:t>&amp;$</w:t>
      </w:r>
      <w:bookmarkStart w:id="60008" w:name="SECCIÓN 2.2.3.12.1.5"/>
      <w:r>
        <w:rPr>
          <w:rFonts w:hAnsi="Arial"/>
          <w:rFonts w:ascii="Arial"/>
          <w:sz w:val="24"/>
          <w:color w:val="navy"/>
        </w:rPr>
        <w:t xml:space="preserve">SECCIÓN 5. </w:t>
      </w:r>
    </w:p>
    <w:p>
      <w:pPr>
        <w:jc w:val="center"/>
      </w:pPr>
      <w:r>
        <w:rPr>
          <w:rFonts w:hAnsi="Arial"/>
          <w:rFonts w:ascii="Arial"/>
          <w:sz w:val="24"/>
          <w:color w:val="navy"/>
        </w:rPr>
        <w:t xml:space="preserve">DISPOSICIONES VARIAS.</w:t>
      </w:r>
      <w:bookmarkEnd w:id="6000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0009" w:name="2.2.3.12.5.1"/>
      <w:r>
        <w:rPr>
          <w:rFonts w:hAnsi="Arial"/>
          <w:rFonts w:ascii="Arial"/>
          <w:sz w:val="24"/>
          <w:color w:val="navy"/>
        </w:rPr>
        <w:t xml:space="preserve">ARTÍCULO 2.2.3.12.5.1. CONFORMACIÓN DE EQUIPOS INTERDISCIPLINARIOS.</w:t>
      </w:r>
      <w:bookmarkEnd w:id="600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Cada uno de los organismos de inteligencia y contrainteligencia podrá conformar equipos interdisciplinarios integrados por expertos en las siguientes disciplinas: archivística, sociología, memoria histórica, inteligencia, contrainteligencia, derecho, derechos humanos, derecho internacional humanitario, politólogos, relaciones internacionales, economía, finanzas, entre otras ciencias o disciplinas académicas que se requieran, con el fin que sirvan de apoyo al proceso de actualización, corrección y retiro, en especial, para que efectúen el estudio, revisión, evaluación y emisión del concepto correspondiente de aquellos datos o archivos que se deban retirar, así como para la construcción de las versiones editadas que sean requeridas por las autoridades competentes, cuando la información que goza de reserva legal deba ser anonimizada, en especial, fuentes, agentes, medios, métodos, procesos, procedimientos y en aquellos casos que puedan poner en riesgo la vida o integridad de los cIudadanos. </w:t>
      </w:r>
    </w:p>
    <w:p>
      <w:pPr>
        <w:jc w:val="both"/>
      </w:pPr>
      <w:rPr>
        <w:color w:val="black"/>
      </w:rPr>
    </w:p>
    <w:p>
      <w:pPr>
        <w:jc w:val="both"/>
      </w:pPr>
      <w:r>
        <w:rPr>
          <w:rFonts w:hAnsi="Arial"/>
          <w:rFonts w:ascii="Arial"/>
          <w:sz w:val="24"/>
          <w:b/>
          <w:vanish/>
          <w:color w:val="black"/>
        </w:rPr>
        <w:t>&amp;$</w:t>
      </w:r>
      <w:bookmarkStart w:id="60010" w:name="2.2.3.12.5.2"/>
      <w:r>
        <w:rPr>
          <w:rFonts w:hAnsi="Arial"/>
          <w:rFonts w:ascii="Arial"/>
          <w:sz w:val="24"/>
          <w:color w:val="navy"/>
        </w:rPr>
        <w:t xml:space="preserve">ARTÍCULO 2.2.3.12.5.2. DESIGNACIÓN DE LOS FUNCIONARIOS DE ENLACE EN CADA UNO DE LOS ORGANISMOS DE INTELIGENCIA Y CONTRAINTELIGENCIA.</w:t>
      </w:r>
      <w:bookmarkEnd w:id="600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Cada organismo de inteligencia y contrainteligencia de la comunidad de inteligencia designará un (1) funcionario responsable de las coordinaciones y enlaces que se requieran para garantizar la entrega y traslado de la reserva legal de la información, a los receptores legales, de los archivos de inteligencia y contrainteligencia que deban ser r etirados. </w:t>
      </w:r>
    </w:p>
    <w:p>
      <w:pPr>
        <w:jc w:val="both"/>
      </w:pPr>
      <w:rPr>
        <w:color w:val="black"/>
      </w:rPr>
    </w:p>
    <w:p>
      <w:pPr>
        <w:jc w:val="both"/>
      </w:pPr>
      <w:r>
        <w:rPr>
          <w:rFonts w:hAnsi="Arial"/>
          <w:rFonts w:ascii="Arial"/>
          <w:sz w:val="24"/>
          <w:b/>
          <w:vanish/>
          <w:color w:val="black"/>
        </w:rPr>
        <w:t>&amp;$</w:t>
      </w:r>
      <w:bookmarkStart w:id="60011" w:name="2.2.3.12.5.3"/>
      <w:r>
        <w:rPr>
          <w:rFonts w:hAnsi="Arial"/>
          <w:rFonts w:ascii="Arial"/>
          <w:sz w:val="24"/>
          <w:color w:val="navy"/>
        </w:rPr>
        <w:t xml:space="preserve">ARTÍCULO 2.2.3.12.5.3. CRITERIOS PARA LOS PROCEDIMIENTOS DE ACTUALIZACIÓN, CORRECCIÓN Y RETIRO DE DATOS Y ARCHIVOS DE INTELIGENCIA Y CONTRAINTELIGENCIA.</w:t>
      </w:r>
      <w:bookmarkEnd w:id="600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Los organismos de inteligencia y contrainteligencia que conforman la comunidad de inteligencia deberán observar los siguientes criterios: </w:t>
      </w:r>
    </w:p>
    <w:p>
      <w:pPr>
        <w:jc w:val="both"/>
      </w:pPr>
      <w:rPr>
        <w:sz w:val="24"/>
        <w:color w:val="black"/>
      </w:rPr>
    </w:p>
    <w:p>
      <w:pPr>
        <w:jc w:val="both"/>
      </w:pPr>
      <w:r>
        <w:rPr>
          <w:rFonts w:hAnsi="Arial"/>
          <w:rFonts w:ascii="Arial"/>
          <w:sz w:val="24"/>
          <w:color w:val="black"/>
        </w:rPr>
        <w:t xml:space="preserve">1. Se deberá garantizarla reserva legal de la información durante todo el proceso de depuración. </w:t>
      </w:r>
    </w:p>
    <w:p>
      <w:pPr>
        <w:jc w:val="both"/>
      </w:pPr>
      <w:rPr>
        <w:sz w:val="24"/>
        <w:color w:val="black"/>
      </w:rPr>
    </w:p>
    <w:p>
      <w:pPr>
        <w:jc w:val="both"/>
      </w:pPr>
      <w:r>
        <w:rPr>
          <w:rFonts w:hAnsi="Arial"/>
          <w:rFonts w:ascii="Arial"/>
          <w:sz w:val="24"/>
          <w:color w:val="black"/>
        </w:rPr>
        <w:t xml:space="preserve">2. Las tareas que se adelanten deberán obedecer a un cronograma con metodologías que permitan adelantar los procedimientos de revisión tomando los datos o archivos de inteligencia más recientes y continuar la tarea en forma regresiva hasta los más antiguos. </w:t>
      </w:r>
    </w:p>
    <w:p>
      <w:pPr>
        <w:jc w:val="both"/>
      </w:pPr>
      <w:rPr>
        <w:sz w:val="24"/>
        <w:color w:val="black"/>
      </w:rPr>
    </w:p>
    <w:p>
      <w:pPr>
        <w:jc w:val="both"/>
      </w:pPr>
      <w:r>
        <w:rPr>
          <w:rFonts w:hAnsi="Arial"/>
          <w:rFonts w:ascii="Arial"/>
          <w:sz w:val="24"/>
          <w:color w:val="black"/>
        </w:rPr>
        <w:t xml:space="preserve">3. La revisión de datos y archivos de inteligencia y contrainteligencia debe realizarse teniendo como referencia el contexto en el cual se desarrolló el ciclo de inteligencia y la conexión de la información a una amenaza, potencialidad, capacidad o riesgo para el Estado. </w:t>
      </w:r>
    </w:p>
    <w:p>
      <w:pPr>
        <w:jc w:val="both"/>
      </w:pPr>
      <w:rPr>
        <w:sz w:val="24"/>
        <w:color w:val="black"/>
      </w:rPr>
    </w:p>
    <w:p>
      <w:pPr>
        <w:jc w:val="both"/>
      </w:pPr>
      <w:r>
        <w:rPr>
          <w:rFonts w:hAnsi="Arial"/>
          <w:rFonts w:ascii="Arial"/>
          <w:sz w:val="24"/>
          <w:color w:val="black"/>
        </w:rPr>
        <w:t xml:space="preserve">4. Se deberán conservar los datos o archivos de inteligencia y contrainteligencia en las condiciones que se originaron, de tal forma, que no perjudique las condiciones relativas a las dinámicas propias de las amenazas, potencialidades, capacidades y riesgos en materia de seguridad y defensa nacional, para lo cual se podrá recurrir a formatos, actas o registros que den fe de la revisión. </w:t>
      </w:r>
    </w:p>
    <w:p>
      <w:pPr>
        <w:jc w:val="both"/>
      </w:pPr>
      <w:rPr>
        <w:sz w:val="24"/>
        <w:color w:val="black"/>
      </w:rPr>
    </w:p>
    <w:p>
      <w:pPr>
        <w:jc w:val="both"/>
      </w:pPr>
      <w:r>
        <w:rPr>
          <w:rFonts w:hAnsi="Arial"/>
          <w:rFonts w:ascii="Arial"/>
          <w:sz w:val="24"/>
          <w:color w:val="black"/>
        </w:rPr>
        <w:t xml:space="preserve">5. Los procedimientos que se adelanten sobre datos o archivos de inteligencia y contrainteligencia no podrán poner en riesgo los fines esenciales del Estado, los intereses nacionales, la vigencia del régimen democrático, la integridad territorial, la soberanía, la seguridad y la defensa de la Naci ón. </w:t>
      </w:r>
    </w:p>
    <w:p>
      <w:pPr>
        <w:jc w:val="both"/>
        <w:outlineLvl w:val="1"/>
      </w:pPr>
      <w:rPr>
        <w:sz w:val="24"/>
        <w:color w:val="black"/>
      </w:rPr>
    </w:p>
    <w:p>
      <w:pPr>
        <w:jc w:val="both"/>
        <w:outlineLvl w:val="1"/>
      </w:pPr>
      <w:r>
        <w:rPr>
          <w:rFonts w:hAnsi="Arial"/>
          <w:rFonts w:ascii="Arial"/>
          <w:sz w:val="24"/>
          <w:color w:val="black"/>
        </w:rPr>
        <w:t xml:space="preserve">6. Los procedimientos que se adelanten sobre datos o archivos de inteligencia contrainteligencia deberán proteger las instituciones democráticas de la República, así como los derechos de las personas residentes en Colombia y de los ciudadanos colombianos en todo tiempo y lugar –en particular los derechos a la vida y la integridad personal– frente a amenazas tales como el terrorismo el crimen organizado, el narcotráfico, el secuestro, el tráfico de armas, municiones, explosivos y otros materiales relacionados, el lavado de activos, y otras amenazas similares. </w:t>
      </w:r>
    </w:p>
    <w:p>
      <w:pPr>
        <w:jc w:val="both"/>
        <w:outlineLvl w:val="1"/>
      </w:pPr>
      <w:rPr>
        <w:sz w:val="24"/>
        <w:color w:val="black"/>
      </w:rPr>
    </w:p>
    <w:p>
      <w:pPr>
        <w:jc w:val="both"/>
        <w:outlineLvl w:val="1"/>
      </w:pPr>
      <w:r>
        <w:rPr>
          <w:rFonts w:hAnsi="Arial"/>
          <w:rFonts w:ascii="Arial"/>
          <w:sz w:val="24"/>
          <w:color w:val="black"/>
        </w:rPr>
        <w:t xml:space="preserve">7. Los procedimientos que se adelanten sobre datos o archivos de inteligencia y contrainteligencia deberán protegerlos recursos naturales y los intereses económicos de la Nación. </w:t>
      </w:r>
    </w:p>
    <w:p>
      <w:pPr>
        <w:jc w:val="both"/>
        <w:outlineLvl w:val="1"/>
      </w:pPr>
      <w:rPr>
        <w:sz w:val="24"/>
        <w:color w:val="black"/>
      </w:rPr>
    </w:p>
    <w:p>
      <w:pPr>
        <w:jc w:val="both"/>
        <w:outlineLvl w:val="1"/>
      </w:pPr>
      <w:r>
        <w:rPr>
          <w:rFonts w:hAnsi="Arial"/>
          <w:rFonts w:ascii="Arial"/>
          <w:sz w:val="24"/>
          <w:color w:val="black"/>
        </w:rPr>
        <w:t xml:space="preserve">8. La forma en que los procedimientos de actualización, corrección y retiro se adelanten y registren en cada organismo de inteligencia y contrainteligencia, se adoptará teniendo en cuenta los recursos humanos, científicos, técnicos, tecnológicos y presupuestales disponibles. </w:t>
      </w:r>
    </w:p>
    <w:p>
      <w:pPr>
        <w:jc w:val="both"/>
      </w:pPr>
      <w:rPr>
        <w:color w:val="black"/>
      </w:rPr>
    </w:p>
    <w:p>
      <w:pPr>
        <w:jc w:val="both"/>
      </w:pPr>
      <w:r>
        <w:rPr>
          <w:rFonts w:hAnsi="Arial"/>
          <w:rFonts w:ascii="Arial"/>
          <w:sz w:val="24"/>
          <w:b/>
          <w:vanish/>
          <w:color w:val="black"/>
        </w:rPr>
        <w:t>&amp;$</w:t>
      </w:r>
      <w:bookmarkStart w:id="60012" w:name="2.2.3.12.5.4"/>
      <w:r>
        <w:rPr>
          <w:rFonts w:hAnsi="Arial"/>
          <w:rFonts w:ascii="Arial"/>
          <w:sz w:val="24"/>
          <w:color w:val="navy"/>
        </w:rPr>
        <w:t xml:space="preserve">ARTÍCULO 2.2.3.12.5.4. PROTOCOLO PARA LA ACTUALIZACIÓN, CORRECCIÓN Y RETIRO DE DATOS Y ARCHIVOS DE INTELIGENCIA Y CONTRAINTELIGENCIA.</w:t>
      </w:r>
      <w:bookmarkEnd w:id="600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Los organismos de inteligencia y contrainteligencia que conforman la comunidad de inteligencia deberán: </w:t>
      </w:r>
    </w:p>
    <w:p>
      <w:pPr>
        <w:jc w:val="both"/>
      </w:pPr>
      <w:rPr>
        <w:sz w:val="24"/>
        <w:color w:val="black"/>
      </w:rPr>
    </w:p>
    <w:p>
      <w:pPr>
        <w:jc w:val="both"/>
      </w:pPr>
      <w:r>
        <w:rPr>
          <w:rFonts w:hAnsi="Arial"/>
          <w:rFonts w:ascii="Arial"/>
          <w:sz w:val="24"/>
          <w:color w:val="black"/>
        </w:rPr>
        <w:t xml:space="preserve">1. Elaborar y adoptar formatos internos para actualizar, corregir y retirar datos y archivos de inteligencia y contrainteligencia. </w:t>
      </w:r>
    </w:p>
    <w:p>
      <w:pPr>
        <w:jc w:val="both"/>
      </w:pPr>
      <w:rPr>
        <w:sz w:val="24"/>
        <w:color w:val="black"/>
      </w:rPr>
    </w:p>
    <w:p>
      <w:pPr>
        <w:jc w:val="both"/>
      </w:pPr>
      <w:r>
        <w:rPr>
          <w:rFonts w:hAnsi="Arial"/>
          <w:rFonts w:ascii="Arial"/>
          <w:sz w:val="24"/>
          <w:color w:val="black"/>
        </w:rPr>
        <w:t xml:space="preserve">2. Elaborar la relación y actas respectivas de entrega y recibo de aquellos datos y archivos de inteligencia y contrainteligencia que sean r etirados. </w:t>
      </w:r>
    </w:p>
    <w:p>
      <w:pPr>
        <w:jc w:val="both"/>
      </w:pPr>
      <w:rPr>
        <w:sz w:val="24"/>
        <w:color w:val="black"/>
      </w:rPr>
    </w:p>
    <w:p>
      <w:pPr>
        <w:jc w:val="both"/>
      </w:pPr>
      <w:r>
        <w:rPr>
          <w:rFonts w:hAnsi="Arial"/>
          <w:rFonts w:ascii="Arial"/>
          <w:sz w:val="24"/>
          <w:color w:val="black"/>
        </w:rPr>
        <w:t xml:space="preserve">3. Hacer entrega al Archivo General de la Nación de los datos y archivos de inteligencia y contrainteligencia que sean retirados, dejando constancia de la trazabilidad del proceso, trasladando la reserva legal de la información y protegiendo aquellos datos y archivos que puedan poner en riesgo fuentes, agentes, medios, procesos y procedimientos de los organismos de inteligencia y contrainteligencia. </w:t>
      </w:r>
    </w:p>
    <w:p>
      <w:pPr>
        <w:jc w:val="both"/>
      </w:pPr>
      <w:rPr>
        <w:color w:val="black"/>
      </w:rPr>
    </w:p>
    <w:p>
      <w:pPr>
        <w:jc w:val="both"/>
      </w:pPr>
      <w:r>
        <w:rPr>
          <w:rFonts w:hAnsi="Arial"/>
          <w:rFonts w:ascii="Arial"/>
          <w:sz w:val="24"/>
          <w:vanish/>
          <w:color w:val="black"/>
        </w:rPr>
        <w:t>&amp;$</w:t>
      </w:r>
      <w:bookmarkStart w:id="60013" w:name="2.2.3.12.5.5"/>
      <w:r>
        <w:rPr>
          <w:rFonts w:hAnsi="Arial"/>
          <w:rFonts w:ascii="Arial"/>
          <w:sz w:val="24"/>
          <w:color w:val="navy"/>
        </w:rPr>
        <w:t xml:space="preserve">ARTÍCULO 2.2.3.12.5.5. ENTREGA DE DATOS Y ARCHIVOS DE INTELIGENCIA Y CONTRAINTELIGENCIA QUE SEAN RETIRADOS.</w:t>
      </w:r>
      <w:bookmarkEnd w:id="600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Cada uno de los organismos de inteligencia y contrainteligencia que conforman la comunidad de inteligencia deberá entregar los datos y archivos de inteligencia y contrainteligencia que sean retirados, al Archivo General de la Nación, para su administración, custodia y preservación, trasladando la reserva legal de la información retirada y protegiendo aquellos datos que puedan poner en riesgo la seguridad y defensa nacional, fuentes, agentes, medios, métodos, procesos o procedimientos de inteligencia y contrainteligencia. </w:t>
      </w:r>
    </w:p>
    <w:p>
      <w:pPr>
        <w:jc w:val="both"/>
      </w:pPr>
      <w:rPr>
        <w:color w:val="black"/>
      </w:rPr>
    </w:p>
    <w:p>
      <w:pPr>
        <w:jc w:val="both"/>
      </w:pPr>
      <w:r>
        <w:rPr>
          <w:rFonts w:hAnsi="Arial"/>
          <w:rFonts w:ascii="Arial"/>
          <w:sz w:val="24"/>
          <w:b/>
          <w:vanish/>
          <w:color w:val="black"/>
        </w:rPr>
        <w:t>&amp;$</w:t>
      </w:r>
      <w:bookmarkStart w:id="60014" w:name="2.2.3.12.5.6"/>
      <w:r>
        <w:rPr>
          <w:rFonts w:hAnsi="Arial"/>
          <w:rFonts w:ascii="Arial"/>
          <w:sz w:val="24"/>
          <w:color w:val="navy"/>
        </w:rPr>
        <w:t xml:space="preserve">ARTÍCULO 2.2.3.12.5.6. RECIBO, ACCESO Y PROTECCIÓN DE LOS DATOS Y ARCHIVOS DE INTELIGENCIA Y CONTRAINTELIGENCIA QUE SEAN RETIRADOS.</w:t>
      </w:r>
      <w:bookmarkEnd w:id="600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Archivo General de la Nación recibirá de los organismos de inteligencia y contrainteligencia aquellos datos y archivos que éstos hayan retirado, previa comunicación escrita en la que el Archivo General de la Nación manifieste a los organismos de inteligencia y contrainteligencia que existen las condiciones de espacio físico, seguridad y conservación adecuadas, indicando a estos el lugar al que deben ser llevados los datos y archivos de inteligencia y contrainteligencia retirados. El Archivo General de la Nación, dentro de los seis (6) meses siguientes a la puesta en marcha del Sistema de Depuración, establecerá los protocolos, niveles, trazabilidad y controles de acceso a los datos y archivos de inteligencia y contrainteligencia retirados, con destino a las autoridades competentes y receptores legales autorizados por la ley para el cumplimiento de sus fines, observando lo consagrado tanto en la Ley </w:t>
      </w:r>
      <w:r>
        <w:fldChar w:fldCharType="begin"/>
      </w:r>
      <w:r>
        <w:instrText>HYPERLINK "http://www.redjurista.com/document.aspx?ajcode=l1621013&amp;arts=Inicio"</w:instrText>
      </w:r>
      <w:r>
        <w:fldChar w:fldCharType="separate"/>
      </w:r>
      <w:r>
        <w:rPr>
          <w:rFonts w:hAnsi="Arial"/>
          <w:rFonts w:ascii="Arial"/>
          <w:sz w:val="24"/>
          <w:u w:val="single"/>
          <w:color w:val="black"/>
        </w:rPr>
        <w:t>1621</w:t>
      </w:r>
      <w:r>
        <w:fldChar w:fldCharType="end"/>
      </w:r>
      <w:r>
        <w:rPr>
          <w:rFonts w:hAnsi="Arial"/>
          <w:rFonts w:ascii="Arial"/>
          <w:sz w:val="24"/>
          <w:u w:val="none"/>
          <w:color w:val="black"/>
        </w:rPr>
        <w:t xml:space="preserve"> de 2013 como en la Ley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w:t>
      </w:r>
    </w:p>
    <w:p>
      <w:pPr>
        <w:jc w:val="both"/>
      </w:pPr>
      <w:rPr>
        <w:sz w:val="24"/>
        <w:b/>
        <w:color w:val="black"/>
      </w:rPr>
    </w:p>
    <w:p>
      <w:pPr>
        <w:jc w:val="both"/>
      </w:pPr>
      <w:r>
        <w:rPr>
          <w:rFonts w:hAnsi="Arial"/>
          <w:rFonts w:ascii="Arial"/>
          <w:sz w:val="24"/>
          <w:color w:val="black"/>
        </w:rPr>
        <w:t xml:space="preserve">El Archivo General de la Nación establecerá los protocolos de seguridad y trazabilidad correspondientes al acceso y consulta que autorice a los datos y archivos de inteligencia y contrainteligencia retirados, dejando constancia de la autoridad o receptor legal competente que los requirió, fecha, hora, forma de entrega de las copias controladas, disposición final de los documentos y traslado de la reserva legal de la información. El Archivo General de la Nación en la administración, custodia, conservación, autorización de acceso y expedición de copias controladas de los datos y archivos de inteligencia y contrainteligencia retirados, observará el ordenamiento jurídico, en especial, garantizará el derecho al buen nombre, la honra, la vida e integridad de todas las personas, la seguridad y defensa nacional, fuentes, agentes, medios, métodos, procesos o procedimientos de inteligencia y contrainteligencia, el debido proceso, la memoria histórica, la reserva legal de la información, los receptores legales y los protocolos de seguridad de la misma. </w:t>
      </w:r>
    </w:p>
    <w:p>
      <w:pPr>
        <w:jc w:val="both"/>
      </w:pPr>
      <w:rPr>
        <w:sz w:val="24"/>
        <w:color w:val="black"/>
      </w:rPr>
    </w:p>
    <w:p>
      <w:pPr>
        <w:jc w:val="both"/>
      </w:pPr>
      <w:r>
        <w:rPr>
          <w:rFonts w:hAnsi="Arial"/>
          <w:rFonts w:ascii="Arial"/>
          <w:sz w:val="24"/>
          <w:color w:val="black"/>
        </w:rPr>
        <w:t xml:space="preserve">El efecto presupuestal que se deriva de la aplicación de los artículos </w:t>
      </w:r>
      <w:r>
        <w:fldChar w:fldCharType="begin"/>
      </w:r>
      <w:r>
        <w:instrText>HYPERLINK "http://www.redjurista.com/document.aspx?ajcode=d1070015&amp;arts=2.2.3.12.5.5"</w:instrText>
      </w:r>
      <w:r>
        <w:fldChar w:fldCharType="separate"/>
      </w:r>
      <w:r>
        <w:rPr>
          <w:rFonts w:hAnsi="Arial"/>
          <w:rFonts w:ascii="Arial"/>
          <w:sz w:val="24"/>
          <w:u w:val="single"/>
          <w:color w:val="black"/>
        </w:rPr>
        <w:t>2.2.3.12.5.5</w:t>
      </w:r>
      <w:r>
        <w:fldChar w:fldCharType="end"/>
      </w:r>
      <w:r>
        <w:rPr>
          <w:rFonts w:hAnsi="Arial"/>
          <w:rFonts w:ascii="Arial"/>
          <w:sz w:val="24"/>
          <w:u w:val="none"/>
          <w:color w:val="black"/>
        </w:rPr>
        <w:t xml:space="preserve">., </w:t>
      </w:r>
      <w:r>
        <w:fldChar w:fldCharType="begin"/>
      </w:r>
      <w:r>
        <w:instrText>HYPERLINK "http://www.redjurista.com/document.aspx?ajcode=d1070015&amp;arts=2.2.3.12.5.6"</w:instrText>
      </w:r>
      <w:r>
        <w:fldChar w:fldCharType="separate"/>
      </w:r>
      <w:r>
        <w:rPr>
          <w:rFonts w:hAnsi="Arial"/>
          <w:rFonts w:ascii="Arial"/>
          <w:sz w:val="24"/>
          <w:u w:val="single"/>
          <w:color w:val="black"/>
        </w:rPr>
        <w:t>2.2.3.12.5.6</w:t>
      </w:r>
      <w:r>
        <w:fldChar w:fldCharType="end"/>
      </w:r>
      <w:r>
        <w:rPr>
          <w:rFonts w:hAnsi="Arial"/>
          <w:rFonts w:ascii="Arial"/>
          <w:sz w:val="24"/>
          <w:u w:val="none"/>
          <w:color w:val="black"/>
        </w:rPr>
        <w:t xml:space="preserve">. y </w:t>
      </w:r>
      <w:r>
        <w:fldChar w:fldCharType="begin"/>
      </w:r>
      <w:r>
        <w:instrText>HYPERLINK "http://www.redjurista.com/document.aspx?ajcode=d1070015&amp;arts=2.2.3.12.5.7"</w:instrText>
      </w:r>
      <w:r>
        <w:fldChar w:fldCharType="separate"/>
      </w:r>
      <w:r>
        <w:rPr>
          <w:rFonts w:hAnsi="Arial"/>
          <w:rFonts w:ascii="Arial"/>
          <w:sz w:val="24"/>
          <w:u w:val="single"/>
          <w:color w:val="black"/>
        </w:rPr>
        <w:t>2.2.3.12.5.7</w:t>
      </w:r>
      <w:r>
        <w:fldChar w:fldCharType="end"/>
      </w:r>
      <w:r>
        <w:rPr>
          <w:rFonts w:hAnsi="Arial"/>
          <w:rFonts w:ascii="Arial"/>
          <w:sz w:val="24"/>
          <w:u w:val="none"/>
          <w:color w:val="black"/>
        </w:rPr>
        <w:t xml:space="preserve">, será asumido por cada uno de los organismos que integran la comunidad de inteligencia y, cuando se requiera, cada organismo en relación con los archivos que deba retirar podrá suscribir un convenio con el Archivo General de la Nación. </w:t>
      </w:r>
    </w:p>
    <w:p>
      <w:pPr>
        <w:jc w:val="both"/>
      </w:pPr>
      <w:rPr>
        <w:color w:val="black"/>
      </w:rPr>
    </w:p>
    <w:p>
      <w:pPr>
        <w:jc w:val="both"/>
      </w:pPr>
      <w:r>
        <w:rPr>
          <w:rFonts w:hAnsi="Arial"/>
          <w:rFonts w:ascii="Arial"/>
          <w:sz w:val="24"/>
          <w:b/>
          <w:vanish/>
          <w:color w:val="black"/>
        </w:rPr>
        <w:t>&amp;$</w:t>
      </w:r>
      <w:bookmarkStart w:id="60015" w:name="2.2.3.12.5.7"/>
      <w:r>
        <w:rPr>
          <w:rFonts w:hAnsi="Arial"/>
          <w:rFonts w:ascii="Arial"/>
          <w:sz w:val="24"/>
          <w:color w:val="navy"/>
        </w:rPr>
        <w:t xml:space="preserve">ARTÍCULO 2.2.3.12.5.7. ARCHIVOS DE INTELIGENCIA, CONTRAINTELIGENCIA Y GASTOS RESERVADOS DEL EXTINTO D.A.S.</w:t>
      </w:r>
      <w:bookmarkEnd w:id="600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"http://www.redjurista.com/document.aspx?ajcode=d2149017&amp;arts=1"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2149 de 2017. El nuevo texto es el siguiente:&gt; El Archivo General de la Nación mantendrá la custodia de los archivos de inteligencia, contrainteligencia y gastos reservados del extinto DAS. Para los trámites de acceso y consulta de la documentación correspondiente a los archivos de inteligencia, contrainteligencia y gastos reservados del extinto DAS, será la Dirección Nacional de Inteligencia la autoridad competente para autorizar el acceso o consulta de los mencionados archivos. </w:t>
      </w:r>
    </w:p>
    <w:p>
      <w:pPr>
        <w:jc w:val="both"/>
      </w:pPr>
      <w:rPr>
        <w:sz w:val="24"/>
        <w:color w:val="black"/>
      </w:rPr>
    </w:p>
    <w:p>
      <w:pPr>
        <w:jc w:val="both"/>
        <w:outlineLvl w:val="1"/>
      </w:pPr>
      <w:r>
        <w:rPr>
          <w:rFonts w:hAnsi="Arial"/>
          <w:rFonts w:ascii="Arial"/>
          <w:sz w:val="24"/>
          <w:color w:val="black"/>
        </w:rPr>
        <w:t xml:space="preserve">El acceso y consulta de la documentación de los archivos de inteligencia, contrainteligencia y gastos reservados del extinto D.A.S., estará sujeta a la reserva legal en los términos establecidos en la Constitución y la ley. En este sentido, sólo se dará acceso o permitirá la consulta de esta información a las autoridades judiciales que dentro de un proceso judicial la soliciten o los entes de control que la requieran para el cumplimiento de su misión Constitucional o legal. La Dirección Nacional de Inteligencia acogerá o elaborará los protocolos de seguridad necesarios para las actividades de acceso y consulta de la información de inteligencia, contrainteligencia y gastos reservados del extinto Departamento Administrativo de Seguridad (DAS).</w:t>
      </w:r>
    </w:p>
    <w:p>
      <w:pPr>
        <w:jc w:val="both"/>
      </w:pPr>
      <w:rPr>
        <w:sz w:val="24"/>
        <w:color w:val="black"/>
      </w:rPr>
    </w:p>
    <w:p>
      <w:pPr>
        <w:jc w:val="center"/>
      </w:pPr>
      <w:r>
        <w:rPr>
          <w:rFonts w:hAnsi="Arial"/>
          <w:rFonts w:ascii="Arial"/>
          <w:sz w:val="24"/>
          <w:vanish/>
          <w:color w:val="black"/>
        </w:rPr>
        <w:t>&amp;$</w:t>
      </w:r>
      <w:bookmarkStart w:id="60016" w:name="TÍTULO 2.2.4"/>
      <w:r>
        <w:rPr>
          <w:rFonts w:hAnsi="Arial"/>
          <w:rFonts w:ascii="Arial"/>
          <w:sz w:val="24"/>
          <w:color w:val="navy"/>
        </w:rPr>
        <w:t xml:space="preserve">TÍTULO 4. </w:t>
      </w:r>
    </w:p>
    <w:p>
      <w:pPr>
        <w:jc w:val="center"/>
      </w:pPr>
      <w:r>
        <w:rPr>
          <w:rFonts w:hAnsi="Arial"/>
          <w:rFonts w:ascii="Arial"/>
          <w:sz w:val="24"/>
          <w:color w:val="navy"/>
        </w:rPr>
        <w:t xml:space="preserve">ARMAS Y MUNICIONES.</w:t>
      </w:r>
      <w:bookmarkEnd w:id="6001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0017" w:name="CAPÍTULO 2.2.4.1"/>
      <w:r>
        <w:rPr>
          <w:rFonts w:hAnsi="Arial"/>
          <w:rFonts w:ascii="Arial"/>
          <w:sz w:val="24"/>
          <w:color w:val="navy"/>
        </w:rPr>
        <w:t xml:space="preserve">CAPÍTULO 1. </w:t>
      </w:r>
    </w:p>
    <w:p>
      <w:pPr>
        <w:jc w:val="center"/>
      </w:pPr>
      <w:r>
        <w:rPr>
          <w:rFonts w:hAnsi="Arial"/>
          <w:rFonts w:ascii="Arial"/>
          <w:sz w:val="24"/>
          <w:color w:val="navy"/>
        </w:rPr>
        <w:t xml:space="preserve">REGLAMENTACIÓN DEL DECRETO 2535 DE 1993.</w:t>
      </w:r>
      <w:bookmarkEnd w:id="6001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60018" w:name="2.2.4.1.1"/>
      <w:r>
        <w:rPr>
          <w:rFonts w:hAnsi="Arial"/>
          <w:rFonts w:ascii="Arial"/>
          <w:sz w:val="24"/>
          <w:color w:val="navy"/>
        </w:rPr>
        <w:t xml:space="preserve">ARTÍCULO 2.2.4.1.1. </w:t>
      </w:r>
      <w:r>
        <w:rPr>
          <w:rFonts w:hAnsi="Arial"/>
          <w:rFonts w:ascii="Arial"/>
          <w:sz w:val="24"/>
          <w:i/>
          <w:color w:val="navy"/>
        </w:rPr>
        <w:t xml:space="preserve">ARMAS AUTORIZADAS.</w:t>
      </w:r>
      <w:bookmarkEnd w:id="60018"/>
      <w:r>
        <w:rPr>
          <w:rFonts w:hAnsi="Arial"/>
          <w:rFonts w:ascii="Arial"/>
          <w:sz w:val="24"/>
          <w:b/>
          <w:i/>
          <w:color w:val="black"/>
        </w:rPr>
        <w:t xml:space="preserve"> </w:t>
      </w:r>
      <w:r>
        <w:rPr>
          <w:rFonts w:hAnsi="Arial"/>
          <w:rFonts w:ascii="Arial"/>
          <w:sz w:val="24"/>
          <w:color w:val="black"/>
        </w:rPr>
        <w:t xml:space="preserve">En desarrollo del parágrafo 2o del artículo </w:t>
      </w:r>
      <w:r>
        <w:fldChar w:fldCharType="begin"/>
      </w:r>
      <w:r>
        <w:instrText>HYPERLINK "http://www.redjurista.com/document.aspx?ajcode=d2535_93&amp;arts=8"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del Decreto 2535 de 1993, las armas, municiones de guerra o de uso privativo de la Fuerza Pública, que pueden portar los miembros de los organismos nacionales de seguridad o cuerpos oficiales armados de carácter permanente creados o autorizados por la ley, son las siguientes:</w:t>
      </w:r>
    </w:p>
    <w:p>
      <w:pPr>
        <w:jc w:val="both"/>
      </w:pPr>
      <w:rPr>
        <w:sz w:val="24"/>
        <w:color w:val="black"/>
      </w:rPr>
    </w:p>
    <w:p>
      <w:pPr>
        <w:jc w:val="both"/>
      </w:pPr>
      <w:r>
        <w:rPr>
          <w:rFonts w:hAnsi="Arial"/>
          <w:rFonts w:ascii="Arial"/>
          <w:sz w:val="24"/>
          <w:color w:val="black"/>
        </w:rPr>
        <w:t xml:space="preserve">a) Pistolas y revólveres de calibre superior a 9.652 mm. (38 pulgadas);</w:t>
      </w:r>
    </w:p>
    <w:p>
      <w:pPr>
        <w:jc w:val="both"/>
      </w:pPr>
      <w:rPr>
        <w:sz w:val="24"/>
        <w:color w:val="black"/>
      </w:rPr>
    </w:p>
    <w:p>
      <w:pPr>
        <w:jc w:val="both"/>
      </w:pPr>
      <w:r>
        <w:rPr>
          <w:rFonts w:hAnsi="Arial"/>
          <w:rFonts w:ascii="Arial"/>
          <w:sz w:val="24"/>
          <w:color w:val="black"/>
        </w:rPr>
        <w:t xml:space="preserve">b) Pistolas de funcionamiento semiautomático o automático y subametralladoras.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Excepcionalmente, la Fiscalía General de la Nación, la Procuraduría General de la Nación, y el Instituto Nacional Penitenciario (INPEC), podrán poseer armas largas como fusiles y carabinas, previa autorización del Comité de Armas del Ministerio de Defensa Nacional.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permiso para porte de las armas a que se refiere el presente artículo se expedirá por las autoridades competentes, hasta por diez (10) años.</w:t>
      </w:r>
    </w:p>
    <w:p>
      <w:pPr>
        <w:jc w:val="both"/>
      </w:pPr>
      <w:rPr>
        <w:sz w:val="24"/>
        <w:color w:val="black"/>
      </w:rPr>
    </w:p>
    <w:p>
      <w:pPr>
        <w:jc w:val="both"/>
      </w:pPr>
      <w:r>
        <w:rPr>
          <w:rFonts w:hAnsi="Arial"/>
          <w:rFonts w:ascii="Arial"/>
          <w:sz w:val="24"/>
          <w:i/>
          <w:color w:val="black"/>
        </w:rPr>
        <w:t xml:space="preserve">(Decreto 1809 de 1994 artículo </w:t>
      </w:r>
      <w:r>
        <w:fldChar w:fldCharType="begin"/>
      </w:r>
      <w:r>
        <w:instrText>HYPERLINK "http://www.redjurista.com/document.aspx?ajcode=d1809_94&amp;arts=1"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019" w:name="2.2.4.1.2"/>
      <w:r>
        <w:rPr>
          <w:rFonts w:hAnsi="Arial"/>
          <w:rFonts w:ascii="Arial"/>
          <w:sz w:val="24"/>
          <w:color w:val="navy"/>
        </w:rPr>
        <w:t xml:space="preserve">ARTÍCULO 2.2.4.1.2. </w:t>
      </w:r>
      <w:r>
        <w:rPr>
          <w:rFonts w:hAnsi="Arial"/>
          <w:rFonts w:ascii="Arial"/>
          <w:sz w:val="24"/>
          <w:i/>
          <w:color w:val="navy"/>
        </w:rPr>
        <w:t>AUTORIZACIÓN.</w:t>
      </w:r>
      <w:bookmarkEnd w:id="60019"/>
      <w:r>
        <w:rPr>
          <w:rFonts w:hAnsi="Arial"/>
          <w:rFonts w:ascii="Arial"/>
          <w:sz w:val="24"/>
          <w:b/>
          <w:i/>
          <w:color w:val="black"/>
        </w:rPr>
        <w:t xml:space="preserve"> </w:t>
      </w:r>
      <w:r>
        <w:rPr>
          <w:rFonts w:hAnsi="Arial"/>
          <w:rFonts w:ascii="Arial"/>
          <w:sz w:val="24"/>
          <w:color w:val="black"/>
        </w:rPr>
        <w:t xml:space="preserve">Conforme al parágrafo 3o del artículo </w:t>
      </w:r>
      <w:r>
        <w:fldChar w:fldCharType="begin"/>
      </w:r>
      <w:r>
        <w:instrText>HYPERLINK "http://www.redjurista.com/document.aspx?ajcode=d2535_93&amp;arts=9"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2535 de 1993, el Comité de Armas del Ministerio de Defensa Nacional, podrá autorizar el porte de armas de uso restringido así:</w:t>
      </w:r>
    </w:p>
    <w:p>
      <w:pPr>
        <w:jc w:val="both"/>
      </w:pPr>
      <w:rPr>
        <w:sz w:val="24"/>
        <w:color w:val="black"/>
      </w:rPr>
    </w:p>
    <w:p>
      <w:pPr>
        <w:jc w:val="both"/>
      </w:pPr>
      <w:r>
        <w:rPr>
          <w:rFonts w:hAnsi="Arial"/>
          <w:rFonts w:ascii="Arial"/>
          <w:sz w:val="24"/>
          <w:color w:val="black"/>
        </w:rPr>
        <w:t xml:space="preserve">a) Hasta dos (2) armas por persona natural, siempre y cuando demuestre a través de elementos probatorios las circunstancias de que trata el literal c) del artículo </w:t>
      </w:r>
      <w:r>
        <w:fldChar w:fldCharType="begin"/>
      </w:r>
      <w:r>
        <w:instrText>HYPERLINK "http://www.redjurista.com/document.aspx?ajcode=d2535_93&amp;arts=34"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2535 de 1993;</w:t>
      </w:r>
    </w:p>
    <w:p>
      <w:pPr>
        <w:jc w:val="both"/>
      </w:pPr>
      <w:rPr>
        <w:sz w:val="24"/>
        <w:color w:val="black"/>
      </w:rPr>
    </w:p>
    <w:p>
      <w:pPr>
        <w:jc w:val="both"/>
      </w:pPr>
      <w:r>
        <w:rPr>
          <w:rFonts w:hAnsi="Arial"/>
          <w:rFonts w:ascii="Arial"/>
          <w:sz w:val="24"/>
          <w:color w:val="black"/>
        </w:rPr>
        <w:t xml:space="preserve">b) Los oficiales y suboficiales de la Fuerza Pública en servicio activo, dos armas;</w:t>
      </w:r>
    </w:p>
    <w:p>
      <w:pPr>
        <w:jc w:val="both"/>
      </w:pPr>
      <w:rPr>
        <w:sz w:val="24"/>
        <w:color w:val="black"/>
      </w:rPr>
    </w:p>
    <w:p>
      <w:pPr>
        <w:jc w:val="both"/>
      </w:pPr>
      <w:r>
        <w:rPr>
          <w:rFonts w:hAnsi="Arial"/>
          <w:rFonts w:ascii="Arial"/>
          <w:sz w:val="24"/>
          <w:color w:val="black"/>
        </w:rPr>
        <w:t xml:space="preserve">c) Miembros del Nivel Ejecutivo y agentes de la Policía Nacional en servicio activo, un arma;</w:t>
      </w:r>
    </w:p>
    <w:p>
      <w:pPr>
        <w:jc w:val="both"/>
      </w:pPr>
      <w:rPr>
        <w:sz w:val="24"/>
        <w:color w:val="black"/>
      </w:rPr>
    </w:p>
    <w:p>
      <w:pPr>
        <w:jc w:val="both"/>
      </w:pPr>
      <w:r>
        <w:rPr>
          <w:rFonts w:hAnsi="Arial"/>
          <w:rFonts w:ascii="Arial"/>
          <w:sz w:val="24"/>
          <w:color w:val="black"/>
        </w:rPr>
        <w:t xml:space="preserve">d) Los departamentos de Seguridad podrán tener un arma por cada cinco miembros, sin que las mismas puedan exceder cuatro por escolta, en desempeño y ejercicio de sus actividades como tal.</w:t>
      </w:r>
    </w:p>
    <w:p>
      <w:pPr>
        <w:jc w:val="both"/>
      </w:pPr>
      <w:rPr>
        <w:sz w:val="24"/>
        <w:color w:val="black"/>
      </w:rPr>
    </w:p>
    <w:p>
      <w:pPr>
        <w:jc w:val="both"/>
      </w:pPr>
      <w:r>
        <w:rPr>
          <w:rFonts w:hAnsi="Arial"/>
          <w:rFonts w:ascii="Arial"/>
          <w:sz w:val="24"/>
          <w:i/>
          <w:color w:val="black"/>
        </w:rPr>
        <w:t xml:space="preserve">(Decreto 1809 de 1994 artículo </w:t>
      </w:r>
      <w:r>
        <w:fldChar w:fldCharType="begin"/>
      </w:r>
      <w:r>
        <w:instrText>HYPERLINK "http://www.redjurista.com/document.aspx?ajcode=d1809_94&amp;arts=2"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020" w:name="2.2.4.1.3"/>
      <w:r>
        <w:rPr>
          <w:rFonts w:hAnsi="Arial"/>
          <w:rFonts w:ascii="Arial"/>
          <w:sz w:val="24"/>
          <w:color w:val="navy"/>
        </w:rPr>
        <w:t xml:space="preserve">ARTÍCULO 2.2.4.1.3. </w:t>
      </w:r>
      <w:r>
        <w:rPr>
          <w:rFonts w:hAnsi="Arial"/>
          <w:rFonts w:ascii="Arial"/>
          <w:sz w:val="24"/>
          <w:i/>
          <w:color w:val="navy"/>
        </w:rPr>
        <w:t>TRANSPORTE.</w:t>
      </w:r>
      <w:bookmarkEnd w:id="60020"/>
      <w:r>
        <w:rPr>
          <w:rFonts w:hAnsi="Arial"/>
          <w:rFonts w:ascii="Arial"/>
          <w:sz w:val="24"/>
          <w:b/>
          <w:i/>
          <w:color w:val="black"/>
        </w:rPr>
        <w:t xml:space="preserve"> </w:t>
      </w:r>
      <w:r>
        <w:rPr>
          <w:rFonts w:hAnsi="Arial"/>
          <w:rFonts w:ascii="Arial"/>
          <w:sz w:val="24"/>
          <w:color w:val="black"/>
        </w:rPr>
        <w:t xml:space="preserve">En virtud de lo previsto en el artículo </w:t>
      </w:r>
      <w:r>
        <w:fldChar w:fldCharType="begin"/>
      </w:r>
      <w:r>
        <w:instrText>HYPERLINK "http://www.redjurista.com/document.aspx?ajcode=d2535_93&amp;arts=18"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2535 de 1993, para el transporte de un lugar a otro de las armas con permiso de tenencia y sus municiones, para reparación, prácticas de polígono, deportivas o de caza en sitios autorizados, deberán observarse las siguientes condiciones de seguridad:</w:t>
      </w:r>
    </w:p>
    <w:p>
      <w:pPr>
        <w:jc w:val="both"/>
      </w:pPr>
      <w:rPr>
        <w:sz w:val="24"/>
        <w:color w:val="black"/>
      </w:rPr>
    </w:p>
    <w:p>
      <w:pPr>
        <w:jc w:val="both"/>
      </w:pPr>
      <w:r>
        <w:rPr>
          <w:rFonts w:hAnsi="Arial"/>
          <w:rFonts w:ascii="Arial"/>
          <w:sz w:val="24"/>
          <w:color w:val="black"/>
        </w:rPr>
        <w:t xml:space="preserve">a) Llevar consigo el permiso de tenencia vigente;</w:t>
      </w:r>
    </w:p>
    <w:p>
      <w:pPr>
        <w:jc w:val="both"/>
      </w:pPr>
      <w:rPr>
        <w:sz w:val="24"/>
        <w:color w:val="black"/>
      </w:rPr>
    </w:p>
    <w:p>
      <w:pPr>
        <w:jc w:val="both"/>
      </w:pPr>
      <w:r>
        <w:rPr>
          <w:rFonts w:hAnsi="Arial"/>
          <w:rFonts w:ascii="Arial"/>
          <w:sz w:val="24"/>
          <w:color w:val="black"/>
        </w:rPr>
        <w:t xml:space="preserve">b) Llevar el arma y proveedor descargados, en diferentes embalajes.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socios de Clubes de Tiro afiliados a la Federación Colombiana de Tiro y Caza y los Coleccionistas de armas para efectos del presente artículo, deberán cumplir los siguientes requisitos:</w:t>
      </w:r>
    </w:p>
    <w:p>
      <w:pPr>
        <w:jc w:val="both"/>
      </w:pPr>
      <w:rPr>
        <w:sz w:val="24"/>
        <w:color w:val="black"/>
      </w:rPr>
    </w:p>
    <w:p>
      <w:pPr>
        <w:jc w:val="both"/>
      </w:pPr>
      <w:r>
        <w:rPr>
          <w:rFonts w:hAnsi="Arial"/>
          <w:rFonts w:ascii="Arial"/>
          <w:sz w:val="24"/>
          <w:color w:val="black"/>
        </w:rPr>
        <w:t xml:space="preserve">a) Llevar consigo el permiso de tenencia vigente.</w:t>
      </w:r>
    </w:p>
    <w:p>
      <w:pPr>
        <w:jc w:val="both"/>
      </w:pPr>
      <w:rPr>
        <w:sz w:val="24"/>
        <w:color w:val="black"/>
      </w:rPr>
    </w:p>
    <w:p>
      <w:pPr>
        <w:jc w:val="both"/>
      </w:pPr>
      <w:r>
        <w:rPr>
          <w:rFonts w:hAnsi="Arial"/>
          <w:rFonts w:ascii="Arial"/>
          <w:sz w:val="24"/>
          <w:color w:val="black"/>
        </w:rPr>
        <w:t xml:space="preserve">b) Llevar consigo el carné de afiliación vigente, expedido por la Federación Colombiana de Tiro y Caza o la credencial que los acredite como coleccionistas.</w:t>
      </w:r>
    </w:p>
    <w:p>
      <w:pPr>
        <w:jc w:val="both"/>
      </w:pPr>
      <w:rPr>
        <w:sz w:val="24"/>
        <w:color w:val="black"/>
      </w:rPr>
    </w:p>
    <w:p>
      <w:pPr>
        <w:jc w:val="both"/>
      </w:pPr>
      <w:r>
        <w:rPr>
          <w:rFonts w:hAnsi="Arial"/>
          <w:rFonts w:ascii="Arial"/>
          <w:sz w:val="24"/>
          <w:color w:val="black"/>
        </w:rPr>
        <w:t xml:space="preserve">c) Llevar el arma y proveedor descargados, en diferentes embalajes.</w:t>
      </w:r>
    </w:p>
    <w:p>
      <w:pPr>
        <w:jc w:val="both"/>
      </w:pPr>
      <w:rPr>
        <w:sz w:val="24"/>
        <w:color w:val="black"/>
      </w:rPr>
    </w:p>
    <w:p>
      <w:pPr>
        <w:jc w:val="both"/>
      </w:pPr>
      <w:r>
        <w:rPr>
          <w:rFonts w:hAnsi="Arial"/>
          <w:rFonts w:ascii="Arial"/>
          <w:sz w:val="24"/>
          <w:i/>
          <w:color w:val="black"/>
        </w:rPr>
        <w:t xml:space="preserve">(Decreto 1809 de 1994 artículo </w:t>
      </w:r>
      <w:r>
        <w:fldChar w:fldCharType="begin"/>
      </w:r>
      <w:r>
        <w:instrText>HYPERLINK "http://www.redjurista.com/document.aspx?ajcode=d1809_94&amp;arts=3"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021" w:name="2.2.4.1.4"/>
      <w:r>
        <w:rPr>
          <w:rFonts w:hAnsi="Arial"/>
          <w:rFonts w:ascii="Arial"/>
          <w:sz w:val="24"/>
          <w:color w:val="navy"/>
        </w:rPr>
        <w:t xml:space="preserve">ARTÍCULO 2.2.4.1.4. </w:t>
      </w:r>
      <w:r>
        <w:rPr>
          <w:rFonts w:hAnsi="Arial"/>
          <w:rFonts w:ascii="Arial"/>
          <w:sz w:val="24"/>
          <w:i/>
          <w:color w:val="navy"/>
        </w:rPr>
        <w:t xml:space="preserve">COLECCIONISTAS Y DEPORTISTAS.</w:t>
      </w:r>
      <w:bookmarkEnd w:id="60021"/>
      <w:r>
        <w:rPr>
          <w:rFonts w:hAnsi="Arial"/>
          <w:rFonts w:ascii="Arial"/>
          <w:sz w:val="24"/>
          <w:b/>
          <w:i/>
          <w:color w:val="black"/>
        </w:rPr>
        <w:t xml:space="preserve"> </w:t>
      </w:r>
      <w:r>
        <w:rPr>
          <w:rFonts w:hAnsi="Arial"/>
          <w:rFonts w:ascii="Arial"/>
          <w:sz w:val="24"/>
          <w:color w:val="black"/>
        </w:rPr>
        <w:t xml:space="preserve">A los coleccionistas y deportistas debidamente registrados, por índole de su afición o práctica deportiva, se les expedirán permisos de tenencia.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todos los efectos legales, las armas de fabricación anterior al año 1900, no requieren permiso de tenencia ni de porte, sin embargo deberán tener credencial expedida por el Comando General de las Fuerzas Militares.</w:t>
      </w:r>
    </w:p>
    <w:p>
      <w:pPr>
        <w:jc w:val="both"/>
      </w:pPr>
      <w:rPr>
        <w:sz w:val="24"/>
        <w:color w:val="black"/>
      </w:rPr>
    </w:p>
    <w:p>
      <w:pPr>
        <w:jc w:val="both"/>
      </w:pPr>
      <w:r>
        <w:rPr>
          <w:rFonts w:hAnsi="Arial"/>
          <w:rFonts w:ascii="Arial"/>
          <w:sz w:val="24"/>
          <w:i/>
          <w:color w:val="black"/>
        </w:rPr>
        <w:t xml:space="preserve">(Decreto 1809 de 1994 artículo </w:t>
      </w:r>
      <w:r>
        <w:fldChar w:fldCharType="begin"/>
      </w:r>
      <w:r>
        <w:instrText>HYPERLINK "http://www.redjurista.com/document.aspx?ajcode=d1809_94&amp;arts=4"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022" w:name="2.2.4.1.5"/>
      <w:r>
        <w:rPr>
          <w:rFonts w:hAnsi="Arial"/>
          <w:rFonts w:ascii="Arial"/>
          <w:sz w:val="24"/>
          <w:color w:val="navy"/>
        </w:rPr>
        <w:t xml:space="preserve">ARTÍCULO 2.2.4.1.5. </w:t>
      </w:r>
      <w:r>
        <w:rPr>
          <w:rFonts w:hAnsi="Arial"/>
          <w:rFonts w:ascii="Arial"/>
          <w:sz w:val="24"/>
          <w:i/>
          <w:color w:val="navy"/>
        </w:rPr>
        <w:t>POLÍGONOS.</w:t>
      </w:r>
      <w:bookmarkEnd w:id="60022"/>
      <w:r>
        <w:rPr>
          <w:rFonts w:hAnsi="Arial"/>
          <w:rFonts w:ascii="Arial"/>
          <w:sz w:val="24"/>
          <w:b/>
          <w:i/>
          <w:color w:val="black"/>
        </w:rPr>
        <w:t xml:space="preserve"> </w:t>
      </w:r>
      <w:r>
        <w:rPr>
          <w:rFonts w:hAnsi="Arial"/>
          <w:rFonts w:ascii="Arial"/>
          <w:sz w:val="24"/>
          <w:color w:val="black"/>
        </w:rPr>
        <w:t xml:space="preserve">Establécense los siguientes requisitos para la instalación de polígonos, a que hace referencia el artículo </w:t>
      </w:r>
      <w:r>
        <w:fldChar w:fldCharType="begin"/>
      </w:r>
      <w:r>
        <w:instrText>HYPERLINK "http://www.redjurista.com/document.aspx?ajcode=d2535_93&amp;arts=30"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Decreto 2535 de 1993:</w:t>
      </w:r>
    </w:p>
    <w:p>
      <w:pPr>
        <w:jc w:val="both"/>
      </w:pPr>
      <w:rPr>
        <w:sz w:val="24"/>
        <w:color w:val="black"/>
      </w:rPr>
    </w:p>
    <w:p>
      <w:pPr>
        <w:jc w:val="both"/>
      </w:pPr>
      <w:r>
        <w:rPr>
          <w:rFonts w:hAnsi="Arial"/>
          <w:rFonts w:ascii="Arial"/>
          <w:sz w:val="24"/>
          <w:color w:val="black"/>
        </w:rPr>
        <w:t xml:space="preserve">1. Solicitud motivada dirigida al Comandante General de las Fuerzas Militares, con los siguientes datos.</w:t>
      </w:r>
    </w:p>
    <w:p>
      <w:pPr>
        <w:jc w:val="both"/>
      </w:pPr>
      <w:rPr>
        <w:sz w:val="24"/>
        <w:color w:val="black"/>
      </w:rPr>
    </w:p>
    <w:p>
      <w:pPr>
        <w:jc w:val="both"/>
      </w:pPr>
      <w:r>
        <w:rPr>
          <w:rFonts w:hAnsi="Arial"/>
          <w:rFonts w:ascii="Arial"/>
          <w:sz w:val="24"/>
          <w:color w:val="black"/>
        </w:rPr>
        <w:t xml:space="preserve">a) Nombre, apellidos completos, número de cédula de ciudadanía y dirección del solicitante;</w:t>
      </w:r>
    </w:p>
    <w:p>
      <w:pPr>
        <w:jc w:val="both"/>
      </w:pPr>
      <w:rPr>
        <w:sz w:val="24"/>
        <w:color w:val="black"/>
      </w:rPr>
    </w:p>
    <w:p>
      <w:pPr>
        <w:jc w:val="both"/>
      </w:pPr>
      <w:r>
        <w:rPr>
          <w:rFonts w:hAnsi="Arial"/>
          <w:rFonts w:ascii="Arial"/>
          <w:sz w:val="24"/>
          <w:color w:val="black"/>
        </w:rPr>
        <w:t xml:space="preserve">b) Localización exacta del lugar en donde se proyecta instalar el polígono.</w:t>
      </w:r>
    </w:p>
    <w:p>
      <w:pPr>
        <w:jc w:val="both"/>
      </w:pPr>
      <w:rPr>
        <w:sz w:val="24"/>
        <w:color w:val="black"/>
      </w:rPr>
    </w:p>
    <w:p>
      <w:pPr>
        <w:jc w:val="both"/>
      </w:pPr>
      <w:r>
        <w:rPr>
          <w:rFonts w:hAnsi="Arial"/>
          <w:rFonts w:ascii="Arial"/>
          <w:sz w:val="24"/>
          <w:color w:val="black"/>
        </w:rPr>
        <w:t xml:space="preserve">2. Certificado judicial vigente.</w:t>
      </w:r>
    </w:p>
    <w:p>
      <w:pPr>
        <w:jc w:val="both"/>
      </w:pPr>
      <w:rPr>
        <w:sz w:val="24"/>
        <w:color w:val="black"/>
      </w:rPr>
    </w:p>
    <w:p>
      <w:pPr>
        <w:jc w:val="both"/>
      </w:pPr>
      <w:r>
        <w:rPr>
          <w:rFonts w:hAnsi="Arial"/>
          <w:rFonts w:ascii="Arial"/>
          <w:sz w:val="24"/>
          <w:color w:val="black"/>
        </w:rPr>
        <w:t xml:space="preserve">3. Concepto favorable expedido por la respectiva autoridad militar con jurisdicción, de que trata el artículo </w:t>
      </w:r>
      <w:r>
        <w:fldChar w:fldCharType="begin"/>
      </w:r>
      <w:r>
        <w:instrText>HYPERLINK "http://www.redjurista.com/document.aspx?ajcode=d2535_93&amp;arts=32"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2535 del 1993, en el que indique que el lugar donde se pretende instalar el polígono, reúne las condiciones estipuladas en el Manual que para el efecto posee el Ejército Nacional; así como también que el personal que prestará sus servicios en el polígono reúne condiciones de idoneidad en el manejo y conservación de armas.</w:t>
      </w:r>
    </w:p>
    <w:p>
      <w:pPr>
        <w:jc w:val="both"/>
      </w:pPr>
      <w:rPr>
        <w:sz w:val="24"/>
        <w:color w:val="black"/>
      </w:rPr>
    </w:p>
    <w:p>
      <w:pPr>
        <w:jc w:val="both"/>
      </w:pPr>
      <w:r>
        <w:rPr>
          <w:rFonts w:hAnsi="Arial"/>
          <w:rFonts w:ascii="Arial"/>
          <w:sz w:val="24"/>
          <w:color w:val="black"/>
        </w:rPr>
        <w:t xml:space="preserve">4. Apertura de un libro, foliado y registrado en el Departamento Control, Comercio Armas, Municiones y Explosivos del Comando General de las Fuerzas Militares, con todos los datos necesarios de la persona que utiliza el polígono (fecha, hora, nombre y apellidos completos, dirección, teléfono, cantidad de munición, etc.). Este libro será revisado en los cinco primeros días de cada mes por la autoridad militar de su residencia.</w:t>
      </w:r>
    </w:p>
    <w:p>
      <w:pPr>
        <w:jc w:val="both"/>
      </w:pPr>
      <w:rPr>
        <w:sz w:val="24"/>
        <w:color w:val="black"/>
      </w:rPr>
    </w:p>
    <w:p>
      <w:pPr>
        <w:jc w:val="both"/>
      </w:pPr>
      <w:r>
        <w:rPr>
          <w:rFonts w:hAnsi="Arial"/>
          <w:rFonts w:ascii="Arial"/>
          <w:sz w:val="24"/>
          <w:color w:val="black"/>
        </w:rPr>
        <w:t xml:space="preserve">5. Concepto expedido por la autoridad civil respectiva, en el que se indique que la instalación del polígono en su jurisdicción, en nada afecta la tranquilidad y seguridad públicas.</w:t>
      </w:r>
    </w:p>
    <w:p>
      <w:pPr>
        <w:jc w:val="both"/>
      </w:pPr>
      <w:rPr>
        <w:sz w:val="24"/>
        <w:color w:val="black"/>
      </w:rPr>
    </w:p>
    <w:p>
      <w:pPr>
        <w:jc w:val="both"/>
      </w:pPr>
      <w:r>
        <w:rPr>
          <w:rFonts w:hAnsi="Arial"/>
          <w:rFonts w:ascii="Arial"/>
          <w:sz w:val="24"/>
          <w:color w:val="black"/>
        </w:rPr>
        <w:t xml:space="preserve">6. Todo polígono debe tener un Administrador responsable, quien deberá acreditar idoneidad en el manejo de armas, debidamente inscrito en la Superintendencia de Vigilancia y Seguridad Privada como Asesor de Seguridad.</w:t>
      </w:r>
    </w:p>
    <w:p>
      <w:pPr>
        <w:jc w:val="both"/>
      </w:pPr>
      <w:rPr>
        <w:sz w:val="24"/>
        <w:color w:val="black"/>
      </w:rPr>
    </w:p>
    <w:p>
      <w:pPr>
        <w:jc w:val="both"/>
      </w:pPr>
      <w:r>
        <w:rPr>
          <w:rFonts w:hAnsi="Arial"/>
          <w:rFonts w:ascii="Arial"/>
          <w:sz w:val="24"/>
          <w:color w:val="black"/>
        </w:rPr>
        <w:t xml:space="preserve">El permiso de funcionamiento del polígono tendrá validez por tres (3) años prorrogables.</w:t>
      </w:r>
    </w:p>
    <w:p>
      <w:pPr>
        <w:jc w:val="both"/>
      </w:pPr>
      <w:rPr>
        <w:sz w:val="24"/>
        <w:color w:val="black"/>
      </w:rPr>
    </w:p>
    <w:p>
      <w:pPr>
        <w:jc w:val="both"/>
      </w:pPr>
      <w:r>
        <w:rPr>
          <w:rFonts w:hAnsi="Arial"/>
          <w:rFonts w:ascii="Arial"/>
          <w:sz w:val="24"/>
          <w:color w:val="black"/>
        </w:rPr>
        <w:t xml:space="preserve">Para la prórroga se requieren los conceptos favorables a que hacen relación los numerales 3 y 5 del presente artículo.</w:t>
      </w:r>
    </w:p>
    <w:p>
      <w:pPr>
        <w:jc w:val="both"/>
      </w:pPr>
      <w:rPr>
        <w:sz w:val="24"/>
        <w:color w:val="black"/>
      </w:rPr>
    </w:p>
    <w:p>
      <w:pPr>
        <w:jc w:val="both"/>
      </w:pPr>
      <w:r>
        <w:rPr>
          <w:rFonts w:hAnsi="Arial"/>
          <w:rFonts w:ascii="Arial"/>
          <w:sz w:val="24"/>
          <w:color w:val="black"/>
        </w:rPr>
        <w:t xml:space="preserve">Una vez reunidos los requisitos exigidos, el Comando General por conducto de la Jefatura del Departamento Control Comercio armas, Municiones y Explosivos, otorgará la respectiva Licencia, si lo estimaré pertinente.</w:t>
      </w:r>
    </w:p>
    <w:p>
      <w:pPr>
        <w:jc w:val="both"/>
      </w:pPr>
      <w:rPr>
        <w:sz w:val="24"/>
        <w:color w:val="black"/>
      </w:rPr>
    </w:p>
    <w:p>
      <w:pPr>
        <w:jc w:val="both"/>
      </w:pPr>
      <w:r>
        <w:rPr>
          <w:rFonts w:hAnsi="Arial"/>
          <w:rFonts w:ascii="Arial"/>
          <w:sz w:val="24"/>
          <w:color w:val="black"/>
        </w:rPr>
        <w:t xml:space="preserve">En las instalaciones de polígonos queda totalmente prohibido vender municiones o accesorios, sin la autorización de la Industria Militar, así como el consumo y venta de bebidas embriagantes.</w:t>
      </w:r>
    </w:p>
    <w:p>
      <w:pPr>
        <w:jc w:val="both"/>
      </w:pPr>
      <w:rPr>
        <w:sz w:val="24"/>
        <w:color w:val="black"/>
      </w:rPr>
    </w:p>
    <w:p>
      <w:pPr>
        <w:jc w:val="both"/>
      </w:pPr>
      <w:r>
        <w:rPr>
          <w:rFonts w:hAnsi="Arial"/>
          <w:rFonts w:ascii="Arial"/>
          <w:sz w:val="24"/>
          <w:color w:val="black"/>
        </w:rPr>
        <w:t xml:space="preserve">Del polígono únicamente podrán hacer uso, las personas que tengan vigente el permiso de porte o tenencia y aquellas que desarrollen programas de entrenamiento de Seguridad Privada conforme al artículo </w:t>
      </w:r>
      <w:r>
        <w:fldChar w:fldCharType="begin"/>
      </w:r>
      <w:r>
        <w:instrText>HYPERLINK "http://www.redjurista.com/document.aspx?ajcode=d1070015&amp;arts=2.2.4.1.23"</w:instrText>
      </w:r>
      <w:r>
        <w:fldChar w:fldCharType="separate"/>
      </w:r>
      <w:r>
        <w:rPr>
          <w:rFonts w:hAnsi="Arial"/>
          <w:rFonts w:ascii="Arial"/>
          <w:sz w:val="24"/>
          <w:u w:val="single"/>
          <w:color w:val="black"/>
        </w:rPr>
        <w:t>2.2.4.1.23.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1809 de 1994 artículo </w:t>
      </w:r>
      <w:r>
        <w:fldChar w:fldCharType="begin"/>
      </w:r>
      <w:r>
        <w:instrText>HYPERLINK "http://www.redjurista.com/document.aspx?ajcode=d1809_94&amp;arts=5"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023" w:name="2.2.4.1.6"/>
      <w:r>
        <w:rPr>
          <w:rFonts w:hAnsi="Arial"/>
          <w:rFonts w:ascii="Arial"/>
          <w:sz w:val="24"/>
          <w:color w:val="navy"/>
        </w:rPr>
        <w:t xml:space="preserve">ARTÍCULO 2.2.4.1.6. </w:t>
      </w:r>
      <w:r>
        <w:rPr>
          <w:rFonts w:hAnsi="Arial"/>
          <w:rFonts w:ascii="Arial"/>
          <w:sz w:val="24"/>
          <w:i/>
          <w:color w:val="navy"/>
        </w:rPr>
        <w:t>SESIONES.</w:t>
      </w:r>
      <w:bookmarkEnd w:id="60023"/>
      <w:r>
        <w:rPr>
          <w:rFonts w:hAnsi="Arial"/>
          <w:rFonts w:ascii="Arial"/>
          <w:sz w:val="24"/>
          <w:b/>
          <w:i/>
          <w:color w:val="black"/>
        </w:rPr>
        <w:t xml:space="preserve"> </w:t>
      </w:r>
      <w:r>
        <w:rPr>
          <w:rFonts w:hAnsi="Arial"/>
          <w:rFonts w:ascii="Arial"/>
          <w:sz w:val="24"/>
          <w:color w:val="black"/>
        </w:rPr>
        <w:t xml:space="preserve">El Comité de Armas del Ministerio de Defensa Nacional a que se refiere el artículo </w:t>
      </w:r>
      <w:r>
        <w:fldChar w:fldCharType="begin"/>
      </w:r>
      <w:r>
        <w:instrText>HYPERLINK "http://www.redjurista.com/document.aspx?ajcode=d2535_93&amp;arts=31"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Decreto 2535 del 1993, se reunirá ordinariamente una vez al mes, previa convocatoria del Secretario del Comité y extraordinariamente, a solicitud de cualquiera de los miembros del mismo por conducto del Secretario.</w:t>
      </w:r>
    </w:p>
    <w:p>
      <w:pPr>
        <w:jc w:val="both"/>
      </w:pPr>
      <w:rPr>
        <w:sz w:val="24"/>
        <w:color w:val="black"/>
      </w:rPr>
    </w:p>
    <w:p>
      <w:pPr>
        <w:jc w:val="both"/>
      </w:pPr>
      <w:r>
        <w:rPr>
          <w:rFonts w:hAnsi="Arial"/>
          <w:rFonts w:ascii="Arial"/>
          <w:sz w:val="24"/>
          <w:color w:val="black"/>
        </w:rPr>
        <w:t xml:space="preserve">La Secretaría del Comité será desempeñada por el Jefe del Departamento de Control Comercio de Armas, Municiones y Explosivos del Comando General de las Fuerzas Militares.</w:t>
      </w:r>
    </w:p>
    <w:p>
      <w:pPr>
        <w:jc w:val="both"/>
      </w:pPr>
      <w:rPr>
        <w:sz w:val="24"/>
        <w:color w:val="black"/>
      </w:rPr>
    </w:p>
    <w:p>
      <w:pPr>
        <w:jc w:val="both"/>
      </w:pPr>
      <w:r>
        <w:rPr>
          <w:rFonts w:hAnsi="Arial"/>
          <w:rFonts w:ascii="Arial"/>
          <w:sz w:val="24"/>
          <w:color w:val="black"/>
        </w:rPr>
        <w:t xml:space="preserve">A las sesiones del Comité, podrán asistir en calidad de invitados personas cuyos conocimientos tengan afinidad con los temas que se van a debatir, previa citación del Secretario del Comité.</w:t>
      </w:r>
    </w:p>
    <w:p>
      <w:pPr>
        <w:jc w:val="both"/>
      </w:pPr>
      <w:rPr>
        <w:sz w:val="24"/>
        <w:color w:val="black"/>
      </w:rPr>
    </w:p>
    <w:p>
      <w:pPr>
        <w:jc w:val="both"/>
      </w:pPr>
      <w:r>
        <w:rPr>
          <w:rFonts w:hAnsi="Arial"/>
          <w:rFonts w:ascii="Arial"/>
          <w:sz w:val="24"/>
          <w:color w:val="black"/>
        </w:rPr>
        <w:t xml:space="preserve">El Comité podrá sesionar válidamente con la asistencia de cinco de sus miembros y de las decisiones se tomarán la mayoría.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024" w:name="2.2.4.1.7"/>
      <w:r>
        <w:rPr>
          <w:rFonts w:hAnsi="Arial"/>
          <w:rFonts w:ascii="Arial"/>
          <w:sz w:val="24"/>
          <w:color w:val="navy"/>
        </w:rPr>
        <w:t xml:space="preserve">ARTÍCULO 2.2.4.1.7. </w:t>
      </w:r>
      <w:r>
        <w:rPr>
          <w:rFonts w:hAnsi="Arial"/>
          <w:rFonts w:ascii="Arial"/>
          <w:sz w:val="24"/>
          <w:i/>
          <w:color w:val="navy"/>
        </w:rPr>
        <w:t xml:space="preserve">EXPEDICIÓN Y REVALIDACIÓN DE PERMISOS.</w:t>
      </w:r>
      <w:bookmarkEnd w:id="60024"/>
      <w:r>
        <w:rPr>
          <w:rFonts w:hAnsi="Arial"/>
          <w:rFonts w:ascii="Arial"/>
          <w:sz w:val="24"/>
          <w:b/>
          <w:i/>
          <w:color w:val="black"/>
        </w:rPr>
        <w:t xml:space="preserve"> </w:t>
      </w:r>
      <w:r>
        <w:rPr>
          <w:rFonts w:hAnsi="Arial"/>
          <w:rFonts w:ascii="Arial"/>
          <w:sz w:val="24"/>
          <w:color w:val="black"/>
        </w:rPr>
        <w:t xml:space="preserve">El Comité de armas del Ministerio de Defensa Nacional, estudiará y decidirá sobre todas las peticiones que se formulen, por conducto de la autoridad militar competente, para expedir y revalidar permisos para tenencia y para porte, en relación con armas, municiones y explosivos de uso restringido. Para tales fines, además de las atribuciones señaladas por la Ley, cumplirá las siguientes funciones:</w:t>
      </w:r>
    </w:p>
    <w:p>
      <w:pPr>
        <w:jc w:val="both"/>
      </w:pPr>
      <w:rPr>
        <w:sz w:val="24"/>
        <w:color w:val="black"/>
      </w:rPr>
    </w:p>
    <w:p>
      <w:pPr>
        <w:jc w:val="both"/>
      </w:pPr>
      <w:r>
        <w:rPr>
          <w:rFonts w:hAnsi="Arial"/>
          <w:rFonts w:ascii="Arial"/>
          <w:sz w:val="24"/>
          <w:color w:val="black"/>
        </w:rPr>
        <w:t xml:space="preserve">a) Decidir, previo concepto favorable de la Superintendencia de Vigilancia y Seguridad Privada, sobre la autorización para expedir el permiso de tenencia o porte de armas de uso restringido, a las empresas, personas o entidades que se encuentren inscritas y reguladas por aquella Superintendencia.</w:t>
      </w:r>
    </w:p>
    <w:p>
      <w:pPr>
        <w:jc w:val="both"/>
      </w:pPr>
      <w:rPr>
        <w:sz w:val="24"/>
        <w:color w:val="black"/>
      </w:rPr>
    </w:p>
    <w:p>
      <w:pPr>
        <w:jc w:val="both"/>
      </w:pPr>
      <w:r>
        <w:rPr>
          <w:rFonts w:hAnsi="Arial"/>
          <w:rFonts w:ascii="Arial"/>
          <w:sz w:val="24"/>
          <w:color w:val="black"/>
        </w:rPr>
        <w:t xml:space="preserve">b) Decidir sobre las solicitudes que tengan como finalidad obtener los permisos de porte de armas de uso restringido, a quienes demuestren estar incursos en las circunstancias contempladas en el literal c) del artículo </w:t>
      </w:r>
      <w:r>
        <w:fldChar w:fldCharType="begin"/>
      </w:r>
      <w:r>
        <w:instrText>HYPERLINK "http://www.redjurista.com/document.aspx?ajcode=d2535_93&amp;arts=34"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2535 de 1993, de conformidad con lo estipulado en el inciso segundo del artículo </w:t>
      </w:r>
      <w:r>
        <w:fldChar w:fldCharType="begin"/>
      </w:r>
      <w:r>
        <w:instrText>HYPERLINK "http://www.redjurista.com/document.aspx?ajcode=d2535_93&amp;arts=23"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mismo Decreto.</w:t>
      </w:r>
    </w:p>
    <w:p>
      <w:pPr>
        <w:jc w:val="both"/>
      </w:pPr>
      <w:rPr>
        <w:sz w:val="24"/>
        <w:color w:val="black"/>
      </w:rPr>
    </w:p>
    <w:p>
      <w:pPr>
        <w:jc w:val="both"/>
      </w:pPr>
      <w:r>
        <w:rPr>
          <w:rFonts w:hAnsi="Arial"/>
          <w:rFonts w:ascii="Arial"/>
          <w:sz w:val="24"/>
          <w:color w:val="black"/>
        </w:rPr>
        <w:t xml:space="preserve">c) Conceptuar sobre la suspensión y cancelación de los permisos para porte o parra tenencia, a personas naturales, jurídicas o inmuebles rurales;</w:t>
      </w:r>
    </w:p>
    <w:p>
      <w:pPr>
        <w:jc w:val="both"/>
      </w:pPr>
      <w:rPr>
        <w:sz w:val="24"/>
        <w:color w:val="black"/>
      </w:rPr>
    </w:p>
    <w:p>
      <w:pPr>
        <w:jc w:val="both"/>
      </w:pPr>
      <w:r>
        <w:rPr>
          <w:rFonts w:hAnsi="Arial"/>
          <w:rFonts w:ascii="Arial"/>
          <w:sz w:val="24"/>
          <w:color w:val="black"/>
        </w:rPr>
        <w:t xml:space="preserve">d) Recomendar a las autoridades militares competentes la suspensión provisional de venta de armas, municiones y explosivos, cuando a su juicio estime necesario tal medida, para la preservación del orden público y la seguridad ciudadana;</w:t>
      </w:r>
    </w:p>
    <w:p>
      <w:pPr>
        <w:jc w:val="both"/>
      </w:pPr>
      <w:rPr>
        <w:sz w:val="24"/>
        <w:color w:val="black"/>
      </w:rPr>
    </w:p>
    <w:p>
      <w:pPr>
        <w:jc w:val="both"/>
      </w:pPr>
      <w:r>
        <w:rPr>
          <w:rFonts w:hAnsi="Arial"/>
          <w:rFonts w:ascii="Arial"/>
          <w:sz w:val="24"/>
          <w:color w:val="black"/>
        </w:rPr>
        <w:t xml:space="preserve">e) Recomendar políticas generales en materia de adquisición de armas y sobre la venta de municiones y explosivos, y recomendar políticas generales en materia de importación y exportación de armas, municiones y explosivos.</w:t>
      </w:r>
    </w:p>
    <w:p>
      <w:pPr>
        <w:jc w:val="both"/>
      </w:pPr>
      <w:rPr>
        <w:sz w:val="24"/>
        <w:color w:val="black"/>
      </w:rPr>
    </w:p>
    <w:p>
      <w:pPr>
        <w:jc w:val="both"/>
      </w:pPr>
      <w:r>
        <w:rPr>
          <w:rFonts w:hAnsi="Arial"/>
          <w:rFonts w:ascii="Arial"/>
          <w:sz w:val="24"/>
          <w:color w:val="black"/>
        </w:rPr>
        <w:t xml:space="preserve">f) Expedir el reglamento para adelantar el control sobre los elementos requeridos para uso industrial, que sin serlo individualmente, en conjunto, conformar sustancias explosivas y sobre los elementos que sin serlo de manera original, mediante un proceso pueden transformarse en explosivos.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025" w:name="2.2.4.1.8"/>
      <w:r>
        <w:rPr>
          <w:rFonts w:hAnsi="Arial"/>
          <w:rFonts w:ascii="Arial"/>
          <w:sz w:val="24"/>
          <w:color w:val="navy"/>
        </w:rPr>
        <w:t xml:space="preserve">ARTÍCULO 2.2.4.1.8. </w:t>
      </w:r>
      <w:r>
        <w:rPr>
          <w:rFonts w:hAnsi="Arial"/>
          <w:rFonts w:ascii="Arial"/>
          <w:sz w:val="24"/>
          <w:i/>
          <w:color w:val="navy"/>
        </w:rPr>
        <w:t xml:space="preserve">CERTIFICADO MÉDICO.</w:t>
      </w:r>
      <w:bookmarkEnd w:id="60025"/>
      <w:r>
        <w:rPr>
          <w:rFonts w:hAnsi="Arial"/>
          <w:rFonts w:ascii="Arial"/>
          <w:sz w:val="24"/>
          <w:b/>
          <w:i/>
          <w:color w:val="black"/>
        </w:rPr>
        <w:t xml:space="preserve"> </w:t>
      </w:r>
      <w:r>
        <w:rPr>
          <w:rFonts w:hAnsi="Arial"/>
          <w:rFonts w:ascii="Arial"/>
          <w:sz w:val="24"/>
          <w:color w:val="black"/>
        </w:rPr>
        <w:t xml:space="preserve">Para los efectos previstos en el ordinal d) del artículo </w:t>
      </w:r>
      <w:r>
        <w:fldChar w:fldCharType="begin"/>
      </w:r>
      <w:r>
        <w:instrText>HYPERLINK "http://www.redjurista.com/document.aspx?ajcode=d2535_93&amp;arts=33"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Decreto 2535 de 1993, establécense como causales de no expedición del certificado médico su aptitud psicofísica para el uso de armas las siguientes:</w:t>
      </w:r>
    </w:p>
    <w:p>
      <w:pPr>
        <w:jc w:val="both"/>
      </w:pPr>
      <w:rPr>
        <w:sz w:val="24"/>
        <w:color w:val="black"/>
      </w:rPr>
    </w:p>
    <w:p>
      <w:pPr>
        <w:jc w:val="both"/>
      </w:pPr>
      <w:r>
        <w:rPr>
          <w:rFonts w:hAnsi="Arial"/>
          <w:rFonts w:ascii="Arial"/>
          <w:sz w:val="24"/>
          <w:color w:val="black"/>
        </w:rPr>
        <w:t xml:space="preserve">1. VISTA.</w:t>
      </w:r>
    </w:p>
    <w:p>
      <w:pPr>
        <w:jc w:val="both"/>
      </w:pPr>
      <w:rPr>
        <w:sz w:val="24"/>
        <w:color w:val="black"/>
      </w:rPr>
    </w:p>
    <w:p>
      <w:pPr>
        <w:jc w:val="both"/>
      </w:pPr>
      <w:r>
        <w:rPr>
          <w:rFonts w:hAnsi="Arial"/>
          <w:rFonts w:ascii="Arial"/>
          <w:sz w:val="24"/>
          <w:color w:val="black"/>
        </w:rPr>
        <w:t xml:space="preserve">a) Visión monocular: Agudeza visual del ojo único de dos tercios, con o sin gafas o lentes de contacto.</w:t>
      </w:r>
    </w:p>
    <w:p>
      <w:pPr>
        <w:jc w:val="both"/>
      </w:pPr>
      <w:rPr>
        <w:sz w:val="24"/>
        <w:color w:val="black"/>
      </w:rPr>
    </w:p>
    <w:p>
      <w:pPr>
        <w:jc w:val="both"/>
      </w:pPr>
      <w:r>
        <w:rPr>
          <w:rFonts w:hAnsi="Arial"/>
          <w:rFonts w:ascii="Arial"/>
          <w:sz w:val="24"/>
          <w:color w:val="black"/>
        </w:rPr>
        <w:t xml:space="preserve">b) Visión binocular: Agudeza visual menor de dos tercios en cada uno de los ojos, o un medio en el peor y dos tercios en el ojo fijador, con o sin gafas o son lentes de contacto.</w:t>
      </w:r>
    </w:p>
    <w:p>
      <w:pPr>
        <w:jc w:val="both"/>
      </w:pPr>
      <w:rPr>
        <w:sz w:val="24"/>
        <w:color w:val="black"/>
      </w:rPr>
    </w:p>
    <w:p>
      <w:pPr>
        <w:jc w:val="both"/>
      </w:pPr>
      <w:r>
        <w:rPr>
          <w:rFonts w:hAnsi="Arial"/>
          <w:rFonts w:ascii="Arial"/>
          <w:sz w:val="24"/>
          <w:color w:val="black"/>
        </w:rPr>
        <w:t xml:space="preserve">c) Hemeralopía: No se Admite.</w:t>
      </w:r>
    </w:p>
    <w:p>
      <w:pPr>
        <w:jc w:val="both"/>
      </w:pPr>
      <w:rPr>
        <w:sz w:val="24"/>
        <w:color w:val="black"/>
      </w:rPr>
    </w:p>
    <w:p>
      <w:pPr>
        <w:jc w:val="both"/>
      </w:pPr>
      <w:r>
        <w:rPr>
          <w:rFonts w:hAnsi="Arial"/>
          <w:rFonts w:ascii="Arial"/>
          <w:sz w:val="24"/>
          <w:color w:val="black"/>
        </w:rPr>
        <w:t xml:space="preserve">d) Escotomas centrales: No son admisibles.</w:t>
      </w:r>
    </w:p>
    <w:p>
      <w:pPr>
        <w:jc w:val="both"/>
      </w:pPr>
      <w:rPr>
        <w:sz w:val="24"/>
        <w:color w:val="black"/>
      </w:rPr>
    </w:p>
    <w:p>
      <w:pPr>
        <w:jc w:val="both"/>
      </w:pPr>
      <w:r>
        <w:rPr>
          <w:rFonts w:hAnsi="Arial"/>
          <w:rFonts w:ascii="Arial"/>
          <w:sz w:val="24"/>
          <w:color w:val="black"/>
        </w:rPr>
        <w:t xml:space="preserve">e) Arreflexia fotomotora: No es admisible.</w:t>
      </w:r>
    </w:p>
    <w:p>
      <w:pPr>
        <w:jc w:val="both"/>
      </w:pPr>
      <w:rPr>
        <w:sz w:val="24"/>
        <w:color w:val="black"/>
      </w:rPr>
    </w:p>
    <w:p>
      <w:pPr>
        <w:jc w:val="both"/>
      </w:pPr>
      <w:r>
        <w:rPr>
          <w:rFonts w:hAnsi="Arial"/>
          <w:rFonts w:ascii="Arial"/>
          <w:sz w:val="24"/>
          <w:color w:val="black"/>
        </w:rPr>
        <w:t xml:space="preserve">f) Existencia de nistagmus.</w:t>
      </w:r>
    </w:p>
    <w:p>
      <w:pPr>
        <w:jc w:val="both"/>
      </w:pPr>
      <w:rPr>
        <w:sz w:val="24"/>
        <w:color w:val="black"/>
      </w:rPr>
    </w:p>
    <w:p>
      <w:pPr>
        <w:jc w:val="both"/>
      </w:pPr>
      <w:r>
        <w:rPr>
          <w:rFonts w:hAnsi="Arial"/>
          <w:rFonts w:ascii="Arial"/>
          <w:sz w:val="24"/>
          <w:color w:val="black"/>
        </w:rPr>
        <w:t xml:space="preserve">g) Enfermedades de ambos ojos o del ojo fijador, así como procesos generales que pudieran por su evolución reducir la visión, hasta el defecto señalado en los literales anteriores.</w:t>
      </w:r>
    </w:p>
    <w:p>
      <w:pPr>
        <w:jc w:val="both"/>
      </w:pPr>
      <w:rPr>
        <w:sz w:val="24"/>
        <w:color w:val="black"/>
      </w:rPr>
    </w:p>
    <w:p>
      <w:pPr>
        <w:jc w:val="both"/>
      </w:pPr>
      <w:r>
        <w:rPr>
          <w:rFonts w:hAnsi="Arial"/>
          <w:rFonts w:ascii="Arial"/>
          <w:sz w:val="24"/>
          <w:color w:val="black"/>
        </w:rPr>
        <w:t xml:space="preserve">2) OÍDO.</w:t>
      </w:r>
    </w:p>
    <w:p>
      <w:pPr>
        <w:jc w:val="both"/>
      </w:pPr>
      <w:rPr>
        <w:sz w:val="24"/>
        <w:color w:val="black"/>
      </w:rPr>
    </w:p>
    <w:p>
      <w:pPr>
        <w:jc w:val="both"/>
      </w:pPr>
      <w:r>
        <w:rPr>
          <w:rFonts w:hAnsi="Arial"/>
          <w:rFonts w:ascii="Arial"/>
          <w:sz w:val="24"/>
          <w:color w:val="black"/>
        </w:rPr>
        <w:t xml:space="preserve">a) Hipoacusias, con o sin audífono, de más de treinta y cinco por ciento de pérdida combinada entre los dos oídos, realizando audimetría tonal y obteniendo el índice de la pérdida combinada.</w:t>
      </w:r>
    </w:p>
    <w:p>
      <w:pPr>
        <w:jc w:val="both"/>
      </w:pPr>
      <w:rPr>
        <w:sz w:val="24"/>
        <w:color w:val="black"/>
      </w:rPr>
    </w:p>
    <w:p>
      <w:pPr>
        <w:jc w:val="both"/>
      </w:pPr>
      <w:r>
        <w:rPr>
          <w:rFonts w:hAnsi="Arial"/>
          <w:rFonts w:ascii="Arial"/>
          <w:sz w:val="24"/>
          <w:color w:val="black"/>
        </w:rPr>
        <w:t xml:space="preserve">b) Cualquier alteración del equilibrio manifiesta en el momento del reconocimiento, mientras subsiste el padecimiento causal.</w:t>
      </w:r>
    </w:p>
    <w:p>
      <w:pPr>
        <w:jc w:val="both"/>
      </w:pPr>
      <w:rPr>
        <w:sz w:val="24"/>
        <w:color w:val="black"/>
      </w:rPr>
    </w:p>
    <w:p>
      <w:pPr>
        <w:jc w:val="both"/>
      </w:pPr>
      <w:r>
        <w:rPr>
          <w:rFonts w:hAnsi="Arial"/>
          <w:rFonts w:ascii="Arial"/>
          <w:sz w:val="24"/>
          <w:color w:val="black"/>
        </w:rPr>
        <w:t xml:space="preserve">c) Epilepsia en cualquiera de sus formas y momento evolutivo.</w:t>
      </w:r>
    </w:p>
    <w:p>
      <w:pPr>
        <w:jc w:val="both"/>
      </w:pPr>
      <w:rPr>
        <w:sz w:val="24"/>
        <w:color w:val="black"/>
      </w:rPr>
    </w:p>
    <w:p>
      <w:pPr>
        <w:jc w:val="both"/>
      </w:pPr>
      <w:r>
        <w:rPr>
          <w:rFonts w:hAnsi="Arial"/>
          <w:rFonts w:ascii="Arial"/>
          <w:sz w:val="24"/>
          <w:color w:val="black"/>
        </w:rPr>
        <w:t xml:space="preserve">d) Cuadros exclusivos o espásticos de cualquier etiología,</w:t>
      </w:r>
    </w:p>
    <w:p>
      <w:pPr>
        <w:jc w:val="both"/>
      </w:pPr>
      <w:rPr>
        <w:sz w:val="24"/>
        <w:color w:val="black"/>
      </w:rPr>
    </w:p>
    <w:p>
      <w:pPr>
        <w:jc w:val="both"/>
      </w:pPr>
      <w:r>
        <w:rPr>
          <w:rFonts w:hAnsi="Arial"/>
          <w:rFonts w:ascii="Arial"/>
          <w:sz w:val="24"/>
          <w:color w:val="black"/>
        </w:rPr>
        <w:t xml:space="preserve">e) Temblor intencional o de grandes oscilaciones. Todos los procesos que produzcan movimientos amplios de cabeza, tronco y extremidades.</w:t>
      </w:r>
    </w:p>
    <w:p>
      <w:pPr>
        <w:jc w:val="both"/>
      </w:pPr>
      <w:rPr>
        <w:sz w:val="24"/>
        <w:color w:val="black"/>
      </w:rPr>
    </w:p>
    <w:p>
      <w:pPr>
        <w:jc w:val="both"/>
      </w:pPr>
      <w:r>
        <w:rPr>
          <w:rFonts w:hAnsi="Arial"/>
          <w:rFonts w:ascii="Arial"/>
          <w:sz w:val="24"/>
          <w:color w:val="black"/>
        </w:rPr>
        <w:t xml:space="preserve">f) Afecciones de los músculos o del sistema nervioso central o periférico, que produzcan deficiencia motora o de incoordinación, en los miembros superiores o pérdida de fuerza ostensible.</w:t>
      </w:r>
    </w:p>
    <w:p>
      <w:pPr>
        <w:jc w:val="both"/>
      </w:pPr>
      <w:rPr>
        <w:sz w:val="24"/>
        <w:color w:val="black"/>
      </w:rPr>
    </w:p>
    <w:p>
      <w:pPr>
        <w:jc w:val="both"/>
      </w:pPr>
      <w:r>
        <w:rPr>
          <w:rFonts w:hAnsi="Arial"/>
          <w:rFonts w:ascii="Arial"/>
          <w:sz w:val="24"/>
          <w:color w:val="black"/>
        </w:rPr>
        <w:t xml:space="preserve">g) Toda clase de hipertensiones intracraneales.</w:t>
      </w:r>
    </w:p>
    <w:p>
      <w:pPr>
        <w:jc w:val="both"/>
      </w:pPr>
      <w:rPr>
        <w:sz w:val="24"/>
        <w:color w:val="black"/>
      </w:rPr>
    </w:p>
    <w:p>
      <w:pPr>
        <w:jc w:val="both"/>
      </w:pPr>
      <w:r>
        <w:rPr>
          <w:rFonts w:hAnsi="Arial"/>
          <w:rFonts w:ascii="Arial"/>
          <w:sz w:val="24"/>
          <w:color w:val="black"/>
        </w:rPr>
        <w:t xml:space="preserve">3. ESTADO MENTAL.</w:t>
      </w:r>
    </w:p>
    <w:p>
      <w:pPr>
        <w:jc w:val="both"/>
      </w:pPr>
      <w:rPr>
        <w:sz w:val="24"/>
        <w:color w:val="black"/>
      </w:rPr>
    </w:p>
    <w:p>
      <w:pPr>
        <w:jc w:val="both"/>
      </w:pPr>
      <w:r>
        <w:rPr>
          <w:rFonts w:hAnsi="Arial"/>
          <w:rFonts w:ascii="Arial"/>
          <w:sz w:val="24"/>
          <w:color w:val="black"/>
        </w:rPr>
        <w:t xml:space="preserve">a) Afectados de retraso mental grave que altere o, deteriore de forma notable la personalidad;</w:t>
      </w:r>
    </w:p>
    <w:p>
      <w:pPr>
        <w:jc w:val="both"/>
      </w:pPr>
      <w:rPr>
        <w:sz w:val="24"/>
        <w:color w:val="black"/>
      </w:rPr>
    </w:p>
    <w:p>
      <w:pPr>
        <w:jc w:val="both"/>
      </w:pPr>
      <w:r>
        <w:rPr>
          <w:rFonts w:hAnsi="Arial"/>
          <w:rFonts w:ascii="Arial"/>
          <w:sz w:val="24"/>
          <w:color w:val="black"/>
        </w:rPr>
        <w:t xml:space="preserve">b) Toda Psicosis.</w:t>
      </w:r>
    </w:p>
    <w:p>
      <w:pPr>
        <w:jc w:val="both"/>
      </w:pPr>
      <w:rPr>
        <w:sz w:val="24"/>
        <w:color w:val="black"/>
      </w:rPr>
    </w:p>
    <w:p>
      <w:pPr>
        <w:jc w:val="both"/>
      </w:pPr>
      <w:r>
        <w:rPr>
          <w:rFonts w:hAnsi="Arial"/>
          <w:rFonts w:ascii="Arial"/>
          <w:sz w:val="24"/>
          <w:color w:val="black"/>
        </w:rPr>
        <w:t xml:space="preserve">c) Todo proceso neurótico lo suficientemente intenso para estimar peligroso el uso, manejo y tenencia de armas de fuego;</w:t>
      </w:r>
    </w:p>
    <w:p>
      <w:pPr>
        <w:jc w:val="both"/>
      </w:pPr>
      <w:rPr>
        <w:sz w:val="24"/>
        <w:color w:val="black"/>
      </w:rPr>
    </w:p>
    <w:p>
      <w:pPr>
        <w:jc w:val="both"/>
      </w:pPr>
      <w:r>
        <w:rPr>
          <w:rFonts w:hAnsi="Arial"/>
          <w:rFonts w:ascii="Arial"/>
          <w:sz w:val="24"/>
          <w:color w:val="black"/>
        </w:rPr>
        <w:t xml:space="preserve">d) Personalidades psicopáticas con agresividad e inadaptación social;</w:t>
      </w:r>
    </w:p>
    <w:p>
      <w:pPr>
        <w:jc w:val="both"/>
      </w:pPr>
      <w:rPr>
        <w:sz w:val="24"/>
        <w:color w:val="black"/>
      </w:rPr>
    </w:p>
    <w:p>
      <w:pPr>
        <w:jc w:val="both"/>
      </w:pPr>
      <w:r>
        <w:rPr>
          <w:rFonts w:hAnsi="Arial"/>
          <w:rFonts w:ascii="Arial"/>
          <w:sz w:val="24"/>
          <w:color w:val="black"/>
        </w:rPr>
        <w:t xml:space="preserve">e) Depresiones manifestadas, con o sin intenso de suicidio.</w:t>
      </w:r>
    </w:p>
    <w:p>
      <w:pPr>
        <w:jc w:val="both"/>
      </w:pPr>
      <w:rPr>
        <w:sz w:val="24"/>
        <w:color w:val="black"/>
      </w:rPr>
    </w:p>
    <w:p>
      <w:pPr>
        <w:jc w:val="both"/>
      </w:pPr>
      <w:r>
        <w:rPr>
          <w:rFonts w:hAnsi="Arial"/>
          <w:rFonts w:ascii="Arial"/>
          <w:sz w:val="24"/>
          <w:color w:val="black"/>
        </w:rPr>
        <w:t xml:space="preserve">4. TÓXICOS DEPENDIENTES</w:t>
      </w:r>
    </w:p>
    <w:p>
      <w:pPr>
        <w:jc w:val="both"/>
      </w:pPr>
      <w:rPr>
        <w:sz w:val="24"/>
        <w:color w:val="black"/>
      </w:rPr>
    </w:p>
    <w:p>
      <w:pPr>
        <w:jc w:val="both"/>
      </w:pPr>
      <w:r>
        <w:rPr>
          <w:rFonts w:hAnsi="Arial"/>
          <w:rFonts w:ascii="Arial"/>
          <w:sz w:val="24"/>
          <w:color w:val="black"/>
        </w:rPr>
        <w:t xml:space="preserve">Alcoholismos crónicos y dependencia de estupefacientes y psicótropos.</w:t>
      </w:r>
    </w:p>
    <w:p>
      <w:pPr>
        <w:jc w:val="both"/>
      </w:pPr>
      <w:rPr>
        <w:sz w:val="24"/>
        <w:color w:val="black"/>
      </w:rPr>
    </w:p>
    <w:p>
      <w:pPr>
        <w:jc w:val="both"/>
      </w:pPr>
      <w:r>
        <w:rPr>
          <w:rFonts w:hAnsi="Arial"/>
          <w:rFonts w:ascii="Arial"/>
          <w:sz w:val="24"/>
          <w:color w:val="black"/>
        </w:rPr>
        <w:t xml:space="preserve">5. APARATOS LOCOMOTORES</w:t>
      </w:r>
    </w:p>
    <w:p>
      <w:pPr>
        <w:jc w:val="both"/>
      </w:pPr>
      <w:rPr>
        <w:sz w:val="24"/>
        <w:color w:val="black"/>
      </w:rPr>
    </w:p>
    <w:p>
      <w:pPr>
        <w:jc w:val="both"/>
      </w:pPr>
      <w:r>
        <w:rPr>
          <w:rFonts w:hAnsi="Arial"/>
          <w:rFonts w:ascii="Arial"/>
          <w:sz w:val="24"/>
          <w:color w:val="black"/>
        </w:rPr>
        <w:t xml:space="preserve">a) Pérdida anatómica o funcional, o enfermedades, lesión o secuela de todo o parte de uno o ambos miembros superiores que reduzcan manifiestamente la Seguridad en el uso o manejo de armas.</w:t>
      </w:r>
    </w:p>
    <w:p>
      <w:pPr>
        <w:jc w:val="both"/>
      </w:pPr>
      <w:rPr>
        <w:sz w:val="24"/>
        <w:color w:val="black"/>
      </w:rPr>
    </w:p>
    <w:p>
      <w:pPr>
        <w:jc w:val="both"/>
      </w:pPr>
      <w:r>
        <w:rPr>
          <w:rFonts w:hAnsi="Arial"/>
          <w:rFonts w:ascii="Arial"/>
          <w:sz w:val="24"/>
          <w:color w:val="black"/>
        </w:rPr>
        <w:t xml:space="preserve">b) Mutilación de un pulgar de tal forma que dificulte la aprehensión en la mano rectora.</w:t>
      </w:r>
    </w:p>
    <w:p>
      <w:pPr>
        <w:jc w:val="both"/>
      </w:pPr>
      <w:rPr>
        <w:sz w:val="24"/>
        <w:color w:val="black"/>
      </w:rPr>
    </w:p>
    <w:p>
      <w:pPr>
        <w:jc w:val="both"/>
      </w:pPr>
      <w:r>
        <w:rPr>
          <w:rFonts w:hAnsi="Arial"/>
          <w:rFonts w:ascii="Arial"/>
          <w:sz w:val="24"/>
          <w:color w:val="black"/>
        </w:rPr>
        <w:t xml:space="preserve">c) Pérdida de dos falanges del dedo índice de la mano rectora.</w:t>
      </w:r>
    </w:p>
    <w:p>
      <w:pPr>
        <w:jc w:val="both"/>
      </w:pPr>
      <w:rPr>
        <w:sz w:val="24"/>
        <w:color w:val="black"/>
      </w:rPr>
    </w:p>
    <w:p>
      <w:pPr>
        <w:jc w:val="both"/>
      </w:pPr>
      <w:r>
        <w:rPr>
          <w:rFonts w:hAnsi="Arial"/>
          <w:rFonts w:ascii="Arial"/>
          <w:sz w:val="24"/>
          <w:color w:val="black"/>
        </w:rPr>
        <w:t xml:space="preserve">d) Pérdida de tres dedos de la mano rectora.</w:t>
      </w:r>
    </w:p>
    <w:p>
      <w:pPr>
        <w:jc w:val="both"/>
      </w:pPr>
      <w:rPr>
        <w:sz w:val="24"/>
        <w:color w:val="black"/>
      </w:rPr>
    </w:p>
    <w:p>
      <w:pPr>
        <w:jc w:val="both"/>
      </w:pPr>
      <w:r>
        <w:rPr>
          <w:rFonts w:hAnsi="Arial"/>
          <w:rFonts w:ascii="Arial"/>
          <w:sz w:val="24"/>
          <w:color w:val="black"/>
        </w:rPr>
        <w:t xml:space="preserve">6. Además, cualquier enfermedad, lesión o secuela no incluida dentro de las anteriores, que por su actual gravedad evolución o pronóstico previsible durante el período de validez aconsejen la denegación del permiso de porte o de tenencia.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Exceptúase de certificado médico de aptitud psicofísica, al personal del Ministerio de Defensa, Fuerzas Militares y Policía Nacional.</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026" w:name="2.2.4.1.9"/>
      <w:r>
        <w:rPr>
          <w:rFonts w:hAnsi="Arial"/>
          <w:rFonts w:ascii="Arial"/>
          <w:sz w:val="24"/>
          <w:color w:val="navy"/>
        </w:rPr>
        <w:t xml:space="preserve">ARTÍCULO 2.2.4.1.9. </w:t>
      </w:r>
      <w:r>
        <w:rPr>
          <w:rFonts w:hAnsi="Arial"/>
          <w:rFonts w:ascii="Arial"/>
          <w:sz w:val="24"/>
          <w:i/>
          <w:color w:val="navy"/>
        </w:rPr>
        <w:t>PROCEDIMIENTO.</w:t>
      </w:r>
      <w:bookmarkEnd w:id="60026"/>
      <w:r>
        <w:rPr>
          <w:rFonts w:hAnsi="Arial"/>
          <w:rFonts w:ascii="Arial"/>
          <w:sz w:val="24"/>
          <w:b/>
          <w:i/>
          <w:color w:val="black"/>
        </w:rPr>
        <w:t xml:space="preserve"> </w:t>
      </w:r>
      <w:r>
        <w:rPr>
          <w:rFonts w:hAnsi="Arial"/>
          <w:rFonts w:ascii="Arial"/>
          <w:sz w:val="24"/>
          <w:color w:val="black"/>
        </w:rPr>
        <w:t xml:space="preserve">Para los efectos del artículo </w:t>
      </w:r>
      <w:r>
        <w:fldChar w:fldCharType="begin"/>
      </w:r>
      <w:r>
        <w:instrText>HYPERLINK "http://www.redjurista.com/document.aspx?ajcode=d2535_93&amp;arts=37"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Decreto 2535 de 1993, establécese el siguiente procedimiento:</w:t>
      </w:r>
    </w:p>
    <w:p>
      <w:pPr>
        <w:jc w:val="both"/>
      </w:pPr>
      <w:rPr>
        <w:sz w:val="24"/>
        <w:color w:val="black"/>
      </w:rPr>
    </w:p>
    <w:p>
      <w:pPr>
        <w:jc w:val="both"/>
      </w:pPr>
      <w:r>
        <w:rPr>
          <w:rFonts w:hAnsi="Arial"/>
          <w:rFonts w:ascii="Arial"/>
          <w:sz w:val="24"/>
          <w:color w:val="black"/>
        </w:rPr>
        <w:t xml:space="preserve">1. La Industria Militar vende a la Nación -Ministerio de Defensa Nacional- Comando General de las Fuerzas Militares, las armas según listas de precios, más el impuesto al valor agregado IVA.</w:t>
      </w:r>
    </w:p>
    <w:p>
      <w:pPr>
        <w:jc w:val="both"/>
      </w:pPr>
      <w:rPr>
        <w:sz w:val="24"/>
        <w:color w:val="black"/>
      </w:rPr>
    </w:p>
    <w:p>
      <w:pPr>
        <w:jc w:val="both"/>
      </w:pPr>
      <w:r>
        <w:rPr>
          <w:rFonts w:hAnsi="Arial"/>
          <w:rFonts w:ascii="Arial"/>
          <w:sz w:val="24"/>
          <w:color w:val="black"/>
        </w:rPr>
        <w:t xml:space="preserve">2. Del precio de venta de la Industria Militar traslada el diez por ciento (10%) para constitución un Fondo de Valores que permita celebrar contratos de fiducia, con el objeto de cancelar al titular del permiso de porte o de tenencia, el valor del uso del arma por expiración del término del permiso o devolución de las mismas a las autoridades militares competentes.</w:t>
      </w:r>
    </w:p>
    <w:p>
      <w:pPr>
        <w:jc w:val="both"/>
      </w:pPr>
      <w:rPr>
        <w:sz w:val="24"/>
        <w:color w:val="black"/>
      </w:rPr>
    </w:p>
    <w:p>
      <w:pPr>
        <w:jc w:val="both"/>
      </w:pPr>
      <w:r>
        <w:rPr>
          <w:rFonts w:hAnsi="Arial"/>
          <w:rFonts w:ascii="Arial"/>
          <w:sz w:val="24"/>
          <w:color w:val="black"/>
        </w:rPr>
        <w:t xml:space="preserve">3. Las autoridades militares de que trata el artículo </w:t>
      </w:r>
      <w:r>
        <w:fldChar w:fldCharType="begin"/>
      </w:r>
      <w:r>
        <w:instrText>HYPERLINK "http://www.redjurista.com/document.aspx?ajcode=d2535_93&amp;arts=32"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2535 de 1993, autorizarán a la Industria Militar para que proceda a recaudar el valor del uso de armas y efectuar su entrega. Dicho costo deberá se incrementado por:</w:t>
      </w:r>
    </w:p>
    <w:p>
      <w:pPr>
        <w:jc w:val="both"/>
      </w:pPr>
      <w:rPr>
        <w:sz w:val="24"/>
        <w:color w:val="black"/>
      </w:rPr>
    </w:p>
    <w:p>
      <w:pPr>
        <w:jc w:val="both"/>
      </w:pPr>
      <w:r>
        <w:rPr>
          <w:rFonts w:hAnsi="Arial"/>
          <w:rFonts w:ascii="Arial"/>
          <w:sz w:val="24"/>
          <w:color w:val="black"/>
        </w:rPr>
        <w:t xml:space="preserve">a) Los valores estipulados por el Gobierno Nacional por concepto del impuesto de timbre nacional, por el permiso para porte o tenencia de armas de fuego.</w:t>
      </w:r>
    </w:p>
    <w:p>
      <w:pPr>
        <w:jc w:val="both"/>
      </w:pPr>
      <w:rPr>
        <w:sz w:val="24"/>
        <w:color w:val="black"/>
      </w:rPr>
    </w:p>
    <w:p>
      <w:pPr>
        <w:jc w:val="both"/>
      </w:pPr>
      <w:r>
        <w:rPr>
          <w:rFonts w:hAnsi="Arial"/>
          <w:rFonts w:ascii="Arial"/>
          <w:sz w:val="24"/>
          <w:color w:val="black"/>
        </w:rPr>
        <w:t xml:space="preserve">b) El costo que el Comando General de las Fuerzas Militares fije por la elaboración del permiso respectivo.</w:t>
      </w:r>
    </w:p>
    <w:p>
      <w:pPr>
        <w:jc w:val="both"/>
      </w:pPr>
      <w:rPr>
        <w:sz w:val="24"/>
        <w:color w:val="black"/>
      </w:rPr>
    </w:p>
    <w:p>
      <w:pPr>
        <w:jc w:val="both"/>
      </w:pPr>
      <w:r>
        <w:rPr>
          <w:rFonts w:hAnsi="Arial"/>
          <w:rFonts w:ascii="Arial"/>
          <w:sz w:val="24"/>
          <w:color w:val="black"/>
        </w:rPr>
        <w:t xml:space="preserve">c) El impuesto social a las armas y municiones consagrado en el artículo </w:t>
      </w:r>
      <w:r>
        <w:fldChar w:fldCharType="begin"/>
      </w:r>
      <w:r>
        <w:instrText>HYPERLINK "http://www.redjurista.com/document.aspx?ajcode=l0100_93&amp;arts=224"</w:instrText>
      </w:r>
      <w:r>
        <w:fldChar w:fldCharType="separate"/>
      </w:r>
      <w:r>
        <w:rPr>
          <w:rFonts w:hAnsi="Arial"/>
          <w:rFonts w:ascii="Arial"/>
          <w:sz w:val="24"/>
          <w:u w:val="single"/>
          <w:color w:val="black"/>
        </w:rPr>
        <w:t>224</w:t>
      </w:r>
      <w:r>
        <w:fldChar w:fldCharType="end"/>
      </w:r>
      <w:r>
        <w:rPr>
          <w:rFonts w:hAnsi="Arial"/>
          <w:rFonts w:ascii="Arial"/>
          <w:sz w:val="24"/>
          <w:u w:val="none"/>
          <w:color w:val="black"/>
        </w:rPr>
        <w:t xml:space="preserve"> de la Ley 100 de 1993, a partir del 1o. de enero de 1996.</w:t>
      </w:r>
    </w:p>
    <w:p>
      <w:pPr>
        <w:jc w:val="both"/>
      </w:pPr>
      <w:rPr>
        <w:sz w:val="24"/>
        <w:color w:val="black"/>
      </w:rPr>
    </w:p>
    <w:p>
      <w:pPr>
        <w:jc w:val="both"/>
      </w:pPr>
      <w:r>
        <w:rPr>
          <w:rFonts w:hAnsi="Arial"/>
          <w:rFonts w:ascii="Arial"/>
          <w:sz w:val="24"/>
          <w:color w:val="black"/>
        </w:rPr>
        <w:t xml:space="preserve">4. El Comando General de las Fuerzas Militares, autorizará a la Industria Militar para que gestione ante la Compañía Fiduciaria el reintegro del valor del uso de las armas, en un término no mayor a 30 días calendario.</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027" w:name="2.2.4.1.10"/>
      <w:r>
        <w:rPr>
          <w:rFonts w:hAnsi="Arial"/>
          <w:rFonts w:ascii="Arial"/>
          <w:sz w:val="24"/>
          <w:color w:val="navy"/>
        </w:rPr>
        <w:t xml:space="preserve">ARTÍCULO 2.2.4.1.10. </w:t>
      </w:r>
      <w:r>
        <w:rPr>
          <w:rFonts w:hAnsi="Arial"/>
          <w:rFonts w:ascii="Arial"/>
          <w:sz w:val="24"/>
          <w:i/>
          <w:color w:val="navy"/>
        </w:rPr>
        <w:t xml:space="preserve">CESIÓN DE ARMAS.</w:t>
      </w:r>
      <w:bookmarkEnd w:id="60027"/>
      <w:r>
        <w:rPr>
          <w:rFonts w:hAnsi="Arial"/>
          <w:rFonts w:ascii="Arial"/>
          <w:sz w:val="24"/>
          <w:b/>
          <w:i/>
          <w:color w:val="black"/>
        </w:rPr>
        <w:t xml:space="preserve"> </w:t>
      </w:r>
      <w:r>
        <w:rPr>
          <w:rFonts w:hAnsi="Arial"/>
          <w:rFonts w:ascii="Arial"/>
          <w:sz w:val="24"/>
          <w:color w:val="black"/>
        </w:rPr>
        <w:t xml:space="preserve">Cuando se trate de la cesión de armas de uso restringido entre las personas contempladas en el parágrafo del artículo </w:t>
      </w:r>
      <w:r>
        <w:fldChar w:fldCharType="begin"/>
      </w:r>
      <w:r>
        <w:instrText>HYPERLINK "http://www.redjurista.com/document.aspx?ajcode=d2535_93&amp;arts=45"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2535 de 1993, deberá acompañarse prueba documental que acredite el parentesco.</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28" w:name="2.2.4.1.11"/>
      <w:r>
        <w:rPr>
          <w:rFonts w:hAnsi="Arial"/>
          <w:rFonts w:ascii="Arial"/>
          <w:sz w:val="24"/>
          <w:color w:val="navy"/>
        </w:rPr>
        <w:t xml:space="preserve">ARTÍCULO 2.2.4.1.11. </w:t>
      </w:r>
      <w:r>
        <w:rPr>
          <w:rFonts w:hAnsi="Arial"/>
          <w:rFonts w:ascii="Arial"/>
          <w:sz w:val="24"/>
          <w:i/>
          <w:color w:val="navy"/>
        </w:rPr>
        <w:t>EXPLOSIVOS.</w:t>
      </w:r>
      <w:bookmarkEnd w:id="60028"/>
      <w:r>
        <w:rPr>
          <w:rFonts w:hAnsi="Arial"/>
          <w:rFonts w:ascii="Arial"/>
          <w:sz w:val="24"/>
          <w:b/>
          <w:i/>
          <w:color w:val="black"/>
        </w:rPr>
        <w:t xml:space="preserve"> </w:t>
      </w:r>
      <w:r>
        <w:rPr>
          <w:rFonts w:hAnsi="Arial"/>
          <w:rFonts w:ascii="Arial"/>
          <w:sz w:val="24"/>
          <w:color w:val="black"/>
        </w:rPr>
        <w:t xml:space="preserve">Para la compra de explosivos en la Industria Militar, a que se refiere el artículo </w:t>
      </w:r>
      <w:r>
        <w:fldChar w:fldCharType="begin"/>
      </w:r>
      <w:r>
        <w:instrText>HYPERLINK "http://www.redjurista.com/document.aspx?ajcode=d2535_93&amp;arts=51"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Decreto 2535 de 1993, el interesado deberá cumplir con lo siguiente:</w:t>
      </w:r>
    </w:p>
    <w:p>
      <w:pPr>
        <w:jc w:val="both"/>
      </w:pPr>
      <w:rPr>
        <w:sz w:val="24"/>
        <w:color w:val="black"/>
      </w:rPr>
    </w:p>
    <w:p>
      <w:pPr>
        <w:jc w:val="both"/>
      </w:pPr>
      <w:r>
        <w:rPr>
          <w:rFonts w:hAnsi="Arial"/>
          <w:rFonts w:ascii="Arial"/>
          <w:sz w:val="24"/>
          <w:color w:val="black"/>
        </w:rPr>
        <w:t xml:space="preserve">a) Entidades Públicas</w:t>
      </w:r>
    </w:p>
    <w:p>
      <w:pPr>
        <w:jc w:val="both"/>
      </w:pPr>
      <w:rPr>
        <w:sz w:val="24"/>
        <w:color w:val="black"/>
      </w:rPr>
    </w:p>
    <w:p>
      <w:pPr>
        <w:jc w:val="both"/>
      </w:pPr>
      <w:r>
        <w:rPr>
          <w:rFonts w:hAnsi="Arial"/>
          <w:rFonts w:ascii="Arial"/>
          <w:sz w:val="24"/>
          <w:color w:val="black"/>
        </w:rPr>
        <w:t xml:space="preserve">1. Solicitud de la entidad interesada, dirigida al Departamento Control Comercio Armas, Municiones y Explosivos, en Santafé de Bogotá o al Comandante de la Brigada, Unidad Táctica, Base Naval o Aérea de la ciudad en donde exista almacén de la Industria Militar, en la cual deberá indicarse:</w:t>
      </w:r>
    </w:p>
    <w:p>
      <w:pPr>
        <w:jc w:val="both"/>
      </w:pPr>
      <w:rPr>
        <w:sz w:val="24"/>
        <w:color w:val="black"/>
      </w:rPr>
    </w:p>
    <w:p>
      <w:pPr>
        <w:jc w:val="both"/>
      </w:pPr>
      <w:r>
        <w:rPr>
          <w:rFonts w:hAnsi="Arial"/>
          <w:rFonts w:ascii="Arial"/>
          <w:sz w:val="24"/>
          <w:color w:val="black"/>
        </w:rPr>
        <w:t xml:space="preserve">a) Clase, cantidad de explosivos y accesorios que necesitan.</w:t>
      </w:r>
    </w:p>
    <w:p>
      <w:pPr>
        <w:jc w:val="both"/>
      </w:pPr>
      <w:rPr>
        <w:sz w:val="24"/>
        <w:color w:val="black"/>
      </w:rPr>
    </w:p>
    <w:p>
      <w:pPr>
        <w:jc w:val="both"/>
      </w:pPr>
      <w:r>
        <w:rPr>
          <w:rFonts w:hAnsi="Arial"/>
          <w:rFonts w:ascii="Arial"/>
          <w:sz w:val="24"/>
          <w:color w:val="black"/>
        </w:rPr>
        <w:t xml:space="preserve">b) Actividad para la cual requiere el explosivo.</w:t>
      </w:r>
    </w:p>
    <w:p>
      <w:pPr>
        <w:jc w:val="both"/>
      </w:pPr>
      <w:rPr>
        <w:sz w:val="24"/>
        <w:color w:val="black"/>
      </w:rPr>
    </w:p>
    <w:p>
      <w:pPr>
        <w:jc w:val="both"/>
      </w:pPr>
      <w:r>
        <w:rPr>
          <w:rFonts w:hAnsi="Arial"/>
          <w:rFonts w:ascii="Arial"/>
          <w:sz w:val="24"/>
          <w:color w:val="black"/>
        </w:rPr>
        <w:t xml:space="preserve">c) Forma y seguridad del almacenamiento.</w:t>
      </w:r>
    </w:p>
    <w:p>
      <w:pPr>
        <w:jc w:val="both"/>
      </w:pPr>
      <w:rPr>
        <w:sz w:val="24"/>
        <w:color w:val="black"/>
      </w:rPr>
    </w:p>
    <w:p>
      <w:pPr>
        <w:jc w:val="both"/>
      </w:pPr>
      <w:r>
        <w:rPr>
          <w:rFonts w:hAnsi="Arial"/>
          <w:rFonts w:ascii="Arial"/>
          <w:sz w:val="24"/>
          <w:color w:val="black"/>
        </w:rPr>
        <w:t xml:space="preserve">d) Lugar donde se utilizarán los explosivos y ubicación exacta.</w:t>
      </w:r>
    </w:p>
    <w:p>
      <w:pPr>
        <w:jc w:val="both"/>
      </w:pPr>
      <w:rPr>
        <w:sz w:val="24"/>
        <w:color w:val="black"/>
      </w:rPr>
    </w:p>
    <w:p>
      <w:pPr>
        <w:jc w:val="both"/>
      </w:pPr>
      <w:r>
        <w:rPr>
          <w:rFonts w:hAnsi="Arial"/>
          <w:rFonts w:ascii="Arial"/>
          <w:sz w:val="24"/>
          <w:color w:val="black"/>
        </w:rPr>
        <w:t xml:space="preserve">2. Constancia expedida por la autoridad militar de la zona o lugar donde se van a emplear los explosivos: nombre de las personas designadas para su control y forma de empleo.</w:t>
      </w:r>
    </w:p>
    <w:p>
      <w:pPr>
        <w:jc w:val="both"/>
      </w:pPr>
      <w:rPr>
        <w:sz w:val="24"/>
        <w:color w:val="black"/>
      </w:rPr>
    </w:p>
    <w:p>
      <w:pPr>
        <w:jc w:val="both"/>
      </w:pPr>
      <w:r>
        <w:rPr>
          <w:rFonts w:hAnsi="Arial"/>
          <w:rFonts w:ascii="Arial"/>
          <w:sz w:val="24"/>
          <w:color w:val="black"/>
        </w:rPr>
        <w:t xml:space="preserve">3. Acreditar debidamente a la persona encargada de efectuar la tramitación y recibir el material solicitado.</w:t>
      </w:r>
    </w:p>
    <w:p>
      <w:pPr>
        <w:jc w:val="both"/>
      </w:pPr>
      <w:rPr>
        <w:sz w:val="24"/>
        <w:color w:val="black"/>
      </w:rPr>
    </w:p>
    <w:p>
      <w:pPr>
        <w:jc w:val="both"/>
      </w:pPr>
      <w:r>
        <w:rPr>
          <w:rFonts w:hAnsi="Arial"/>
          <w:rFonts w:ascii="Arial"/>
          <w:sz w:val="24"/>
          <w:color w:val="black"/>
        </w:rPr>
        <w:t xml:space="preserve">4. Libro de Control y movimiento de los explosivos y sus accesorios.</w:t>
      </w:r>
    </w:p>
    <w:p>
      <w:pPr>
        <w:jc w:val="both"/>
      </w:pPr>
      <w:rPr>
        <w:sz w:val="24"/>
        <w:color w:val="black"/>
      </w:rPr>
    </w:p>
    <w:p>
      <w:pPr>
        <w:jc w:val="both"/>
      </w:pPr>
      <w:r>
        <w:rPr>
          <w:rFonts w:hAnsi="Arial"/>
          <w:rFonts w:ascii="Arial"/>
          <w:sz w:val="24"/>
          <w:color w:val="black"/>
        </w:rPr>
        <w:t xml:space="preserve">5. Cuadro mensual de uso o empleo de explosivos y sus accesorios.</w:t>
      </w:r>
    </w:p>
    <w:p>
      <w:pPr>
        <w:jc w:val="both"/>
      </w:pPr>
      <w:rPr>
        <w:sz w:val="24"/>
        <w:color w:val="black"/>
      </w:rPr>
    </w:p>
    <w:p>
      <w:pPr>
        <w:jc w:val="both"/>
      </w:pPr>
      <w:r>
        <w:rPr>
          <w:rFonts w:hAnsi="Arial"/>
          <w:rFonts w:ascii="Arial"/>
          <w:sz w:val="24"/>
          <w:color w:val="black"/>
        </w:rPr>
        <w:t xml:space="preserve">b) Personas Jurídicas de Derecho Privado.</w:t>
      </w:r>
    </w:p>
    <w:p>
      <w:pPr>
        <w:jc w:val="both"/>
      </w:pPr>
      <w:rPr>
        <w:sz w:val="24"/>
        <w:color w:val="black"/>
      </w:rPr>
    </w:p>
    <w:p>
      <w:pPr>
        <w:jc w:val="both"/>
      </w:pPr>
      <w:r>
        <w:rPr>
          <w:rFonts w:hAnsi="Arial"/>
          <w:rFonts w:ascii="Arial"/>
          <w:sz w:val="24"/>
          <w:color w:val="black"/>
        </w:rPr>
        <w:t xml:space="preserve">1. Solicitud en los términos de que trata el literal a) numeral 1 del presente artículo indicando:</w:t>
      </w:r>
    </w:p>
    <w:p>
      <w:pPr>
        <w:jc w:val="both"/>
      </w:pPr>
      <w:rPr>
        <w:sz w:val="24"/>
        <w:color w:val="black"/>
      </w:rPr>
    </w:p>
    <w:p>
      <w:pPr>
        <w:jc w:val="both"/>
      </w:pPr>
      <w:r>
        <w:rPr>
          <w:rFonts w:hAnsi="Arial"/>
          <w:rFonts w:ascii="Arial"/>
          <w:sz w:val="24"/>
          <w:color w:val="black"/>
        </w:rPr>
        <w:t xml:space="preserve">a) Clase, cantidad de explosivos y accesorios que necesita;</w:t>
      </w:r>
    </w:p>
    <w:p>
      <w:pPr>
        <w:jc w:val="both"/>
      </w:pPr>
      <w:rPr>
        <w:sz w:val="24"/>
        <w:color w:val="black"/>
      </w:rPr>
    </w:p>
    <w:p>
      <w:pPr>
        <w:jc w:val="both"/>
      </w:pPr>
      <w:r>
        <w:rPr>
          <w:rFonts w:hAnsi="Arial"/>
          <w:rFonts w:ascii="Arial"/>
          <w:sz w:val="24"/>
          <w:color w:val="black"/>
        </w:rPr>
        <w:t xml:space="preserve">b) Justificación de la cantidad de explosivos y accesorios solicitados;</w:t>
      </w:r>
    </w:p>
    <w:p>
      <w:pPr>
        <w:jc w:val="both"/>
      </w:pPr>
      <w:rPr>
        <w:sz w:val="24"/>
        <w:color w:val="black"/>
      </w:rPr>
    </w:p>
    <w:p>
      <w:pPr>
        <w:jc w:val="both"/>
      </w:pPr>
      <w:r>
        <w:rPr>
          <w:rFonts w:hAnsi="Arial"/>
          <w:rFonts w:ascii="Arial"/>
          <w:sz w:val="24"/>
          <w:color w:val="black"/>
        </w:rPr>
        <w:t xml:space="preserve">c) Prueba de la actividad para la cual se requiere el explosivo;</w:t>
      </w:r>
    </w:p>
    <w:p>
      <w:pPr>
        <w:jc w:val="both"/>
      </w:pPr>
      <w:rPr>
        <w:sz w:val="24"/>
        <w:color w:val="black"/>
      </w:rPr>
    </w:p>
    <w:p>
      <w:pPr>
        <w:jc w:val="both"/>
      </w:pPr>
      <w:r>
        <w:rPr>
          <w:rFonts w:hAnsi="Arial"/>
          <w:rFonts w:ascii="Arial"/>
          <w:sz w:val="24"/>
          <w:color w:val="black"/>
        </w:rPr>
        <w:t xml:space="preserve">d) Formas y Seguridad de almacenamiento;</w:t>
      </w:r>
    </w:p>
    <w:p>
      <w:pPr>
        <w:jc w:val="both"/>
      </w:pPr>
      <w:rPr>
        <w:sz w:val="24"/>
        <w:color w:val="black"/>
      </w:rPr>
    </w:p>
    <w:p>
      <w:pPr>
        <w:jc w:val="both"/>
      </w:pPr>
      <w:r>
        <w:rPr>
          <w:rFonts w:hAnsi="Arial"/>
          <w:rFonts w:ascii="Arial"/>
          <w:sz w:val="24"/>
          <w:color w:val="black"/>
        </w:rPr>
        <w:t xml:space="preserve">e) Ubicación exacta del lugar donde se utilizarán.</w:t>
      </w:r>
    </w:p>
    <w:p>
      <w:pPr>
        <w:jc w:val="both"/>
      </w:pPr>
      <w:rPr>
        <w:sz w:val="24"/>
        <w:color w:val="black"/>
      </w:rPr>
    </w:p>
    <w:p>
      <w:pPr>
        <w:jc w:val="both"/>
      </w:pPr>
      <w:r>
        <w:rPr>
          <w:rFonts w:hAnsi="Arial"/>
          <w:rFonts w:ascii="Arial"/>
          <w:sz w:val="24"/>
          <w:color w:val="black"/>
        </w:rPr>
        <w:t xml:space="preserve">2. Constancia expedida por la autoridad militar de la zona o lugar donde se van a emplear los explosivos: nombre de las personas designadas para su control y forma de empleo.</w:t>
      </w:r>
    </w:p>
    <w:p>
      <w:pPr>
        <w:jc w:val="both"/>
      </w:pPr>
      <w:rPr>
        <w:sz w:val="24"/>
        <w:color w:val="black"/>
      </w:rPr>
    </w:p>
    <w:p>
      <w:pPr>
        <w:jc w:val="both"/>
      </w:pPr>
      <w:r>
        <w:rPr>
          <w:rFonts w:hAnsi="Arial"/>
          <w:rFonts w:ascii="Arial"/>
          <w:sz w:val="24"/>
          <w:color w:val="black"/>
        </w:rPr>
        <w:t xml:space="preserve">3. Certificado de existencia y representación legal.</w:t>
      </w:r>
    </w:p>
    <w:p>
      <w:pPr>
        <w:jc w:val="both"/>
      </w:pPr>
      <w:rPr>
        <w:sz w:val="24"/>
        <w:color w:val="black"/>
      </w:rPr>
    </w:p>
    <w:p>
      <w:pPr>
        <w:jc w:val="both"/>
      </w:pPr>
      <w:r>
        <w:rPr>
          <w:rFonts w:hAnsi="Arial"/>
          <w:rFonts w:ascii="Arial"/>
          <w:sz w:val="24"/>
          <w:color w:val="black"/>
        </w:rPr>
        <w:t xml:space="preserve">4. Certificado judicial nacional vigente del representante legal.</w:t>
      </w:r>
    </w:p>
    <w:p>
      <w:pPr>
        <w:jc w:val="both"/>
      </w:pPr>
      <w:rPr>
        <w:sz w:val="24"/>
        <w:color w:val="black"/>
      </w:rPr>
    </w:p>
    <w:p>
      <w:pPr>
        <w:jc w:val="both"/>
      </w:pPr>
      <w:r>
        <w:rPr>
          <w:rFonts w:hAnsi="Arial"/>
          <w:rFonts w:ascii="Arial"/>
          <w:sz w:val="24"/>
          <w:color w:val="black"/>
        </w:rPr>
        <w:t xml:space="preserve">5. Licencia de exploración, explotación y permiso funcionamiento otorgado por las autoridades competentes.</w:t>
      </w:r>
    </w:p>
    <w:p>
      <w:pPr>
        <w:jc w:val="both"/>
      </w:pPr>
      <w:rPr>
        <w:sz w:val="24"/>
        <w:color w:val="black"/>
      </w:rPr>
    </w:p>
    <w:p>
      <w:pPr>
        <w:jc w:val="both"/>
      </w:pPr>
      <w:r>
        <w:rPr>
          <w:rFonts w:hAnsi="Arial"/>
          <w:rFonts w:ascii="Arial"/>
          <w:sz w:val="24"/>
          <w:color w:val="black"/>
        </w:rPr>
        <w:t xml:space="preserve">6. Libro de control y movimiento de explosivos y accesorios.</w:t>
      </w:r>
    </w:p>
    <w:p>
      <w:pPr>
        <w:jc w:val="both"/>
      </w:pPr>
      <w:rPr>
        <w:sz w:val="24"/>
        <w:color w:val="black"/>
      </w:rPr>
    </w:p>
    <w:p>
      <w:pPr>
        <w:jc w:val="both"/>
      </w:pPr>
      <w:r>
        <w:rPr>
          <w:rFonts w:hAnsi="Arial"/>
          <w:rFonts w:ascii="Arial"/>
          <w:sz w:val="24"/>
          <w:color w:val="black"/>
        </w:rPr>
        <w:t xml:space="preserve">7. Cuadro mensual de consumo de explosivos y accesorios.</w:t>
      </w:r>
    </w:p>
    <w:p>
      <w:pPr>
        <w:jc w:val="both"/>
      </w:pPr>
      <w:rPr>
        <w:sz w:val="24"/>
        <w:color w:val="black"/>
      </w:rPr>
    </w:p>
    <w:p>
      <w:pPr>
        <w:jc w:val="both"/>
      </w:pPr>
      <w:r>
        <w:rPr>
          <w:rFonts w:hAnsi="Arial"/>
          <w:rFonts w:ascii="Arial"/>
          <w:sz w:val="24"/>
          <w:color w:val="black"/>
        </w:rPr>
        <w:t xml:space="preserve">c) Personas Colombianas o extranjeras.</w:t>
      </w:r>
    </w:p>
    <w:p>
      <w:pPr>
        <w:jc w:val="both"/>
      </w:pPr>
      <w:rPr>
        <w:sz w:val="24"/>
        <w:color w:val="black"/>
      </w:rPr>
    </w:p>
    <w:p>
      <w:pPr>
        <w:jc w:val="both"/>
      </w:pPr>
      <w:r>
        <w:rPr>
          <w:rFonts w:hAnsi="Arial"/>
          <w:rFonts w:ascii="Arial"/>
          <w:sz w:val="24"/>
          <w:color w:val="black"/>
        </w:rPr>
        <w:t xml:space="preserve">1. Solicitud dirigida al Departamento Control Comercio Armas, Municiones y Explosivos en la guarnición de Santafé de Bogotá o al Comandante de la Brigada, Unidad Táctica, Base Naval o Aérea de la guarnición más cercana en donde exista almacén de la Industria Militar indicando lo siguiente:</w:t>
      </w:r>
    </w:p>
    <w:p>
      <w:pPr>
        <w:jc w:val="both"/>
      </w:pPr>
      <w:rPr>
        <w:sz w:val="24"/>
        <w:color w:val="black"/>
      </w:rPr>
    </w:p>
    <w:p>
      <w:pPr>
        <w:jc w:val="both"/>
      </w:pPr>
      <w:r>
        <w:rPr>
          <w:rFonts w:hAnsi="Arial"/>
          <w:rFonts w:ascii="Arial"/>
          <w:sz w:val="24"/>
          <w:color w:val="black"/>
        </w:rPr>
        <w:t xml:space="preserve">a) Clase, cantidad de explosivos y accesorios que necesita;</w:t>
      </w:r>
    </w:p>
    <w:p>
      <w:pPr>
        <w:jc w:val="both"/>
      </w:pPr>
      <w:rPr>
        <w:sz w:val="24"/>
        <w:color w:val="black"/>
      </w:rPr>
    </w:p>
    <w:p>
      <w:pPr>
        <w:jc w:val="both"/>
      </w:pPr>
      <w:r>
        <w:rPr>
          <w:rFonts w:hAnsi="Arial"/>
          <w:rFonts w:ascii="Arial"/>
          <w:sz w:val="24"/>
          <w:color w:val="black"/>
        </w:rPr>
        <w:t xml:space="preserve">b) Justificación de la cantidad de explosivos y accesorios solicitados;</w:t>
      </w:r>
    </w:p>
    <w:p>
      <w:pPr>
        <w:jc w:val="both"/>
      </w:pPr>
      <w:rPr>
        <w:sz w:val="24"/>
        <w:color w:val="black"/>
      </w:rPr>
    </w:p>
    <w:p>
      <w:pPr>
        <w:jc w:val="both"/>
      </w:pPr>
      <w:r>
        <w:rPr>
          <w:rFonts w:hAnsi="Arial"/>
          <w:rFonts w:ascii="Arial"/>
          <w:sz w:val="24"/>
          <w:color w:val="black"/>
        </w:rPr>
        <w:t xml:space="preserve">c) Forma y Seguridad de almacenamiento;</w:t>
      </w:r>
    </w:p>
    <w:p>
      <w:pPr>
        <w:jc w:val="both"/>
      </w:pPr>
      <w:rPr>
        <w:sz w:val="24"/>
        <w:color w:val="black"/>
      </w:rPr>
    </w:p>
    <w:p>
      <w:pPr>
        <w:jc w:val="both"/>
      </w:pPr>
      <w:r>
        <w:rPr>
          <w:rFonts w:hAnsi="Arial"/>
          <w:rFonts w:ascii="Arial"/>
          <w:sz w:val="24"/>
          <w:color w:val="black"/>
        </w:rPr>
        <w:t xml:space="preserve">d) Ubicación exacta del lugar donde se utilizarán.</w:t>
      </w:r>
    </w:p>
    <w:p>
      <w:pPr>
        <w:jc w:val="both"/>
      </w:pPr>
      <w:rPr>
        <w:sz w:val="24"/>
        <w:color w:val="black"/>
      </w:rPr>
    </w:p>
    <w:p>
      <w:pPr>
        <w:jc w:val="both"/>
      </w:pPr>
      <w:r>
        <w:rPr>
          <w:rFonts w:hAnsi="Arial"/>
          <w:rFonts w:ascii="Arial"/>
          <w:sz w:val="24"/>
          <w:color w:val="black"/>
        </w:rPr>
        <w:t xml:space="preserve">2. Constancia expedida por la autoridad militar de la zona o lugar donde se van a emplear los explosivos, en la cual se dé el concepto y se registre el uso que les dará, las medidas de seguridad para su empleo, lugar de almacenamiento, nombre de la persona asignada para el control y forma de ejercerlo.</w:t>
      </w:r>
    </w:p>
    <w:p>
      <w:pPr>
        <w:jc w:val="both"/>
      </w:pPr>
      <w:rPr>
        <w:sz w:val="24"/>
        <w:color w:val="black"/>
      </w:rPr>
    </w:p>
    <w:p>
      <w:pPr>
        <w:jc w:val="both"/>
      </w:pPr>
      <w:r>
        <w:rPr>
          <w:rFonts w:hAnsi="Arial"/>
          <w:rFonts w:ascii="Arial"/>
          <w:sz w:val="24"/>
          <w:color w:val="black"/>
        </w:rPr>
        <w:t xml:space="preserve">3. Certificado judicial nacional vigente del solicitante.</w:t>
      </w:r>
    </w:p>
    <w:p>
      <w:pPr>
        <w:jc w:val="both"/>
      </w:pPr>
      <w:rPr>
        <w:sz w:val="24"/>
        <w:color w:val="black"/>
      </w:rPr>
    </w:p>
    <w:p>
      <w:pPr>
        <w:jc w:val="both"/>
      </w:pPr>
      <w:r>
        <w:rPr>
          <w:rFonts w:hAnsi="Arial"/>
          <w:rFonts w:ascii="Arial"/>
          <w:sz w:val="24"/>
          <w:color w:val="black"/>
        </w:rPr>
        <w:t xml:space="preserve">4. Libro de control y movimiento de los explosivos y accesorios.</w:t>
      </w:r>
    </w:p>
    <w:p>
      <w:pPr>
        <w:jc w:val="both"/>
      </w:pPr>
      <w:rPr>
        <w:sz w:val="24"/>
        <w:color w:val="black"/>
      </w:rPr>
    </w:p>
    <w:p>
      <w:pPr>
        <w:jc w:val="both"/>
      </w:pPr>
      <w:r>
        <w:rPr>
          <w:rFonts w:hAnsi="Arial"/>
          <w:rFonts w:ascii="Arial"/>
          <w:sz w:val="24"/>
          <w:color w:val="black"/>
        </w:rPr>
        <w:t xml:space="preserve">5. Cuadro mensual de uso o empleo de explosivos y sus accesorios.</w:t>
      </w:r>
    </w:p>
    <w:p>
      <w:pPr>
        <w:jc w:val="both"/>
      </w:pPr>
      <w:rPr>
        <w:sz w:val="24"/>
        <w:color w:val="black"/>
      </w:rPr>
    </w:p>
    <w:p>
      <w:pPr>
        <w:jc w:val="both"/>
      </w:pPr>
      <w:r>
        <w:rPr>
          <w:rFonts w:hAnsi="Arial"/>
          <w:rFonts w:ascii="Arial"/>
          <w:sz w:val="24"/>
          <w:color w:val="black"/>
        </w:rPr>
        <w:t xml:space="preserve">6. Para la explotación de minas de cualquier naturaleza, los peticionarios, deberán presentar la correspondiente licencia expedida por la autoridad competente.</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29" w:name="2.2.4.1.12"/>
      <w:r>
        <w:rPr>
          <w:rFonts w:hAnsi="Arial"/>
          <w:rFonts w:ascii="Arial"/>
          <w:sz w:val="24"/>
          <w:color w:val="navy"/>
        </w:rPr>
        <w:t xml:space="preserve">ARTÍCULO 2.2.4.1.12. </w:t>
      </w:r>
      <w:r>
        <w:rPr>
          <w:rFonts w:hAnsi="Arial"/>
          <w:rFonts w:ascii="Arial"/>
          <w:sz w:val="24"/>
          <w:i/>
          <w:color w:val="navy"/>
        </w:rPr>
        <w:t>USUARIOS.</w:t>
      </w:r>
      <w:bookmarkEnd w:id="60029"/>
      <w:r>
        <w:rPr>
          <w:rFonts w:hAnsi="Arial"/>
          <w:rFonts w:ascii="Arial"/>
          <w:sz w:val="24"/>
          <w:b/>
          <w:i/>
          <w:color w:val="black"/>
        </w:rPr>
        <w:t xml:space="preserve"> </w:t>
      </w:r>
      <w:r>
        <w:rPr>
          <w:rFonts w:hAnsi="Arial"/>
          <w:rFonts w:ascii="Arial"/>
          <w:sz w:val="24"/>
          <w:color w:val="black"/>
        </w:rPr>
        <w:t xml:space="preserve">En desarrollo de lo previsto en el parágrafo 3o del artículo </w:t>
      </w:r>
      <w:r>
        <w:fldChar w:fldCharType="begin"/>
      </w:r>
      <w:r>
        <w:instrText>HYPERLINK "http://www.redjurista.com/document.aspx?ajcode=d2535_93&amp;arts=51"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del Decreto 2535 de 1993, para efectos de control de la Nitrocelulosa que contenga no menos del 25% de alcohol por peso y no exceda del 12.6% de Nitrógeno por peso seco, o con no menos del 18% de sustancia plastificante por peso y no exceda del 12,6% de Nitrógeno por peso seco, o con no menos del 25% de agua por peso, el Departamento de Control Comercio Armas, Municiones y Explosivos del Comando General de las Fuerzas Militares, está facultado para requerir y recibir de las personas que usen o comercialicen dicho material, las siguiente información.</w:t>
      </w:r>
    </w:p>
    <w:p>
      <w:pPr>
        <w:jc w:val="both"/>
      </w:pPr>
      <w:rPr>
        <w:sz w:val="24"/>
        <w:color w:val="black"/>
      </w:rPr>
    </w:p>
    <w:p>
      <w:pPr>
        <w:jc w:val="both"/>
      </w:pPr>
      <w:r>
        <w:rPr>
          <w:rFonts w:hAnsi="Arial"/>
          <w:rFonts w:ascii="Arial"/>
          <w:sz w:val="24"/>
          <w:color w:val="black"/>
        </w:rPr>
        <w:t xml:space="preserve">1. Para usuarios:</w:t>
      </w:r>
    </w:p>
    <w:p>
      <w:pPr>
        <w:jc w:val="both"/>
      </w:pPr>
      <w:rPr>
        <w:sz w:val="24"/>
        <w:color w:val="black"/>
      </w:rPr>
    </w:p>
    <w:p>
      <w:pPr>
        <w:jc w:val="both"/>
      </w:pPr>
      <w:r>
        <w:rPr>
          <w:rFonts w:hAnsi="Arial"/>
          <w:rFonts w:ascii="Arial"/>
          <w:sz w:val="24"/>
          <w:color w:val="black"/>
        </w:rPr>
        <w:t xml:space="preserve">a) Nombre, NIT y Dirección;</w:t>
      </w:r>
    </w:p>
    <w:p>
      <w:pPr>
        <w:jc w:val="both"/>
      </w:pPr>
      <w:rPr>
        <w:sz w:val="24"/>
        <w:color w:val="black"/>
      </w:rPr>
    </w:p>
    <w:p>
      <w:pPr>
        <w:jc w:val="both"/>
      </w:pPr>
      <w:r>
        <w:rPr>
          <w:rFonts w:hAnsi="Arial"/>
          <w:rFonts w:ascii="Arial"/>
          <w:sz w:val="24"/>
          <w:color w:val="black"/>
        </w:rPr>
        <w:t xml:space="preserve">b) Certificado de la Cámara de Comercio (el cual debe actualizarse cada año);</w:t>
      </w:r>
    </w:p>
    <w:p>
      <w:pPr>
        <w:jc w:val="both"/>
      </w:pPr>
      <w:rPr>
        <w:sz w:val="24"/>
        <w:color w:val="black"/>
      </w:rPr>
    </w:p>
    <w:p>
      <w:pPr>
        <w:jc w:val="both"/>
      </w:pPr>
      <w:r>
        <w:rPr>
          <w:rFonts w:hAnsi="Arial"/>
          <w:rFonts w:ascii="Arial"/>
          <w:sz w:val="24"/>
          <w:color w:val="black"/>
        </w:rPr>
        <w:t xml:space="preserve">c) Plan anual de compra de Nitrocelulosa y sus modificaciones, si las hay;</w:t>
      </w:r>
    </w:p>
    <w:p>
      <w:pPr>
        <w:jc w:val="both"/>
      </w:pPr>
      <w:rPr>
        <w:sz w:val="24"/>
        <w:color w:val="black"/>
      </w:rPr>
    </w:p>
    <w:p>
      <w:pPr>
        <w:jc w:val="both"/>
      </w:pPr>
      <w:r>
        <w:rPr>
          <w:rFonts w:hAnsi="Arial"/>
          <w:rFonts w:ascii="Arial"/>
          <w:sz w:val="24"/>
          <w:color w:val="black"/>
        </w:rPr>
        <w:t xml:space="preserve">d) Ejecución trimestral del plan de compras;</w:t>
      </w:r>
    </w:p>
    <w:p>
      <w:pPr>
        <w:jc w:val="both"/>
      </w:pPr>
      <w:rPr>
        <w:sz w:val="24"/>
        <w:color w:val="black"/>
      </w:rPr>
    </w:p>
    <w:p>
      <w:pPr>
        <w:jc w:val="both"/>
      </w:pPr>
      <w:r>
        <w:rPr>
          <w:rFonts w:hAnsi="Arial"/>
          <w:rFonts w:ascii="Arial"/>
          <w:sz w:val="24"/>
          <w:color w:val="black"/>
        </w:rPr>
        <w:t xml:space="preserve">e) Ejecución trimestral del uso de la Nitrocelulosa;</w:t>
      </w:r>
    </w:p>
    <w:p>
      <w:pPr>
        <w:jc w:val="both"/>
      </w:pPr>
      <w:rPr>
        <w:sz w:val="24"/>
        <w:color w:val="black"/>
      </w:rPr>
    </w:p>
    <w:p>
      <w:pPr>
        <w:jc w:val="both"/>
      </w:pPr>
      <w:r>
        <w:rPr>
          <w:rFonts w:hAnsi="Arial"/>
          <w:rFonts w:ascii="Arial"/>
          <w:sz w:val="24"/>
          <w:color w:val="black"/>
        </w:rPr>
        <w:t xml:space="preserve">f) Lugar de almacenamiento de la Nitrocelulosa.</w:t>
      </w:r>
    </w:p>
    <w:p>
      <w:pPr>
        <w:jc w:val="both"/>
      </w:pPr>
      <w:rPr>
        <w:sz w:val="24"/>
        <w:color w:val="black"/>
      </w:rPr>
    </w:p>
    <w:p>
      <w:pPr>
        <w:jc w:val="both"/>
      </w:pPr>
      <w:r>
        <w:rPr>
          <w:rFonts w:hAnsi="Arial"/>
          <w:rFonts w:ascii="Arial"/>
          <w:sz w:val="24"/>
          <w:color w:val="black"/>
        </w:rPr>
        <w:t xml:space="preserve">2. Para importadores y comercializadores:</w:t>
      </w:r>
    </w:p>
    <w:p>
      <w:pPr>
        <w:jc w:val="both"/>
      </w:pPr>
      <w:rPr>
        <w:sz w:val="24"/>
        <w:color w:val="black"/>
      </w:rPr>
    </w:p>
    <w:p>
      <w:pPr>
        <w:jc w:val="both"/>
      </w:pPr>
      <w:r>
        <w:rPr>
          <w:rFonts w:hAnsi="Arial"/>
          <w:rFonts w:ascii="Arial"/>
          <w:sz w:val="24"/>
          <w:color w:val="black"/>
        </w:rPr>
        <w:t xml:space="preserve">a) Nombre, NIT y Dirección;</w:t>
      </w:r>
    </w:p>
    <w:p>
      <w:pPr>
        <w:jc w:val="both"/>
      </w:pPr>
      <w:rPr>
        <w:sz w:val="24"/>
        <w:color w:val="black"/>
      </w:rPr>
    </w:p>
    <w:p>
      <w:pPr>
        <w:jc w:val="both"/>
      </w:pPr>
      <w:r>
        <w:rPr>
          <w:rFonts w:hAnsi="Arial"/>
          <w:rFonts w:ascii="Arial"/>
          <w:sz w:val="24"/>
          <w:color w:val="black"/>
        </w:rPr>
        <w:t xml:space="preserve">b) Certificado de la Cámara de Comercio (el cual debe actualizarse cada año);</w:t>
      </w:r>
    </w:p>
    <w:p>
      <w:pPr>
        <w:jc w:val="both"/>
      </w:pPr>
      <w:rPr>
        <w:sz w:val="24"/>
        <w:color w:val="black"/>
      </w:rPr>
    </w:p>
    <w:p>
      <w:pPr>
        <w:jc w:val="both"/>
      </w:pPr>
      <w:r>
        <w:rPr>
          <w:rFonts w:hAnsi="Arial"/>
          <w:rFonts w:ascii="Arial"/>
          <w:sz w:val="24"/>
          <w:color w:val="black"/>
        </w:rPr>
        <w:t xml:space="preserve">c) Plan anual de compras de Nitrocelulosa y sus modificaciones, si las hay;</w:t>
      </w:r>
    </w:p>
    <w:p>
      <w:pPr>
        <w:jc w:val="both"/>
      </w:pPr>
      <w:rPr>
        <w:sz w:val="24"/>
        <w:color w:val="black"/>
      </w:rPr>
    </w:p>
    <w:p>
      <w:pPr>
        <w:jc w:val="both"/>
      </w:pPr>
      <w:r>
        <w:rPr>
          <w:rFonts w:hAnsi="Arial"/>
          <w:rFonts w:ascii="Arial"/>
          <w:sz w:val="24"/>
          <w:color w:val="black"/>
        </w:rPr>
        <w:t xml:space="preserve">d) Plan anual de ventas de Nitrocelulosa y sus modificaciones si las hay,</w:t>
      </w:r>
    </w:p>
    <w:p>
      <w:pPr>
        <w:jc w:val="both"/>
      </w:pPr>
      <w:rPr>
        <w:sz w:val="24"/>
        <w:color w:val="black"/>
      </w:rPr>
    </w:p>
    <w:p>
      <w:pPr>
        <w:jc w:val="both"/>
      </w:pPr>
      <w:r>
        <w:rPr>
          <w:rFonts w:hAnsi="Arial"/>
          <w:rFonts w:ascii="Arial"/>
          <w:sz w:val="24"/>
          <w:color w:val="black"/>
        </w:rPr>
        <w:t xml:space="preserve">e) Ejecución trimestral del Plan de compras;</w:t>
      </w:r>
    </w:p>
    <w:p>
      <w:pPr>
        <w:jc w:val="both"/>
      </w:pPr>
      <w:rPr>
        <w:sz w:val="24"/>
        <w:color w:val="black"/>
      </w:rPr>
    </w:p>
    <w:p>
      <w:pPr>
        <w:jc w:val="both"/>
      </w:pPr>
      <w:r>
        <w:rPr>
          <w:rFonts w:hAnsi="Arial"/>
          <w:rFonts w:ascii="Arial"/>
          <w:sz w:val="24"/>
          <w:color w:val="black"/>
        </w:rPr>
        <w:t xml:space="preserve">f) Ejecución trimestral del Plan de ventas, indicando nombre de los compradores, fecha de venta y cantidad vendida;</w:t>
      </w:r>
    </w:p>
    <w:p>
      <w:pPr>
        <w:jc w:val="both"/>
      </w:pPr>
      <w:rPr>
        <w:sz w:val="24"/>
        <w:color w:val="black"/>
      </w:rPr>
    </w:p>
    <w:p>
      <w:pPr>
        <w:jc w:val="both"/>
      </w:pPr>
      <w:r>
        <w:rPr>
          <w:rFonts w:hAnsi="Arial"/>
          <w:rFonts w:ascii="Arial"/>
          <w:sz w:val="24"/>
          <w:color w:val="black"/>
        </w:rPr>
        <w:t xml:space="preserve">g) Lugar de almacenamiento de la Nitrocelulosa.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0" w:name="2.2.4.1.13"/>
      <w:r>
        <w:rPr>
          <w:rFonts w:hAnsi="Arial"/>
          <w:rFonts w:ascii="Arial"/>
          <w:sz w:val="24"/>
          <w:color w:val="navy"/>
        </w:rPr>
        <w:t xml:space="preserve">ARTÍCULO 2.2.4.1.13. </w:t>
      </w:r>
      <w:r>
        <w:rPr>
          <w:rFonts w:hAnsi="Arial"/>
          <w:rFonts w:ascii="Arial"/>
          <w:sz w:val="24"/>
          <w:i/>
          <w:color w:val="navy"/>
        </w:rPr>
        <w:t>NITROCELULOSA.</w:t>
      </w:r>
      <w:bookmarkEnd w:id="60030"/>
      <w:r>
        <w:rPr>
          <w:rFonts w:hAnsi="Arial"/>
          <w:rFonts w:ascii="Arial"/>
          <w:sz w:val="24"/>
          <w:b/>
          <w:i/>
          <w:color w:val="black"/>
        </w:rPr>
        <w:t xml:space="preserve"> </w:t>
      </w:r>
      <w:r>
        <w:rPr>
          <w:rFonts w:hAnsi="Arial"/>
          <w:rFonts w:ascii="Arial"/>
          <w:sz w:val="24"/>
          <w:color w:val="black"/>
        </w:rPr>
        <w:t xml:space="preserve">Los importadores, comercializadores o usuarios de la Nitrocelulosa a que se refiere el artículo anterior, están obligados a llevar un registro detallado de consumo, si son consumidores o del Nombre, NIT, y Dirección de los compradores con las cantidades y fechas de cada venta, si son importadores o comercializadores. Estos registros deberán coincidir con sus libros oficiales de contabilidad.</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1" w:name="2.2.4.1.14"/>
      <w:r>
        <w:rPr>
          <w:rFonts w:hAnsi="Arial"/>
          <w:rFonts w:ascii="Arial"/>
          <w:sz w:val="24"/>
          <w:color w:val="navy"/>
        </w:rPr>
        <w:t xml:space="preserve">ARTÍCULO 2.2.4.1.14. </w:t>
      </w:r>
      <w:r>
        <w:rPr>
          <w:rFonts w:hAnsi="Arial"/>
          <w:rFonts w:ascii="Arial"/>
          <w:sz w:val="24"/>
          <w:i/>
          <w:color w:val="navy"/>
        </w:rPr>
        <w:t xml:space="preserve">PLANES DE COMPRAS.</w:t>
      </w:r>
      <w:bookmarkEnd w:id="60031"/>
      <w:r>
        <w:rPr>
          <w:rFonts w:hAnsi="Arial"/>
          <w:rFonts w:ascii="Arial"/>
          <w:sz w:val="24"/>
          <w:b/>
          <w:i/>
          <w:color w:val="black"/>
        </w:rPr>
        <w:t xml:space="preserve"> </w:t>
      </w:r>
      <w:r>
        <w:rPr>
          <w:rFonts w:hAnsi="Arial"/>
          <w:rFonts w:ascii="Arial"/>
          <w:sz w:val="24"/>
          <w:color w:val="black"/>
        </w:rPr>
        <w:t xml:space="preserve">Los planes anuales tanto de compras como de ventas requeridos, deberán ser enviados al Departamento de Control Comercio Armas, Municiones y Explosivos del Comando General de las Fuerzas Militares, a más tardar en el mes de diciembre del año inmediatamente anterior al de la ejecución de los planes.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2" w:name="2.2.4.1.15"/>
      <w:r>
        <w:rPr>
          <w:rFonts w:hAnsi="Arial"/>
          <w:rFonts w:ascii="Arial"/>
          <w:sz w:val="24"/>
          <w:color w:val="navy"/>
        </w:rPr>
        <w:t xml:space="preserve">ARTÍCULO 2.2.4.1.15. </w:t>
      </w:r>
      <w:r>
        <w:rPr>
          <w:rFonts w:hAnsi="Arial"/>
          <w:rFonts w:ascii="Arial"/>
          <w:sz w:val="24"/>
          <w:i/>
          <w:color w:val="navy"/>
        </w:rPr>
        <w:t xml:space="preserve">INFORMES DE EJECUCIÓN.</w:t>
      </w:r>
      <w:bookmarkEnd w:id="60032"/>
      <w:r>
        <w:rPr>
          <w:rFonts w:hAnsi="Arial"/>
          <w:rFonts w:ascii="Arial"/>
          <w:sz w:val="24"/>
          <w:b/>
          <w:i/>
          <w:color w:val="black"/>
        </w:rPr>
        <w:t xml:space="preserve"> </w:t>
      </w:r>
      <w:r>
        <w:rPr>
          <w:rFonts w:hAnsi="Arial"/>
          <w:rFonts w:ascii="Arial"/>
          <w:sz w:val="24"/>
          <w:color w:val="black"/>
        </w:rPr>
        <w:t xml:space="preserve">Los informes de ejecución trimestral requeridos en el artículo 12 deberán ser enviados al Departamento de Control Comercio Armas, Municiones y Explosivos del Comando General de las Fuerzas Militares, dentro de los diez (10) primeros días de los meses de enero, abril, julio y octubre de cada año.</w:t>
      </w:r>
    </w:p>
    <w:p>
      <w:pPr>
        <w:jc w:val="both"/>
      </w:pPr>
      <w:rPr>
        <w:sz w:val="24"/>
        <w:color w:val="black"/>
      </w:rPr>
    </w:p>
    <w:p>
      <w:pPr>
        <w:tabs>
          <w:tab w:val="left" w:leader="none" w:pos="12096"/>
        </w:tabs>
      </w:pPr>
      <w:r>
        <w:rPr>
          <w:rFonts w:hAnsi="Arial"/>
          <w:rFonts w:ascii="Arial"/>
          <w:sz w:val="24"/>
          <w:i/>
          <w:color w:val="black"/>
        </w:rPr>
        <w:t xml:space="preserve">(Decreto 1809 de 1994 artículo </w:t>
      </w:r>
      <w:r>
        <w:fldChar w:fldCharType="begin"/>
      </w:r>
      <w:r>
        <w:instrText>HYPERLINK "http://www.redjurista.com/document.aspx?ajcode=d1809_94&amp;arts=15"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3" w:name="2.2.4.1.16"/>
      <w:r>
        <w:rPr>
          <w:rFonts w:hAnsi="Arial"/>
          <w:rFonts w:ascii="Arial"/>
          <w:sz w:val="24"/>
          <w:color w:val="navy"/>
        </w:rPr>
        <w:t xml:space="preserve">ARTÍCULO 2.2.4.1.16. </w:t>
      </w:r>
      <w:r>
        <w:rPr>
          <w:rFonts w:hAnsi="Arial"/>
          <w:rFonts w:ascii="Arial"/>
          <w:sz w:val="24"/>
          <w:i/>
          <w:color w:val="navy"/>
        </w:rPr>
        <w:t xml:space="preserve">LICENCIAS DE IMPORTACIÓN.</w:t>
      </w:r>
      <w:bookmarkEnd w:id="60033"/>
      <w:r>
        <w:rPr>
          <w:rFonts w:hAnsi="Arial"/>
          <w:rFonts w:ascii="Arial"/>
          <w:sz w:val="24"/>
          <w:b/>
          <w:i/>
          <w:color w:val="black"/>
        </w:rPr>
        <w:t xml:space="preserve"> </w:t>
      </w:r>
      <w:r>
        <w:rPr>
          <w:rFonts w:hAnsi="Arial"/>
          <w:rFonts w:ascii="Arial"/>
          <w:sz w:val="24"/>
          <w:color w:val="black"/>
        </w:rPr>
        <w:t xml:space="preserve">Con el objeto de cotejar la información recibida de los importadores el Departamento de Control Comercio Armas, Municiones y Explosivos de las Fuerzas Militares, pedirá al Incomex, las licencias de importación del respectivo trimestre.</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4" w:name="2.2.4.1.17"/>
      <w:r>
        <w:rPr>
          <w:rFonts w:hAnsi="Arial"/>
          <w:rFonts w:ascii="Arial"/>
          <w:sz w:val="24"/>
          <w:color w:val="navy"/>
        </w:rPr>
        <w:t xml:space="preserve">ARTÍCULO 2.2.4.1.17. </w:t>
      </w:r>
      <w:r>
        <w:rPr>
          <w:rFonts w:hAnsi="Arial"/>
          <w:rFonts w:ascii="Arial"/>
          <w:sz w:val="24"/>
          <w:i/>
          <w:color w:val="navy"/>
        </w:rPr>
        <w:t xml:space="preserve">ALMACENAMIENTO DE NITROCELULOSA.</w:t>
      </w:r>
      <w:bookmarkEnd w:id="60034"/>
      <w:r>
        <w:rPr>
          <w:rFonts w:hAnsi="Arial"/>
          <w:rFonts w:ascii="Arial"/>
          <w:sz w:val="24"/>
          <w:b/>
          <w:i/>
          <w:color w:val="black"/>
        </w:rPr>
        <w:t xml:space="preserve"> </w:t>
      </w:r>
      <w:r>
        <w:rPr>
          <w:rFonts w:hAnsi="Arial"/>
          <w:rFonts w:ascii="Arial"/>
          <w:sz w:val="24"/>
          <w:color w:val="black"/>
        </w:rPr>
        <w:t xml:space="preserve">Corresponde a los Alcaldes, como suprema autoridad de Policía de sus respectivas jurisdicciones, mediante la dependencia que ellos señalen, vigilar que la Nitrocelulosa se almacene y se use de conformidad con las normas técnicas y de seguridad industrial, establecidas por las casas fabricantes, la IATA, Organización consultiva Internacional de las Naciones Unidas y la lista de mercancías peligrosas de Puertos de Colombia, pudiendo en cada caso de que no se cumplan dichas normas suspender las licencias de sanidad del respectivo establecimiento industrial o de comercio.</w:t>
      </w:r>
    </w:p>
    <w:p>
      <w:pPr>
        <w:jc w:val="both"/>
      </w:pPr>
      <w:rPr>
        <w:sz w:val="24"/>
        <w:color w:val="black"/>
      </w:rPr>
    </w:p>
    <w:p>
      <w:pPr>
        <w:jc w:val="both"/>
      </w:pPr>
      <w:r>
        <w:rPr>
          <w:rFonts w:hAnsi="Arial"/>
          <w:rFonts w:ascii="Arial"/>
          <w:sz w:val="24"/>
          <w:color w:val="black"/>
        </w:rPr>
        <w:t xml:space="preserve">Para este fin, el Departamento de Control Comercio Armas, Municiones y Explosivos del Comando General de las Fuerzas Militares, con base en la información recibida oficiará a los Alcaldes, indicando el nombre y dirección del importador, Comercializador o usuario de la Nitrocelulosa.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5" w:name="2.2.4.1.18"/>
      <w:r>
        <w:rPr>
          <w:rFonts w:hAnsi="Arial"/>
          <w:rFonts w:ascii="Arial"/>
          <w:sz w:val="24"/>
          <w:color w:val="navy"/>
        </w:rPr>
        <w:t xml:space="preserve">ARTÍCULO 2.2.4.1.18. </w:t>
      </w:r>
      <w:r>
        <w:rPr>
          <w:rFonts w:hAnsi="Arial"/>
          <w:rFonts w:ascii="Arial"/>
          <w:sz w:val="24"/>
          <w:i/>
          <w:color w:val="navy"/>
        </w:rPr>
        <w:t xml:space="preserve">TRANSPORTE DE EXPLOSIVOS.</w:t>
      </w:r>
      <w:bookmarkEnd w:id="60035"/>
      <w:r>
        <w:rPr>
          <w:rFonts w:hAnsi="Arial"/>
          <w:rFonts w:ascii="Arial"/>
          <w:sz w:val="24"/>
          <w:b/>
          <w:i/>
          <w:color w:val="black"/>
        </w:rPr>
        <w:t xml:space="preserve"> </w:t>
      </w:r>
      <w:r>
        <w:rPr>
          <w:rFonts w:hAnsi="Arial"/>
          <w:rFonts w:ascii="Arial"/>
          <w:sz w:val="24"/>
          <w:color w:val="black"/>
        </w:rPr>
        <w:t xml:space="preserve">Para la aplicación del artículo </w:t>
      </w:r>
      <w:r>
        <w:fldChar w:fldCharType="begin"/>
      </w:r>
      <w:r>
        <w:instrText>HYPERLINK "http://www.redjurista.com/document.aspx?ajcode=d2535_93&amp;arts=54"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Decreto 2535 de 1993, el transporte de explosivos y sus accesorios deberá sujetarse a los siguientes requisitos.</w:t>
      </w:r>
    </w:p>
    <w:p>
      <w:pPr>
        <w:jc w:val="both"/>
      </w:pPr>
      <w:rPr>
        <w:sz w:val="24"/>
        <w:color w:val="black"/>
      </w:rPr>
    </w:p>
    <w:p>
      <w:pPr>
        <w:jc w:val="both"/>
      </w:pPr>
      <w:r>
        <w:rPr>
          <w:rFonts w:hAnsi="Arial"/>
          <w:rFonts w:ascii="Arial"/>
          <w:sz w:val="24"/>
          <w:color w:val="black"/>
        </w:rPr>
        <w:t xml:space="preserve">TERRESTRE, MARÍTIMO Y FLUVIAL.</w:t>
      </w:r>
    </w:p>
    <w:p>
      <w:pPr>
        <w:jc w:val="both"/>
      </w:pPr>
      <w:rPr>
        <w:sz w:val="24"/>
        <w:color w:val="black"/>
      </w:rPr>
    </w:p>
    <w:p>
      <w:pPr>
        <w:jc w:val="both"/>
      </w:pPr>
      <w:r>
        <w:rPr>
          <w:rFonts w:hAnsi="Arial"/>
          <w:rFonts w:ascii="Arial"/>
          <w:sz w:val="24"/>
          <w:color w:val="black"/>
        </w:rPr>
        <w:t xml:space="preserve">- Autorización de la venta de los explosivos y sus accesorios.</w:t>
      </w:r>
    </w:p>
    <w:p>
      <w:pPr>
        <w:jc w:val="both"/>
      </w:pPr>
      <w:rPr>
        <w:sz w:val="24"/>
        <w:color w:val="black"/>
      </w:rPr>
    </w:p>
    <w:p>
      <w:pPr>
        <w:jc w:val="both"/>
      </w:pPr>
      <w:r>
        <w:rPr>
          <w:rFonts w:hAnsi="Arial"/>
          <w:rFonts w:ascii="Arial"/>
          <w:sz w:val="24"/>
          <w:color w:val="black"/>
        </w:rPr>
        <w:t xml:space="preserve">- Permiso para transporte de los mismos, expedido por la autoridad militar respectiva.</w:t>
      </w:r>
    </w:p>
    <w:p>
      <w:pPr>
        <w:jc w:val="both"/>
      </w:pPr>
      <w:rPr>
        <w:sz w:val="24"/>
        <w:color w:val="black"/>
      </w:rPr>
    </w:p>
    <w:p>
      <w:pPr>
        <w:jc w:val="both"/>
      </w:pPr>
      <w:r>
        <w:rPr>
          <w:rFonts w:hAnsi="Arial"/>
          <w:rFonts w:ascii="Arial"/>
          <w:sz w:val="24"/>
          <w:color w:val="black"/>
        </w:rPr>
        <w:t xml:space="preserve">- Factura de pago suministrada por la Industria Militar.</w:t>
      </w:r>
    </w:p>
    <w:p>
      <w:pPr>
        <w:jc w:val="both"/>
      </w:pPr>
      <w:rPr>
        <w:sz w:val="24"/>
        <w:color w:val="black"/>
      </w:rPr>
    </w:p>
    <w:p>
      <w:pPr>
        <w:jc w:val="both"/>
      </w:pPr>
      <w:r>
        <w:rPr>
          <w:rFonts w:hAnsi="Arial"/>
          <w:rFonts w:ascii="Arial"/>
          <w:sz w:val="24"/>
          <w:color w:val="black"/>
        </w:rPr>
        <w:t xml:space="preserve">- Solicitud escrita a la autoridad militar de la jurisdicción de la escolta respectiva, sin la cual no podrá trasladar el material.</w:t>
      </w:r>
    </w:p>
    <w:p>
      <w:pPr>
        <w:jc w:val="both"/>
      </w:pPr>
      <w:rPr>
        <w:sz w:val="24"/>
        <w:color w:val="black"/>
      </w:rPr>
    </w:p>
    <w:p>
      <w:pPr>
        <w:jc w:val="both"/>
      </w:pPr>
      <w:r>
        <w:rPr>
          <w:rFonts w:hAnsi="Arial"/>
          <w:rFonts w:ascii="Arial"/>
          <w:sz w:val="24"/>
          <w:color w:val="black"/>
        </w:rPr>
        <w:t xml:space="preserve">- Certificación de la entidad transportadora en la que se responsabilice el transporte y custodia del material, del lugar de origen hasta su destino final.</w:t>
      </w:r>
    </w:p>
    <w:p>
      <w:pPr>
        <w:jc w:val="both"/>
      </w:pPr>
      <w:rPr>
        <w:sz w:val="24"/>
        <w:color w:val="black"/>
      </w:rPr>
    </w:p>
    <w:p>
      <w:pPr>
        <w:jc w:val="both"/>
      </w:pPr>
      <w:r>
        <w:rPr>
          <w:rFonts w:hAnsi="Arial"/>
          <w:rFonts w:ascii="Arial"/>
          <w:sz w:val="24"/>
          <w:color w:val="black"/>
        </w:rPr>
        <w:t>AÉREO:</w:t>
      </w:r>
    </w:p>
    <w:p>
      <w:pPr>
        <w:jc w:val="both"/>
      </w:pPr>
      <w:rPr>
        <w:sz w:val="24"/>
        <w:color w:val="black"/>
      </w:rPr>
    </w:p>
    <w:p>
      <w:pPr>
        <w:jc w:val="both"/>
      </w:pPr>
      <w:r>
        <w:rPr>
          <w:rFonts w:hAnsi="Arial"/>
          <w:rFonts w:ascii="Arial"/>
          <w:sz w:val="24"/>
          <w:color w:val="black"/>
        </w:rPr>
        <w:t xml:space="preserve">- Los mismos requisitos mencionados anteriormente y además la autorización previa de la Aeronáutica Civil, en donde en forma expresa se haga claridad de tipo de material que autoriza transportar.</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36" w:name="2.2.4.1.19"/>
      <w:r>
        <w:rPr>
          <w:rFonts w:hAnsi="Arial"/>
          <w:rFonts w:ascii="Arial"/>
          <w:sz w:val="24"/>
          <w:color w:val="navy"/>
        </w:rPr>
        <w:t xml:space="preserve">ARTÍCULO 2.2.4.1.19. </w:t>
      </w:r>
      <w:r>
        <w:rPr>
          <w:rFonts w:hAnsi="Arial"/>
          <w:rFonts w:ascii="Arial"/>
          <w:sz w:val="24"/>
          <w:i/>
          <w:color w:val="navy"/>
        </w:rPr>
        <w:t xml:space="preserve">IMPORTACIÓN Y EXPORTACIÓN DE ARMAS.</w:t>
      </w:r>
      <w:bookmarkEnd w:id="60036"/>
      <w:r>
        <w:rPr>
          <w:rFonts w:hAnsi="Arial"/>
          <w:rFonts w:ascii="Arial"/>
          <w:sz w:val="24"/>
          <w:b/>
          <w:i/>
          <w:color w:val="black"/>
        </w:rPr>
        <w:t xml:space="preserve"> </w:t>
      </w:r>
      <w:r>
        <w:rPr>
          <w:rFonts w:hAnsi="Arial"/>
          <w:rFonts w:ascii="Arial"/>
          <w:sz w:val="24"/>
          <w:color w:val="black"/>
        </w:rPr>
        <w:t xml:space="preserve">Para los efectos del artículo </w:t>
      </w:r>
      <w:r>
        <w:fldChar w:fldCharType="begin"/>
      </w:r>
      <w:r>
        <w:instrText>HYPERLINK "http://www.redjurista.com/document.aspx?ajcode=d2535_93&amp;arts=57"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Decreto 2535 de 1993, el Gobierno Nacional, a través de la Industria Militar puede importar y exportar armas, municiones y explosivos para las personas jurídicas y naturales que así lo requieran, previo cumplimiento de los siguientes requisitos:</w:t>
      </w:r>
    </w:p>
    <w:p>
      <w:pPr>
        <w:jc w:val="both"/>
      </w:pPr>
      <w:rPr>
        <w:sz w:val="24"/>
        <w:color w:val="black"/>
      </w:rPr>
    </w:p>
    <w:p>
      <w:pPr>
        <w:jc w:val="both"/>
      </w:pPr>
      <w:r>
        <w:rPr>
          <w:rFonts w:hAnsi="Arial"/>
          <w:rFonts w:ascii="Arial"/>
          <w:sz w:val="24"/>
          <w:color w:val="black"/>
        </w:rPr>
        <w:t xml:space="preserve">a) Personas jurídicas colombianas o extranjeras.</w:t>
      </w:r>
    </w:p>
    <w:p>
      <w:pPr>
        <w:jc w:val="both"/>
      </w:pPr>
      <w:rPr>
        <w:sz w:val="24"/>
        <w:color w:val="black"/>
      </w:rPr>
    </w:p>
    <w:p>
      <w:pPr>
        <w:jc w:val="both"/>
      </w:pPr>
      <w:r>
        <w:rPr>
          <w:rFonts w:hAnsi="Arial"/>
          <w:rFonts w:ascii="Arial"/>
          <w:sz w:val="24"/>
          <w:color w:val="black"/>
        </w:rPr>
        <w:t xml:space="preserve">1. Solicitud motivada en la que conste:</w:t>
      </w:r>
    </w:p>
    <w:p>
      <w:pPr>
        <w:jc w:val="both"/>
      </w:pPr>
      <w:rPr>
        <w:sz w:val="24"/>
        <w:color w:val="black"/>
      </w:rPr>
    </w:p>
    <w:p>
      <w:pPr>
        <w:jc w:val="both"/>
      </w:pPr>
      <w:r>
        <w:rPr>
          <w:rFonts w:hAnsi="Arial"/>
          <w:rFonts w:ascii="Arial"/>
          <w:sz w:val="24"/>
          <w:color w:val="black"/>
        </w:rPr>
        <w:t xml:space="preserve">a) Clase y cantidad (en volumen) del material por importar,</w:t>
      </w:r>
    </w:p>
    <w:p>
      <w:pPr>
        <w:jc w:val="both"/>
      </w:pPr>
      <w:rPr>
        <w:sz w:val="24"/>
        <w:color w:val="black"/>
      </w:rPr>
    </w:p>
    <w:p>
      <w:pPr>
        <w:jc w:val="both"/>
      </w:pPr>
      <w:r>
        <w:rPr>
          <w:rFonts w:hAnsi="Arial"/>
          <w:rFonts w:ascii="Arial"/>
          <w:sz w:val="24"/>
          <w:color w:val="black"/>
        </w:rPr>
        <w:t xml:space="preserve">b) Puerto de embarque;</w:t>
      </w:r>
    </w:p>
    <w:p>
      <w:pPr>
        <w:jc w:val="both"/>
      </w:pPr>
      <w:rPr>
        <w:sz w:val="24"/>
        <w:color w:val="black"/>
      </w:rPr>
    </w:p>
    <w:p>
      <w:pPr>
        <w:jc w:val="both"/>
      </w:pPr>
      <w:r>
        <w:rPr>
          <w:rFonts w:hAnsi="Arial"/>
          <w:rFonts w:ascii="Arial"/>
          <w:sz w:val="24"/>
          <w:color w:val="black"/>
        </w:rPr>
        <w:t xml:space="preserve">c) Puerto de llegada al País;</w:t>
      </w:r>
    </w:p>
    <w:p>
      <w:pPr>
        <w:jc w:val="both"/>
      </w:pPr>
      <w:rPr>
        <w:sz w:val="24"/>
        <w:color w:val="black"/>
      </w:rPr>
    </w:p>
    <w:p>
      <w:pPr>
        <w:jc w:val="both"/>
      </w:pPr>
      <w:r>
        <w:rPr>
          <w:rFonts w:hAnsi="Arial"/>
          <w:rFonts w:ascii="Arial"/>
          <w:sz w:val="24"/>
          <w:color w:val="black"/>
        </w:rPr>
        <w:t xml:space="preserve">d) Destino final (lugar de almacenamiento);</w:t>
      </w:r>
    </w:p>
    <w:p>
      <w:pPr>
        <w:jc w:val="both"/>
      </w:pPr>
      <w:rPr>
        <w:sz w:val="24"/>
        <w:color w:val="black"/>
      </w:rPr>
    </w:p>
    <w:p>
      <w:pPr>
        <w:jc w:val="both"/>
      </w:pPr>
      <w:r>
        <w:rPr>
          <w:rFonts w:hAnsi="Arial"/>
          <w:rFonts w:ascii="Arial"/>
          <w:sz w:val="24"/>
          <w:color w:val="black"/>
        </w:rPr>
        <w:t xml:space="preserve">e) Porcentaje de concentración de los explosivos;</w:t>
      </w:r>
    </w:p>
    <w:p>
      <w:pPr>
        <w:jc w:val="both"/>
      </w:pPr>
      <w:rPr>
        <w:sz w:val="24"/>
        <w:color w:val="black"/>
      </w:rPr>
    </w:p>
    <w:p>
      <w:pPr>
        <w:jc w:val="both"/>
      </w:pPr>
      <w:r>
        <w:rPr>
          <w:rFonts w:hAnsi="Arial"/>
          <w:rFonts w:ascii="Arial"/>
          <w:sz w:val="24"/>
          <w:color w:val="black"/>
        </w:rPr>
        <w:t xml:space="preserve">f) Nombre del consignatario;</w:t>
      </w:r>
    </w:p>
    <w:p>
      <w:pPr>
        <w:jc w:val="both"/>
      </w:pPr>
      <w:rPr>
        <w:sz w:val="24"/>
        <w:color w:val="black"/>
      </w:rPr>
    </w:p>
    <w:p>
      <w:pPr>
        <w:jc w:val="both"/>
      </w:pPr>
      <w:r>
        <w:rPr>
          <w:rFonts w:hAnsi="Arial"/>
          <w:rFonts w:ascii="Arial"/>
          <w:sz w:val="24"/>
          <w:color w:val="black"/>
        </w:rPr>
        <w:t xml:space="preserve">g) Nombre de la Casa exportadora;</w:t>
      </w:r>
    </w:p>
    <w:p>
      <w:pPr>
        <w:jc w:val="both"/>
      </w:pPr>
      <w:rPr>
        <w:sz w:val="24"/>
        <w:color w:val="black"/>
      </w:rPr>
    </w:p>
    <w:p>
      <w:pPr>
        <w:jc w:val="both"/>
      </w:pPr>
      <w:r>
        <w:rPr>
          <w:rFonts w:hAnsi="Arial"/>
          <w:rFonts w:ascii="Arial"/>
          <w:sz w:val="24"/>
          <w:color w:val="black"/>
        </w:rPr>
        <w:t xml:space="preserve">h) Empleo que se le dará al material;</w:t>
      </w:r>
    </w:p>
    <w:p>
      <w:pPr>
        <w:jc w:val="both"/>
      </w:pPr>
      <w:rPr>
        <w:sz w:val="24"/>
        <w:color w:val="black"/>
      </w:rPr>
    </w:p>
    <w:p>
      <w:pPr>
        <w:jc w:val="both"/>
      </w:pPr>
      <w:r>
        <w:rPr>
          <w:rFonts w:hAnsi="Arial"/>
          <w:rFonts w:ascii="Arial"/>
          <w:sz w:val="24"/>
          <w:color w:val="black"/>
        </w:rPr>
        <w:t xml:space="preserve">2. Certificado de existencia y representación legal.</w:t>
      </w:r>
    </w:p>
    <w:p>
      <w:pPr>
        <w:jc w:val="both"/>
      </w:pPr>
      <w:rPr>
        <w:sz w:val="24"/>
        <w:color w:val="black"/>
      </w:rPr>
    </w:p>
    <w:p>
      <w:pPr>
        <w:jc w:val="both"/>
      </w:pPr>
      <w:r>
        <w:rPr>
          <w:rFonts w:hAnsi="Arial"/>
          <w:rFonts w:ascii="Arial"/>
          <w:sz w:val="24"/>
          <w:color w:val="black"/>
        </w:rPr>
        <w:t xml:space="preserve">3. Concepto favorable expedido por la autoridad militar Competente.</w:t>
      </w:r>
    </w:p>
    <w:p>
      <w:pPr>
        <w:jc w:val="both"/>
      </w:pPr>
      <w:rPr>
        <w:sz w:val="24"/>
        <w:color w:val="black"/>
      </w:rPr>
    </w:p>
    <w:p>
      <w:pPr>
        <w:jc w:val="both"/>
      </w:pPr>
      <w:r>
        <w:rPr>
          <w:rFonts w:hAnsi="Arial"/>
          <w:rFonts w:ascii="Arial"/>
          <w:sz w:val="24"/>
          <w:color w:val="black"/>
        </w:rPr>
        <w:t xml:space="preserve">4. Concepto favorable expedido por la Industria Militar.</w:t>
      </w:r>
    </w:p>
    <w:p>
      <w:pPr>
        <w:jc w:val="both"/>
      </w:pPr>
      <w:rPr>
        <w:sz w:val="24"/>
        <w:color w:val="black"/>
      </w:rPr>
    </w:p>
    <w:p>
      <w:pPr>
        <w:jc w:val="both"/>
      </w:pPr>
      <w:r>
        <w:rPr>
          <w:rFonts w:hAnsi="Arial"/>
          <w:rFonts w:ascii="Arial"/>
          <w:sz w:val="24"/>
          <w:color w:val="black"/>
        </w:rPr>
        <w:t xml:space="preserve">b) Personas naturales colombianas o extranjeras.</w:t>
      </w:r>
    </w:p>
    <w:p>
      <w:pPr>
        <w:jc w:val="both"/>
      </w:pPr>
      <w:rPr>
        <w:sz w:val="24"/>
        <w:color w:val="black"/>
      </w:rPr>
    </w:p>
    <w:p>
      <w:pPr>
        <w:jc w:val="both"/>
      </w:pPr>
      <w:r>
        <w:rPr>
          <w:rFonts w:hAnsi="Arial"/>
          <w:rFonts w:ascii="Arial"/>
          <w:sz w:val="24"/>
          <w:color w:val="black"/>
        </w:rPr>
        <w:t xml:space="preserve">1. Solicitud escrita adjuntando los siguientes requisitos:</w:t>
      </w:r>
    </w:p>
    <w:p>
      <w:pPr>
        <w:jc w:val="both"/>
      </w:pPr>
      <w:rPr>
        <w:sz w:val="24"/>
        <w:color w:val="black"/>
      </w:rPr>
    </w:p>
    <w:p>
      <w:pPr>
        <w:jc w:val="both"/>
      </w:pPr>
      <w:r>
        <w:rPr>
          <w:rFonts w:hAnsi="Arial"/>
          <w:rFonts w:ascii="Arial"/>
          <w:sz w:val="24"/>
          <w:color w:val="black"/>
        </w:rPr>
        <w:t xml:space="preserve">a) Certificado judicial nacional vigente y libreta militar.</w:t>
      </w:r>
    </w:p>
    <w:p>
      <w:pPr>
        <w:jc w:val="both"/>
      </w:pPr>
      <w:rPr>
        <w:sz w:val="24"/>
        <w:color w:val="black"/>
      </w:rPr>
    </w:p>
    <w:p>
      <w:pPr>
        <w:jc w:val="both"/>
      </w:pPr>
      <w:r>
        <w:rPr>
          <w:rFonts w:hAnsi="Arial"/>
          <w:rFonts w:ascii="Arial"/>
          <w:sz w:val="24"/>
          <w:color w:val="black"/>
        </w:rPr>
        <w:t xml:space="preserve">b) Concepto favorable expedido por el Comandante de Brigada, Unidad Táctica, Base Naval o Aérea, de su residencia.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037" w:name="2.2.4.1.20"/>
      <w:r>
        <w:rPr>
          <w:rFonts w:hAnsi="Arial"/>
          <w:rFonts w:ascii="Arial"/>
          <w:sz w:val="24"/>
          <w:color w:val="navy"/>
        </w:rPr>
        <w:t xml:space="preserve">ARTÍCULO 2.2.4.1.20. </w:t>
      </w:r>
      <w:r>
        <w:rPr>
          <w:rFonts w:hAnsi="Arial"/>
          <w:rFonts w:ascii="Arial"/>
          <w:sz w:val="24"/>
          <w:i/>
          <w:color w:val="navy"/>
        </w:rPr>
        <w:t xml:space="preserve">PERMISOS DE EXPORTACIÓN E IMPORTACIÓN DE ARMAS.</w:t>
      </w:r>
      <w:bookmarkEnd w:id="60037"/>
      <w:r>
        <w:rPr>
          <w:rFonts w:hAnsi="Arial"/>
          <w:rFonts w:ascii="Arial"/>
          <w:sz w:val="24"/>
          <w:b/>
          <w:i/>
          <w:color w:val="black"/>
        </w:rPr>
        <w:t xml:space="preserve"> </w:t>
      </w:r>
      <w:r>
        <w:rPr>
          <w:rFonts w:hAnsi="Arial"/>
          <w:rFonts w:ascii="Arial"/>
          <w:sz w:val="24"/>
          <w:color w:val="black"/>
        </w:rPr>
        <w:t xml:space="preserve">De conformidad con el artículo </w:t>
      </w:r>
      <w:r>
        <w:fldChar w:fldCharType="begin"/>
      </w:r>
      <w:r>
        <w:instrText>HYPERLINK "http://www.redjurista.com/document.aspx?ajcode=d2535_93&amp;arts=58"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del Decreto 2535 de 1993, el Comando General de las Fuerzas Militares, podrá expedir y revalidar permisos de exportación e importación temporal, de armas y municiones deportivas o de cacería, a tiradores que salgan o entren al país, con el propósito de participar en competencias internacionales, actividades de caza y arreglos o reparaciones de las mismas.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se trate de cacería deberá contarse con la autorización previa del Ministerio del Medio Ambiente de Colombia, y acreditar la afiliación a la Federación Colombiana de Tiro y Caza, requisitos sin los cuales el Comando General de las Fuerzas Militares, se abstendrá de expedir la correspondiente autorización.</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outlineLvl w:val="1"/>
      </w:pPr>
      <w:r>
        <w:rPr>
          <w:rFonts w:hAnsi="Arial"/>
          <w:rFonts w:ascii="Arial"/>
          <w:sz w:val="24"/>
          <w:b/>
          <w:vanish/>
          <w:color w:val="black"/>
        </w:rPr>
        <w:t>&amp;$</w:t>
      </w:r>
      <w:bookmarkStart w:id="60038" w:name="2.2.4.1.21"/>
      <w:r>
        <w:rPr>
          <w:rFonts w:hAnsi="Arial"/>
          <w:rFonts w:ascii="Arial"/>
          <w:sz w:val="24"/>
          <w:color w:val="navy"/>
        </w:rPr>
        <w:t xml:space="preserve">ARTÍCULO 2.2.4.1.21 REQUISITOS PARA LA INSTALACIÓN, FUNCIONAMIENTO DE FÁBRICAS, ESTABLECIMIENTOS DE COMERCIO O EXPENDIO DE PÓLVORA, PRODUCTOS PIROTÉCNICOS, JUEGOS ARTIFICIALES Y GLOBOS AEROSTÁTICOS DE PIROTECNIA.</w:t>
      </w:r>
      <w:bookmarkEnd w:id="6003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"http://www.redjurista.com/document.aspx?ajcode=d2174023&amp;arts=2"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2174 de 2023. El nuevo texto es el siguiente:&gt; Para el funcionamiento en el territorio nacional de fábricas, establecimientos de comercio o expendio de pólvora, productos pirotécnicos, juegos artificiales y globos aerostáticos de pirotecnia, se requiere de la licencia emitida por el Departamento Control Comercio de Armas, Municiones y Explosivos, previo cumplimiento de los siguientes requisitos: </w:t>
      </w:r>
    </w:p>
    <w:p>
      <w:pPr>
        <w:jc w:val="both"/>
        <w:outlineLvl w:val="1"/>
      </w:pPr>
      <w:rPr>
        <w:sz w:val="24"/>
        <w:b/>
        <w:color w:val="black"/>
      </w:rPr>
    </w:p>
    <w:p>
      <w:pPr>
        <w:jc w:val="both"/>
        <w:outlineLvl w:val="1"/>
      </w:pPr>
      <w:r>
        <w:rPr>
          <w:rFonts w:hAnsi="Arial"/>
          <w:rFonts w:ascii="Arial"/>
          <w:sz w:val="24"/>
          <w:color w:val="black"/>
        </w:rPr>
        <w:t xml:space="preserve">1. Solicitud dirigida al Departamento Control Comercio de Armas, Municiones y Explosivos, donde se indique la ubicación exacta en donde se fabrica, almacena o comercializa la pólvora, productos pirotécnicos, juegos artificiales y globos aerostáticos de pirotecnia, firmada por el representante legal inscrito ante ese departamento. </w:t>
      </w:r>
    </w:p>
    <w:p>
      <w:pPr>
        <w:jc w:val="both"/>
        <w:outlineLvl w:val="1"/>
      </w:pPr>
      <w:rPr>
        <w:sz w:val="24"/>
        <w:b/>
        <w:color w:val="black"/>
      </w:rPr>
    </w:p>
    <w:p>
      <w:pPr>
        <w:jc w:val="both"/>
        <w:outlineLvl w:val="1"/>
      </w:pPr>
      <w:r>
        <w:rPr>
          <w:rFonts w:hAnsi="Arial"/>
          <w:rFonts w:ascii="Arial"/>
          <w:sz w:val="24"/>
          <w:color w:val="black"/>
        </w:rPr>
        <w:t xml:space="preserve">2. Concepto favorable e informe de revista de inspección ordenada por el jefe de Estado Mayor de la Unidad Operativa Menor o por el Ejecutivo y Segundo comandante de la Unidad Táctica en el Ejército Nacional o sus equivalentes en la Armada Nacional o la Fuerza Aeroespacial Colombiana, encargada de la jurisdicción donde se encuentre ubicada la instalación en la que se fabrique, almacene y distribuya la pólvora, productos pirotécnicos, juegos artificiales y globos aerostáticos de pirotecnia. </w:t>
      </w:r>
    </w:p>
    <w:p>
      <w:pPr>
        <w:jc w:val="both"/>
        <w:outlineLvl w:val="1"/>
      </w:pPr>
      <w:rPr>
        <w:sz w:val="24"/>
        <w:b/>
        <w:color w:val="black"/>
      </w:rPr>
    </w:p>
    <w:p>
      <w:pPr>
        <w:jc w:val="both"/>
        <w:outlineLvl w:val="1"/>
      </w:pPr>
      <w:r>
        <w:rPr>
          <w:rFonts w:hAnsi="Arial"/>
          <w:rFonts w:ascii="Arial"/>
          <w:sz w:val="24"/>
          <w:color w:val="black"/>
        </w:rPr>
        <w:t xml:space="preserve">3. Certificado de Existencia y Representación Legal, expedido por la Cámara de Comercio respectiva con vigencia a no mayor de sesenta (60) días, cuyo objeto social sea acorde a la actividad económica para la cual solicita el permiso. </w:t>
      </w:r>
    </w:p>
    <w:p>
      <w:pPr>
        <w:jc w:val="both"/>
        <w:outlineLvl w:val="1"/>
      </w:pPr>
      <w:rPr>
        <w:sz w:val="24"/>
        <w:b/>
        <w:color w:val="black"/>
      </w:rPr>
    </w:p>
    <w:p>
      <w:pPr>
        <w:jc w:val="both"/>
        <w:outlineLvl w:val="1"/>
      </w:pPr>
      <w:r>
        <w:rPr>
          <w:rFonts w:hAnsi="Arial"/>
          <w:rFonts w:ascii="Arial"/>
          <w:sz w:val="24"/>
          <w:color w:val="black"/>
        </w:rPr>
        <w:t xml:space="preserve">4. Autorización para verificación de antecedentes judiciales y copia de cédula de ciudadanía del representante legal y personal responsable de la fabricación y almacenamiento de la pólvora, productos pirotécnicos, juegos artificiales y globos aerostáticos de pirotecnia. </w:t>
      </w:r>
    </w:p>
    <w:p>
      <w:pPr>
        <w:jc w:val="both"/>
        <w:outlineLvl w:val="1"/>
      </w:pPr>
      <w:rPr>
        <w:sz w:val="24"/>
        <w:b/>
        <w:color w:val="black"/>
      </w:rPr>
    </w:p>
    <w:p>
      <w:pPr>
        <w:jc w:val="both"/>
        <w:outlineLvl w:val="1"/>
      </w:pPr>
      <w:r>
        <w:rPr>
          <w:rFonts w:hAnsi="Arial"/>
          <w:rFonts w:ascii="Arial"/>
          <w:sz w:val="24"/>
          <w:color w:val="black"/>
        </w:rPr>
        <w:t xml:space="preserve">5. Certificación que acredite la idoneidad del personal de la fábrica o del que se encargará de la manipulación de sustancias químicas o sustancias peligrosas, emitido por el Servicio Nacional de Aprendizaje (SENA). </w:t>
      </w:r>
    </w:p>
    <w:p>
      <w:pPr>
        <w:jc w:val="both"/>
        <w:outlineLvl w:val="1"/>
      </w:pPr>
      <w:rPr>
        <w:sz w:val="24"/>
        <w:b/>
        <w:color w:val="black"/>
      </w:rPr>
    </w:p>
    <w:p>
      <w:pPr>
        <w:jc w:val="both"/>
        <w:outlineLvl w:val="1"/>
      </w:pPr>
      <w:r>
        <w:rPr>
          <w:rFonts w:hAnsi="Arial"/>
          <w:rFonts w:ascii="Arial"/>
          <w:sz w:val="24"/>
          <w:color w:val="black"/>
        </w:rPr>
        <w:t xml:space="preserve">6. Certificado de seguridad humana y de protección contra incendio expedido por el cuerpo de bomberos del municipio o distrito. </w:t>
      </w:r>
    </w:p>
    <w:p>
      <w:pPr>
        <w:jc w:val="both"/>
        <w:outlineLvl w:val="1"/>
      </w:pPr>
      <w:rPr>
        <w:sz w:val="24"/>
        <w:b/>
        <w:color w:val="black"/>
      </w:rPr>
    </w:p>
    <w:p>
      <w:pPr>
        <w:jc w:val="both"/>
        <w:outlineLvl w:val="1"/>
      </w:pPr>
      <w:r>
        <w:rPr>
          <w:rFonts w:hAnsi="Arial"/>
          <w:rFonts w:ascii="Arial"/>
          <w:sz w:val="24"/>
          <w:color w:val="black"/>
        </w:rPr>
        <w:t xml:space="preserve">7. Certificado vigente de brigadista integral de las personas que se ocuparán del proceso de fabricación, almacenamiento y distribución de sustancias químicas controladas, expedido por los Centros de Formación autorizados por la Dirección Nacional de Bomberos de Colombia. </w:t>
      </w:r>
    </w:p>
    <w:p>
      <w:pPr>
        <w:jc w:val="both"/>
        <w:outlineLvl w:val="1"/>
      </w:pPr>
      <w:rPr>
        <w:sz w:val="24"/>
        <w:b/>
        <w:color w:val="black"/>
      </w:rPr>
    </w:p>
    <w:p>
      <w:pPr>
        <w:jc w:val="both"/>
        <w:outlineLvl w:val="1"/>
      </w:pPr>
      <w:r>
        <w:rPr>
          <w:rFonts w:hAnsi="Arial"/>
          <w:rFonts w:ascii="Arial"/>
          <w:sz w:val="24"/>
          <w:color w:val="black"/>
        </w:rPr>
        <w:t xml:space="preserve">8. Concepto de conveniencia emitido por la alcaldía municipal o distrital en el que se especifique la autorización de instalación y funcionamiento de la fábrica, establecimientos de comercio o expendio de pólvora, productos pirotécnicos, juegos artificiales y globos aerostáticos de pirotecnia. </w:t>
      </w:r>
    </w:p>
    <w:p>
      <w:pPr>
        <w:jc w:val="both"/>
        <w:outlineLvl w:val="1"/>
      </w:pPr>
      <w:rPr>
        <w:sz w:val="24"/>
        <w:b/>
        <w:color w:val="black"/>
      </w:rPr>
    </w:p>
    <w:p>
      <w:pPr>
        <w:jc w:val="both"/>
        <w:outlineLvl w:val="1"/>
      </w:pPr>
      <w:r>
        <w:rPr>
          <w:rFonts w:hAnsi="Arial"/>
          <w:rFonts w:ascii="Arial"/>
          <w:sz w:val="24"/>
          <w:color w:val="black"/>
        </w:rPr>
        <w:t xml:space="preserve">9. Los demás que establece el artículo </w:t>
      </w:r>
      <w:r>
        <w:fldChar w:fldCharType="begin"/>
      </w:r>
      <w:r>
        <w:instrText>HYPERLINK "http://www.redjurista.com/document.aspx?ajcode=l1801016&amp;arts=87"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1801 de 2016.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permiso de funcionamiento para las fábricas, establecimientos de comercio o expendio de pólvora, productos pirotécnicos, juegos artificiales y globos aerostáticos de pirotecnia, tendrá validez por tres (3) años a partir de la fecha en que se expida. </w:t>
      </w:r>
    </w:p>
    <w:p>
      <w:pPr>
        <w:jc w:val="both"/>
        <w:outlineLvl w:val="1"/>
      </w:pPr>
      <w:rPr>
        <w:sz w:val="24"/>
        <w:b/>
        <w:color w:val="black"/>
      </w:rPr>
    </w:p>
    <w:p>
      <w:pPr>
        <w:jc w:val="both"/>
        <w:outlineLvl w:val="1"/>
      </w:pPr>
      <w:r>
        <w:rPr>
          <w:rFonts w:hAnsi="Arial"/>
          <w:rFonts w:ascii="Arial"/>
          <w:sz w:val="24"/>
          <w:color w:val="black"/>
        </w:rPr>
        <w:t xml:space="preserve">La renovación del mismo se sujetará a los requisitos previstos en el presente artículo.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autorización para la importación de pólvora, artículos pirotécnicos, juegos artificiales y globos aerostáticos de pirotecnia, se tramita ante la Industria Militar (Indumil), previo concepto favorable del Departamento Control Comercio de Armas, Municiones y Explosivos. </w:t>
      </w:r>
    </w:p>
    <w:p>
      <w:pPr>
        <w:jc w:val="both"/>
      </w:pPr>
      <w:rPr>
        <w:sz w:val="24"/>
        <w:color w:val="black"/>
      </w:rPr>
    </w:p>
    <w:p>
      <w:pPr>
        <w:jc w:val="both"/>
      </w:pPr>
      <w:r>
        <w:rPr>
          <w:rFonts w:hAnsi="Arial"/>
          <w:rFonts w:ascii="Arial"/>
          <w:sz w:val="24"/>
          <w:vanish/>
          <w:color w:val="black"/>
        </w:rPr>
        <w:t>&amp;$</w:t>
      </w:r>
      <w:bookmarkStart w:id="60039" w:name="2.2.4.1.22"/>
      <w:r>
        <w:rPr>
          <w:rFonts w:hAnsi="Arial"/>
          <w:rFonts w:ascii="Arial"/>
          <w:sz w:val="24"/>
          <w:color w:val="navy"/>
        </w:rPr>
        <w:t xml:space="preserve">ARTÍCULO 2.2.4.1.22. </w:t>
      </w:r>
      <w:r>
        <w:rPr>
          <w:rFonts w:hAnsi="Arial"/>
          <w:rFonts w:ascii="Arial"/>
          <w:sz w:val="24"/>
          <w:i/>
          <w:color w:val="navy"/>
        </w:rPr>
        <w:t xml:space="preserve">REQUISITOS DE AFILIACIÓN PARA CLUBES DE TIRO Y CAZA.</w:t>
      </w:r>
      <w:bookmarkEnd w:id="60039"/>
      <w:r>
        <w:rPr>
          <w:rFonts w:hAnsi="Arial"/>
          <w:rFonts w:ascii="Arial"/>
          <w:sz w:val="24"/>
          <w:b/>
          <w:i/>
          <w:color w:val="black"/>
        </w:rPr>
        <w:t xml:space="preserve"> </w:t>
      </w:r>
      <w:r>
        <w:rPr>
          <w:rFonts w:hAnsi="Arial"/>
          <w:rFonts w:ascii="Arial"/>
          <w:sz w:val="24"/>
          <w:color w:val="black"/>
        </w:rPr>
        <w:t xml:space="preserve">Para la afiliación de un Club a la Federación Colombiana de Tiro y Caza, en desarrollo de lo dispuesto en el artículo </w:t>
      </w:r>
      <w:r>
        <w:fldChar w:fldCharType="begin"/>
      </w:r>
      <w:r>
        <w:instrText>HYPERLINK "http://www.redjurista.com/document.aspx?ajcode=d2535_93&amp;arts=63"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del Decreto 2535 de 1993, los interesados deberán adjuntar los siguientes documentos:</w:t>
      </w:r>
    </w:p>
    <w:p>
      <w:pPr>
        <w:jc w:val="both"/>
      </w:pPr>
      <w:rPr>
        <w:sz w:val="24"/>
        <w:color w:val="black"/>
      </w:rPr>
    </w:p>
    <w:p>
      <w:pPr>
        <w:jc w:val="both"/>
      </w:pPr>
      <w:r>
        <w:rPr>
          <w:rFonts w:hAnsi="Arial"/>
          <w:rFonts w:ascii="Arial"/>
          <w:sz w:val="24"/>
          <w:color w:val="black"/>
        </w:rPr>
        <w:t xml:space="preserve">1. Estatutos del Club.</w:t>
      </w:r>
    </w:p>
    <w:p>
      <w:pPr>
        <w:jc w:val="both"/>
      </w:pPr>
      <w:rPr>
        <w:sz w:val="24"/>
        <w:color w:val="black"/>
      </w:rPr>
    </w:p>
    <w:p>
      <w:pPr>
        <w:jc w:val="both"/>
      </w:pPr>
      <w:r>
        <w:rPr>
          <w:rFonts w:hAnsi="Arial"/>
          <w:rFonts w:ascii="Arial"/>
          <w:sz w:val="24"/>
          <w:color w:val="black"/>
        </w:rPr>
        <w:t xml:space="preserve">2. Personería Jurídica.</w:t>
      </w:r>
    </w:p>
    <w:p>
      <w:pPr>
        <w:jc w:val="both"/>
      </w:pPr>
      <w:rPr>
        <w:sz w:val="24"/>
        <w:color w:val="black"/>
      </w:rPr>
    </w:p>
    <w:p>
      <w:pPr>
        <w:jc w:val="both"/>
      </w:pPr>
      <w:r>
        <w:rPr>
          <w:rFonts w:hAnsi="Arial"/>
          <w:rFonts w:ascii="Arial"/>
          <w:sz w:val="24"/>
          <w:color w:val="black"/>
        </w:rPr>
        <w:t xml:space="preserve">3. Listado de socios y certificado judicial nacional vigente, de cada uno de ellos.</w:t>
      </w:r>
    </w:p>
    <w:p>
      <w:pPr>
        <w:jc w:val="both"/>
      </w:pPr>
      <w:rPr>
        <w:sz w:val="24"/>
        <w:color w:val="black"/>
      </w:rPr>
    </w:p>
    <w:p>
      <w:pPr>
        <w:jc w:val="both"/>
      </w:pPr>
      <w:r>
        <w:rPr>
          <w:rFonts w:hAnsi="Arial"/>
          <w:rFonts w:ascii="Arial"/>
          <w:sz w:val="24"/>
          <w:color w:val="black"/>
        </w:rPr>
        <w:t xml:space="preserve">4. Acta de constitución del Club, en la cual debe quedar constancia del número de integrantes.</w:t>
      </w:r>
    </w:p>
    <w:p>
      <w:pPr>
        <w:jc w:val="both"/>
      </w:pPr>
      <w:rPr>
        <w:sz w:val="24"/>
        <w:color w:val="black"/>
      </w:rPr>
    </w:p>
    <w:p>
      <w:pPr>
        <w:jc w:val="both"/>
      </w:pPr>
      <w:r>
        <w:rPr>
          <w:rFonts w:hAnsi="Arial"/>
          <w:rFonts w:ascii="Arial"/>
          <w:sz w:val="24"/>
          <w:color w:val="black"/>
        </w:rPr>
        <w:t xml:space="preserve">5. Concepto favorable, expedido por el respectivo Comandante de la Unidad Militar de su residencia, sobre los siguientes aspectos:</w:t>
      </w:r>
    </w:p>
    <w:p>
      <w:pPr>
        <w:jc w:val="both"/>
      </w:pPr>
      <w:rPr>
        <w:sz w:val="24"/>
        <w:color w:val="black"/>
      </w:rPr>
    </w:p>
    <w:p>
      <w:pPr>
        <w:jc w:val="both"/>
      </w:pPr>
      <w:r>
        <w:rPr>
          <w:rFonts w:hAnsi="Arial"/>
          <w:rFonts w:ascii="Arial"/>
          <w:sz w:val="24"/>
          <w:color w:val="black"/>
        </w:rPr>
        <w:t xml:space="preserve">a) Concepto sobre los integrantes del Club.</w:t>
      </w:r>
    </w:p>
    <w:p>
      <w:pPr>
        <w:jc w:val="both"/>
      </w:pPr>
      <w:rPr>
        <w:sz w:val="24"/>
        <w:color w:val="black"/>
      </w:rPr>
    </w:p>
    <w:p>
      <w:pPr>
        <w:jc w:val="both"/>
      </w:pPr>
      <w:r>
        <w:rPr>
          <w:rFonts w:hAnsi="Arial"/>
          <w:rFonts w:ascii="Arial"/>
          <w:sz w:val="24"/>
          <w:color w:val="black"/>
        </w:rPr>
        <w:t xml:space="preserve">b) Condiciones para ejercer control sobre las armas y municiones de propiedad de los socios.</w:t>
      </w:r>
    </w:p>
    <w:p>
      <w:pPr>
        <w:jc w:val="both"/>
      </w:pPr>
      <w:rPr>
        <w:sz w:val="24"/>
        <w:color w:val="black"/>
      </w:rPr>
    </w:p>
    <w:p>
      <w:pPr>
        <w:jc w:val="both"/>
      </w:pPr>
      <w:r>
        <w:rPr>
          <w:rFonts w:hAnsi="Arial"/>
          <w:rFonts w:ascii="Arial"/>
          <w:sz w:val="24"/>
          <w:color w:val="black"/>
        </w:rPr>
        <w:t xml:space="preserve">c) Facilidad del Club para practicar tres modalidades de tiro deportivo internacional.</w:t>
      </w:r>
    </w:p>
    <w:p>
      <w:pPr>
        <w:jc w:val="both"/>
      </w:pPr>
      <w:rPr>
        <w:sz w:val="24"/>
        <w:color w:val="black"/>
      </w:rPr>
    </w:p>
    <w:p>
      <w:pPr>
        <w:jc w:val="both"/>
      </w:pPr>
      <w:r>
        <w:rPr>
          <w:rFonts w:hAnsi="Arial"/>
          <w:rFonts w:ascii="Arial"/>
          <w:sz w:val="24"/>
          <w:color w:val="black"/>
        </w:rPr>
        <w:t xml:space="preserve">d) Conveniencia sobre funcionamiento del Club en la jurisdicción.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número de integrantes de un Club en ningún caso podrá ser inferior a 21.</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Con el fin de controlar las armas y municiones adquiridas por los socios de los Clubes, las autoridades militares practicarán como mínimo una inspección anual.</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A la Federación Colombiana de Tiro y Caza se le pasará revista anualmente, por parte de la Inspección General del Comando General de las Fuerzas Militares.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Para la construcción de Polígonos y depósitos de armamento, los Clubes afiliados a la Federación Colombiana de Tiro y Caza deberán dar cumplimiento a lo dispuesto sobre el particular en el manual de normas de seguridad para prevención de accidentes.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0" w:name="2.2.4.1.23"/>
      <w:r>
        <w:rPr>
          <w:rFonts w:hAnsi="Arial"/>
          <w:rFonts w:ascii="Arial"/>
          <w:sz w:val="24"/>
          <w:color w:val="navy"/>
        </w:rPr>
        <w:t xml:space="preserve">ARTÍCULO 2.2.4.1.23. </w:t>
      </w:r>
      <w:r>
        <w:rPr>
          <w:rFonts w:hAnsi="Arial"/>
          <w:rFonts w:ascii="Arial"/>
          <w:sz w:val="24"/>
          <w:i/>
          <w:color w:val="navy"/>
        </w:rPr>
        <w:t>CONTROL.</w:t>
      </w:r>
      <w:bookmarkEnd w:id="60040"/>
      <w:r>
        <w:rPr>
          <w:rFonts w:hAnsi="Arial"/>
          <w:rFonts w:ascii="Arial"/>
          <w:sz w:val="24"/>
          <w:b/>
          <w:i/>
          <w:color w:val="black"/>
        </w:rPr>
        <w:t xml:space="preserve"> </w:t>
      </w:r>
      <w:r>
        <w:rPr>
          <w:rFonts w:hAnsi="Arial"/>
          <w:rFonts w:ascii="Arial"/>
          <w:sz w:val="24"/>
          <w:color w:val="black"/>
        </w:rPr>
        <w:t xml:space="preserve">Para los efectos de lo dispuesto en el artículo </w:t>
      </w:r>
      <w:r>
        <w:fldChar w:fldCharType="begin"/>
      </w:r>
      <w:r>
        <w:instrText>HYPERLINK "http://www.redjurista.com/document.aspx?ajcode=d2535_93&amp;arts=64"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 2535 de 1993, los Comandantes de Unidades Operativas o Tácticas o sus equivalentes en la Armada Nacional o la Fuerza Aérea, anualmente inspeccionarán las armas y municiones que posean los integrantes de los Clubes de Tiro y Caza, los coleccionistas de armas y las Empresas de Vigilancia y Departamentos de Seguridad que existan en su jurisdicción, con el propósito de verificar el cumplimiento de las normas legales sobre la materia.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1" w:name="2.2.4.1.24"/>
      <w:r>
        <w:rPr>
          <w:rFonts w:hAnsi="Arial"/>
          <w:rFonts w:ascii="Arial"/>
          <w:sz w:val="24"/>
          <w:color w:val="navy"/>
        </w:rPr>
        <w:t xml:space="preserve">ARTÍCULO 2.2.4.1.24. </w:t>
      </w:r>
      <w:r>
        <w:rPr>
          <w:rFonts w:hAnsi="Arial"/>
          <w:rFonts w:ascii="Arial"/>
          <w:sz w:val="24"/>
          <w:i/>
          <w:color w:val="navy"/>
        </w:rPr>
        <w:t>VENTA.</w:t>
      </w:r>
      <w:bookmarkEnd w:id="60041"/>
      <w:r>
        <w:rPr>
          <w:rFonts w:hAnsi="Arial"/>
          <w:rFonts w:ascii="Arial"/>
          <w:sz w:val="24"/>
          <w:b/>
          <w:i/>
          <w:color w:val="black"/>
        </w:rPr>
        <w:t xml:space="preserve"> </w:t>
      </w:r>
      <w:r>
        <w:rPr>
          <w:rFonts w:hAnsi="Arial"/>
          <w:rFonts w:ascii="Arial"/>
          <w:sz w:val="24"/>
          <w:color w:val="black"/>
        </w:rPr>
        <w:t xml:space="preserve">Para efectos de lo previsto en el artículo </w:t>
      </w:r>
      <w:r>
        <w:fldChar w:fldCharType="begin"/>
      </w:r>
      <w:r>
        <w:instrText>HYPERLINK "http://www.redjurista.com/document.aspx?ajcode=d2535_93&amp;arts=66"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del Decreto 2535 de 1993, la venta de municiones a los socios de los Clubes, se tramitará, diligenciará y distribuirá por concepto de la Federación Colombiana de Tiro y Caza.</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2" w:name="2.2.4.1.25"/>
      <w:r>
        <w:rPr>
          <w:rFonts w:hAnsi="Arial"/>
          <w:rFonts w:ascii="Arial"/>
          <w:sz w:val="24"/>
          <w:color w:val="navy"/>
        </w:rPr>
        <w:t xml:space="preserve">ARTÍCULO 2.2.4.1.25. </w:t>
      </w:r>
      <w:r>
        <w:rPr>
          <w:rFonts w:hAnsi="Arial"/>
          <w:rFonts w:ascii="Arial"/>
          <w:sz w:val="24"/>
          <w:i/>
          <w:color w:val="navy"/>
        </w:rPr>
        <w:t xml:space="preserve">DEVOLUCIÓN DE ARMAS.</w:t>
      </w:r>
      <w:bookmarkEnd w:id="60042"/>
      <w:r>
        <w:rPr>
          <w:rFonts w:hAnsi="Arial"/>
          <w:rFonts w:ascii="Arial"/>
          <w:sz w:val="24"/>
          <w:b/>
          <w:i/>
          <w:color w:val="black"/>
        </w:rPr>
        <w:t xml:space="preserve"> </w:t>
      </w:r>
      <w:r>
        <w:rPr>
          <w:rFonts w:hAnsi="Arial"/>
          <w:rFonts w:ascii="Arial"/>
          <w:sz w:val="24"/>
          <w:color w:val="black"/>
        </w:rPr>
        <w:t xml:space="preserve">La Federación Colombiana de Tiro y Caza, por conducto del Club de Tiro al Cual pertenezca el socio, entregará las armas y municiones autorizadas del socio suspendido o retirado, a la autoridad militar a que hace referencia el artículo </w:t>
      </w:r>
      <w:r>
        <w:fldChar w:fldCharType="begin"/>
      </w:r>
      <w:r>
        <w:instrText>HYPERLINK "http://www.redjurista.com/document.aspx?ajcode=d2535_93&amp;arts=69"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del Decreto 2535 de 1993.</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3" w:name="2.2.4.1.26"/>
      <w:r>
        <w:rPr>
          <w:rFonts w:hAnsi="Arial"/>
          <w:rFonts w:ascii="Arial"/>
          <w:sz w:val="24"/>
          <w:color w:val="navy"/>
        </w:rPr>
        <w:t xml:space="preserve">ARTÍCULO 2.2.4.1.26. </w:t>
      </w:r>
      <w:r>
        <w:rPr>
          <w:rFonts w:hAnsi="Arial"/>
          <w:rFonts w:ascii="Arial"/>
          <w:sz w:val="24"/>
          <w:i/>
          <w:color w:val="navy"/>
        </w:rPr>
        <w:t>COLECCIONISTAS.</w:t>
      </w:r>
      <w:bookmarkEnd w:id="60043"/>
      <w:r>
        <w:rPr>
          <w:rFonts w:hAnsi="Arial"/>
          <w:rFonts w:ascii="Arial"/>
          <w:sz w:val="24"/>
          <w:b/>
          <w:i/>
          <w:color w:val="black"/>
        </w:rPr>
        <w:t xml:space="preserve"> </w:t>
      </w:r>
      <w:r>
        <w:rPr>
          <w:rFonts w:hAnsi="Arial"/>
          <w:rFonts w:ascii="Arial"/>
          <w:sz w:val="24"/>
          <w:color w:val="black"/>
        </w:rPr>
        <w:t xml:space="preserve">En cumplimiento del artículo </w:t>
      </w:r>
      <w:r>
        <w:fldChar w:fldCharType="begin"/>
      </w:r>
      <w:r>
        <w:instrText>HYPERLINK "http://www.redjurista.com/document.aspx?ajcode=d2535_93&amp;arts=70"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Decreto 2535 de 1993, inciso 2o, los coleccionistas de armas no afiliados a una Asociación, deberán obtener el respectivo permiso, previo cumplimiento de los siguientes requisitos:</w:t>
      </w:r>
    </w:p>
    <w:p>
      <w:pPr>
        <w:jc w:val="both"/>
      </w:pPr>
      <w:rPr>
        <w:sz w:val="24"/>
        <w:color w:val="black"/>
      </w:rPr>
    </w:p>
    <w:p>
      <w:pPr>
        <w:jc w:val="both"/>
      </w:pPr>
      <w:r>
        <w:rPr>
          <w:rFonts w:hAnsi="Arial"/>
          <w:rFonts w:ascii="Arial"/>
          <w:sz w:val="24"/>
          <w:color w:val="black"/>
        </w:rPr>
        <w:t xml:space="preserve">1. Solicitud dirigida al Comandante General de las Fuerzas Militares, en el cual se especifique la clase o tipo de armas, que por sus características históricas, tecnológicas o científicas, considere como de colección.</w:t>
      </w:r>
    </w:p>
    <w:p>
      <w:pPr>
        <w:jc w:val="both"/>
      </w:pPr>
      <w:rPr>
        <w:sz w:val="24"/>
        <w:color w:val="black"/>
      </w:rPr>
    </w:p>
    <w:p>
      <w:pPr>
        <w:jc w:val="both"/>
      </w:pPr>
      <w:r>
        <w:rPr>
          <w:rFonts w:hAnsi="Arial"/>
          <w:rFonts w:ascii="Arial"/>
          <w:sz w:val="24"/>
          <w:color w:val="black"/>
        </w:rPr>
        <w:t xml:space="preserve">2. Apoyo expedido por el respectivo Comando de la autoridad militar de su residencia, con los siguientes requisitos:</w:t>
      </w:r>
    </w:p>
    <w:p>
      <w:pPr>
        <w:jc w:val="both"/>
      </w:pPr>
      <w:rPr>
        <w:sz w:val="24"/>
        <w:color w:val="black"/>
      </w:rPr>
    </w:p>
    <w:p>
      <w:pPr>
        <w:jc w:val="both"/>
      </w:pPr>
      <w:r>
        <w:rPr>
          <w:rFonts w:hAnsi="Arial"/>
          <w:rFonts w:ascii="Arial"/>
          <w:sz w:val="24"/>
          <w:color w:val="black"/>
        </w:rPr>
        <w:t xml:space="preserve">a) Concepto sobre el solicitante.</w:t>
      </w:r>
    </w:p>
    <w:p>
      <w:pPr>
        <w:jc w:val="both"/>
      </w:pPr>
      <w:rPr>
        <w:sz w:val="24"/>
        <w:color w:val="black"/>
      </w:rPr>
    </w:p>
    <w:p>
      <w:pPr>
        <w:jc w:val="both"/>
      </w:pPr>
      <w:r>
        <w:rPr>
          <w:rFonts w:hAnsi="Arial"/>
          <w:rFonts w:ascii="Arial"/>
          <w:sz w:val="24"/>
          <w:color w:val="black"/>
        </w:rPr>
        <w:t xml:space="preserve">b) Condiciones del solicitante para ejercer control sobre las armas, municiones y sus accesorios.</w:t>
      </w:r>
    </w:p>
    <w:p>
      <w:pPr>
        <w:jc w:val="both"/>
      </w:pPr>
      <w:rPr>
        <w:sz w:val="24"/>
        <w:color w:val="black"/>
      </w:rPr>
    </w:p>
    <w:p>
      <w:pPr>
        <w:jc w:val="both"/>
      </w:pPr>
      <w:r>
        <w:rPr>
          <w:rFonts w:hAnsi="Arial"/>
          <w:rFonts w:ascii="Arial"/>
          <w:sz w:val="24"/>
          <w:color w:val="black"/>
        </w:rPr>
        <w:t xml:space="preserve">c) Conveniencia sobre la tenencia de las armas en su jurisdicción.</w:t>
      </w:r>
    </w:p>
    <w:p>
      <w:pPr>
        <w:jc w:val="both"/>
      </w:pPr>
      <w:rPr>
        <w:sz w:val="24"/>
        <w:color w:val="black"/>
      </w:rPr>
    </w:p>
    <w:p>
      <w:pPr>
        <w:jc w:val="both"/>
      </w:pPr>
      <w:r>
        <w:rPr>
          <w:rFonts w:hAnsi="Arial"/>
          <w:rFonts w:ascii="Arial"/>
          <w:sz w:val="24"/>
          <w:color w:val="black"/>
        </w:rPr>
        <w:t xml:space="preserve">d) Concepto sobre medidas de seguridad, de acuerdo con lo estipulado en el presente Capítulo.</w:t>
      </w:r>
    </w:p>
    <w:p>
      <w:pPr>
        <w:jc w:val="both"/>
      </w:pPr>
      <w:rPr>
        <w:sz w:val="24"/>
        <w:color w:val="black"/>
      </w:rPr>
    </w:p>
    <w:p>
      <w:pPr>
        <w:jc w:val="both"/>
      </w:pPr>
      <w:r>
        <w:rPr>
          <w:rFonts w:hAnsi="Arial"/>
          <w:rFonts w:ascii="Arial"/>
          <w:sz w:val="24"/>
          <w:color w:val="black"/>
        </w:rPr>
        <w:t xml:space="preserve">3. Certificado judicial nacional vigente.</w:t>
      </w:r>
    </w:p>
    <w:p>
      <w:pPr>
        <w:jc w:val="both"/>
      </w:pPr>
      <w:rPr>
        <w:sz w:val="24"/>
        <w:color w:val="black"/>
      </w:rPr>
    </w:p>
    <w:p>
      <w:pPr>
        <w:jc w:val="both"/>
      </w:pPr>
      <w:r>
        <w:rPr>
          <w:rFonts w:hAnsi="Arial"/>
          <w:rFonts w:ascii="Arial"/>
          <w:sz w:val="24"/>
          <w:color w:val="black"/>
        </w:rPr>
        <w:t xml:space="preserve">4. Concepto favorable del Comité de Armas del Ministerio de Defensa Nacional.</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4" w:name="2.2.4.1.27"/>
      <w:r>
        <w:rPr>
          <w:rFonts w:hAnsi="Arial"/>
          <w:rFonts w:ascii="Arial"/>
          <w:sz w:val="24"/>
          <w:color w:val="navy"/>
        </w:rPr>
        <w:t xml:space="preserve">ARTÍCULO 2.2.4.1.27. </w:t>
      </w:r>
      <w:r>
        <w:rPr>
          <w:rFonts w:hAnsi="Arial"/>
          <w:rFonts w:ascii="Arial"/>
          <w:sz w:val="24"/>
          <w:i/>
          <w:color w:val="navy"/>
        </w:rPr>
        <w:t xml:space="preserve">MEDIDAS DE SEGURIDAD DE LOS COLECCIONISTAS.</w:t>
      </w:r>
      <w:bookmarkEnd w:id="60044"/>
      <w:r>
        <w:rPr>
          <w:rFonts w:hAnsi="Arial"/>
          <w:rFonts w:ascii="Arial"/>
          <w:sz w:val="24"/>
          <w:b/>
          <w:i/>
          <w:color w:val="black"/>
        </w:rPr>
        <w:t xml:space="preserve"> </w:t>
      </w:r>
      <w:r>
        <w:rPr>
          <w:rFonts w:hAnsi="Arial"/>
          <w:rFonts w:ascii="Arial"/>
          <w:sz w:val="24"/>
          <w:color w:val="black"/>
        </w:rPr>
        <w:t xml:space="preserve">Para efectos de lo dispuesto en el artículo </w:t>
      </w:r>
      <w:r>
        <w:fldChar w:fldCharType="begin"/>
      </w:r>
      <w:r>
        <w:instrText>HYPERLINK "http://www.redjurista.com/document.aspx?ajcode=d2535_93&amp;arts=72"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del Decreto 2535 de 1993, los coleccionistas de armas deberán adoptar como mínimo las siguientes medidas de seguridad.</w:t>
      </w:r>
    </w:p>
    <w:p>
      <w:pPr>
        <w:jc w:val="both"/>
      </w:pPr>
      <w:rPr>
        <w:sz w:val="24"/>
        <w:color w:val="black"/>
      </w:rPr>
    </w:p>
    <w:p>
      <w:pPr>
        <w:jc w:val="both"/>
      </w:pPr>
      <w:r>
        <w:rPr>
          <w:rFonts w:hAnsi="Arial"/>
          <w:rFonts w:ascii="Arial"/>
          <w:sz w:val="24"/>
          <w:color w:val="black"/>
        </w:rPr>
        <w:t xml:space="preserve">1. Disponer de un lugar en el cual se garantice la seguridad y exhibición de las armas; debiendo en consecuencia observar que:</w:t>
      </w:r>
    </w:p>
    <w:p>
      <w:pPr>
        <w:jc w:val="both"/>
      </w:pPr>
      <w:rPr>
        <w:sz w:val="24"/>
        <w:color w:val="black"/>
      </w:rPr>
    </w:p>
    <w:p>
      <w:pPr>
        <w:jc w:val="both"/>
      </w:pPr>
      <w:r>
        <w:rPr>
          <w:rFonts w:hAnsi="Arial"/>
          <w:rFonts w:ascii="Arial"/>
          <w:sz w:val="24"/>
          <w:color w:val="black"/>
        </w:rPr>
        <w:t xml:space="preserve">a) Las ventanas estén protegidas por un enrejado de hierro.</w:t>
      </w:r>
    </w:p>
    <w:p>
      <w:pPr>
        <w:jc w:val="both"/>
      </w:pPr>
      <w:rPr>
        <w:sz w:val="24"/>
        <w:color w:val="black"/>
      </w:rPr>
    </w:p>
    <w:p>
      <w:pPr>
        <w:jc w:val="both"/>
      </w:pPr>
      <w:r>
        <w:rPr>
          <w:rFonts w:hAnsi="Arial"/>
          <w:rFonts w:ascii="Arial"/>
          <w:sz w:val="24"/>
          <w:color w:val="black"/>
        </w:rPr>
        <w:t xml:space="preserve">b) La puerta de acceso debe estar seguida de una segunda puerta en forma de reja de hierro.</w:t>
      </w:r>
    </w:p>
    <w:p>
      <w:pPr>
        <w:jc w:val="both"/>
      </w:pPr>
      <w:rPr>
        <w:sz w:val="24"/>
        <w:color w:val="black"/>
      </w:rPr>
    </w:p>
    <w:p>
      <w:pPr>
        <w:jc w:val="both"/>
      </w:pPr>
      <w:r>
        <w:rPr>
          <w:rFonts w:hAnsi="Arial"/>
          <w:rFonts w:ascii="Arial"/>
          <w:sz w:val="24"/>
          <w:color w:val="black"/>
        </w:rPr>
        <w:t xml:space="preserve">c) El sistema de alarma conectado a las puertas y ventanas.</w:t>
      </w:r>
    </w:p>
    <w:p>
      <w:pPr>
        <w:jc w:val="both"/>
      </w:pPr>
      <w:rPr>
        <w:sz w:val="24"/>
        <w:color w:val="black"/>
      </w:rPr>
    </w:p>
    <w:p>
      <w:pPr>
        <w:jc w:val="both"/>
      </w:pPr>
      <w:r>
        <w:rPr>
          <w:rFonts w:hAnsi="Arial"/>
          <w:rFonts w:ascii="Arial"/>
          <w:sz w:val="24"/>
          <w:color w:val="black"/>
        </w:rPr>
        <w:t xml:space="preserve">d) Se evitará en lo posible que la sala de exposición se encuentre en cercanía de la puerta de acceso al inmueble.</w:t>
      </w:r>
    </w:p>
    <w:p>
      <w:pPr>
        <w:jc w:val="both"/>
      </w:pPr>
      <w:rPr>
        <w:sz w:val="24"/>
        <w:color w:val="black"/>
      </w:rPr>
    </w:p>
    <w:p>
      <w:pPr>
        <w:jc w:val="both"/>
      </w:pPr>
      <w:r>
        <w:rPr>
          <w:rFonts w:hAnsi="Arial"/>
          <w:rFonts w:ascii="Arial"/>
          <w:sz w:val="24"/>
          <w:color w:val="black"/>
        </w:rPr>
        <w:t xml:space="preserve">e) Los coleccionistas que tengan más de 20 armas, deberán protegerlas en una bodega de seguridad con todos los sistemas eléctricos.</w:t>
      </w:r>
    </w:p>
    <w:p>
      <w:pPr>
        <w:jc w:val="both"/>
      </w:pPr>
      <w:rPr>
        <w:sz w:val="24"/>
        <w:color w:val="black"/>
      </w:rPr>
    </w:p>
    <w:p>
      <w:pPr>
        <w:jc w:val="both"/>
      </w:pPr>
      <w:r>
        <w:rPr>
          <w:rFonts w:hAnsi="Arial"/>
          <w:rFonts w:ascii="Arial"/>
          <w:sz w:val="24"/>
          <w:color w:val="black"/>
        </w:rPr>
        <w:t xml:space="preserve">2. Normas de desactivación de las armas de uso restringido.</w:t>
      </w:r>
    </w:p>
    <w:p>
      <w:pPr>
        <w:jc w:val="both"/>
      </w:pPr>
      <w:rPr>
        <w:sz w:val="24"/>
        <w:color w:val="black"/>
      </w:rPr>
    </w:p>
    <w:p>
      <w:pPr>
        <w:jc w:val="both"/>
      </w:pPr>
      <w:r>
        <w:rPr>
          <w:rFonts w:hAnsi="Arial"/>
          <w:rFonts w:ascii="Arial"/>
          <w:sz w:val="24"/>
          <w:color w:val="black"/>
        </w:rPr>
        <w:t xml:space="preserve">a) Para pistolas, quitar la aguja percutora y la uña extractora.</w:t>
      </w:r>
    </w:p>
    <w:p>
      <w:pPr>
        <w:jc w:val="both"/>
      </w:pPr>
      <w:rPr>
        <w:sz w:val="24"/>
        <w:color w:val="black"/>
      </w:rPr>
    </w:p>
    <w:p>
      <w:pPr>
        <w:jc w:val="both"/>
      </w:pPr>
      <w:r>
        <w:rPr>
          <w:rFonts w:hAnsi="Arial"/>
          <w:rFonts w:ascii="Arial"/>
          <w:sz w:val="24"/>
          <w:color w:val="black"/>
        </w:rPr>
        <w:t xml:space="preserve">b) Para fusiles y armas largas, quitar el cerrojo.</w:t>
      </w:r>
    </w:p>
    <w:p>
      <w:pPr>
        <w:jc w:val="both"/>
      </w:pPr>
      <w:rPr>
        <w:sz w:val="24"/>
        <w:color w:val="black"/>
      </w:rPr>
    </w:p>
    <w:p>
      <w:pPr>
        <w:jc w:val="both"/>
      </w:pPr>
      <w:r>
        <w:rPr>
          <w:rFonts w:hAnsi="Arial"/>
          <w:rFonts w:ascii="Arial"/>
          <w:sz w:val="24"/>
          <w:color w:val="black"/>
        </w:rPr>
        <w:t xml:space="preserve">c) Para las armas automáticas y semiautomáticas quitar el bloque de cierre y dejar únicamente el cajón de los mecanismos y cañón.</w:t>
      </w:r>
    </w:p>
    <w:p>
      <w:pPr>
        <w:jc w:val="both"/>
      </w:pPr>
      <w:rPr>
        <w:sz w:val="24"/>
        <w:color w:val="black"/>
      </w:rPr>
    </w:p>
    <w:p>
      <w:pPr>
        <w:jc w:val="both"/>
      </w:pPr>
      <w:r>
        <w:rPr>
          <w:rFonts w:hAnsi="Arial"/>
          <w:rFonts w:ascii="Arial"/>
          <w:sz w:val="24"/>
          <w:color w:val="black"/>
        </w:rPr>
        <w:t xml:space="preserve">d) Las partes que se retiren, de acuerdo con los numerales anteriores, deberán pasar con todas las medidas de seguridad a una caja fuerte, la cual debe permanecer en un sitio diferente de la sala de exposición, en donde se encuentran las armas a que pertenecen dichas piezas.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5" w:name="2.2.4.1.28"/>
      <w:r>
        <w:rPr>
          <w:rFonts w:hAnsi="Arial"/>
          <w:rFonts w:ascii="Arial"/>
          <w:sz w:val="24"/>
          <w:color w:val="navy"/>
        </w:rPr>
        <w:t xml:space="preserve">ARTÍCULO 2.2.4.1.28. </w:t>
      </w:r>
      <w:r>
        <w:rPr>
          <w:rFonts w:hAnsi="Arial"/>
          <w:rFonts w:ascii="Arial"/>
          <w:sz w:val="24"/>
          <w:i/>
          <w:color w:val="navy"/>
        </w:rPr>
        <w:t xml:space="preserve">CREACIÓN DE ASOCIACIONES.</w:t>
      </w:r>
      <w:bookmarkEnd w:id="60045"/>
      <w:r>
        <w:rPr>
          <w:rFonts w:hAnsi="Arial"/>
          <w:rFonts w:ascii="Arial"/>
          <w:sz w:val="24"/>
          <w:b/>
          <w:i/>
          <w:color w:val="black"/>
        </w:rPr>
        <w:t xml:space="preserve"> </w:t>
      </w:r>
      <w:r>
        <w:rPr>
          <w:rFonts w:hAnsi="Arial"/>
          <w:rFonts w:ascii="Arial"/>
          <w:sz w:val="24"/>
          <w:color w:val="black"/>
        </w:rPr>
        <w:t xml:space="preserve">Quienes pretendan crear Asociaciones de coleccionistas de Armas, en los términos del artículo </w:t>
      </w:r>
      <w:r>
        <w:fldChar w:fldCharType="begin"/>
      </w:r>
      <w:r>
        <w:instrText>HYPERLINK "http://www.redjurista.com/document.aspx?ajcode=d2535_93&amp;arts=73"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del Decreto 2535 del 1993, deberán presentar solicitud al Comando General de las Fuerzas Militares y obtener concepto favorable del Comité de Armas del Ministerio de Defensa, debiendo acreditar los siguientes requisitos:</w:t>
      </w:r>
    </w:p>
    <w:p>
      <w:pPr>
        <w:jc w:val="both"/>
      </w:pPr>
      <w:rPr>
        <w:sz w:val="24"/>
        <w:color w:val="black"/>
      </w:rPr>
    </w:p>
    <w:p>
      <w:pPr>
        <w:jc w:val="both"/>
      </w:pPr>
      <w:r>
        <w:rPr>
          <w:rFonts w:hAnsi="Arial"/>
          <w:rFonts w:ascii="Arial"/>
          <w:sz w:val="24"/>
          <w:color w:val="black"/>
        </w:rPr>
        <w:t xml:space="preserve">1. Estatutos de la Asociación aprobados por el Comando General de las Fuerzas Militares.</w:t>
      </w:r>
    </w:p>
    <w:p>
      <w:pPr>
        <w:jc w:val="both"/>
      </w:pPr>
      <w:rPr>
        <w:sz w:val="24"/>
        <w:color w:val="black"/>
      </w:rPr>
    </w:p>
    <w:p>
      <w:pPr>
        <w:jc w:val="both"/>
      </w:pPr>
      <w:r>
        <w:rPr>
          <w:rFonts w:hAnsi="Arial"/>
          <w:rFonts w:ascii="Arial"/>
          <w:sz w:val="24"/>
          <w:color w:val="black"/>
        </w:rPr>
        <w:t xml:space="preserve">2. Clase o tipo de colección de cada uno de los socios.</w:t>
      </w:r>
    </w:p>
    <w:p>
      <w:pPr>
        <w:jc w:val="both"/>
      </w:pPr>
      <w:rPr>
        <w:sz w:val="24"/>
        <w:color w:val="black"/>
      </w:rPr>
    </w:p>
    <w:p>
      <w:pPr>
        <w:jc w:val="both"/>
      </w:pPr>
      <w:r>
        <w:rPr>
          <w:rFonts w:hAnsi="Arial"/>
          <w:rFonts w:ascii="Arial"/>
          <w:sz w:val="24"/>
          <w:color w:val="black"/>
        </w:rPr>
        <w:t xml:space="preserve">3. Relación de las armas de cada uno de los socios.</w:t>
      </w:r>
    </w:p>
    <w:p>
      <w:pPr>
        <w:jc w:val="both"/>
      </w:pPr>
      <w:rPr>
        <w:sz w:val="24"/>
        <w:color w:val="black"/>
      </w:rPr>
    </w:p>
    <w:p>
      <w:pPr>
        <w:jc w:val="both"/>
      </w:pPr>
      <w:r>
        <w:rPr>
          <w:rFonts w:hAnsi="Arial"/>
          <w:rFonts w:ascii="Arial"/>
          <w:sz w:val="24"/>
          <w:color w:val="black"/>
        </w:rPr>
        <w:t xml:space="preserve">4. Acta de constitución de la Asociación y constancias del número de asociados, que en ningún caso podrá ser inferior a 21.</w:t>
      </w:r>
    </w:p>
    <w:p>
      <w:pPr>
        <w:jc w:val="both"/>
      </w:pPr>
      <w:rPr>
        <w:sz w:val="24"/>
        <w:color w:val="black"/>
      </w:rPr>
    </w:p>
    <w:p>
      <w:pPr>
        <w:jc w:val="both"/>
      </w:pPr>
      <w:r>
        <w:rPr>
          <w:rFonts w:hAnsi="Arial"/>
          <w:rFonts w:ascii="Arial"/>
          <w:sz w:val="24"/>
          <w:color w:val="black"/>
        </w:rPr>
        <w:t xml:space="preserve">5. Concepto favorable, expedido por la respectiva autoridad militar, de que trata el artículo </w:t>
      </w:r>
      <w:r>
        <w:fldChar w:fldCharType="begin"/>
      </w:r>
      <w:r>
        <w:instrText>HYPERLINK "http://www.redjurista.com/document.aspx?ajcode=d2535_93&amp;arts=32"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2535 de 1993.</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6" w:name="2.2.4.1.29"/>
      <w:r>
        <w:rPr>
          <w:rFonts w:hAnsi="Arial"/>
          <w:rFonts w:ascii="Arial"/>
          <w:sz w:val="24"/>
          <w:color w:val="navy"/>
        </w:rPr>
        <w:t xml:space="preserve">ARTÍCULO 2.2.4.1.29. </w:t>
      </w:r>
      <w:r>
        <w:rPr>
          <w:rFonts w:hAnsi="Arial"/>
          <w:rFonts w:ascii="Arial"/>
          <w:sz w:val="24"/>
          <w:i/>
          <w:color w:val="navy"/>
        </w:rPr>
        <w:t xml:space="preserve">SEGURIDAD PRIVADA.</w:t>
      </w:r>
      <w:bookmarkEnd w:id="60046"/>
      <w:r>
        <w:rPr>
          <w:rFonts w:hAnsi="Arial"/>
          <w:rFonts w:ascii="Arial"/>
          <w:sz w:val="24"/>
          <w:b/>
          <w:i/>
          <w:color w:val="black"/>
        </w:rPr>
        <w:t xml:space="preserve"> </w:t>
      </w:r>
      <w:r>
        <w:rPr>
          <w:rFonts w:hAnsi="Arial"/>
          <w:rFonts w:ascii="Arial"/>
          <w:sz w:val="24"/>
          <w:color w:val="black"/>
        </w:rPr>
        <w:t xml:space="preserve">Cuando los servicios de vigilancia y seguridad privada, requieran prestar servicios de escoltas con armas de fuego, deberán acreditar ante la Superintendencia de Vigilancia y Seguridad Privada los requisitos a que se refiere el literal c) del artículo </w:t>
      </w:r>
      <w:r>
        <w:fldChar w:fldCharType="begin"/>
      </w:r>
      <w:r>
        <w:instrText>HYPERLINK "http://www.redjurista.com/document.aspx?ajcode=d2535_93&amp;arts=34"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2535 de 1993, respecto de las personas escoltadas.</w:t>
      </w:r>
    </w:p>
    <w:p>
      <w:pPr>
        <w:jc w:val="both"/>
      </w:pPr>
      <w:rPr>
        <w:sz w:val="24"/>
        <w:color w:val="black"/>
      </w:rPr>
    </w:p>
    <w:p>
      <w:pPr>
        <w:jc w:val="both"/>
      </w:pPr>
      <w:r>
        <w:rPr>
          <w:rFonts w:hAnsi="Arial"/>
          <w:rFonts w:ascii="Arial"/>
          <w:sz w:val="24"/>
          <w:color w:val="black"/>
        </w:rPr>
        <w:t xml:space="preserve">La escolta para vehículos y mercancía se justificará, de acuerdo con las circunstancias de modo, tiempo y lugar en que se realice el desplazamiento. Las Empresas de Vigilancia y Seguridad Privada con servicio de escolta autorizada, deberán verificar el cumplimiento de los anteriores requisitos.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7" w:name="2.2.4.1.30"/>
      <w:r>
        <w:rPr>
          <w:rFonts w:hAnsi="Arial"/>
          <w:rFonts w:ascii="Arial"/>
          <w:sz w:val="24"/>
          <w:color w:val="navy"/>
        </w:rPr>
        <w:t xml:space="preserve">ARTÍCULO 2.2.4.1.30. </w:t>
      </w:r>
      <w:r>
        <w:rPr>
          <w:rFonts w:hAnsi="Arial"/>
          <w:rFonts w:ascii="Arial"/>
          <w:sz w:val="24"/>
          <w:i/>
          <w:color w:val="navy"/>
        </w:rPr>
        <w:t xml:space="preserve">VENTA DE MUNICIÓN ENTIDADES DE SEGURIDAD PRIVADA.</w:t>
      </w:r>
      <w:bookmarkEnd w:id="60047"/>
      <w:r>
        <w:rPr>
          <w:rFonts w:hAnsi="Arial"/>
          <w:rFonts w:ascii="Arial"/>
          <w:sz w:val="24"/>
          <w:b/>
          <w:i/>
          <w:color w:val="black"/>
        </w:rPr>
        <w:t xml:space="preserve"> </w:t>
      </w:r>
      <w:r>
        <w:rPr>
          <w:rFonts w:hAnsi="Arial"/>
          <w:rFonts w:ascii="Arial"/>
          <w:sz w:val="24"/>
          <w:color w:val="black"/>
        </w:rPr>
        <w:t xml:space="preserve">Las autoridades militares competentes y con el propósito de facilitar la idoneidad para el uso de armas contemplada en el artículo </w:t>
      </w:r>
      <w:r>
        <w:fldChar w:fldCharType="begin"/>
      </w:r>
      <w:r>
        <w:instrText>HYPERLINK "http://www.redjurista.com/document.aspx?ajcode=d2535_93&amp;arts=78"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del Decreto 2535 de 1993, podrán autorizar la venta de munición a las entidades dedicadas a la formación y entrenamiento de personal de seguridad privada, en las cantidades que para el efecto fije el Comando General de las Fuerzas Militares, en consideración a los programas y horarios de prácticas de polígono que estas programen.</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8" w:name="2.2.4.1.31"/>
      <w:r>
        <w:rPr>
          <w:rFonts w:hAnsi="Arial"/>
          <w:rFonts w:ascii="Arial"/>
          <w:sz w:val="24"/>
          <w:color w:val="navy"/>
        </w:rPr>
        <w:t xml:space="preserve">ARTÍCULO 2.2.4.1.31. </w:t>
      </w:r>
      <w:r>
        <w:rPr>
          <w:rFonts w:hAnsi="Arial"/>
          <w:rFonts w:ascii="Arial"/>
          <w:sz w:val="24"/>
          <w:i/>
          <w:color w:val="navy"/>
        </w:rPr>
        <w:t>MULTAS.</w:t>
      </w:r>
      <w:bookmarkEnd w:id="60048"/>
      <w:r>
        <w:rPr>
          <w:rFonts w:hAnsi="Arial"/>
          <w:rFonts w:ascii="Arial"/>
          <w:sz w:val="24"/>
          <w:b/>
          <w:i/>
          <w:color w:val="black"/>
        </w:rPr>
        <w:t xml:space="preserve"> </w:t>
      </w:r>
      <w:r>
        <w:rPr>
          <w:rFonts w:hAnsi="Arial"/>
          <w:rFonts w:ascii="Arial"/>
          <w:sz w:val="24"/>
          <w:color w:val="black"/>
        </w:rPr>
        <w:t xml:space="preserve">En desarrollo del parágrafo 2o del artículo </w:t>
      </w:r>
      <w:r>
        <w:fldChar w:fldCharType="begin"/>
      </w:r>
      <w:r>
        <w:instrText>HYPERLINK "http://www.redjurista.com/document.aspx?ajcode=d2535_93&amp;arts=86"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Decreto 2535, se dispone que las sumas por conceptos de multas sean consignadas en las respectivas cuentas de Fondo Interno de la Unidad correspondiente.</w:t>
      </w:r>
    </w:p>
    <w:p>
      <w:pPr>
        <w:jc w:val="both"/>
      </w:pPr>
      <w:rPr>
        <w:sz w:val="24"/>
        <w:color w:val="black"/>
      </w:rPr>
    </w:p>
    <w:p>
      <w:pPr>
        <w:jc w:val="both"/>
      </w:pPr>
      <w:r>
        <w:rPr>
          <w:rFonts w:hAnsi="Arial"/>
          <w:rFonts w:ascii="Arial"/>
          <w:sz w:val="24"/>
          <w:color w:val="black"/>
        </w:rPr>
        <w:t xml:space="preserve">Las autoridades Militares o de Policía Nacional que impongan multa deben remitir dentro de los primeros cinco (5) días de cada mes un informe contentivo de las mismas, indicando nombre y apellidos del sancionado, número del documento de identidad, características del arma y valor consignados.</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49" w:name="2.2.4.1.32"/>
      <w:r>
        <w:rPr>
          <w:rFonts w:hAnsi="Arial"/>
          <w:rFonts w:ascii="Arial"/>
          <w:sz w:val="24"/>
          <w:color w:val="navy"/>
        </w:rPr>
        <w:t xml:space="preserve">ARTÍCULO 2.2.4.1.32. </w:t>
      </w:r>
      <w:r>
        <w:rPr>
          <w:rFonts w:hAnsi="Arial"/>
          <w:rFonts w:ascii="Arial"/>
          <w:sz w:val="24"/>
          <w:i/>
          <w:color w:val="navy"/>
        </w:rPr>
        <w:t xml:space="preserve">MATERIAL DECOMISADO.</w:t>
      </w:r>
      <w:bookmarkEnd w:id="60049"/>
      <w:r>
        <w:rPr>
          <w:rFonts w:hAnsi="Arial"/>
          <w:rFonts w:ascii="Arial"/>
          <w:sz w:val="24"/>
          <w:b/>
          <w:i/>
          <w:color w:val="black"/>
        </w:rPr>
        <w:t xml:space="preserve"> </w:t>
      </w:r>
      <w:r>
        <w:rPr>
          <w:rFonts w:hAnsi="Arial"/>
          <w:rFonts w:ascii="Arial"/>
          <w:sz w:val="24"/>
          <w:color w:val="black"/>
        </w:rPr>
        <w:t xml:space="preserve">El material decomisado a que se refiere el artículo </w:t>
      </w:r>
      <w:r>
        <w:fldChar w:fldCharType="begin"/>
      </w:r>
      <w:r>
        <w:instrText>HYPERLINK "http://www.redjurista.com/document.aspx?ajcode=d2535_93&amp;arts=93"</w:instrText>
      </w:r>
      <w:r>
        <w:fldChar w:fldCharType="separate"/>
      </w:r>
      <w:r>
        <w:rPr>
          <w:rFonts w:hAnsi="Arial"/>
          <w:rFonts w:ascii="Arial"/>
          <w:sz w:val="24"/>
          <w:u w:val="single"/>
          <w:color w:val="black"/>
        </w:rPr>
        <w:t>93</w:t>
      </w:r>
      <w:r>
        <w:fldChar w:fldCharType="end"/>
      </w:r>
      <w:r>
        <w:rPr>
          <w:rFonts w:hAnsi="Arial"/>
          <w:rFonts w:ascii="Arial"/>
          <w:sz w:val="24"/>
          <w:u w:val="none"/>
          <w:color w:val="black"/>
        </w:rPr>
        <w:t xml:space="preserve"> del Decreto 2535 de 1993, deberá ser remitido al Comando General de las Fuerzas Militares, cuando el mismo no esté vinculado a proceso penal o civil alguno.</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050" w:name="2.2.4.1.33"/>
      <w:r>
        <w:rPr>
          <w:rFonts w:hAnsi="Arial"/>
          <w:rFonts w:ascii="Arial"/>
          <w:sz w:val="24"/>
          <w:color w:val="navy"/>
        </w:rPr>
        <w:t xml:space="preserve">ARTÍCULO 2.2.4.1.33. </w:t>
      </w:r>
      <w:r>
        <w:rPr>
          <w:rFonts w:hAnsi="Arial"/>
          <w:rFonts w:ascii="Arial"/>
          <w:sz w:val="24"/>
          <w:i/>
          <w:color w:val="navy"/>
        </w:rPr>
        <w:t>SALVOCONDUCTOS.</w:t>
      </w:r>
      <w:bookmarkEnd w:id="60050"/>
      <w:r>
        <w:rPr>
          <w:rFonts w:hAnsi="Arial"/>
          <w:rFonts w:ascii="Arial"/>
          <w:sz w:val="24"/>
          <w:b/>
          <w:i/>
          <w:color w:val="black"/>
        </w:rPr>
        <w:t xml:space="preserve"> </w:t>
      </w:r>
      <w:r>
        <w:rPr>
          <w:rFonts w:hAnsi="Arial"/>
          <w:rFonts w:ascii="Arial"/>
          <w:sz w:val="24"/>
          <w:color w:val="black"/>
        </w:rPr>
        <w:t xml:space="preserve">Quienes tenían salvoconducto vencido a 28 de febrero de 1994, podrán solicitar la expedición de un nuevo permiso para tenencia antes del 30 de septiembre de 1994, mediante el siguiente procedimiento:</w:t>
      </w:r>
    </w:p>
    <w:p>
      <w:pPr>
        <w:jc w:val="both"/>
      </w:pPr>
      <w:rPr>
        <w:sz w:val="24"/>
        <w:color w:val="black"/>
      </w:rPr>
    </w:p>
    <w:p>
      <w:pPr>
        <w:jc w:val="both"/>
      </w:pPr>
      <w:r>
        <w:rPr>
          <w:rFonts w:hAnsi="Arial"/>
          <w:rFonts w:ascii="Arial"/>
          <w:sz w:val="24"/>
          <w:color w:val="black"/>
        </w:rPr>
        <w:t xml:space="preserve">a) Diligenciar bajo la gravedad del juramento, un formulario que para el efecto distribuirá el Comando General de las Fuerzas Militares por conducto de las Unidades Militares y Comandos de policía.</w:t>
      </w:r>
    </w:p>
    <w:p>
      <w:pPr>
        <w:jc w:val="both"/>
      </w:pPr>
      <w:rPr>
        <w:sz w:val="24"/>
        <w:color w:val="black"/>
      </w:rPr>
    </w:p>
    <w:p>
      <w:pPr>
        <w:jc w:val="both"/>
      </w:pPr>
      <w:r>
        <w:rPr>
          <w:rFonts w:hAnsi="Arial"/>
          <w:rFonts w:ascii="Arial"/>
          <w:sz w:val="24"/>
          <w:color w:val="black"/>
        </w:rPr>
        <w:t xml:space="preserve">Dichos formularios consta de dos partes:</w:t>
      </w:r>
    </w:p>
    <w:p>
      <w:pPr>
        <w:jc w:val="both"/>
      </w:pPr>
      <w:rPr>
        <w:sz w:val="24"/>
        <w:color w:val="black"/>
      </w:rPr>
    </w:p>
    <w:p>
      <w:pPr>
        <w:jc w:val="both"/>
      </w:pPr>
      <w:r>
        <w:rPr>
          <w:rFonts w:hAnsi="Arial"/>
          <w:rFonts w:ascii="Arial"/>
          <w:sz w:val="24"/>
          <w:color w:val="black"/>
        </w:rPr>
        <w:t xml:space="preserve">1. Solicitud para la obtención de permiso para tenencia.</w:t>
      </w:r>
    </w:p>
    <w:p>
      <w:pPr>
        <w:jc w:val="both"/>
      </w:pPr>
      <w:rPr>
        <w:sz w:val="24"/>
        <w:color w:val="black"/>
      </w:rPr>
    </w:p>
    <w:p>
      <w:pPr>
        <w:jc w:val="both"/>
      </w:pPr>
      <w:r>
        <w:rPr>
          <w:rFonts w:hAnsi="Arial"/>
          <w:rFonts w:ascii="Arial"/>
          <w:sz w:val="24"/>
          <w:color w:val="black"/>
        </w:rPr>
        <w:t xml:space="preserve">2. Un desprendible que será el "Permiso para tenencia provisional" para el arma, con vigencia hasta el 31 de octubre de 1994;</w:t>
      </w:r>
    </w:p>
    <w:p>
      <w:pPr>
        <w:jc w:val="both"/>
      </w:pPr>
      <w:rPr>
        <w:sz w:val="24"/>
        <w:color w:val="black"/>
      </w:rPr>
    </w:p>
    <w:p>
      <w:pPr>
        <w:jc w:val="both"/>
      </w:pPr>
      <w:r>
        <w:rPr>
          <w:rFonts w:hAnsi="Arial"/>
          <w:rFonts w:ascii="Arial"/>
          <w:sz w:val="24"/>
          <w:color w:val="black"/>
        </w:rPr>
        <w:t xml:space="preserve">b) La solicitud (parte uno) será enviada por el solicitante por correo al apartado aéreo número 700 en Santafé de Bogotá, adjuntando el recibo de consignación de la Caja Agraria, cuenta Nacional No 0950001585-5 a favor del Ministerio de Defensa Nacional por valor de ciento diez mil pesos moneda corriente ($110.000.00);</w:t>
      </w:r>
    </w:p>
    <w:p>
      <w:pPr>
        <w:jc w:val="both"/>
      </w:pPr>
      <w:rPr>
        <w:sz w:val="24"/>
        <w:color w:val="black"/>
      </w:rPr>
    </w:p>
    <w:p>
      <w:pPr>
        <w:jc w:val="both"/>
      </w:pPr>
      <w:r>
        <w:rPr>
          <w:rFonts w:hAnsi="Arial"/>
          <w:rFonts w:ascii="Arial"/>
          <w:sz w:val="24"/>
          <w:color w:val="black"/>
        </w:rPr>
        <w:t xml:space="preserve">c) Previa la verificación de la información suministrada, la autoridad competente podrá expedir permiso para tenencia a nombre del solicitante para el arma o armas declaradas, el cual será remitido por correo a la dirección registrada por el peticionario, antes del 31 de octubre de 1994.</w:t>
      </w:r>
    </w:p>
    <w:p>
      <w:pPr>
        <w:jc w:val="both"/>
      </w:pPr>
      <w:rPr>
        <w:sz w:val="24"/>
        <w:color w:val="black"/>
      </w:rPr>
    </w:p>
    <w:p>
      <w:pPr>
        <w:jc w:val="both"/>
      </w:pPr>
      <w:r>
        <w:rPr>
          <w:rFonts w:hAnsi="Arial"/>
          <w:rFonts w:ascii="Arial"/>
          <w:sz w:val="24"/>
          <w:color w:val="black"/>
        </w:rPr>
        <w:t xml:space="preserve">d) El solicitante conservará copia del recibo de pago y el "permiso provisional para tenencia", que él mismo diligenciará, el cual acredita que el permiso para tenencia definitivo se encuentra en trámite. Las autoridades podrán verificar en todo momento la veracidad del "permiso provisional de tenencia".</w:t>
      </w:r>
    </w:p>
    <w:p>
      <w:pPr>
        <w:jc w:val="both"/>
      </w:pPr>
      <w:rPr>
        <w:sz w:val="24"/>
        <w:color w:val="black"/>
      </w:rPr>
    </w:p>
    <w:p>
      <w:r>
        <w:rPr>
          <w:rFonts w:hAnsi="Arial"/>
          <w:rFonts w:ascii="Arial"/>
          <w:sz w:val="24"/>
          <w:i/>
          <w:color w:val="black"/>
        </w:rPr>
        <w:t xml:space="preserve">(Decreto 1809 de 1994 artículo 33)</w:t>
      </w:r>
    </w:p>
    <w:p>
      <w:rPr>
        <w:sz w:val="24"/>
        <w:color w:val="black"/>
      </w:rPr>
    </w:p>
    <w:p>
      <w:pPr>
        <w:jc w:val="both"/>
      </w:pPr>
      <w:r>
        <w:rPr>
          <w:rFonts w:hAnsi="Arial"/>
          <w:rFonts w:ascii="Arial"/>
          <w:sz w:val="24"/>
          <w:vanish/>
          <w:color w:val="black"/>
        </w:rPr>
        <w:t>&amp;$</w:t>
      </w:r>
      <w:bookmarkStart w:id="60051" w:name="2.2.4.1.34"/>
      <w:r>
        <w:rPr>
          <w:rFonts w:hAnsi="Arial"/>
          <w:rFonts w:ascii="Arial"/>
          <w:sz w:val="24"/>
          <w:color w:val="navy"/>
        </w:rPr>
        <w:t xml:space="preserve">ARTÍCULO 2.2.4.1.34. </w:t>
      </w:r>
      <w:r>
        <w:rPr>
          <w:rFonts w:hAnsi="Arial"/>
          <w:rFonts w:ascii="Arial"/>
          <w:sz w:val="24"/>
          <w:i/>
          <w:color w:val="navy"/>
        </w:rPr>
        <w:t>TÉRMINOS.</w:t>
      </w:r>
      <w:bookmarkEnd w:id="60051"/>
      <w:r>
        <w:rPr>
          <w:rFonts w:hAnsi="Arial"/>
          <w:rFonts w:ascii="Arial"/>
          <w:sz w:val="24"/>
          <w:b/>
          <w:i/>
          <w:color w:val="black"/>
        </w:rPr>
        <w:t xml:space="preserve"> </w:t>
      </w:r>
      <w:r>
        <w:rPr>
          <w:rFonts w:hAnsi="Arial"/>
          <w:rFonts w:ascii="Arial"/>
          <w:sz w:val="24"/>
          <w:color w:val="black"/>
        </w:rPr>
        <w:t xml:space="preserve">Los términos de días y meses señalados en este Capítulo, se contabilizarán conforme al calendario.</w:t>
      </w:r>
    </w:p>
    <w:p>
      <w:pPr>
        <w:jc w:val="both"/>
      </w:pPr>
      <w:rPr>
        <w:sz w:val="24"/>
        <w:color w:val="black"/>
      </w:rPr>
    </w:p>
    <w:p>
      <w:r>
        <w:rPr>
          <w:rFonts w:hAnsi="Arial"/>
          <w:rFonts w:ascii="Arial"/>
          <w:sz w:val="24"/>
          <w:i/>
          <w:color w:val="black"/>
        </w:rPr>
        <w:t xml:space="preserve">(Decreto 1809 de 1994 artículo </w:t>
      </w:r>
      <w:r>
        <w:fldChar w:fldCharType="begin"/>
      </w:r>
      <w:r>
        <w:instrText>HYPERLINK "http://www.redjurista.com/document.aspx?ajcode=d1809_94&amp;arts=34"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052" w:name="CAPÍTULO 2.2.4.2"/>
      <w:r>
        <w:rPr>
          <w:rFonts w:hAnsi="Arial"/>
          <w:rFonts w:ascii="Arial"/>
          <w:sz w:val="24"/>
          <w:color w:val="navy"/>
        </w:rPr>
        <w:t xml:space="preserve">CAPÍTULO 2. </w:t>
      </w:r>
    </w:p>
    <w:p>
      <w:pPr>
        <w:jc w:val="center"/>
      </w:pPr>
      <w:r>
        <w:rPr>
          <w:rFonts w:hAnsi="Arial"/>
          <w:rFonts w:ascii="Arial"/>
          <w:sz w:val="24"/>
          <w:color w:val="navy"/>
        </w:rPr>
        <w:t xml:space="preserve">REGLAMENTACIÓN PARCIAL DE LA LEY 80 DE 1993.</w:t>
      </w:r>
      <w:bookmarkEnd w:id="600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053" w:name="2.2.4.2.1"/>
      <w:r>
        <w:rPr>
          <w:rFonts w:hAnsi="Arial"/>
          <w:rFonts w:ascii="Arial"/>
          <w:sz w:val="24"/>
          <w:color w:val="navy"/>
        </w:rPr>
        <w:t xml:space="preserve">ARTÍCULO 2.2.4.2.1. </w:t>
      </w:r>
      <w:r>
        <w:rPr>
          <w:rFonts w:hAnsi="Arial"/>
          <w:rFonts w:ascii="Arial"/>
          <w:sz w:val="24"/>
          <w:i/>
          <w:color w:val="navy"/>
        </w:rPr>
        <w:t xml:space="preserve">ARMAS Y MUNICIONES INSERVIBLES.</w:t>
      </w:r>
      <w:bookmarkEnd w:id="60053"/>
      <w:r>
        <w:rPr>
          <w:rFonts w:hAnsi="Arial"/>
          <w:rFonts w:ascii="Arial"/>
          <w:sz w:val="24"/>
          <w:b/>
          <w:i/>
          <w:color w:val="black"/>
        </w:rPr>
        <w:t xml:space="preserve"> </w:t>
      </w:r>
      <w:r>
        <w:rPr>
          <w:rFonts w:hAnsi="Arial"/>
          <w:rFonts w:ascii="Arial"/>
          <w:sz w:val="24"/>
          <w:color w:val="black"/>
        </w:rPr>
        <w:t xml:space="preserve">Las armas y municiones que se consideren inservibles, obsoletas y que no sean susceptibles de reconversión y utilización por la Fuerza Pública se podrán poner en venta en la forma prevista por el artículo </w:t>
      </w:r>
      <w:r>
        <w:fldChar w:fldCharType="begin"/>
      </w:r>
      <w:r>
        <w:instrText>HYPERLINK "http://www.redjurista.com/document.aspx?ajcode=d2535_93&amp;arts=101"</w:instrText>
      </w:r>
      <w:r>
        <w:fldChar w:fldCharType="separate"/>
      </w:r>
      <w:r>
        <w:rPr>
          <w:rFonts w:hAnsi="Arial"/>
          <w:rFonts w:ascii="Arial"/>
          <w:sz w:val="24"/>
          <w:u w:val="single"/>
          <w:color w:val="black"/>
        </w:rPr>
        <w:t>101</w:t>
      </w:r>
      <w:r>
        <w:fldChar w:fldCharType="end"/>
      </w:r>
      <w:r>
        <w:rPr>
          <w:rFonts w:hAnsi="Arial"/>
          <w:rFonts w:ascii="Arial"/>
          <w:sz w:val="24"/>
          <w:u w:val="none"/>
          <w:color w:val="black"/>
        </w:rPr>
        <w:t xml:space="preserve"> del Decreto-ley 2535 de 1993, o normas que lo modifiquen o adicionen.</w:t>
      </w:r>
    </w:p>
    <w:p>
      <w:pPr>
        <w:jc w:val="both"/>
      </w:pPr>
      <w:rPr>
        <w:sz w:val="24"/>
        <w:color w:val="black"/>
      </w:rPr>
    </w:p>
    <w:p>
      <w:pPr>
        <w:jc w:val="both"/>
      </w:pPr>
      <w:r>
        <w:rPr>
          <w:rFonts w:hAnsi="Arial"/>
          <w:rFonts w:ascii="Arial"/>
          <w:sz w:val="24"/>
          <w:color w:val="black"/>
        </w:rPr>
        <w:t xml:space="preserve">Cuando por razones de seguridad nacional se considere inconveniente la venta de las armas en los términos señalados, previo concepto del Comandante General de las Fuerzas Militares, será procedente la transformación o destrucción de las mismas, mediante la fusión de los elementos metálicos y la destrucción de otro tipo de materiales u otros procedimientos que se consideren apropiados.</w:t>
      </w:r>
    </w:p>
    <w:p>
      <w:pPr>
        <w:jc w:val="both"/>
      </w:pPr>
      <w:rPr>
        <w:sz w:val="24"/>
        <w:color w:val="black"/>
      </w:rPr>
    </w:p>
    <w:p>
      <w:pPr>
        <w:jc w:val="both"/>
      </w:pPr>
      <w:r>
        <w:rPr>
          <w:rFonts w:hAnsi="Arial"/>
          <w:rFonts w:ascii="Arial"/>
          <w:sz w:val="24"/>
          <w:color w:val="black"/>
        </w:rPr>
        <w:t xml:space="preserve">Para tal propósito, el Departamento Control Comercio de Armas, Municiones y Explosivos, la Inspección General del Comando General de las Fuerzas Militares y la Oficina de Control Interno del Ministerio de Defensa Nacional, levantarán un acta que contendrá el inventario del material cuya fusión y destrucción procede, así como la constancia sobre la efectividad del procedimiento en cada una de las armas inventariadas.</w:t>
      </w:r>
    </w:p>
    <w:p>
      <w:pPr>
        <w:jc w:val="both"/>
      </w:pPr>
      <w:rPr>
        <w:sz w:val="24"/>
        <w:color w:val="black"/>
      </w:rPr>
    </w:p>
    <w:p>
      <w:r>
        <w:rPr>
          <w:rFonts w:hAnsi="Arial"/>
          <w:rFonts w:ascii="Arial"/>
          <w:sz w:val="24"/>
          <w:i/>
          <w:color w:val="black"/>
        </w:rPr>
        <w:t xml:space="preserve">(Decreto 626 de 2001 artículo </w:t>
      </w:r>
      <w:r>
        <w:fldChar w:fldCharType="begin"/>
      </w:r>
      <w:r>
        <w:instrText>HYPERLINK "http://www.redjurista.com/document.aspx?ajcode=d0626001&amp;arts=1"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sz w:val="24"/>
        <w:color w:val="black"/>
      </w:rPr>
    </w:p>
    <w:p>
      <w:pPr>
        <w:jc w:val="center"/>
      </w:pPr>
      <w:r>
        <w:rPr>
          <w:rFonts w:hAnsi="Arial"/>
          <w:rFonts w:ascii="Arial"/>
          <w:sz w:val="24"/>
          <w:vanish/>
          <w:color w:val="black"/>
        </w:rPr>
        <w:t>&amp;$</w:t>
      </w:r>
      <w:bookmarkStart w:id="60054" w:name="CAPÍTULO 2.2.4.3"/>
      <w:r>
        <w:rPr>
          <w:rFonts w:hAnsi="Arial"/>
          <w:rFonts w:ascii="Arial"/>
          <w:sz w:val="24"/>
          <w:color w:val="navy"/>
        </w:rPr>
        <w:t xml:space="preserve">CAPÍTULO 3. </w:t>
      </w:r>
    </w:p>
    <w:p>
      <w:pPr>
        <w:jc w:val="center"/>
      </w:pPr>
      <w:r>
        <w:rPr>
          <w:rFonts w:hAnsi="Arial"/>
          <w:rFonts w:ascii="Arial"/>
          <w:sz w:val="24"/>
          <w:color w:val="navy"/>
        </w:rPr>
        <w:t xml:space="preserve">PORTE Y TENENCIA DE ARMAS.</w:t>
      </w:r>
      <w:bookmarkEnd w:id="6005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055" w:name="2.2.4.3.1"/>
      <w:r>
        <w:rPr>
          <w:rFonts w:hAnsi="Arial"/>
          <w:rFonts w:ascii="Arial"/>
          <w:sz w:val="24"/>
          <w:color w:val="navy"/>
        </w:rPr>
        <w:t xml:space="preserve">ARTÍCULO 2.2.4.3.1. </w:t>
      </w:r>
      <w:r>
        <w:rPr>
          <w:rFonts w:hAnsi="Arial"/>
          <w:rFonts w:ascii="Arial"/>
          <w:sz w:val="24"/>
          <w:i/>
          <w:color w:val="navy"/>
        </w:rPr>
        <w:t>PROHIBICIONES.</w:t>
      </w:r>
      <w:bookmarkEnd w:id="60055"/>
      <w:r>
        <w:rPr>
          <w:rFonts w:hAnsi="Arial"/>
          <w:rFonts w:ascii="Arial"/>
          <w:sz w:val="24"/>
          <w:b/>
          <w:i/>
          <w:color w:val="black"/>
        </w:rPr>
        <w:t xml:space="preserve"> </w:t>
      </w:r>
      <w:r>
        <w:rPr>
          <w:rFonts w:hAnsi="Arial"/>
          <w:rFonts w:ascii="Arial"/>
          <w:sz w:val="24"/>
          <w:color w:val="black"/>
        </w:rPr>
        <w:t xml:space="preserve">Prohíbese el porte y transporte de armas en motocicletas, motocarros, y mototriciclos.</w:t>
      </w:r>
    </w:p>
    <w:p>
      <w:pPr>
        <w:jc w:val="both"/>
      </w:pPr>
      <w:rPr>
        <w:sz w:val="24"/>
        <w:color w:val="black"/>
      </w:rPr>
    </w:p>
    <w:p>
      <w:r>
        <w:rPr>
          <w:rFonts w:hAnsi="Arial"/>
          <w:rFonts w:ascii="Arial"/>
          <w:sz w:val="24"/>
          <w:i/>
          <w:color w:val="black"/>
        </w:rPr>
        <w:t xml:space="preserve">(Decreto 514 de 2007 artículo </w:t>
      </w:r>
      <w:r>
        <w:fldChar w:fldCharType="begin"/>
      </w:r>
      <w:r>
        <w:instrText>HYPERLINK "http://www.redjurista.com/document.aspx?ajcode=d0514007&amp;arts=1"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056" w:name="2.2.4.3.2"/>
      <w:r>
        <w:rPr>
          <w:rFonts w:hAnsi="Arial"/>
          <w:rFonts w:ascii="Arial"/>
          <w:sz w:val="24"/>
          <w:color w:val="navy"/>
        </w:rPr>
        <w:t xml:space="preserve">ARTÍCULO 2.2.4.3.2. </w:t>
      </w:r>
      <w:r>
        <w:rPr>
          <w:rFonts w:hAnsi="Arial"/>
          <w:rFonts w:ascii="Arial"/>
          <w:sz w:val="24"/>
          <w:i/>
          <w:color w:val="navy"/>
        </w:rPr>
        <w:t xml:space="preserve">MEDIDAS PARA GARANTIZAR EL CUMPLIMIENTO.</w:t>
      </w:r>
      <w:bookmarkEnd w:id="60056"/>
      <w:r>
        <w:rPr>
          <w:rFonts w:hAnsi="Arial"/>
          <w:rFonts w:ascii="Arial"/>
          <w:sz w:val="24"/>
          <w:b/>
          <w:i/>
          <w:color w:val="black"/>
        </w:rPr>
        <w:t xml:space="preserve"> </w:t>
      </w:r>
      <w:r>
        <w:rPr>
          <w:rFonts w:hAnsi="Arial"/>
          <w:rFonts w:ascii="Arial"/>
          <w:sz w:val="24"/>
          <w:color w:val="black"/>
        </w:rPr>
        <w:t xml:space="preserve">Las autoridades de que trata el artículo </w:t>
      </w:r>
      <w:r>
        <w:fldChar w:fldCharType="begin"/>
      </w:r>
      <w:r>
        <w:instrText>HYPERLINK "http://www.redjurista.com/document.aspx?ajcode=d2535_93&amp;arts=32"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Decreto-ley 2535 de 1993, y los gobernadores y alcaldes municipales y distritales en el ámbito de sus competencias, adoptarán las medidas necesarias para dar cumplimiento a lo dispuesto en el artículo anterior, sin perjuicio de lo dispuesto para la Fuerza Pública, las empresas de servicios de vigilancia y seguridad privada y los departamentos de seguridad debidamente constituidos ante la Superintendencia de Vigilancia y Seguridad Privada y autorizadas por esta y de los permisos especiales que se expidan.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autoridades de que trata este artículo podrán ampliar la prohibición, de conformidad con lo decidido en los Consejos Departamentales de Seguridad, para prevenir posibles actos contra la integridad física de los habitantes de la República o alteraciones del orden público.</w:t>
      </w:r>
    </w:p>
    <w:p>
      <w:pPr>
        <w:jc w:val="both"/>
      </w:pPr>
      <w:rPr>
        <w:sz w:val="24"/>
        <w:color w:val="black"/>
      </w:rPr>
    </w:p>
    <w:p>
      <w:r>
        <w:rPr>
          <w:rFonts w:hAnsi="Arial"/>
          <w:rFonts w:ascii="Arial"/>
          <w:sz w:val="24"/>
          <w:i/>
          <w:color w:val="black"/>
        </w:rPr>
        <w:t xml:space="preserve">(Decreto 514 de 2007 artículo </w:t>
      </w:r>
      <w:r>
        <w:fldChar w:fldCharType="begin"/>
      </w:r>
      <w:r>
        <w:instrText>HYPERLINK "http://www.redjurista.com/document.aspx?ajcode=d0514007&amp;arts=2"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sz w:val="24"/>
        <w:color w:val="black"/>
      </w:rPr>
    </w:p>
    <w:p>
      <w:pPr>
        <w:jc w:val="both"/>
      </w:pPr>
      <w:r>
        <w:rPr>
          <w:rFonts w:hAnsi="Arial"/>
          <w:rFonts w:ascii="Arial"/>
          <w:sz w:val="24"/>
          <w:b/>
          <w:vanish/>
          <w:color w:val="black"/>
        </w:rPr>
        <w:t>&amp;$</w:t>
      </w:r>
      <w:bookmarkStart w:id="60057" w:name="2.2.4.3.3"/>
      <w:r>
        <w:rPr>
          <w:rFonts w:hAnsi="Arial"/>
          <w:rFonts w:ascii="Arial"/>
          <w:sz w:val="24"/>
          <w:color w:val="navy"/>
        </w:rPr>
        <w:t xml:space="preserve">ARTÍCULO 2.2.4.3.3. OBJETO.</w:t>
      </w:r>
      <w:bookmarkEnd w:id="60057"/>
      <w:r>
        <w:rPr>
          <w:rFonts w:hAnsi="Arial"/>
          <w:rFonts w:ascii="Arial"/>
          <w:sz w:val="24"/>
          <w:color w:val="black"/>
        </w:rPr>
        <w:t xml:space="preserve"> &lt;Artículo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El presente decreto tendrá como objeto la clasificación y regulación de las armas traumáticas. </w:t>
      </w:r>
    </w:p>
    <w:p>
      <w:pPr>
        <w:jc w:val="both"/>
      </w:pPr>
      <w:rPr>
        <w:color w:val="black"/>
      </w:rPr>
    </w:p>
    <w:p>
      <w:pPr>
        <w:jc w:val="both"/>
      </w:pPr>
      <w:r>
        <w:rPr>
          <w:rFonts w:hAnsi="Arial"/>
          <w:rFonts w:ascii="Arial"/>
          <w:sz w:val="24"/>
          <w:b/>
          <w:vanish/>
          <w:color w:val="black"/>
        </w:rPr>
        <w:t>&amp;$</w:t>
      </w:r>
      <w:bookmarkStart w:id="60058" w:name="2.2.4.3.4"/>
      <w:r>
        <w:rPr>
          <w:rFonts w:hAnsi="Arial"/>
          <w:rFonts w:ascii="Arial"/>
          <w:sz w:val="24"/>
          <w:color w:val="navy"/>
        </w:rPr>
        <w:t xml:space="preserve">ARTÍCULO 2.2.4.3.4. REGULACIÓN.</w:t>
      </w:r>
      <w:bookmarkEnd w:id="60058"/>
      <w:r>
        <w:rPr>
          <w:rFonts w:hAnsi="Arial"/>
          <w:rFonts w:ascii="Arial"/>
          <w:sz w:val="24"/>
          <w:color w:val="black"/>
        </w:rPr>
        <w:t xml:space="preserve"> &lt;Artículo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Las armas traumáticas como armas menos letales se regirán estrictamente por la regulación establecida en el Decreto ley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y sus modificaciones. </w:t>
      </w:r>
    </w:p>
    <w:p>
      <w:pPr>
        <w:jc w:val="both"/>
      </w:pPr>
      <w:rPr>
        <w:color w:val="black"/>
      </w:rPr>
    </w:p>
    <w:p>
      <w:pPr>
        <w:jc w:val="both"/>
      </w:pPr>
      <w:r>
        <w:rPr>
          <w:rFonts w:hAnsi="Arial"/>
          <w:rFonts w:ascii="Arial"/>
          <w:sz w:val="24"/>
          <w:b/>
          <w:vanish/>
          <w:color w:val="black"/>
        </w:rPr>
        <w:t>&amp;$</w:t>
      </w:r>
      <w:bookmarkStart w:id="60059" w:name="2.2.4.3.5"/>
      <w:r>
        <w:rPr>
          <w:rFonts w:hAnsi="Arial"/>
          <w:rFonts w:ascii="Arial"/>
          <w:sz w:val="24"/>
          <w:color w:val="navy"/>
        </w:rPr>
        <w:t xml:space="preserve">ARTÍCULO 2.2.4.3.5. ÁMBITO DE APLICACIÓN.</w:t>
      </w:r>
      <w:bookmarkEnd w:id="60059"/>
      <w:r>
        <w:rPr>
          <w:rFonts w:hAnsi="Arial"/>
          <w:rFonts w:ascii="Arial"/>
          <w:sz w:val="24"/>
          <w:color w:val="black"/>
        </w:rPr>
        <w:t xml:space="preserve"> &lt;Artículo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El presente decreto se aplica a todas las personas naturales, personas jurídicas y a los servicios de vigilancia y seguridad privada, de conformidad con lo establecido en la presente norma, con excepción de la Fuerza Pública, en el cumplimiento de su misión Constitucional, Legal y Reglamentaria. </w:t>
      </w:r>
    </w:p>
    <w:p>
      <w:pPr>
        <w:jc w:val="both"/>
      </w:pPr>
      <w:rPr>
        <w:color w:val="black"/>
      </w:rPr>
    </w:p>
    <w:p>
      <w:pPr>
        <w:jc w:val="both"/>
      </w:pPr>
      <w:r>
        <w:rPr>
          <w:rFonts w:hAnsi="Arial"/>
          <w:rFonts w:ascii="Arial"/>
          <w:sz w:val="24"/>
          <w:b/>
          <w:vanish/>
          <w:color w:val="black"/>
        </w:rPr>
        <w:t>&amp;$</w:t>
      </w:r>
      <w:bookmarkStart w:id="60060" w:name="2.2.4.3.6"/>
      <w:r>
        <w:rPr>
          <w:rFonts w:hAnsi="Arial"/>
          <w:rFonts w:ascii="Arial"/>
          <w:sz w:val="24"/>
          <w:color w:val="navy"/>
        </w:rPr>
        <w:t xml:space="preserve">ARTÍCULO 2.2.4.3.6. ARMAS TRAUMÁTICAS. </w:t>
      </w:r>
      <w:bookmarkEnd w:id="60060"/>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Las armas traumáticas se clasificarán como: </w:t>
      </w:r>
    </w:p>
    <w:p>
      <w:pPr>
        <w:jc w:val="both"/>
      </w:pPr>
      <w:rPr>
        <w:sz w:val="24"/>
        <w:b/>
        <w:color w:val="black"/>
      </w:rPr>
    </w:p>
    <w:p>
      <w:pPr>
        <w:jc w:val="both"/>
      </w:pPr>
      <w:r>
        <w:rPr>
          <w:rFonts w:hAnsi="Arial"/>
          <w:rFonts w:ascii="Arial"/>
          <w:sz w:val="24"/>
          <w:color w:val="black"/>
        </w:rPr>
        <w:t xml:space="preserve">1. Todas las armas traumáticas cuyas características correspondan a las tipologías establecidas en el artículo </w:t>
      </w:r>
      <w:r>
        <w:fldChar w:fldCharType="begin"/>
      </w:r>
      <w:r>
        <w:instrText>HYPERLINK "http://www.redjurista.com/document.aspx?ajcode=d2535_93&amp;arts=8"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del Decreto ley 2535 de 1993 se considerarán armas de guerra o de uso privativo de la Fuerza Pública. </w:t>
      </w:r>
    </w:p>
    <w:p>
      <w:pPr>
        <w:jc w:val="both"/>
      </w:pPr>
      <w:rPr>
        <w:sz w:val="24"/>
        <w:b/>
        <w:color w:val="black"/>
      </w:rPr>
    </w:p>
    <w:p>
      <w:pPr>
        <w:jc w:val="both"/>
      </w:pPr>
      <w:r>
        <w:rPr>
          <w:rFonts w:hAnsi="Arial"/>
          <w:rFonts w:ascii="Arial"/>
          <w:sz w:val="24"/>
          <w:color w:val="black"/>
        </w:rPr>
        <w:t xml:space="preserve">2. Todas las armas traumáticas cuyas características correspondan a las tipologías establecidas en el artículo </w:t>
      </w:r>
      <w:r>
        <w:fldChar w:fldCharType="begin"/>
      </w:r>
      <w:r>
        <w:instrText>HYPERLINK "http://www.redjurista.com/document.aspx?ajcode=d2535_93&amp;arts=9"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del Decreto ley 2535 de 1993 se considerarán armas de uso restringido. </w:t>
      </w:r>
    </w:p>
    <w:p>
      <w:pPr>
        <w:jc w:val="both"/>
      </w:pPr>
      <w:rPr>
        <w:sz w:val="24"/>
        <w:b/>
        <w:color w:val="black"/>
      </w:rPr>
    </w:p>
    <w:p>
      <w:pPr>
        <w:jc w:val="both"/>
      </w:pPr>
      <w:r>
        <w:rPr>
          <w:rFonts w:hAnsi="Arial"/>
          <w:rFonts w:ascii="Arial"/>
          <w:sz w:val="24"/>
          <w:color w:val="black"/>
        </w:rPr>
        <w:t xml:space="preserve">3. Todas las armas traumáticas cuyas características correspondan a las tipologías establecidas en el artículo </w:t>
      </w:r>
      <w:r>
        <w:fldChar w:fldCharType="begin"/>
      </w:r>
      <w:r>
        <w:instrText>HYPERLINK "http://www.redjurista.com/document.aspx?ajcode=d2535_93&amp;arts=11"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ley 2535 de 1993 se considerarán armas de uso civil de defensa personal. </w:t>
      </w:r>
    </w:p>
    <w:p>
      <w:pPr>
        <w:jc w:val="both"/>
      </w:pPr>
      <w:rPr>
        <w:color w:val="black"/>
      </w:rPr>
    </w:p>
    <w:p>
      <w:pPr>
        <w:jc w:val="both"/>
      </w:pPr>
      <w:r>
        <w:rPr>
          <w:rFonts w:hAnsi="Arial"/>
          <w:rFonts w:ascii="Arial"/>
          <w:sz w:val="24"/>
          <w:b/>
          <w:vanish/>
          <w:color w:val="black"/>
        </w:rPr>
        <w:t>&amp;$</w:t>
      </w:r>
      <w:bookmarkStart w:id="60061" w:name="2.2.4.3.7"/>
      <w:r>
        <w:rPr>
          <w:rFonts w:hAnsi="Arial"/>
          <w:rFonts w:ascii="Arial"/>
          <w:sz w:val="24"/>
          <w:color w:val="navy"/>
        </w:rPr>
        <w:t xml:space="preserve">ARTÍCULO 2.2.4.3.7. PERMISO PARA LA TENENCIA Y/O PORTE DE ARMAS TRAUMÁTICAS DE USO CIVIL DE DEFENSA PERSONAL. </w:t>
      </w:r>
      <w:bookmarkEnd w:id="60061"/>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Los particulares, previo permiso de autoridad competente, podrán tener y/o portar las armas traumáticas de uso civil que están establecidas en el numeral 3 del artículo </w:t>
      </w:r>
      <w:r>
        <w:fldChar w:fldCharType="begin"/>
      </w:r>
      <w:r>
        <w:instrText>HYPERLINK "http://www.redjurista.com/document.aspx?ajcode=d1070015&amp;arts=2.2.4.3.6"</w:instrText>
      </w:r>
      <w:r>
        <w:fldChar w:fldCharType="separate"/>
      </w:r>
      <w:r>
        <w:rPr>
          <w:rFonts w:hAnsi="Arial"/>
          <w:rFonts w:ascii="Arial"/>
          <w:sz w:val="24"/>
          <w:u w:val="single"/>
          <w:color w:val="black"/>
        </w:rPr>
        <w:t>2.2.4.3.6</w:t>
      </w:r>
      <w:r>
        <w:fldChar w:fldCharType="end"/>
      </w:r>
      <w:r>
        <w:rPr>
          <w:rFonts w:hAnsi="Arial"/>
          <w:rFonts w:ascii="Arial"/>
          <w:sz w:val="24"/>
          <w:u w:val="none"/>
          <w:color w:val="black"/>
        </w:rPr>
        <w:t xml:space="preserve">. del presente decreto, y conforme a las cantidades autorizadas en los artículos </w:t>
      </w:r>
      <w:r>
        <w:fldChar w:fldCharType="begin"/>
      </w:r>
      <w:r>
        <w:instrText>HYPERLINK "http://www.redjurista.com/document.aspx?ajcode=d2535_93&amp;arts=22"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y </w:t>
      </w:r>
      <w:r>
        <w:fldChar w:fldCharType="begin"/>
      </w:r>
      <w:r>
        <w:instrText>HYPERLINK "http://www.redjurista.com/document.aspx?ajcode=d2535_93&amp;arts=23"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ley 2535 de 1993.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Se podrá solicitar permiso especial para porte conforme a la Directiva </w:t>
      </w:r>
      <w:r>
        <w:fldChar w:fldCharType="begin"/>
      </w:r>
      <w:r>
        <w:instrText>HYPERLINK "http://www.redjurista.com/document.aspx?ajcode=dir_mdef_0001_2021&amp;arts=INICIO"</w:instrText>
      </w:r>
      <w:r>
        <w:fldChar w:fldCharType="separate"/>
      </w:r>
      <w:r>
        <w:rPr>
          <w:rFonts w:hAnsi="Arial"/>
          <w:rFonts w:ascii="Arial"/>
          <w:sz w:val="24"/>
          <w:u w:val="single"/>
          <w:color w:val="black"/>
        </w:rPr>
        <w:t>01</w:t>
      </w:r>
      <w:r>
        <w:fldChar w:fldCharType="end"/>
      </w:r>
      <w:r>
        <w:rPr>
          <w:rFonts w:hAnsi="Arial"/>
          <w:rFonts w:ascii="Arial"/>
          <w:sz w:val="24"/>
          <w:u w:val="none"/>
          <w:color w:val="black"/>
        </w:rPr>
        <w:t xml:space="preserve"> de 2021 o la reglamentación que esté vigente, ante la autoridad competente en los términos establecidos en las directrices del Ministerio de Defensa Nacional, cuando exista una medida de restricción por parte del Gobierno nacional o de la autoridad militar competente, para lo cual el arma traumática deberá contar previamente con el permiso para porte vigente. </w:t>
      </w:r>
    </w:p>
    <w:p>
      <w:pPr>
        <w:jc w:val="both"/>
      </w:pPr>
      <w:rPr>
        <w:color w:val="black"/>
      </w:rPr>
    </w:p>
    <w:p>
      <w:pPr>
        <w:jc w:val="both"/>
      </w:pPr>
      <w:r>
        <w:rPr>
          <w:rFonts w:hAnsi="Arial"/>
          <w:rFonts w:ascii="Arial"/>
          <w:sz w:val="24"/>
          <w:b/>
          <w:vanish/>
          <w:color w:val="black"/>
        </w:rPr>
        <w:t>&amp;$</w:t>
      </w:r>
      <w:bookmarkStart w:id="60062" w:name="2.2.4.3.8"/>
      <w:r>
        <w:rPr>
          <w:rFonts w:hAnsi="Arial"/>
          <w:rFonts w:ascii="Arial"/>
          <w:sz w:val="24"/>
          <w:color w:val="navy"/>
        </w:rPr>
        <w:t xml:space="preserve">ARTÍCULO 2.2.4.3.8. PROCEDIMIENTO DE MARCAJE O REGISTRO DURANTE LA TRANSICIÓN. </w:t>
      </w:r>
      <w:bookmarkEnd w:id="60062"/>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Los ciudadanos interesados en legalizar y definir la situación jurídica sobre armas traumáticas con ocasión al presente decreto, a iniciativa de los mismos serán los responsables de entregar a la Industria Militar las armas traumáticas de uso civil de defensa personal establecidas en el numeral 3 del artículo </w:t>
      </w:r>
      <w:r>
        <w:fldChar w:fldCharType="begin"/>
      </w:r>
      <w:r>
        <w:instrText>HYPERLINK "http://www.redjurista.com/document.aspx?ajcode=d1070015&amp;arts=2.2.4.3.6"</w:instrText>
      </w:r>
      <w:r>
        <w:fldChar w:fldCharType="separate"/>
      </w:r>
      <w:r>
        <w:rPr>
          <w:rFonts w:hAnsi="Arial"/>
          <w:rFonts w:ascii="Arial"/>
          <w:sz w:val="24"/>
          <w:u w:val="single"/>
          <w:color w:val="black"/>
        </w:rPr>
        <w:t>2.2.4.3.6</w:t>
      </w:r>
      <w:r>
        <w:fldChar w:fldCharType="end"/>
      </w:r>
      <w:r>
        <w:rPr>
          <w:rFonts w:hAnsi="Arial"/>
          <w:rFonts w:ascii="Arial"/>
          <w:sz w:val="24"/>
          <w:u w:val="none"/>
          <w:color w:val="black"/>
        </w:rPr>
        <w:t xml:space="preserve">. del presente decreto, conforme al siguiente procedimiento: </w:t>
      </w:r>
    </w:p>
    <w:p>
      <w:pPr>
        <w:jc w:val="both"/>
      </w:pPr>
      <w:rPr>
        <w:sz w:val="24"/>
        <w:b/>
        <w:color w:val="black"/>
      </w:rPr>
    </w:p>
    <w:p>
      <w:pPr>
        <w:jc w:val="both"/>
      </w:pPr>
      <w:r>
        <w:rPr>
          <w:rFonts w:hAnsi="Arial"/>
          <w:rFonts w:ascii="Arial"/>
          <w:sz w:val="24"/>
          <w:color w:val="black"/>
        </w:rPr>
        <w:t xml:space="preserve">1. Los puntos de entrega de las armas traumáticas serán establecidos por la autoridad competente. </w:t>
      </w:r>
    </w:p>
    <w:p>
      <w:pPr>
        <w:jc w:val="both"/>
      </w:pPr>
      <w:rPr>
        <w:sz w:val="24"/>
        <w:b/>
        <w:color w:val="black"/>
      </w:rPr>
    </w:p>
    <w:p>
      <w:pPr>
        <w:jc w:val="both"/>
      </w:pPr>
      <w:r>
        <w:rPr>
          <w:rFonts w:hAnsi="Arial"/>
          <w:rFonts w:ascii="Arial"/>
          <w:sz w:val="24"/>
          <w:color w:val="black"/>
        </w:rPr>
        <w:t xml:space="preserve">2. Una vez entregue el ciudadano el arma, se diligenciará un formulario, el cual se entregará ante la autoridad competente de manera voluntaria, donde podrá tomar las siguientes opciones:</w:t>
      </w:r>
    </w:p>
    <w:p>
      <w:pPr>
        <w:jc w:val="both"/>
      </w:pPr>
      <w:rPr>
        <w:sz w:val="24"/>
        <w:b/>
        <w:color w:val="black"/>
      </w:rPr>
    </w:p>
    <w:p>
      <w:pPr>
        <w:jc w:val="both"/>
      </w:pPr>
      <w:r>
        <w:rPr>
          <w:rFonts w:hAnsi="Arial"/>
          <w:rFonts w:ascii="Arial"/>
          <w:sz w:val="24"/>
          <w:color w:val="black"/>
        </w:rPr>
        <w:t xml:space="preserve">a) Entregar el arma, solicitar el marcaje y continuar con el trámite de registro y emisión del permiso de tenencia y/o porte del arma. </w:t>
      </w:r>
    </w:p>
    <w:p>
      <w:pPr>
        <w:jc w:val="both"/>
      </w:pPr>
      <w:rPr>
        <w:sz w:val="24"/>
        <w:b/>
        <w:color w:val="black"/>
      </w:rPr>
    </w:p>
    <w:p>
      <w:pPr>
        <w:jc w:val="both"/>
      </w:pPr>
      <w:r>
        <w:rPr>
          <w:rFonts w:hAnsi="Arial"/>
          <w:rFonts w:ascii="Arial"/>
          <w:sz w:val="24"/>
          <w:color w:val="black"/>
        </w:rPr>
        <w:t xml:space="preserve">b) Entregar el arma voluntariamente en el caso en que decida no marcarla, ni adelantar el trámite de registro y emisión del permiso. </w:t>
      </w:r>
    </w:p>
    <w:p>
      <w:pPr>
        <w:jc w:val="both"/>
      </w:pPr>
      <w:rPr>
        <w:sz w:val="24"/>
        <w:b/>
        <w:color w:val="black"/>
      </w:rPr>
    </w:p>
    <w:p>
      <w:pPr>
        <w:jc w:val="both"/>
      </w:pPr>
      <w:r>
        <w:rPr>
          <w:rFonts w:hAnsi="Arial"/>
          <w:rFonts w:ascii="Arial"/>
          <w:sz w:val="24"/>
          <w:color w:val="black"/>
        </w:rPr>
        <w:t xml:space="preserve">3. Una vez recibida el arma por parte del almacén comercial con sede en la fábrica, se expide: </w:t>
      </w:r>
    </w:p>
    <w:p>
      <w:pPr>
        <w:jc w:val="both"/>
      </w:pPr>
      <w:rPr>
        <w:sz w:val="24"/>
        <w:b/>
        <w:color w:val="black"/>
      </w:rPr>
    </w:p>
    <w:p>
      <w:pPr>
        <w:jc w:val="both"/>
      </w:pPr>
      <w:r>
        <w:rPr>
          <w:rFonts w:hAnsi="Arial"/>
          <w:rFonts w:ascii="Arial"/>
          <w:sz w:val="24"/>
          <w:color w:val="black"/>
        </w:rPr>
        <w:t xml:space="preserve">3.1 Comprobante de recepción: formato con datos del propietario y arma. </w:t>
      </w:r>
    </w:p>
    <w:p>
      <w:pPr>
        <w:jc w:val="both"/>
      </w:pPr>
      <w:rPr>
        <w:sz w:val="24"/>
        <w:b/>
        <w:color w:val="black"/>
      </w:rPr>
    </w:p>
    <w:p>
      <w:pPr>
        <w:jc w:val="both"/>
      </w:pPr>
      <w:r>
        <w:rPr>
          <w:rFonts w:hAnsi="Arial"/>
          <w:rFonts w:ascii="Arial"/>
          <w:sz w:val="24"/>
          <w:color w:val="black"/>
        </w:rPr>
        <w:t xml:space="preserve">3.2 Se genera remisión con solicitud de Trabajo a la Fábrica José María Córdoba (Fagecor). </w:t>
      </w:r>
    </w:p>
    <w:p>
      <w:pPr>
        <w:jc w:val="both"/>
      </w:pPr>
      <w:rPr>
        <w:sz w:val="24"/>
        <w:b/>
        <w:color w:val="black"/>
      </w:rPr>
    </w:p>
    <w:p>
      <w:pPr>
        <w:jc w:val="both"/>
      </w:pPr>
      <w:r>
        <w:rPr>
          <w:rFonts w:hAnsi="Arial"/>
          <w:rFonts w:ascii="Arial"/>
          <w:sz w:val="24"/>
          <w:color w:val="black"/>
        </w:rPr>
        <w:t xml:space="preserve">3.3 La Industria Militar procederá al marcaje de armas traumáticas, en el cual mínimo se debe contemplar: </w:t>
      </w:r>
    </w:p>
    <w:p>
      <w:pPr>
        <w:jc w:val="both"/>
      </w:pPr>
      <w:rPr>
        <w:sz w:val="24"/>
        <w:b/>
        <w:color w:val="black"/>
      </w:rPr>
    </w:p>
    <w:p>
      <w:pPr>
        <w:jc w:val="both"/>
      </w:pPr>
      <w:r>
        <w:rPr>
          <w:rFonts w:hAnsi="Arial"/>
          <w:rFonts w:ascii="Arial"/>
          <w:sz w:val="24"/>
          <w:color w:val="black"/>
        </w:rPr>
        <w:t xml:space="preserve">3.3.1 Características de cada una de las armas traumáticas. </w:t>
      </w:r>
    </w:p>
    <w:p>
      <w:pPr>
        <w:jc w:val="both"/>
      </w:pPr>
      <w:rPr>
        <w:sz w:val="24"/>
        <w:b/>
        <w:color w:val="black"/>
      </w:rPr>
    </w:p>
    <w:p>
      <w:pPr>
        <w:jc w:val="both"/>
      </w:pPr>
      <w:r>
        <w:rPr>
          <w:rFonts w:hAnsi="Arial"/>
          <w:rFonts w:ascii="Arial"/>
          <w:sz w:val="24"/>
          <w:color w:val="black"/>
        </w:rPr>
        <w:t xml:space="preserve">3.3.2 Datos de contacto del titular de la misma. </w:t>
      </w:r>
    </w:p>
    <w:p>
      <w:pPr>
        <w:jc w:val="both"/>
      </w:pPr>
      <w:rPr>
        <w:sz w:val="24"/>
        <w:b/>
        <w:color w:val="black"/>
      </w:rPr>
    </w:p>
    <w:p>
      <w:pPr>
        <w:jc w:val="both"/>
      </w:pPr>
      <w:r>
        <w:rPr>
          <w:rFonts w:hAnsi="Arial"/>
          <w:rFonts w:ascii="Arial"/>
          <w:sz w:val="24"/>
          <w:color w:val="black"/>
        </w:rPr>
        <w:t xml:space="preserve">3.3.3 Se realiza un marcaje alfanumérico mediante tecnología láser en bajo relieve.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En un plazo de ocho (8) meses contados a partir de la publicación del presente decreto, prorrogables por ocho (8) meses más, la autoridad competente será la responsable de recoger las armas traumáticas de uso civil de defensa personal establecidas en el numeral 3 del artículo </w:t>
      </w:r>
      <w:r>
        <w:fldChar w:fldCharType="begin"/>
      </w:r>
      <w:r>
        <w:instrText>HYPERLINK "http://www.redjurista.com/document.aspx?ajcode=d1070015&amp;arts=2.2.4.3.6"</w:instrText>
      </w:r>
      <w:r>
        <w:fldChar w:fldCharType="separate"/>
      </w:r>
      <w:r>
        <w:rPr>
          <w:rFonts w:hAnsi="Arial"/>
          <w:rFonts w:ascii="Arial"/>
          <w:sz w:val="24"/>
          <w:u w:val="single"/>
          <w:color w:val="black"/>
        </w:rPr>
        <w:t>2.2.4.3.6</w:t>
      </w:r>
      <w:r>
        <w:fldChar w:fldCharType="end"/>
      </w:r>
      <w:r>
        <w:rPr>
          <w:rFonts w:hAnsi="Arial"/>
          <w:rFonts w:ascii="Arial"/>
          <w:sz w:val="24"/>
          <w:u w:val="none"/>
          <w:color w:val="black"/>
        </w:rPr>
        <w:t xml:space="preserve">. del presente decreto, que se encuentran en poder de la ciudadanía, de los importadores y de los servicios de vigilancia y seguridad privada, a fin de agotar el procedimiento de marcaje y registro de las mismas. </w:t>
      </w:r>
    </w:p>
    <w:p>
      <w:pPr>
        <w:jc w:val="both"/>
      </w:pPr>
      <w:rPr>
        <w:sz w:val="24"/>
        <w:b/>
        <w:color w:val="black"/>
      </w:rPr>
    </w:p>
    <w:p>
      <w:pPr>
        <w:jc w:val="both"/>
      </w:pPr>
      <w:r>
        <w:rPr>
          <w:rFonts w:hAnsi="Arial"/>
          <w:rFonts w:ascii="Arial"/>
          <w:sz w:val="24"/>
          <w:color w:val="navy"/>
        </w:rPr>
        <w:t xml:space="preserve">PARÁGRAFO 2.</w:t>
      </w:r>
      <w:r>
        <w:rPr>
          <w:rFonts w:hAnsi="Arial"/>
          <w:rFonts w:ascii="Arial"/>
          <w:sz w:val="24"/>
          <w:color w:val="black"/>
        </w:rPr>
        <w:t xml:space="preserve"> En todo caso, dentro de los ocho (8) meses siguientes a la publicación del presente decreto, la Industria Militar (Indumil) y el Departamento de Control Comercio de Armas, Municiones y Explosivos del Comando General de las Fuerzas Militares, establecerán el procedimiento de marcaje y registro. </w:t>
      </w:r>
    </w:p>
    <w:p>
      <w:pPr>
        <w:jc w:val="both"/>
      </w:pPr>
      <w:rPr>
        <w:sz w:val="24"/>
        <w:b/>
        <w:color w:val="black"/>
      </w:rPr>
    </w:p>
    <w:p>
      <w:pPr>
        <w:jc w:val="both"/>
      </w:pPr>
      <w:r>
        <w:rPr>
          <w:rFonts w:hAnsi="Arial"/>
          <w:rFonts w:ascii="Arial"/>
          <w:sz w:val="24"/>
          <w:color w:val="navy"/>
        </w:rPr>
        <w:t xml:space="preserve">PARÁGRAFO 3.</w:t>
      </w:r>
      <w:r>
        <w:rPr>
          <w:rFonts w:hAnsi="Arial"/>
          <w:rFonts w:ascii="Arial"/>
          <w:sz w:val="24"/>
          <w:color w:val="black"/>
        </w:rPr>
        <w:t xml:space="preserve"> El procedimiento de marcaje o registro del arma traumática hará parte del trámite de permiso de porte y/o tenencia establecido en el artículo </w:t>
      </w:r>
      <w:r>
        <w:fldChar w:fldCharType="begin"/>
      </w:r>
      <w:r>
        <w:instrText>HYPERLINK "http://www.redjurista.com/document.aspx?ajcode=d1070015&amp;arts=2.2.4.3.7"</w:instrText>
      </w:r>
      <w:r>
        <w:fldChar w:fldCharType="separate"/>
      </w:r>
      <w:r>
        <w:rPr>
          <w:rFonts w:hAnsi="Arial"/>
          <w:rFonts w:ascii="Arial"/>
          <w:sz w:val="24"/>
          <w:u w:val="single"/>
          <w:color w:val="black"/>
        </w:rPr>
        <w:t>2.2.4.3.7</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b/>
          <w:vanish/>
          <w:color w:val="black"/>
        </w:rPr>
        <w:t>&amp;$</w:t>
      </w:r>
      <w:bookmarkStart w:id="60063" w:name="2.2.4.3.9"/>
      <w:r>
        <w:rPr>
          <w:rFonts w:hAnsi="Arial"/>
          <w:rFonts w:ascii="Arial"/>
          <w:sz w:val="24"/>
          <w:color w:val="navy"/>
        </w:rPr>
        <w:t xml:space="preserve">ARTÍCULO 2.2.4.3.9. ENTREGA DE ARMAS TRAUMÁTICAS.</w:t>
      </w:r>
      <w:bookmarkEnd w:id="600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A partir de la expedición de este decreto y hasta dentro de los 6 meses siguientes a su publicación, las personas naturales o jurídicas titulares de armas traumáticas que cumplan con las características de armas de guerra o uso privativo y de uso restringido, deberán entregarlas al Estado, so pena de su incautación y judicialización. La entrega se hará por medio del Departamento Control Comercio de Armas, Municiones y Explosivos del Comando General de las Fuerzas Militares y/o Seccionales Control Comercio de Armas a nivel nacional, sin recibir contraprestación alguna.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Las personas naturales y jurídicas titulares de armas traumáticas que cumplan con las características de uso civil de defensa personal que quieran hacer su entrega y no quieran solicitar el permiso ante la autoridad competente, podrán entregarlas al Estado en el mismo término establecido en el presente artículo.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El material recibido en el Departamento Control Comercio de Armas, Municiones y Explosivos del Comando General de las Fuerzas Militares y/o Seccionales Control Comercio de Armas a nivel nacional, deberá remitirse al Almacén General de Armas entregadas al Estado, para su destrucción previa elaboración del acta correspondiente, diferenciándose del decomisado. </w:t>
      </w:r>
    </w:p>
    <w:p>
      <w:pPr>
        <w:jc w:val="both"/>
      </w:pPr>
      <w:rPr>
        <w:sz w:val="28"/>
        <w:b/>
        <w:color w:val="gray"/>
      </w:rPr>
    </w:p>
    <w:p>
      <w:pPr>
        <w:jc w:val="both"/>
      </w:pPr>
      <w:r>
        <w:rPr>
          <w:rFonts w:hAnsi="Arial"/>
          <w:rFonts w:ascii="Arial"/>
          <w:sz w:val="24"/>
          <w:b/>
          <w:vanish/>
          <w:color w:val="black"/>
        </w:rPr>
        <w:t>&amp;$</w:t>
      </w:r>
      <w:bookmarkStart w:id="60064" w:name="2.2.4.3.10"/>
      <w:r>
        <w:rPr>
          <w:rFonts w:hAnsi="Arial"/>
          <w:rFonts w:ascii="Arial"/>
          <w:sz w:val="24"/>
          <w:color w:val="navy"/>
        </w:rPr>
        <w:t xml:space="preserve">ARTÍCULO 2.2.4.3.10. TIEMPOS ESTABLECIDOS PARA EL MARCAJE O REGISTRO DE LAS ARMAS TRAUMÁTICAS. </w:t>
      </w:r>
      <w:bookmarkEnd w:id="60064"/>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w:t>
      </w:r>
      <w:r>
        <w:rPr>
          <w:rFonts w:hAnsi="Arial"/>
          <w:rFonts w:ascii="Arial"/>
          <w:sz w:val="24"/>
          <w:b/>
          <w:u w:val="none"/>
          <w:color w:val="black"/>
        </w:rPr>
        <w:t xml:space="preserve"> </w:t>
      </w:r>
      <w:r>
        <w:rPr>
          <w:rFonts w:hAnsi="Arial"/>
          <w:rFonts w:ascii="Arial"/>
          <w:sz w:val="24"/>
          <w:u w:val="none"/>
          <w:color w:val="black"/>
        </w:rPr>
        <w:t xml:space="preserve">Las personas naturales o jurídicas que tengan armas traumáticas deberán realizar el marcaje de estas ante la autoridad competente en un plazo de ocho (8) meses contados a partir de que entre en funcionamiento y operación el procedimiento que para ello establezca Indumil. Después de dicho proceso, contarán con ocho (8) meses adicionales para presentar la solicitud de permiso de tenencia y/o porte, este término se contará a partir del marcaje y registro de cada arma traumática. </w:t>
      </w:r>
    </w:p>
    <w:p>
      <w:pPr>
        <w:jc w:val="both"/>
      </w:pPr>
      <w:rPr>
        <w:color w:val="black"/>
      </w:rPr>
    </w:p>
    <w:p>
      <w:pPr>
        <w:jc w:val="both"/>
      </w:pPr>
      <w:r>
        <w:rPr>
          <w:rFonts w:hAnsi="Arial"/>
          <w:rFonts w:ascii="Arial"/>
          <w:sz w:val="24"/>
          <w:b/>
          <w:vanish/>
          <w:color w:val="black"/>
        </w:rPr>
        <w:t>&amp;$</w:t>
      </w:r>
      <w:bookmarkStart w:id="60065" w:name="2.2.4.3.11"/>
      <w:r>
        <w:rPr>
          <w:rFonts w:hAnsi="Arial"/>
          <w:rFonts w:ascii="Arial"/>
          <w:sz w:val="24"/>
          <w:color w:val="navy"/>
        </w:rPr>
        <w:t xml:space="preserve">ARTÍCULO 2.2.4.3.11. REQUISITOS PARA LA SOLICITUD DE PERMISO DE PORTE Y/O TENENCIA DE LAS ARMAS TRAUMÁTICAS.</w:t>
      </w:r>
      <w:bookmarkEnd w:id="600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Para el estudio de las solicitudes de permisos para tenencia y/o porte de las armas de fuego traumáticas, además de los requisitos señalados en los artículos </w:t>
      </w:r>
      <w:r>
        <w:fldChar w:fldCharType="begin"/>
      </w:r>
      <w:r>
        <w:instrText>HYPERLINK "http://www.redjurista.com/document.aspx?ajcode=d2535_93&amp;arts=33"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(modificado por el artículo </w:t>
      </w:r>
      <w:r>
        <w:fldChar w:fldCharType="begin"/>
      </w:r>
      <w:r>
        <w:instrText>HYPERLINK "http://www.redjurista.com/document.aspx?ajcode=l1119006&amp;arts=11"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1119 de 2006) y </w:t>
      </w:r>
      <w:r>
        <w:fldChar w:fldCharType="begin"/>
      </w:r>
      <w:r>
        <w:instrText>HYPERLINK "http://www.redjurista.com/document.aspx?ajcode=d2535_93&amp;arts=34"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ley 2535 de 1993, se deberá acreditar ante el Departamento Control Comercio de Armas Municiones y Explosivos el origen del arma y acreditar los siguientes requisitos: </w:t>
      </w:r>
    </w:p>
    <w:p>
      <w:pPr>
        <w:jc w:val="both"/>
      </w:pPr>
      <w:rPr>
        <w:sz w:val="24"/>
        <w:b/>
        <w:color w:val="black"/>
      </w:rPr>
    </w:p>
    <w:p>
      <w:pPr>
        <w:jc w:val="both"/>
      </w:pPr>
      <w:r>
        <w:rPr>
          <w:rFonts w:hAnsi="Arial"/>
          <w:rFonts w:ascii="Arial"/>
          <w:sz w:val="24"/>
          <w:color w:val="black"/>
        </w:rPr>
        <w:t xml:space="preserve">a) Evidenciar la entrega el arma traumática a la Industria Militar para el proceso de marcaje o registro con el comprobante de recepción: formato con datos del propietario y arma. </w:t>
      </w:r>
    </w:p>
    <w:p>
      <w:pPr>
        <w:jc w:val="both"/>
      </w:pPr>
      <w:rPr>
        <w:sz w:val="24"/>
        <w:b/>
        <w:color w:val="black"/>
      </w:rPr>
    </w:p>
    <w:p>
      <w:pPr>
        <w:jc w:val="both"/>
      </w:pPr>
      <w:r>
        <w:rPr>
          <w:rFonts w:hAnsi="Arial"/>
          <w:rFonts w:ascii="Arial"/>
          <w:sz w:val="24"/>
          <w:color w:val="black"/>
        </w:rPr>
        <w:t xml:space="preserve">b) Solicitar la cita con el código único de atención ciudadana electrónica (ACE), mediante los canales establecidos por la autoridad competente y adjuntar en línea los siguientes documentos: </w:t>
      </w:r>
    </w:p>
    <w:p>
      <w:pPr>
        <w:jc w:val="both"/>
      </w:pPr>
      <w:rPr>
        <w:sz w:val="24"/>
        <w:b/>
        <w:color w:val="black"/>
      </w:rPr>
    </w:p>
    <w:p>
      <w:pPr>
        <w:jc w:val="both"/>
      </w:pPr>
      <w:r>
        <w:rPr>
          <w:rFonts w:hAnsi="Arial"/>
          <w:rFonts w:ascii="Arial"/>
          <w:sz w:val="24"/>
          <w:color w:val="black"/>
        </w:rPr>
        <w:t xml:space="preserve">- Presentar Factura de venta o declaración de importación del arma. </w:t>
      </w:r>
    </w:p>
    <w:p>
      <w:pPr>
        <w:jc w:val="both"/>
      </w:pPr>
      <w:rPr>
        <w:sz w:val="24"/>
        <w:b/>
        <w:color w:val="black"/>
      </w:rPr>
    </w:p>
    <w:p>
      <w:pPr>
        <w:jc w:val="both"/>
      </w:pPr>
      <w:r>
        <w:rPr>
          <w:rFonts w:hAnsi="Arial"/>
          <w:rFonts w:ascii="Arial"/>
          <w:sz w:val="24"/>
          <w:color w:val="black"/>
        </w:rPr>
        <w:t xml:space="preserve">c) Presentarse el día de la cita en el Departamento Control Comercio de Armas, Municiones y Explosivos y/o Seccionales Control Comercio de Armas a nivel nacional para enrolamiento y obtención de la huella dactilar y fotografía en el Sistema de Información de Armas, Municiones y Explosivos. </w:t>
      </w:r>
    </w:p>
    <w:p>
      <w:pPr>
        <w:jc w:val="both"/>
      </w:pPr>
      <w:rPr>
        <w:sz w:val="24"/>
        <w:b/>
        <w:color w:val="black"/>
      </w:rPr>
    </w:p>
    <w:p>
      <w:pPr>
        <w:jc w:val="both"/>
      </w:pPr>
      <w:r>
        <w:rPr>
          <w:rFonts w:hAnsi="Arial"/>
          <w:rFonts w:ascii="Arial"/>
          <w:sz w:val="24"/>
          <w:color w:val="black"/>
        </w:rPr>
        <w:t xml:space="preserve">La autoridad militar competente verificará el cumplimiento de requisitos y la justificación de la necesidad del ciudadano para el porte o tenencia del arma traumática autorizará o negará el permiso y le informará al solicitante, de la cita para la toma de huella dactilar y fotografía.</w:t>
      </w:r>
    </w:p>
    <w:p>
      <w:pPr>
        <w:jc w:val="both"/>
      </w:pPr>
      <w:rPr>
        <w:sz w:val="28"/>
        <w:b/>
        <w:color w:val="gray"/>
      </w:rPr>
    </w:p>
    <w:p>
      <w:pPr>
        <w:jc w:val="both"/>
      </w:pPr>
      <w:r>
        <w:rPr>
          <w:rFonts w:hAnsi="Arial"/>
          <w:rFonts w:ascii="Arial"/>
          <w:sz w:val="24"/>
          <w:b/>
          <w:vanish/>
          <w:color w:val="black"/>
        </w:rPr>
        <w:t>&amp;$</w:t>
      </w:r>
      <w:bookmarkStart w:id="60066" w:name="2.2.4.3.12"/>
      <w:r>
        <w:rPr>
          <w:rFonts w:hAnsi="Arial"/>
          <w:rFonts w:ascii="Arial"/>
          <w:sz w:val="24"/>
          <w:color w:val="navy"/>
        </w:rPr>
        <w:t xml:space="preserve">ARTÍCULO 2.2.4.3.12. COSTOS PARA EL CIUDADANO. </w:t>
      </w:r>
      <w:bookmarkEnd w:id="60066"/>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El solicitante deberá pagar los valores asociados a la expedición del permiso de acuerdo con lo establecido en la normativa vigente. </w:t>
      </w:r>
    </w:p>
    <w:p>
      <w:pPr>
        <w:jc w:val="both"/>
      </w:pPr>
      <w:rPr>
        <w:color w:val="black"/>
      </w:rPr>
    </w:p>
    <w:p>
      <w:pPr>
        <w:jc w:val="both"/>
      </w:pPr>
      <w:r>
        <w:rPr>
          <w:rFonts w:hAnsi="Arial"/>
          <w:rFonts w:ascii="Arial"/>
          <w:sz w:val="24"/>
          <w:b/>
          <w:vanish/>
          <w:color w:val="black"/>
        </w:rPr>
        <w:t>&amp;$</w:t>
      </w:r>
      <w:bookmarkStart w:id="60067" w:name="2.2.4.3.13"/>
      <w:r>
        <w:rPr>
          <w:rFonts w:hAnsi="Arial"/>
          <w:rFonts w:ascii="Arial"/>
          <w:sz w:val="24"/>
          <w:color w:val="navy"/>
        </w:rPr>
        <w:t xml:space="preserve">ARTÍCULO 2.2.4.3.13. TIEMPO PARA ENTREGA DE PERMISO. </w:t>
      </w:r>
      <w:bookmarkEnd w:id="60067"/>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Una vez el solicitante se presente el día de la cita y haya realizado el pago de los valores correspondientes para el permiso de tenencia y/o porte transcurrirán ocho (8) días hábiles para la entrega del permiso. </w:t>
      </w:r>
    </w:p>
    <w:p>
      <w:pPr>
        <w:jc w:val="both"/>
      </w:pPr>
      <w:rPr>
        <w:color w:val="black"/>
      </w:rPr>
    </w:p>
    <w:p>
      <w:pPr>
        <w:jc w:val="both"/>
      </w:pPr>
      <w:r>
        <w:rPr>
          <w:rFonts w:hAnsi="Arial"/>
          <w:rFonts w:ascii="Arial"/>
          <w:sz w:val="24"/>
          <w:b/>
          <w:vanish/>
          <w:color w:val="black"/>
        </w:rPr>
        <w:t>&amp;$</w:t>
      </w:r>
      <w:bookmarkStart w:id="60068" w:name="2.2.4.3.14"/>
      <w:r>
        <w:rPr>
          <w:rFonts w:hAnsi="Arial"/>
          <w:rFonts w:ascii="Arial"/>
          <w:sz w:val="24"/>
          <w:color w:val="navy"/>
        </w:rPr>
        <w:t xml:space="preserve">ARTÍCULO 2.2.4.3.14. AUTORIZACIÓN A ENTREGAR AL CIUDADANO. </w:t>
      </w:r>
      <w:bookmarkEnd w:id="60068"/>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El ciudadano recibirá por la realización del trámite, el respectivo permiso de tenencia y/o porte del arma traumática, cuando cumpla con todos los requisitos establecidos en el presente decreto. </w:t>
      </w:r>
    </w:p>
    <w:p>
      <w:pPr>
        <w:jc w:val="both"/>
      </w:pPr>
      <w:rPr>
        <w:color w:val="black"/>
      </w:rPr>
    </w:p>
    <w:p>
      <w:pPr>
        <w:jc w:val="both"/>
      </w:pPr>
      <w:r>
        <w:rPr>
          <w:rFonts w:hAnsi="Arial"/>
          <w:rFonts w:ascii="Arial"/>
          <w:sz w:val="24"/>
          <w:b/>
          <w:vanish/>
          <w:color w:val="black"/>
        </w:rPr>
        <w:t>&amp;$</w:t>
      </w:r>
      <w:bookmarkStart w:id="60069" w:name="2.2.4.3.15"/>
      <w:r>
        <w:rPr>
          <w:rFonts w:hAnsi="Arial"/>
          <w:rFonts w:ascii="Arial"/>
          <w:sz w:val="24"/>
          <w:color w:val="navy"/>
        </w:rPr>
        <w:t xml:space="preserve">ARTÍCULO 2.2.4.3.15. CANALES DE ATENCIÓN. </w:t>
      </w:r>
      <w:bookmarkEnd w:id="60069"/>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Los canales de atención para realizar el trámite serán los establecidos por el Departamento Control Comercio de Armas, Municiones y Explosivos del Comando General de las Fuerzas Militares. </w:t>
      </w:r>
    </w:p>
    <w:p>
      <w:pPr>
        <w:jc w:val="both"/>
      </w:pPr>
      <w:rPr>
        <w:color w:val="black"/>
      </w:rPr>
    </w:p>
    <w:p>
      <w:pPr>
        <w:jc w:val="both"/>
      </w:pPr>
      <w:r>
        <w:rPr>
          <w:rFonts w:hAnsi="Arial"/>
          <w:rFonts w:ascii="Arial"/>
          <w:sz w:val="24"/>
          <w:b/>
          <w:vanish/>
          <w:color w:val="black"/>
        </w:rPr>
        <w:t>&amp;$</w:t>
      </w:r>
      <w:bookmarkStart w:id="60070" w:name="2.2.4.3.16"/>
      <w:r>
        <w:rPr>
          <w:rFonts w:hAnsi="Arial"/>
          <w:rFonts w:ascii="Arial"/>
          <w:sz w:val="24"/>
          <w:color w:val="navy"/>
        </w:rPr>
        <w:t xml:space="preserve">ARTÍCULO 2.2.4.3.16. CESIÓN.</w:t>
      </w:r>
      <w:bookmarkEnd w:id="60070"/>
      <w:r>
        <w:rPr>
          <w:rFonts w:hAnsi="Arial"/>
          <w:rFonts w:ascii="Arial"/>
          <w:sz w:val="24"/>
          <w:color w:val="black"/>
        </w:rPr>
        <w:t xml:space="preserve"> Toda arma clasificada como traumática de acuerdo con lo establecido en el numeral 3 del artículo </w:t>
      </w:r>
      <w:r>
        <w:fldChar w:fldCharType="begin"/>
      </w:r>
      <w:r>
        <w:instrText>HYPERLINK "http://www.redjurista.com/document.aspx?ajcode=d1070015&amp;arts=2.2.4.3.6"</w:instrText>
      </w:r>
      <w:r>
        <w:fldChar w:fldCharType="separate"/>
      </w:r>
      <w:r>
        <w:rPr>
          <w:rFonts w:hAnsi="Arial"/>
          <w:rFonts w:ascii="Arial"/>
          <w:sz w:val="24"/>
          <w:u w:val="single"/>
          <w:color w:val="black"/>
        </w:rPr>
        <w:t>2.2.4.3.6</w:t>
      </w:r>
      <w:r>
        <w:fldChar w:fldCharType="end"/>
      </w:r>
      <w:r>
        <w:rPr>
          <w:rFonts w:hAnsi="Arial"/>
          <w:rFonts w:ascii="Arial"/>
          <w:sz w:val="24"/>
          <w:u w:val="none"/>
          <w:color w:val="black"/>
        </w:rPr>
        <w:t xml:space="preserve">. del presente decreto, podrá ser cedida según lo dispuesto en el artículo </w:t>
      </w:r>
      <w:r>
        <w:fldChar w:fldCharType="begin"/>
      </w:r>
      <w:r>
        <w:instrText>HYPERLINK "http://www.redjurista.com/document.aspx?ajcode=d0019012&amp;arts=96"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Decreto ley 0019 de 2012 el cual modificó el Decreto ley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w:t>
      </w:r>
    </w:p>
    <w:p>
      <w:pPr>
        <w:jc w:val="both"/>
      </w:pPr>
      <w:rPr>
        <w:color w:val="black"/>
      </w:rPr>
    </w:p>
    <w:p>
      <w:pPr>
        <w:jc w:val="both"/>
      </w:pPr>
      <w:r>
        <w:rPr>
          <w:rFonts w:hAnsi="Arial"/>
          <w:rFonts w:ascii="Arial"/>
          <w:sz w:val="24"/>
          <w:b/>
          <w:vanish/>
          <w:color w:val="black"/>
        </w:rPr>
        <w:t>&amp;$</w:t>
      </w:r>
      <w:bookmarkStart w:id="60071" w:name="2.2.4.3.17"/>
      <w:r>
        <w:rPr>
          <w:rFonts w:hAnsi="Arial"/>
          <w:rFonts w:ascii="Arial"/>
          <w:sz w:val="24"/>
          <w:color w:val="navy"/>
        </w:rPr>
        <w:t xml:space="preserve">ARTÍCULO 2.2.4.3.17. RÉGIMEN DE TRANSICIÓN PARA EL COMERCIO DE LAS ARMAS TRAUMÁTICAS. </w:t>
      </w:r>
      <w:bookmarkEnd w:id="60071"/>
      <w:r>
        <w:rPr>
          <w:rFonts w:hAnsi="Arial"/>
          <w:rFonts w:ascii="Arial"/>
          <w:sz w:val="24"/>
          <w:color w:val="black"/>
        </w:rPr>
        <w:t xml:space="preserve">&lt;Artículo adicionado por el artículo </w:t>
      </w:r>
      <w:r>
        <w:fldChar w:fldCharType="begin"/>
      </w:r>
      <w:r>
        <w:instrText>HYPERLINK "http://www.redjurista.com/document.aspx?ajcode=d1417021&amp;arts=1"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1417 de 2021. El nuevo texto es el siguiente:&gt; Los comerciantes que al momento de entrar en vigencia el presente decreto tengan registradas en sus balances e inventarios armas traumáticas podrán comercializarlas en el plazo establecido en la presente disposición con excepción de las armas establecidas en los numerales 1 y 2 del artículo </w:t>
      </w:r>
      <w:r>
        <w:fldChar w:fldCharType="begin"/>
      </w:r>
      <w:r>
        <w:instrText>HYPERLINK "http://www.redjurista.com/document.aspx?ajcode=d1070015&amp;arts=2.2.4.3.6"</w:instrText>
      </w:r>
      <w:r>
        <w:fldChar w:fldCharType="separate"/>
      </w:r>
      <w:r>
        <w:rPr>
          <w:rFonts w:hAnsi="Arial"/>
          <w:rFonts w:ascii="Arial"/>
          <w:sz w:val="24"/>
          <w:u w:val="single"/>
          <w:color w:val="black"/>
        </w:rPr>
        <w:t>2.2.4.3.6</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El plazo para su comercialización será el de dieciséis (16) meses siguientes a la fecha de publicación de este decreto. </w:t>
      </w:r>
    </w:p>
    <w:p>
      <w:pPr>
        <w:jc w:val="both"/>
      </w:pPr>
      <w:rPr>
        <w:sz w:val="24"/>
        <w:b/>
        <w:color w:val="black"/>
      </w:rPr>
    </w:p>
    <w:p>
      <w:pPr>
        <w:jc w:val="both"/>
      </w:pPr>
      <w:r>
        <w:rPr>
          <w:rFonts w:hAnsi="Arial"/>
          <w:rFonts w:ascii="Arial"/>
          <w:sz w:val="24"/>
          <w:color w:val="black"/>
        </w:rPr>
        <w:t xml:space="preserve">El comerciante deberá llevar un registro de quien las adquiere, salvo cuando se exporten en el plazo establecido en el párrafo precedente. En el registro deberá indicar el nombre, apellidos y el número de la cédula de ciudadanía de las personas naturales o la razón social, número de identificación tributaria NIT y nombre, apellidos y número de la cédula de ciudadanía del representante legal cuando se trate de una persona jurídica, dejando copia del documento de identidad y del certificado de existencia y representación legal. </w:t>
      </w:r>
    </w:p>
    <w:p>
      <w:pPr>
        <w:jc w:val="both"/>
      </w:pPr>
      <w:rPr>
        <w:sz w:val="24"/>
        <w:b/>
        <w:color w:val="black"/>
      </w:rPr>
    </w:p>
    <w:p>
      <w:pPr>
        <w:jc w:val="both"/>
      </w:pPr>
      <w:r>
        <w:rPr>
          <w:rFonts w:hAnsi="Arial"/>
          <w:rFonts w:ascii="Arial"/>
          <w:sz w:val="24"/>
          <w:color w:val="black"/>
        </w:rPr>
        <w:t xml:space="preserve">Así mismo, deberán informar al adquirente la obligación de solicitar la marcación, registro y trámite para permiso de tenencia y/o porte de las armas traumáticas dentro del término establecido en el parágrafo del artículo </w:t>
      </w:r>
      <w:r>
        <w:fldChar w:fldCharType="begin"/>
      </w:r>
      <w:r>
        <w:instrText>HYPERLINK "http://www.redjurista.com/document.aspx?ajcode=d1070015&amp;arts=2.2.4.3.7"</w:instrText>
      </w:r>
      <w:r>
        <w:fldChar w:fldCharType="separate"/>
      </w:r>
      <w:r>
        <w:rPr>
          <w:rFonts w:hAnsi="Arial"/>
          <w:rFonts w:ascii="Arial"/>
          <w:sz w:val="24"/>
          <w:u w:val="single"/>
          <w:color w:val="black"/>
        </w:rPr>
        <w:t>2.2.4.3.7</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En caso de que los comerciantes no comercialicen o exporten las armas traumáticas dentro del plazo establecido en este artículo, o las personas naturales o jurídicas no realicen el trámite de registro ni se solicite la autorización de tenencia y/o porte, deberán entregarlas al Estado, so pena de su incautación y judicialización. La devolución se hará por medio del Departamento Control Comercio de Armas, Municiones y Explosivos del Comando General de las Fuerzas Militares y/o Seccionales Control Comercio de Armas a nivel nacional, sin recibir contraprestación alguna. </w:t>
      </w:r>
    </w:p>
    <w:p>
      <w:pPr>
        <w:jc w:val="center"/>
      </w:pPr>
      <w:rPr>
        <w:sz w:val="24"/>
        <w:color w:val="black"/>
      </w:rPr>
    </w:p>
    <w:p>
      <w:pPr>
        <w:jc w:val="center"/>
      </w:pPr>
      <w:r>
        <w:rPr>
          <w:rFonts w:hAnsi="Arial"/>
          <w:rFonts w:ascii="Arial"/>
          <w:sz w:val="24"/>
          <w:vanish/>
          <w:color w:val="black"/>
        </w:rPr>
        <w:t>&amp;$</w:t>
      </w:r>
      <w:bookmarkStart w:id="60072" w:name="CAPÍTULO 2.2.4.4"/>
      <w:r>
        <w:rPr>
          <w:rFonts w:hAnsi="Arial"/>
          <w:rFonts w:ascii="Arial"/>
          <w:sz w:val="24"/>
          <w:color w:val="navy"/>
        </w:rPr>
        <w:t xml:space="preserve">CAPÍTULO 4. </w:t>
      </w:r>
    </w:p>
    <w:p>
      <w:pPr>
        <w:jc w:val="center"/>
      </w:pPr>
      <w:r>
        <w:rPr>
          <w:rFonts w:hAnsi="Arial"/>
          <w:rFonts w:ascii="Arial"/>
          <w:sz w:val="24"/>
          <w:color w:val="navy"/>
        </w:rPr>
        <w:t xml:space="preserve">DEL REGISTRO NACIONAL DE IDENTIFICACIÓN BALÍSTICA (RNIB).</w:t>
      </w:r>
      <w:bookmarkEnd w:id="60072"/>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60073" w:name="SECCIÓN 2.2.4.4.1"/>
      <w:r>
        <w:rPr>
          <w:rFonts w:hAnsi="Arial"/>
          <w:rFonts w:ascii="Arial"/>
          <w:sz w:val="24"/>
          <w:color w:val="navy"/>
        </w:rPr>
        <w:t xml:space="preserve">SECCIÓN 1. </w:t>
      </w:r>
    </w:p>
    <w:p>
      <w:pPr>
        <w:jc w:val="center"/>
      </w:pPr>
      <w:r>
        <w:rPr>
          <w:rFonts w:hAnsi="Arial"/>
          <w:rFonts w:ascii="Arial"/>
          <w:sz w:val="24"/>
          <w:color w:val="navy"/>
        </w:rPr>
        <w:t>GENERALIDADES.</w:t>
      </w:r>
      <w:bookmarkEnd w:id="60073"/>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60074" w:name="2.2.4.4.1"/>
      <w:r>
        <w:rPr>
          <w:rFonts w:hAnsi="Arial"/>
          <w:rFonts w:ascii="Arial"/>
          <w:sz w:val="24"/>
          <w:color w:val="navy"/>
        </w:rPr>
        <w:t xml:space="preserve">ARTÍCULO 2.2.4.4.1. OBJETO.</w:t>
      </w:r>
      <w:bookmarkEnd w:id="60074"/>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Establecer criterios y directrices para la operación del Registro Nacional de Identificación Balística (RNIB) de que trata el artículo </w:t>
      </w:r>
      <w:r>
        <w:fldChar w:fldCharType="begin"/>
      </w:r>
      <w:r>
        <w:instrText>HYPERLINK "http://www.redjurista.com/document.aspx?ajcode=l1941018&amp;arts=5"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1941 de 2018 el cual contará con la información de la huella balística de todas las armas de fuego con permiso de tenencia y porte, y con la información sobre la huella balística de las armas vinculadas en cualquier momento a una investigación judicial de carácter penal. </w:t>
      </w:r>
    </w:p>
    <w:p>
      <w:pPr>
        <w:jc w:val="both"/>
      </w:pPr>
      <w:rPr>
        <w:color w:val="black"/>
      </w:rPr>
    </w:p>
    <w:p>
      <w:pPr>
        <w:jc w:val="both"/>
      </w:pPr>
      <w:r>
        <w:rPr>
          <w:rFonts w:hAnsi="Arial"/>
          <w:rFonts w:ascii="Arial"/>
          <w:sz w:val="24"/>
          <w:vanish/>
          <w:color w:val="black"/>
        </w:rPr>
        <w:t>&amp;$</w:t>
      </w:r>
      <w:bookmarkStart w:id="60075" w:name="2.2.4.4.2"/>
      <w:r>
        <w:rPr>
          <w:rFonts w:hAnsi="Arial"/>
          <w:rFonts w:ascii="Arial"/>
          <w:sz w:val="24"/>
          <w:color w:val="navy"/>
        </w:rPr>
        <w:t xml:space="preserve">ARTÍCULO 2.2.4.4.2. REGISTRO NACIONAL DE IDENTIFICACIÓN BALÍSTICA.</w:t>
      </w:r>
      <w:bookmarkEnd w:id="60075"/>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Es un sistema único que permite la interoperabilidad entre el </w:t>
      </w:r>
      <w:r>
        <w:rPr>
          <w:rFonts w:hAnsi="Arial"/>
          <w:rFonts w:ascii="Arial"/>
          <w:sz w:val="24"/>
          <w:b/>
          <w:u w:val="none"/>
          <w:color w:val="black"/>
        </w:rPr>
        <w:t xml:space="preserve">Sistema de Información de Huella Balística Civil (SIHBC) y Sistema de Información de Huella Balística Criminal (SIHBCR), </w:t>
      </w:r>
      <w:r>
        <w:rPr>
          <w:rFonts w:hAnsi="Arial"/>
          <w:rFonts w:ascii="Arial"/>
          <w:sz w:val="24"/>
          <w:u w:val="none"/>
          <w:color w:val="black"/>
        </w:rPr>
        <w:t xml:space="preserve">mediante datos y registros simples, soportados en la información obtenida a través de la huella balística de las armas de fuego. Bajo los principios de autenticidad, identidad, integridad, inalterabilidad, preservación, seguridad, almacenamiento y continuidad, de la información allí registrada.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Sistema de Información de Huella Balística Civil (SIHBC): entiéndase como el sistema que contiene archivo físico y digital con la información de la huella balística de todas las armas con permiso de tenencia o porte, que será administrado por el Ministerio de Defensa Nacional a través de la Policía Nacional.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Sistema de Información de Huella Balística Criminal (SIHBCR): entiéndase como el sistema que contiene archivo físico y digital con la información de la huella balística de las armas de fuego, vainillas proyectiles, fragmentos de proyectil y encamisados, vinculadas a una investigación judicial de carácter penal que será administrado por la Fiscalía General de la Nación.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Empadronamiento: consiste en la toma de la huella balística, obtenida a través de la aplicación de pruebas técnicas realizadas al arma de fuego. </w:t>
      </w:r>
    </w:p>
    <w:p>
      <w:pPr>
        <w:jc w:val="both"/>
      </w:pPr>
      <w:rPr>
        <w:color w:val="black"/>
      </w:rPr>
    </w:p>
    <w:p>
      <w:pPr>
        <w:jc w:val="both"/>
      </w:pPr>
      <w:r>
        <w:rPr>
          <w:rFonts w:hAnsi="Arial"/>
          <w:rFonts w:ascii="Arial"/>
          <w:sz w:val="24"/>
          <w:vanish/>
          <w:color w:val="black"/>
        </w:rPr>
        <w:t>&amp;$</w:t>
      </w:r>
      <w:bookmarkStart w:id="60076" w:name="2.2.4.4.3"/>
      <w:r>
        <w:rPr>
          <w:rFonts w:hAnsi="Arial"/>
          <w:rFonts w:ascii="Arial"/>
          <w:sz w:val="24"/>
          <w:color w:val="navy"/>
        </w:rPr>
        <w:t xml:space="preserve">ARTÍCULO 2.2.4.4.3. OBJETIVOS DEL REGISTRO NACIONAL DE IDENTIFICACIÓN BALÍSTICA (RNIB).</w:t>
      </w:r>
      <w:bookmarkEnd w:id="60076"/>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Los objetivos son: registrar, validar, actualizar, generar, certificar y suministrar información necesaria para facilitar la interoperabilidad de los sistemas de información, la consulta por parte de las instituciones que integran el registro y permitir el ejercicio del control social suministrando a las autoridades la información sobre el empadronamiento. </w:t>
      </w:r>
    </w:p>
    <w:p>
      <w:pPr>
        <w:jc w:val="both"/>
      </w:pPr>
      <w:rPr>
        <w:color w:val="black"/>
      </w:rPr>
    </w:p>
    <w:p>
      <w:pPr>
        <w:jc w:val="both"/>
      </w:pPr>
      <w:r>
        <w:rPr>
          <w:rFonts w:hAnsi="Arial"/>
          <w:rFonts w:ascii="Arial"/>
          <w:sz w:val="24"/>
          <w:vanish/>
          <w:color w:val="black"/>
        </w:rPr>
        <w:t>&amp;$</w:t>
      </w:r>
      <w:bookmarkStart w:id="60077" w:name="2.2.4.4.4"/>
      <w:r>
        <w:rPr>
          <w:rFonts w:hAnsi="Arial"/>
          <w:rFonts w:ascii="Arial"/>
          <w:sz w:val="24"/>
          <w:color w:val="navy"/>
        </w:rPr>
        <w:t xml:space="preserve">ARTÍCULO 2.2.4.4.4. CORRESPONSABILIDAD.</w:t>
      </w:r>
      <w:bookmarkEnd w:id="60077"/>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Sin perjuicio de las competencias asignadas a todas las instituciones que integran el Registro Nacional de Identificación Balística, estas deberán garantizar el registro, validación, actualización, generación y suministro de la información, así como la interoperabilidad de los sistemas y su consulta en línea. </w:t>
      </w:r>
    </w:p>
    <w:p>
      <w:pPr>
        <w:jc w:val="both"/>
      </w:pPr>
      <w:rPr>
        <w:color w:val="black"/>
      </w:rPr>
    </w:p>
    <w:p>
      <w:pPr>
        <w:jc w:val="both"/>
      </w:pPr>
      <w:r>
        <w:rPr>
          <w:rFonts w:hAnsi="Arial"/>
          <w:rFonts w:ascii="Arial"/>
          <w:sz w:val="24"/>
          <w:vanish/>
          <w:color w:val="black"/>
        </w:rPr>
        <w:t>&amp;$</w:t>
      </w:r>
      <w:bookmarkStart w:id="60078" w:name="2.2.4.4.5"/>
      <w:r>
        <w:rPr>
          <w:rFonts w:hAnsi="Arial"/>
          <w:rFonts w:ascii="Arial"/>
          <w:sz w:val="24"/>
          <w:color w:val="navy"/>
        </w:rPr>
        <w:t xml:space="preserve">ARTÍCULO 2.2.4.4.5. INTEROPERABILIDAD.</w:t>
      </w:r>
      <w:bookmarkEnd w:id="60078"/>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Los sistemas de información que integran el Registro Nacional de Identificación Balística mantendrán una permanente comunicación y cooperación en doble vía, permitiendo el registro, validación, actualización, generación y suministro de los datos almacenados, para el desarrollo de sus funciones, garantizando su compatibilidad y permitiendo el ingreso y la consulta de la información. </w:t>
      </w:r>
    </w:p>
    <w:p>
      <w:pPr>
        <w:jc w:val="both"/>
      </w:pPr>
      <w:rPr>
        <w:color w:val="black"/>
      </w:rPr>
    </w:p>
    <w:p>
      <w:pPr>
        <w:jc w:val="both"/>
      </w:pPr>
      <w:r>
        <w:rPr>
          <w:rFonts w:hAnsi="Arial"/>
          <w:rFonts w:ascii="Arial"/>
          <w:sz w:val="24"/>
          <w:vanish/>
          <w:color w:val="black"/>
        </w:rPr>
        <w:t>&amp;$</w:t>
      </w:r>
      <w:bookmarkStart w:id="60079" w:name="2.2.4.4.6"/>
      <w:r>
        <w:rPr>
          <w:rFonts w:hAnsi="Arial"/>
          <w:rFonts w:ascii="Arial"/>
          <w:sz w:val="24"/>
          <w:color w:val="navy"/>
        </w:rPr>
        <w:t xml:space="preserve">ARTÍCULO 2.2.4.4.6. PROTECCIÓN DE DATOS PERSONALES.</w:t>
      </w:r>
      <w:bookmarkEnd w:id="60079"/>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instituciones que integran el RNIB garantizarán la eficacia del ejercicio del derecho fundamental de acceso a la información pública, sin perjuicio de su facultad de restringir los datos en los casos autorizados por la Constitución o la Ley, y conforme a lo previsto en los artículos </w:t>
      </w:r>
      <w:r>
        <w:fldChar w:fldCharType="begin"/>
      </w:r>
      <w:r>
        <w:instrText>HYPERLINK "http://www.redjurista.com/document.aspx?ajcode=l1712014&amp;arts=18"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y </w:t>
      </w:r>
      <w:r>
        <w:fldChar w:fldCharType="begin"/>
      </w:r>
      <w:r>
        <w:instrText>HYPERLINK "http://www.redjurista.com/document.aspx?ajcode=l1712014&amp;arts=19"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la Ley 1712 de 2014, en consonancia con las definiciones previstas en los literales c) y d) del artículo 6, de la misma.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Instituciones a las que hace referencia este artículo que recolecten, procesen, almacenen, usen, o traten datos personales, deberán realizar esa actividad de manera legal, licita, confidencial y segura, dando estricto cumplimiento a las normas sobre Protección de Datos Personales previstas en el artículo </w:t>
      </w:r>
      <w:r>
        <w:fldChar w:fldCharType="begin"/>
      </w:r>
      <w:r>
        <w:instrText>HYPERLINK "http://www.redjurista.com/document.aspx?ajcode=cons_p91&amp;arts=15"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Constitución Política de Colombia, la Ley Estatutaria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Adicionalmente, deberán adoptar medidas de responsabilidad demostrada para garantizar el debido tratamiento de esos datos, en especial, aquellos de naturaleza sensible. Dichas medidas deben ser apropiadas, efectivas, útiles, eficientes, y demostrables. Especial énfasis realizarán en garantizar la veracidad, la seguridad, la integridad, la calidad, la confidencialidad, el uso, y la circulación restringida de esa información. </w:t>
      </w:r>
    </w:p>
    <w:p>
      <w:pPr>
        <w:jc w:val="both"/>
        <w:outlineLvl w:val="1"/>
      </w:pPr>
      <w:rPr>
        <w:color w:val="black"/>
      </w:rPr>
    </w:p>
    <w:p>
      <w:pPr>
        <w:jc w:val="both"/>
        <w:outlineLvl w:val="1"/>
      </w:pPr>
      <w:r>
        <w:rPr>
          <w:rFonts w:hAnsi="Arial"/>
          <w:rFonts w:ascii="Arial"/>
          <w:sz w:val="24"/>
          <w:vanish/>
          <w:color w:val="black"/>
        </w:rPr>
        <w:t>&amp;$</w:t>
      </w:r>
      <w:bookmarkStart w:id="60080" w:name="2.2.4.4.7"/>
      <w:r>
        <w:rPr>
          <w:rFonts w:hAnsi="Arial"/>
          <w:rFonts w:ascii="Arial"/>
          <w:sz w:val="24"/>
          <w:color w:val="navy"/>
        </w:rPr>
        <w:t xml:space="preserve">ARTÍCULO 2.2.4.4.7. ENTIDADES QUE CONFORMAN EL REGISTRO NACIONAL DE IDENTIFICACIÓN BALÍSTICA.</w:t>
      </w:r>
      <w:bookmarkEnd w:id="60080"/>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1. Ministerio de Defensa Nacional: tiene la potestad reglamentaria referente al Registro Nacional de Identificación Balística. </w:t>
      </w:r>
    </w:p>
    <w:p>
      <w:pPr>
        <w:jc w:val="both"/>
        <w:outlineLvl w:val="1"/>
      </w:pPr>
      <w:rPr>
        <w:sz w:val="24"/>
        <w:b/>
        <w:color w:val="black"/>
      </w:rPr>
    </w:p>
    <w:p>
      <w:pPr>
        <w:jc w:val="both"/>
        <w:outlineLvl w:val="1"/>
      </w:pPr>
      <w:r>
        <w:rPr>
          <w:rFonts w:hAnsi="Arial"/>
          <w:rFonts w:ascii="Arial"/>
          <w:sz w:val="24"/>
          <w:color w:val="black"/>
        </w:rPr>
        <w:t xml:space="preserve">2. Departamento Control Comercio de Armas, Municiones y Explosivos (DCCAE): realizará el registro, validación, actualización, generación, certificación y suministro de la información, que permita la interoperabilidad de la información requerida por el Sistema de Información de Huella Balística Civil (SIHBC.) </w:t>
      </w:r>
    </w:p>
    <w:p>
      <w:pPr>
        <w:jc w:val="both"/>
        <w:outlineLvl w:val="1"/>
      </w:pPr>
      <w:rPr>
        <w:sz w:val="24"/>
        <w:b/>
        <w:color w:val="black"/>
      </w:rPr>
    </w:p>
    <w:p>
      <w:pPr>
        <w:jc w:val="both"/>
        <w:outlineLvl w:val="1"/>
      </w:pPr>
      <w:r>
        <w:rPr>
          <w:rFonts w:hAnsi="Arial"/>
          <w:rFonts w:ascii="Arial"/>
          <w:sz w:val="24"/>
          <w:color w:val="black"/>
        </w:rPr>
        <w:t xml:space="preserve">3. Policía Nacional a través de la Dirección de Investigación Criminal e INTERPOL: realizará el diseño, implementación, dirección y administración del Sistema de Información de Huella Balística Civil (SIHBC). </w:t>
      </w:r>
    </w:p>
    <w:p>
      <w:pPr>
        <w:jc w:val="both"/>
        <w:outlineLvl w:val="1"/>
      </w:pPr>
      <w:rPr>
        <w:sz w:val="24"/>
        <w:b/>
        <w:color w:val="black"/>
      </w:rPr>
    </w:p>
    <w:p>
      <w:pPr>
        <w:jc w:val="both"/>
        <w:outlineLvl w:val="1"/>
      </w:pPr>
      <w:r>
        <w:rPr>
          <w:rFonts w:hAnsi="Arial"/>
          <w:rFonts w:ascii="Arial"/>
          <w:sz w:val="24"/>
          <w:color w:val="black"/>
        </w:rPr>
        <w:t xml:space="preserve">4. Fiscalía General de la Nación: realizará el diseño, implementación, dirección y administración del Sistema de Información de Huella Balística Criminal (SIHBCR). </w:t>
      </w:r>
    </w:p>
    <w:p>
      <w:pPr>
        <w:jc w:val="both"/>
        <w:outlineLvl w:val="1"/>
      </w:pPr>
      <w:rPr>
        <w:color w:val="black"/>
      </w:rPr>
    </w:p>
    <w:p>
      <w:pPr>
        <w:jc w:val="center"/>
        <w:outlineLvl w:val="1"/>
      </w:pPr>
      <w:r>
        <w:rPr>
          <w:rFonts w:hAnsi="Arial"/>
          <w:rFonts w:ascii="Arial"/>
          <w:sz w:val="24"/>
          <w:vanish/>
          <w:color w:val="black"/>
        </w:rPr>
        <w:t>&amp;$</w:t>
      </w:r>
      <w:bookmarkStart w:id="60081" w:name="SECCIÓN 2.2.4.4.2"/>
      <w:r>
        <w:rPr>
          <w:rFonts w:hAnsi="Arial"/>
          <w:rFonts w:ascii="Arial"/>
          <w:sz w:val="24"/>
          <w:color w:val="navy"/>
        </w:rPr>
        <w:t xml:space="preserve">SECCIÓN 2. </w:t>
      </w:r>
    </w:p>
    <w:p>
      <w:pPr>
        <w:jc w:val="center"/>
        <w:outlineLvl w:val="1"/>
      </w:pPr>
      <w:r>
        <w:rPr>
          <w:rFonts w:hAnsi="Arial"/>
          <w:rFonts w:ascii="Arial"/>
          <w:sz w:val="24"/>
          <w:color w:val="navy"/>
        </w:rPr>
        <w:t xml:space="preserve">SISTEMA DE INFORMACIÓN DE HUELLA BALÍSTICA CIVIL (SIHBC).</w:t>
      </w:r>
      <w:bookmarkEnd w:id="60081"/>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vanish/>
          <w:color w:val="black"/>
        </w:rPr>
        <w:t>&amp;$</w:t>
      </w:r>
      <w:bookmarkStart w:id="60082" w:name="2.2.4.4.8"/>
      <w:r>
        <w:rPr>
          <w:rFonts w:hAnsi="Arial"/>
          <w:rFonts w:ascii="Arial"/>
          <w:sz w:val="24"/>
          <w:color w:val="navy"/>
        </w:rPr>
        <w:t xml:space="preserve">ARTÍCULO 2.2.4.4.8. DISEÑO, IMPLEMENTACIÓN, DIRECCIÓN Y ADMINISTRACIÓN DEL SISTEMA DE INFORMACIÓN DE HUELLA BALÍSTICA CIVIL (SIHBC).</w:t>
      </w:r>
      <w:bookmarkEnd w:id="60082"/>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El diseño, implementación, dirección y administración del sistema es responsabilidad del Ministerio de Defensa Nacional a través de la Policía Nacional - Dirección de Investigación Criminal e INTERPOL, para lo cual cumplirá con las siguientes funciones: </w:t>
      </w:r>
    </w:p>
    <w:p>
      <w:pPr>
        <w:jc w:val="both"/>
        <w:outlineLvl w:val="1"/>
      </w:pPr>
      <w:rPr>
        <w:sz w:val="24"/>
        <w:b/>
        <w:color w:val="black"/>
      </w:rPr>
    </w:p>
    <w:p>
      <w:pPr>
        <w:jc w:val="both"/>
        <w:outlineLvl w:val="1"/>
      </w:pPr>
      <w:r>
        <w:rPr>
          <w:rFonts w:hAnsi="Arial"/>
          <w:rFonts w:ascii="Arial"/>
          <w:sz w:val="24"/>
          <w:color w:val="black"/>
        </w:rPr>
        <w:t xml:space="preserve">1. Desarrollar e implementar la infraestructura tecnológica que sea necesaria para el funcionamiento y mantenimiento del sistema. </w:t>
      </w:r>
    </w:p>
    <w:p>
      <w:pPr>
        <w:jc w:val="both"/>
        <w:outlineLvl w:val="1"/>
      </w:pPr>
      <w:rPr>
        <w:sz w:val="24"/>
        <w:b/>
        <w:color w:val="black"/>
      </w:rPr>
    </w:p>
    <w:p>
      <w:pPr>
        <w:jc w:val="both"/>
        <w:outlineLvl w:val="1"/>
      </w:pPr>
      <w:r>
        <w:rPr>
          <w:rFonts w:hAnsi="Arial"/>
          <w:rFonts w:ascii="Arial"/>
          <w:sz w:val="24"/>
          <w:color w:val="black"/>
        </w:rPr>
        <w:t xml:space="preserve">2. Establecer las etapas de despliegue necesarias para que las instituciones responsables en el procedimiento de permisos para porte o tenencia de las armas de fuego se integren al Sistema de Información de Huella Balística Civil (SIHBC). </w:t>
      </w:r>
    </w:p>
    <w:p>
      <w:pPr>
        <w:jc w:val="both"/>
        <w:outlineLvl w:val="1"/>
      </w:pPr>
      <w:rPr>
        <w:sz w:val="24"/>
        <w:b/>
        <w:color w:val="black"/>
      </w:rPr>
    </w:p>
    <w:p>
      <w:pPr>
        <w:jc w:val="both"/>
        <w:outlineLvl w:val="1"/>
      </w:pPr>
      <w:r>
        <w:rPr>
          <w:rFonts w:hAnsi="Arial"/>
          <w:rFonts w:ascii="Arial"/>
          <w:sz w:val="24"/>
          <w:color w:val="black"/>
        </w:rPr>
        <w:t xml:space="preserve">3. Diseñar y establecer los medios que permitan la operación, registro, actualización y gestión de la información requerida por el Sistema de Información de Huella Balística Civil (SIHBC) e impartir las directrices relacionadas con los usos y propósitos de la información. </w:t>
      </w:r>
    </w:p>
    <w:p>
      <w:pPr>
        <w:jc w:val="both"/>
        <w:outlineLvl w:val="1"/>
      </w:pPr>
      <w:rPr>
        <w:sz w:val="24"/>
        <w:b/>
        <w:color w:val="black"/>
      </w:rPr>
    </w:p>
    <w:p>
      <w:pPr>
        <w:jc w:val="both"/>
        <w:outlineLvl w:val="1"/>
      </w:pPr>
      <w:r>
        <w:rPr>
          <w:rFonts w:hAnsi="Arial"/>
          <w:rFonts w:ascii="Arial"/>
          <w:sz w:val="24"/>
          <w:color w:val="black"/>
        </w:rPr>
        <w:t xml:space="preserve">4. Realizar el empadronamiento de las armas de fuego. </w:t>
      </w:r>
    </w:p>
    <w:p>
      <w:pPr>
        <w:jc w:val="both"/>
        <w:outlineLvl w:val="1"/>
      </w:pPr>
      <w:rPr>
        <w:sz w:val="24"/>
        <w:b/>
        <w:color w:val="black"/>
      </w:rPr>
    </w:p>
    <w:p>
      <w:pPr>
        <w:jc w:val="both"/>
        <w:outlineLvl w:val="1"/>
      </w:pPr>
      <w:r>
        <w:rPr>
          <w:rFonts w:hAnsi="Arial"/>
          <w:rFonts w:ascii="Arial"/>
          <w:sz w:val="24"/>
          <w:color w:val="black"/>
        </w:rPr>
        <w:t xml:space="preserve">5. Definir los procedimientos estándar que deberán ser utilizados por las diferentes instituciones para la operación, registro, actualización y gestión de la información que requiera el Sistema de Información de Huella Balística Civil (SIHBC) en sus etapas de despliegue. </w:t>
      </w:r>
    </w:p>
    <w:p>
      <w:pPr>
        <w:jc w:val="both"/>
        <w:outlineLvl w:val="1"/>
      </w:pPr>
      <w:rPr>
        <w:sz w:val="24"/>
        <w:b/>
        <w:color w:val="black"/>
      </w:rPr>
    </w:p>
    <w:p>
      <w:pPr>
        <w:jc w:val="both"/>
        <w:outlineLvl w:val="1"/>
      </w:pPr>
      <w:r>
        <w:rPr>
          <w:rFonts w:hAnsi="Arial"/>
          <w:rFonts w:ascii="Arial"/>
          <w:sz w:val="24"/>
          <w:color w:val="black"/>
        </w:rPr>
        <w:t xml:space="preserve">6. Hacer seguimiento a la operabilidad del Sistema de Información de Huella Balística Civil (SIHBC) y al cumplimiento de las instituciones en el registro, validación, actualización, generación y suministro de la información. </w:t>
      </w:r>
    </w:p>
    <w:p>
      <w:pPr>
        <w:jc w:val="both"/>
        <w:outlineLvl w:val="1"/>
      </w:pPr>
      <w:rPr>
        <w:sz w:val="24"/>
        <w:b/>
        <w:color w:val="black"/>
      </w:rPr>
    </w:p>
    <w:p>
      <w:pPr>
        <w:jc w:val="both"/>
        <w:outlineLvl w:val="1"/>
      </w:pPr>
      <w:r>
        <w:rPr>
          <w:rFonts w:hAnsi="Arial"/>
          <w:rFonts w:ascii="Arial"/>
          <w:sz w:val="24"/>
          <w:color w:val="black"/>
        </w:rPr>
        <w:t xml:space="preserve">7. Garantizar y facilitar el acceso a la información a las entidades corresponsables, teniendo en cuenta los roles y accesos que se determinen para tal fin, así como las restricciones de reserva que impongan la Constitución Política y la ley.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Defensa Nacional establecerá los lineamientos para el procedimiento y protocolo de seguridad necesario para garantizar la confiabilidad de la información, teniendo en cuenta aquellos datos que deben ser reservados, y establecer los roles y acceso al Sistema de Información de Huella Balística Civil (SIHBC). </w:t>
      </w:r>
    </w:p>
    <w:p>
      <w:pPr>
        <w:jc w:val="both"/>
        <w:outlineLvl w:val="1"/>
      </w:pPr>
      <w:rPr>
        <w:color w:val="black"/>
      </w:rPr>
    </w:p>
    <w:p>
      <w:pPr>
        <w:jc w:val="both"/>
        <w:outlineLvl w:val="1"/>
      </w:pPr>
      <w:r>
        <w:rPr>
          <w:rFonts w:hAnsi="Arial"/>
          <w:rFonts w:ascii="Arial"/>
          <w:sz w:val="24"/>
          <w:vanish/>
          <w:color w:val="black"/>
        </w:rPr>
        <w:t>&amp;$</w:t>
      </w:r>
      <w:bookmarkStart w:id="60083" w:name="2.2.4.4.9"/>
      <w:r>
        <w:rPr>
          <w:rFonts w:hAnsi="Arial"/>
          <w:rFonts w:ascii="Arial"/>
          <w:sz w:val="24"/>
          <w:color w:val="navy"/>
        </w:rPr>
        <w:t xml:space="preserve">ARTÍCULO 2.2.4.4.9. USUARIOS DEL SISTEMA DE INFORMACIÓN DE HUELLA BALÍSTICA CIVIL (SIHBC).</w:t>
      </w:r>
      <w:bookmarkEnd w:id="60083"/>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Serán usuarios del Sistema de Información de Huella Balística Civil (SIHBC) las instituciones establecidas en el artículo </w:t>
      </w:r>
      <w:r>
        <w:fldChar w:fldCharType="begin"/>
      </w:r>
      <w:r>
        <w:instrText>HYPERLINK "http://www.redjurista.com/document.aspx?ajcode=d1070015&amp;arts=2.2.4.4.3"</w:instrText>
      </w:r>
      <w:r>
        <w:fldChar w:fldCharType="separate"/>
      </w:r>
      <w:r>
        <w:rPr>
          <w:rFonts w:hAnsi="Arial"/>
          <w:rFonts w:ascii="Arial"/>
          <w:sz w:val="24"/>
          <w:u w:val="single"/>
          <w:color w:val="black"/>
        </w:rPr>
        <w:t>2.2.4.4.3</w:t>
      </w:r>
      <w:r>
        <w:fldChar w:fldCharType="end"/>
      </w:r>
      <w:r>
        <w:rPr>
          <w:rFonts w:hAnsi="Arial"/>
          <w:rFonts w:ascii="Arial"/>
          <w:sz w:val="24"/>
          <w:u w:val="none"/>
          <w:color w:val="black"/>
        </w:rPr>
        <w:t xml:space="preserve"> del presente Decreto, los servidores públicos en el ejercicio de sus funciones y los ciudadanos, teniendo en cuenta las restricciones de información y de acceso que sean establecidos por la Policía Nacional a través de la Dirección de Investigación Criminal e INTERPOL. </w:t>
      </w:r>
    </w:p>
    <w:p>
      <w:pPr>
        <w:jc w:val="both"/>
        <w:outlineLvl w:val="1"/>
      </w:pPr>
      <w:rPr>
        <w:color w:val="black"/>
      </w:rPr>
    </w:p>
    <w:p>
      <w:pPr>
        <w:jc w:val="both"/>
        <w:outlineLvl w:val="1"/>
      </w:pPr>
      <w:r>
        <w:rPr>
          <w:rFonts w:hAnsi="Arial"/>
          <w:rFonts w:ascii="Arial"/>
          <w:sz w:val="24"/>
          <w:vanish/>
          <w:color w:val="black"/>
        </w:rPr>
        <w:t>&amp;$</w:t>
      </w:r>
      <w:bookmarkStart w:id="60084" w:name="2.2.4.4.10"/>
      <w:r>
        <w:rPr>
          <w:rFonts w:hAnsi="Arial"/>
          <w:rFonts w:ascii="Arial"/>
          <w:sz w:val="24"/>
          <w:color w:val="navy"/>
        </w:rPr>
        <w:t xml:space="preserve">ARTÍCULO 2.2.4.4.10. RESPONSABILIDADES DE LAS INSTITUCIONES QUE INTEGRAN AL SISTEMA DE INFORMACIÓN DE HUELLA BALÍSTICA CIVIL (SIHBC).</w:t>
      </w:r>
      <w:bookmarkEnd w:id="60084"/>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instituciones a quienes se aplica el presente Decreto son responsables del registro, validación, actualización, generación, certificación y suministro de la información de cada institución que integra el Sistema de Información de Huella Balística Civil (SIHBC). </w:t>
      </w:r>
    </w:p>
    <w:p>
      <w:pPr>
        <w:jc w:val="both"/>
        <w:outlineLvl w:val="1"/>
      </w:pPr>
      <w:rPr>
        <w:sz w:val="24"/>
        <w:b/>
        <w:color w:val="black"/>
      </w:rPr>
    </w:p>
    <w:p>
      <w:pPr>
        <w:jc w:val="both"/>
        <w:outlineLvl w:val="1"/>
      </w:pPr>
      <w:r>
        <w:rPr>
          <w:rFonts w:hAnsi="Arial"/>
          <w:rFonts w:ascii="Arial"/>
          <w:sz w:val="24"/>
          <w:color w:val="black"/>
        </w:rPr>
        <w:t xml:space="preserve">Es responsabilidad de las instituciones velar porque la información que se incorpore en el Sistema de Información de Huella Balística Civil (SIHBC) se registre, valide, actualice, genere y suministre de manera oportuna, veraz y confiable. </w:t>
      </w:r>
    </w:p>
    <w:p>
      <w:pPr>
        <w:jc w:val="both"/>
        <w:outlineLvl w:val="1"/>
      </w:pPr>
      <w:rPr>
        <w:color w:val="black"/>
      </w:rPr>
    </w:p>
    <w:p>
      <w:pPr>
        <w:jc w:val="both"/>
        <w:outlineLvl w:val="1"/>
      </w:pPr>
      <w:r>
        <w:rPr>
          <w:rFonts w:hAnsi="Arial"/>
          <w:rFonts w:ascii="Arial"/>
          <w:sz w:val="24"/>
          <w:vanish/>
          <w:color w:val="black"/>
        </w:rPr>
        <w:t>&amp;$</w:t>
      </w:r>
      <w:bookmarkStart w:id="60085" w:name="2.2.4.4.11"/>
      <w:r>
        <w:rPr>
          <w:rFonts w:hAnsi="Arial"/>
          <w:rFonts w:ascii="Arial"/>
          <w:sz w:val="24"/>
          <w:color w:val="navy"/>
        </w:rPr>
        <w:t xml:space="preserve">ARTÍCULO 2.2.4.4.11. ARMAS DE FUEGO QUE DEBEN SER REGISTRADAS Y EMPADRONADAS EN EL SISTEMA DE INFORMACIÓN DE HUELLA BALÍSTICA CIVIL (SIHBC).</w:t>
      </w:r>
      <w:bookmarkEnd w:id="60085"/>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armas de fuego con permisos para porte o tenencia que deben ser registradas y empadronadas, son las que cumplan con las siguientes características técnicas: </w:t>
      </w:r>
    </w:p>
    <w:p>
      <w:pPr>
        <w:jc w:val="both"/>
        <w:outlineLvl w:val="1"/>
      </w:pPr>
      <w:rPr>
        <w:sz w:val="24"/>
        <w:b/>
        <w:color w:val="black"/>
      </w:rPr>
    </w:p>
    <w:p>
      <w:pPr>
        <w:jc w:val="both"/>
        <w:outlineLvl w:val="1"/>
      </w:pPr>
      <w:r>
        <w:rPr>
          <w:rFonts w:hAnsi="Arial"/>
          <w:rFonts w:ascii="Arial"/>
          <w:sz w:val="24"/>
          <w:color w:val="black"/>
        </w:rPr>
        <w:t xml:space="preserve">a) Pistolas, subametralladoras y revólveres sin importar calibre </w:t>
      </w:r>
    </w:p>
    <w:p>
      <w:pPr>
        <w:jc w:val="both"/>
        <w:outlineLvl w:val="1"/>
      </w:pPr>
      <w:r>
        <w:rPr>
          <w:rFonts w:hAnsi="Arial"/>
          <w:rFonts w:ascii="Arial"/>
          <w:sz w:val="24"/>
          <w:color w:val="black"/>
        </w:rPr>
        <w:t xml:space="preserve">b) Fusiles y carabinas sin importar calibre</w:t>
      </w:r>
    </w:p>
    <w:p>
      <w:pPr>
        <w:jc w:val="both"/>
        <w:outlineLvl w:val="1"/>
      </w:pPr>
      <w:r>
        <w:rPr>
          <w:rFonts w:hAnsi="Arial"/>
          <w:rFonts w:ascii="Arial"/>
          <w:sz w:val="24"/>
          <w:color w:val="black"/>
        </w:rPr>
        <w:t xml:space="preserve">c) Armas automáticas sin importar calibre </w:t>
      </w:r>
    </w:p>
    <w:p>
      <w:pPr>
        <w:jc w:val="both"/>
        <w:outlineLvl w:val="1"/>
      </w:pPr>
      <w:r>
        <w:rPr>
          <w:rFonts w:hAnsi="Arial"/>
          <w:rFonts w:ascii="Arial"/>
          <w:sz w:val="24"/>
          <w:color w:val="black"/>
        </w:rPr>
        <w:t xml:space="preserve">d) Escopetas sin importar calibre </w:t>
      </w:r>
    </w:p>
    <w:p>
      <w:pPr>
        <w:jc w:val="both"/>
        <w:outlineLvl w:val="1"/>
      </w:pPr>
      <w:r>
        <w:rPr>
          <w:rFonts w:hAnsi="Arial"/>
          <w:rFonts w:ascii="Arial"/>
          <w:sz w:val="24"/>
          <w:color w:val="black"/>
        </w:rPr>
        <w:t xml:space="preserve">e) Rifles sin importar calibre </w:t>
      </w:r>
    </w:p>
    <w:p>
      <w:pPr>
        <w:jc w:val="both"/>
        <w:outlineLvl w:val="1"/>
      </w:pPr>
      <w:rPr>
        <w:color w:val="black"/>
      </w:rPr>
    </w:p>
    <w:p>
      <w:pPr>
        <w:jc w:val="both"/>
        <w:outlineLvl w:val="1"/>
      </w:pPr>
      <w:r>
        <w:rPr>
          <w:rFonts w:hAnsi="Arial"/>
          <w:rFonts w:ascii="Arial"/>
          <w:sz w:val="24"/>
          <w:vanish/>
          <w:color w:val="black"/>
        </w:rPr>
        <w:t>&amp;$</w:t>
      </w:r>
      <w:bookmarkStart w:id="60086" w:name="2.2.4.4.12"/>
      <w:r>
        <w:rPr>
          <w:rFonts w:hAnsi="Arial"/>
          <w:rFonts w:ascii="Arial"/>
          <w:sz w:val="24"/>
          <w:color w:val="navy"/>
        </w:rPr>
        <w:t xml:space="preserve">ARTÍCULO 2.2.4.4.12. PROCEDIMIENTO PARA EL EMPADRONAMIENTO.</w:t>
      </w:r>
      <w:bookmarkEnd w:id="60086"/>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A partir de la entrada en funcionamiento del Registro Nacional de Identificación Balística, las personas naturales o jurídicas deberán propender por la realización del procedimiento de empadronamiento de las armas de fuego con permiso de porte o tenencia. </w:t>
      </w:r>
    </w:p>
    <w:p>
      <w:pPr>
        <w:jc w:val="both"/>
        <w:outlineLvl w:val="1"/>
      </w:pPr>
      <w:rPr>
        <w:sz w:val="24"/>
        <w:b/>
        <w:color w:val="black"/>
      </w:rPr>
    </w:p>
    <w:p>
      <w:pPr>
        <w:jc w:val="both"/>
        <w:outlineLvl w:val="1"/>
      </w:pPr>
      <w:r>
        <w:rPr>
          <w:rFonts w:hAnsi="Arial"/>
          <w:rFonts w:ascii="Arial"/>
          <w:sz w:val="24"/>
          <w:color w:val="black"/>
        </w:rPr>
        <w:t xml:space="preserve">En cuanto a las armas de fuego nuevas se realizará el registro de empadronamiento durante el trámite de adquisición, para lo cual la Policía Nacional lo efectuará antes de ser entregada por el DCCAE al titular del permiso.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costo del empadronamiento del arma de fuego corresponde al fijado por la Ley </w:t>
      </w:r>
      <w:r>
        <w:fldChar w:fldCharType="begin"/>
      </w:r>
      <w:r>
        <w:instrText>HYPERLINK "http://www.redjurista.com/document.aspx?ajcode=l2197022&amp;arts=INICIO"</w:instrText>
      </w:r>
      <w:r>
        <w:fldChar w:fldCharType="separate"/>
      </w:r>
      <w:r>
        <w:rPr>
          <w:rFonts w:hAnsi="Arial"/>
          <w:rFonts w:ascii="Arial"/>
          <w:sz w:val="24"/>
          <w:u w:val="single"/>
          <w:color w:val="black"/>
        </w:rPr>
        <w:t>2197</w:t>
      </w:r>
      <w:r>
        <w:fldChar w:fldCharType="end"/>
      </w:r>
      <w:r>
        <w:rPr>
          <w:rFonts w:hAnsi="Arial"/>
          <w:rFonts w:ascii="Arial"/>
          <w:sz w:val="24"/>
          <w:u w:val="none"/>
          <w:color w:val="black"/>
        </w:rPr>
        <w:t xml:space="preserve"> de 2022 o aquella que la adicione, modifique o sustituya.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presente procedimiento, será requisito para la renovación y cesión de los permisos para porte y/o tenencia de las armas de fuego. </w:t>
      </w:r>
    </w:p>
    <w:p>
      <w:pPr>
        <w:jc w:val="both"/>
        <w:outlineLvl w:val="1"/>
      </w:pPr>
      <w:rPr>
        <w:color w:val="black"/>
      </w:rPr>
    </w:p>
    <w:p>
      <w:pPr>
        <w:jc w:val="both"/>
        <w:outlineLvl w:val="1"/>
      </w:pPr>
      <w:r>
        <w:rPr>
          <w:rFonts w:hAnsi="Arial"/>
          <w:rFonts w:ascii="Arial"/>
          <w:sz w:val="24"/>
          <w:vanish/>
          <w:color w:val="black"/>
        </w:rPr>
        <w:t>&amp;$</w:t>
      </w:r>
      <w:bookmarkStart w:id="60087" w:name="2.2.4.4.13"/>
      <w:r>
        <w:rPr>
          <w:rFonts w:hAnsi="Arial"/>
          <w:rFonts w:ascii="Arial"/>
          <w:sz w:val="24"/>
          <w:color w:val="navy"/>
        </w:rPr>
        <w:t xml:space="preserve">ARTÍCULO 2.2.4.4.13. FASES PARA LA OPERACIÓN DEL SISTEMA DE INFORMACIÓN DE HUELLA BALÍSTICA CIVIL (SIHBC).</w:t>
      </w:r>
      <w:bookmarkEnd w:id="60087"/>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fases de despliegue del sistema, por instituciones y por módulos, serán definidas por el Ministerio de Defensa Nacional a través de la Policía Nacional Dirección de Investigación Criminal e Interpol. Una vez las instituciones sean convocadas a integrarse al Sistema de Información de Huella Balística Civil (SIHBC), deberán hacerlo en los términos y condiciones dispuestos por el Ministerio de Defensa Nacional. </w:t>
      </w:r>
    </w:p>
    <w:p>
      <w:pPr>
        <w:jc w:val="both"/>
        <w:outlineLvl w:val="1"/>
      </w:pPr>
      <w:rPr>
        <w:sz w:val="24"/>
        <w:b/>
        <w:color w:val="black"/>
      </w:rPr>
    </w:p>
    <w:p>
      <w:pPr>
        <w:jc w:val="both"/>
        <w:outlineLvl w:val="1"/>
      </w:pPr>
      <w:r>
        <w:rPr>
          <w:rFonts w:hAnsi="Arial"/>
          <w:rFonts w:ascii="Arial"/>
          <w:sz w:val="24"/>
          <w:color w:val="black"/>
        </w:rPr>
        <w:t xml:space="preserve">Las entidades señaladas en el artículo </w:t>
      </w:r>
      <w:r>
        <w:fldChar w:fldCharType="begin"/>
      </w:r>
      <w:r>
        <w:instrText>HYPERLINK "http://www.redjurista.com/document.aspx?ajcode=d1070015&amp;arts=2.2.4.4.7"</w:instrText>
      </w:r>
      <w:r>
        <w:fldChar w:fldCharType="separate"/>
      </w:r>
      <w:r>
        <w:rPr>
          <w:rFonts w:hAnsi="Arial"/>
          <w:rFonts w:ascii="Arial"/>
          <w:sz w:val="24"/>
          <w:u w:val="single"/>
          <w:color w:val="black"/>
        </w:rPr>
        <w:t>2.2.4.4.7</w:t>
      </w:r>
      <w:r>
        <w:fldChar w:fldCharType="end"/>
      </w:r>
      <w:r>
        <w:rPr>
          <w:rFonts w:hAnsi="Arial"/>
          <w:rFonts w:ascii="Arial"/>
          <w:sz w:val="24"/>
          <w:u w:val="none"/>
          <w:color w:val="black"/>
        </w:rPr>
        <w:t xml:space="preserve"> del presente decreto, deberán registrar, validar, actualizar, generar y suministrar la información necesaria en el Sistema de Información de Huella Balística Civil (SIHBC), para cumplir el procedimiento de empadronamiento, de acuerdo con los parámetros y protocolos que para tal efecto establezca el Ministerio de Defensa Nacional manteniendo continua coordinación y comunicación.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Instituciones que integran el Sistema de Información de Huella Balística Civil (SIHBC) deberán prestar asesoría, capacitación, acompañamiento y suministro de la información requerida durante las etapas de diseño, implementación, despliegue y en cualquier momento de su operación.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Policía Nacional a través de la Dirección de Investigación Criminal e Interpol, deberá observar los principios que rigen la cadena de custodia establecidos en el Código de Procedimiento Penal en los procedimientos que se realicen en el empadronamiento ante el Sistema de Información de Huella Balística Civil (SIHBC). </w:t>
      </w:r>
    </w:p>
    <w:p>
      <w:pPr>
        <w:jc w:val="both"/>
        <w:outlineLvl w:val="1"/>
      </w:pPr>
      <w:rPr>
        <w:color w:val="black"/>
      </w:rPr>
    </w:p>
    <w:p>
      <w:pPr>
        <w:jc w:val="both"/>
        <w:outlineLvl w:val="1"/>
      </w:pPr>
      <w:r>
        <w:rPr>
          <w:rFonts w:hAnsi="Arial"/>
          <w:rFonts w:ascii="Arial"/>
          <w:sz w:val="24"/>
          <w:vanish/>
          <w:color w:val="black"/>
        </w:rPr>
        <w:t>&amp;$</w:t>
      </w:r>
      <w:bookmarkStart w:id="60088" w:name="2.2.4.4.14"/>
      <w:r>
        <w:rPr>
          <w:rFonts w:hAnsi="Arial"/>
          <w:rFonts w:ascii="Arial"/>
          <w:sz w:val="24"/>
          <w:color w:val="navy"/>
        </w:rPr>
        <w:t xml:space="preserve">ARTÍCULO 2.2.4.4.14. COSTOS DEL SISTEMA DE INFORMACIÓN DE HUELLA BALÍSTICA CIVIL (SIHBC).</w:t>
      </w:r>
      <w:bookmarkEnd w:id="60088"/>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entidades que integran el sistema, previa disponibilidad presupuestal, asumirán los costos de uso y funcionamiento del mismo. </w:t>
      </w:r>
    </w:p>
    <w:p>
      <w:pPr>
        <w:jc w:val="both"/>
        <w:outlineLvl w:val="1"/>
      </w:pPr>
      <w:rPr>
        <w:sz w:val="24"/>
        <w:b/>
        <w:color w:val="black"/>
      </w:rPr>
    </w:p>
    <w:p>
      <w:pPr>
        <w:jc w:val="both"/>
        <w:outlineLvl w:val="1"/>
      </w:pPr>
      <w:r>
        <w:rPr>
          <w:rFonts w:hAnsi="Arial"/>
          <w:rFonts w:ascii="Arial"/>
          <w:sz w:val="24"/>
          <w:color w:val="black"/>
        </w:rPr>
        <w:t xml:space="preserve">Las entidades deberán contar con los requerimientos técnicos necesarios para operar el Sistema de Información de Huella Balística Civil, de acuerdo con las especificaciones que establezca el Ministerio de Defensa Nacional a través de la Policía Nacional - Dirección de Investigación Criminal e Interpol. </w:t>
      </w:r>
    </w:p>
    <w:p>
      <w:pPr>
        <w:jc w:val="center"/>
        <w:outlineLvl w:val="1"/>
      </w:pPr>
      <w:rPr>
        <w:sz w:val="24"/>
        <w:color w:val="black"/>
      </w:rPr>
    </w:p>
    <w:p>
      <w:pPr>
        <w:jc w:val="center"/>
        <w:outlineLvl w:val="1"/>
      </w:pPr>
      <w:r>
        <w:rPr>
          <w:rFonts w:hAnsi="Arial"/>
          <w:rFonts w:ascii="Arial"/>
          <w:sz w:val="24"/>
          <w:vanish/>
          <w:color w:val="black"/>
        </w:rPr>
        <w:t>&amp;$</w:t>
      </w:r>
      <w:bookmarkStart w:id="60089" w:name="SECCIÓN 2.2.4.4.3"/>
      <w:r>
        <w:rPr>
          <w:rFonts w:hAnsi="Arial"/>
          <w:rFonts w:ascii="Arial"/>
          <w:sz w:val="24"/>
          <w:color w:val="navy"/>
        </w:rPr>
        <w:t xml:space="preserve">SECCIÓN 3. </w:t>
      </w:r>
    </w:p>
    <w:p>
      <w:pPr>
        <w:jc w:val="center"/>
        <w:outlineLvl w:val="1"/>
      </w:pPr>
      <w:r>
        <w:rPr>
          <w:rFonts w:hAnsi="Arial"/>
          <w:rFonts w:ascii="Arial"/>
          <w:sz w:val="24"/>
          <w:color w:val="navy"/>
        </w:rPr>
        <w:t xml:space="preserve">SISTEMA DE INFORMACIÓN DE HUELLA BALÍSTICA CRIMINAL (SIHBCR).</w:t>
      </w:r>
      <w:bookmarkEnd w:id="60089"/>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vanish/>
          <w:color w:val="black"/>
        </w:rPr>
        <w:t>&amp;$</w:t>
      </w:r>
      <w:bookmarkStart w:id="60090" w:name="2.2.4.4.15"/>
      <w:r>
        <w:rPr>
          <w:rFonts w:hAnsi="Arial"/>
          <w:rFonts w:ascii="Arial"/>
          <w:sz w:val="24"/>
          <w:color w:val="navy"/>
        </w:rPr>
        <w:t xml:space="preserve">ARTÍCULO 2.2.4.4.15. DISEÑO, IMPLEMENTACIÓN, DIRECCIÓN Y ADMINISTRACIÓN DEL SISTEMA DE INFORMACIÓN DE HUELLA BALÍSTICA CRIMINAL (SIHBCR).</w:t>
      </w:r>
      <w:bookmarkEnd w:id="60090"/>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El diseño, implementación, dirección y administración del sistema es responsabilidad de la Fiscalía General de la Nación, para lo cual cumplirá con las siguientes funciones: </w:t>
      </w:r>
    </w:p>
    <w:p>
      <w:pPr>
        <w:jc w:val="both"/>
        <w:outlineLvl w:val="1"/>
      </w:pPr>
      <w:rPr>
        <w:sz w:val="24"/>
        <w:b/>
        <w:color w:val="black"/>
      </w:rPr>
    </w:p>
    <w:p>
      <w:pPr>
        <w:jc w:val="both"/>
        <w:outlineLvl w:val="1"/>
      </w:pPr>
      <w:r>
        <w:rPr>
          <w:rFonts w:hAnsi="Arial"/>
          <w:rFonts w:ascii="Arial"/>
          <w:sz w:val="24"/>
          <w:color w:val="black"/>
        </w:rPr>
        <w:t xml:space="preserve">1. Desarrollar e implementar la infraestructura tecnológica que sea necesaria para el funcionamiento y mantenimiento del sistema. </w:t>
      </w:r>
    </w:p>
    <w:p>
      <w:pPr>
        <w:jc w:val="both"/>
        <w:outlineLvl w:val="1"/>
      </w:pPr>
      <w:rPr>
        <w:sz w:val="24"/>
        <w:b/>
        <w:color w:val="black"/>
      </w:rPr>
    </w:p>
    <w:p>
      <w:pPr>
        <w:jc w:val="both"/>
        <w:outlineLvl w:val="1"/>
      </w:pPr>
      <w:r>
        <w:rPr>
          <w:rFonts w:hAnsi="Arial"/>
          <w:rFonts w:ascii="Arial"/>
          <w:sz w:val="24"/>
          <w:color w:val="black"/>
        </w:rPr>
        <w:t xml:space="preserve">2. Diseñar y establecer los medios que permitan la operación, registro, actualización y gestión de la información requerida por el sistema e impartir las directrices relacionadas con los usos y propósitos de la misma. </w:t>
      </w:r>
    </w:p>
    <w:p>
      <w:pPr>
        <w:jc w:val="both"/>
        <w:outlineLvl w:val="1"/>
      </w:pPr>
      <w:rPr>
        <w:sz w:val="24"/>
        <w:b/>
        <w:color w:val="black"/>
      </w:rPr>
    </w:p>
    <w:p>
      <w:pPr>
        <w:jc w:val="both"/>
        <w:outlineLvl w:val="1"/>
      </w:pPr>
      <w:r>
        <w:rPr>
          <w:rFonts w:hAnsi="Arial"/>
          <w:rFonts w:ascii="Arial"/>
          <w:sz w:val="24"/>
          <w:color w:val="black"/>
        </w:rPr>
        <w:t xml:space="preserve">3. Definir los procedimientos estándar que deberán ser utilizados por las diferentes instituciones para la operación, registro, actualización y gestión de la información que requiera el sistema. </w:t>
      </w:r>
    </w:p>
    <w:p>
      <w:pPr>
        <w:jc w:val="both"/>
        <w:outlineLvl w:val="1"/>
      </w:pPr>
      <w:rPr>
        <w:sz w:val="24"/>
        <w:b/>
        <w:color w:val="black"/>
      </w:rPr>
    </w:p>
    <w:p>
      <w:pPr>
        <w:jc w:val="both"/>
        <w:outlineLvl w:val="1"/>
      </w:pPr>
      <w:r>
        <w:rPr>
          <w:rFonts w:hAnsi="Arial"/>
          <w:rFonts w:ascii="Arial"/>
          <w:sz w:val="24"/>
          <w:color w:val="black"/>
        </w:rPr>
        <w:t xml:space="preserve">4. Hacer seguimiento a la operabilidad del sistema y al cumplimiento de las instituciones en la operación, registro, validación, actualización, y gestión. </w:t>
      </w:r>
    </w:p>
    <w:p>
      <w:pPr>
        <w:jc w:val="both"/>
        <w:outlineLvl w:val="1"/>
      </w:pPr>
      <w:rPr>
        <w:sz w:val="24"/>
        <w:b/>
        <w:color w:val="black"/>
      </w:rPr>
    </w:p>
    <w:p>
      <w:pPr>
        <w:jc w:val="both"/>
        <w:outlineLvl w:val="1"/>
      </w:pPr>
      <w:r>
        <w:rPr>
          <w:rFonts w:hAnsi="Arial"/>
          <w:rFonts w:ascii="Arial"/>
          <w:sz w:val="24"/>
          <w:color w:val="black"/>
        </w:rPr>
        <w:t xml:space="preserve">5. Garantizar y facilitar el acceso a la información a las entidades corresponsables, teniendo en cuenta los roles y accesos que se determinen para tal fin, así como las restricciones de reserva que impongan la Constitución Política y la ley.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Fiscalía General de la Nación establecerá los lineamientos para el procedimiento y protocolo de seguridad necesario para garantizar la confiabilidad de la información, teniendo en cuenta aquellos datos que deben ser reservados, y establecer los roles y acceso al sistema. </w:t>
      </w:r>
    </w:p>
    <w:p>
      <w:pPr>
        <w:jc w:val="both"/>
        <w:outlineLvl w:val="1"/>
      </w:pPr>
      <w:rPr>
        <w:color w:val="black"/>
      </w:rPr>
    </w:p>
    <w:p>
      <w:pPr>
        <w:jc w:val="both"/>
        <w:outlineLvl w:val="1"/>
      </w:pPr>
      <w:r>
        <w:rPr>
          <w:rFonts w:hAnsi="Arial"/>
          <w:rFonts w:ascii="Arial"/>
          <w:sz w:val="24"/>
          <w:vanish/>
          <w:color w:val="black"/>
        </w:rPr>
        <w:t>&amp;$</w:t>
      </w:r>
      <w:bookmarkStart w:id="60091" w:name="2.2.4.4.16"/>
      <w:r>
        <w:rPr>
          <w:rFonts w:hAnsi="Arial"/>
          <w:rFonts w:ascii="Arial"/>
          <w:sz w:val="24"/>
          <w:color w:val="navy"/>
        </w:rPr>
        <w:t xml:space="preserve">ARTÍCULO 2.2.4.4.16. USUARIOS DEL SISTEMA DE INFORMACIÓN DE HUELLA BALÍSTICA CRIMINAL (SIHBCR).</w:t>
      </w:r>
      <w:bookmarkEnd w:id="60091"/>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Serán usuarios del Sistema de Información de Huella Balística Criminal(SIHBCR) las instituciones con funciones permanentes de policía judicial de conformidad con el artículo </w:t>
      </w:r>
      <w:r>
        <w:fldChar w:fldCharType="begin"/>
      </w:r>
      <w:r>
        <w:instrText>HYPERLINK "http://www.redjurista.com/document.aspx?ajcode=l0906004&amp;arts=201"</w:instrText>
      </w:r>
      <w:r>
        <w:fldChar w:fldCharType="separate"/>
      </w:r>
      <w:r>
        <w:rPr>
          <w:rFonts w:hAnsi="Arial"/>
          <w:rFonts w:ascii="Arial"/>
          <w:sz w:val="24"/>
          <w:u w:val="single"/>
          <w:color w:val="black"/>
        </w:rPr>
        <w:t>201</w:t>
      </w:r>
      <w:r>
        <w:fldChar w:fldCharType="end"/>
      </w:r>
      <w:r>
        <w:rPr>
          <w:rFonts w:hAnsi="Arial"/>
          <w:rFonts w:ascii="Arial"/>
          <w:sz w:val="24"/>
          <w:u w:val="none"/>
          <w:color w:val="black"/>
        </w:rPr>
        <w:t xml:space="preserve"> de la Ley 906 de 2004, teniendo en cuenta las restricciones de información y de acceso que sean establecidas por la Fiscalía General de la Nación, de acuerdo con las normas vigentes.</w:t>
      </w:r>
    </w:p>
    <w:p>
      <w:pPr>
        <w:jc w:val="both"/>
        <w:outlineLvl w:val="1"/>
      </w:pPr>
      <w:rPr>
        <w:color w:val="black"/>
      </w:rPr>
    </w:p>
    <w:p>
      <w:pPr>
        <w:jc w:val="both"/>
        <w:outlineLvl w:val="1"/>
      </w:pPr>
      <w:r>
        <w:rPr>
          <w:rFonts w:hAnsi="Arial"/>
          <w:rFonts w:ascii="Arial"/>
          <w:sz w:val="24"/>
          <w:vanish/>
          <w:color w:val="black"/>
        </w:rPr>
        <w:t>&amp;$</w:t>
      </w:r>
      <w:bookmarkStart w:id="60092" w:name="2.2.4.4.17"/>
      <w:r>
        <w:rPr>
          <w:rFonts w:hAnsi="Arial"/>
          <w:rFonts w:ascii="Arial"/>
          <w:sz w:val="24"/>
          <w:color w:val="navy"/>
        </w:rPr>
        <w:t xml:space="preserve">ARTÍCULO 2.2.4.4.17. RESPONSABILIDADES DE LAS INSTITUCIONES QUE SE INTEGREN AL SISTEMA DE INFORMACIÓN DE HUELLA BALÍSTICA CRIMINAL (SIHBCR).</w:t>
      </w:r>
      <w:bookmarkEnd w:id="60092"/>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Las instituciones a quienes se aplica el presente decreto son responsables de la operación, registro, validación, actualización, entrega y gestión de la información de cada institución que integra el sistema. </w:t>
      </w:r>
    </w:p>
    <w:p>
      <w:pPr>
        <w:jc w:val="both"/>
        <w:outlineLvl w:val="1"/>
      </w:pPr>
      <w:rPr>
        <w:color w:val="black"/>
      </w:rPr>
    </w:p>
    <w:p>
      <w:pPr>
        <w:jc w:val="center"/>
        <w:outlineLvl w:val="1"/>
      </w:pPr>
      <w:r>
        <w:rPr>
          <w:rFonts w:hAnsi="Arial"/>
          <w:rFonts w:ascii="Arial"/>
          <w:sz w:val="24"/>
          <w:vanish/>
          <w:color w:val="black"/>
        </w:rPr>
        <w:t>&amp;$</w:t>
      </w:r>
      <w:bookmarkStart w:id="60093" w:name="SECCIÓN 2.2.4.4"/>
      <w:r>
        <w:rPr>
          <w:rFonts w:hAnsi="Arial"/>
          <w:rFonts w:ascii="Arial"/>
          <w:sz w:val="24"/>
          <w:color w:val="navy"/>
        </w:rPr>
        <w:t xml:space="preserve">SECCIÓN 4. </w:t>
      </w:r>
    </w:p>
    <w:p>
      <w:pPr>
        <w:jc w:val="center"/>
        <w:outlineLvl w:val="1"/>
      </w:pPr>
      <w:r>
        <w:rPr>
          <w:rFonts w:hAnsi="Arial"/>
          <w:rFonts w:ascii="Arial"/>
          <w:sz w:val="24"/>
          <w:color w:val="navy"/>
        </w:rPr>
        <w:t xml:space="preserve">RÉGIMEN DE TRANSICIÓN.</w:t>
      </w:r>
      <w:bookmarkEnd w:id="60093"/>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vanish/>
          <w:color w:val="black"/>
        </w:rPr>
        <w:t>&amp;$</w:t>
      </w:r>
      <w:bookmarkStart w:id="60094" w:name="2.2.4.4.18"/>
      <w:r>
        <w:rPr>
          <w:rFonts w:hAnsi="Arial"/>
          <w:rFonts w:ascii="Arial"/>
          <w:sz w:val="24"/>
          <w:color w:val="navy"/>
        </w:rPr>
        <w:t xml:space="preserve">ARTÍCULO 2.2.4.4.18. RÉGIMEN DE TRANSICIÓN.</w:t>
      </w:r>
      <w:bookmarkEnd w:id="60094"/>
      <w:r>
        <w:rPr>
          <w:rFonts w:hAnsi="Arial"/>
          <w:rFonts w:ascii="Arial"/>
          <w:sz w:val="24"/>
          <w:color w:val="black"/>
        </w:rPr>
        <w:t xml:space="preserve"> &lt;Artículo adicionado por el artículo </w:t>
      </w:r>
      <w:r>
        <w:fldChar w:fldCharType="begin"/>
      </w:r>
      <w:r>
        <w:instrText>HYPERLINK "http://www.redjurista.com/document.aspx?ajcode=d0771022&amp;arts=1"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771 de 2022. El nuevo texto es el siguiente:&gt; A partir de la entrada en vigencia del presente decreto las instituciones que integran el Sistema de Información de Huella Balística Civil (SIHBC) contarán con un término de dos meses, para cumplir con las condiciones técnicas y tecnológicas del funcionamiento del Registro Nacional de Identificación Balística, y doce (12) meses adicionales para implementar el citado registro, las cuales serán establecidas por el Ministerio de Defensa Nacional a través de la Policía Nacional - Dirección de Investigación Criminal e Interpol, contados a partir de la expedición del presente decreto. </w:t>
      </w:r>
    </w:p>
    <w:p>
      <w:pPr>
        <w:jc w:val="center"/>
        <w:outlineLvl w:val="1"/>
      </w:pPr>
      <w:rPr>
        <w:sz w:val="24"/>
        <w:b/>
        <w:color w:val="black"/>
      </w:rPr>
    </w:p>
    <w:p>
      <w:pPr>
        <w:jc w:val="center"/>
        <w:outlineLvl w:val="1"/>
      </w:pPr>
      <w:r>
        <w:rPr>
          <w:rFonts w:hAnsi="Arial"/>
          <w:rFonts w:ascii="Arial"/>
          <w:sz w:val="24"/>
          <w:b/>
          <w:vanish/>
          <w:color w:val="black"/>
        </w:rPr>
        <w:t>&amp;$</w:t>
      </w:r>
      <w:bookmarkStart w:id="60095" w:name="CAPÍTULO 2.2.4.5"/>
      <w:r>
        <w:rPr>
          <w:rFonts w:hAnsi="Arial"/>
          <w:rFonts w:ascii="Arial"/>
          <w:sz w:val="24"/>
          <w:color w:val="navy"/>
        </w:rPr>
        <w:t xml:space="preserve">CAPÍTULO 5. </w:t>
      </w:r>
    </w:p>
    <w:p>
      <w:pPr>
        <w:jc w:val="center"/>
        <w:outlineLvl w:val="1"/>
      </w:pPr>
      <w:r>
        <w:rPr>
          <w:rFonts w:hAnsi="Arial"/>
          <w:rFonts w:ascii="Arial"/>
          <w:sz w:val="24"/>
          <w:color w:val="navy"/>
        </w:rPr>
        <w:t xml:space="preserve">CLASIFICACIÓN Y REGLAMENTACIÓN DEL PORTE DE LAS ARMAS, MUNICIONES, ELEMENTOS Y DISPOSITIVOS MENOS LETALES.</w:t>
      </w:r>
      <w:bookmarkEnd w:id="60095"/>
      <w:r>
        <w:rPr>
          <w:rFonts w:hAnsi="Arial"/>
          <w:rFonts w:ascii="Arial"/>
          <w:sz w:val="24"/>
          <w:b/>
          <w:color w:val="black"/>
        </w:rPr>
        <w:t xml:space="preserve"> </w:t>
      </w:r>
    </w:p>
    <w:p>
      <w:pPr>
        <w:jc w:val="both"/>
        <w:keepNext/>
      </w:pPr>
      <w:rPr>
        <w:color w:val="black"/>
      </w:rPr>
    </w:p>
    <w:p>
      <w:pPr>
        <w:jc w:val="both"/>
        <w:keepNext/>
      </w:pPr>
      <w:r>
        <w:rPr>
          <w:rFonts w:hAnsi="Arial"/>
          <w:rFonts w:ascii="Arial"/>
          <w:sz w:val="24"/>
          <w:b/>
          <w:vanish/>
          <w:color w:val="black"/>
        </w:rPr>
        <w:t>&amp;$</w:t>
      </w:r>
      <w:bookmarkStart w:id="60096" w:name="2.2.4.5.1"/>
      <w:r>
        <w:rPr>
          <w:rFonts w:hAnsi="Arial"/>
          <w:rFonts w:ascii="Arial"/>
          <w:sz w:val="24"/>
          <w:color w:val="navy"/>
        </w:rPr>
        <w:t xml:space="preserve">ARTÍCULO 2.2.4.5.1. OBJETO.</w:t>
      </w:r>
      <w:bookmarkEnd w:id="60096"/>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Reglamentar la clasificación, marcaje, registro, permiso y restricciones de las armas, municiones, elementos y dispositivos menos letales.</w:t>
      </w:r>
    </w:p>
    <w:p>
      <w:pPr>
        <w:jc w:val="both"/>
      </w:pPr>
      <w:rPr>
        <w:color w:val="black"/>
      </w:rPr>
    </w:p>
    <w:p>
      <w:pPr>
        <w:jc w:val="both"/>
        <w:outlineLvl w:val="1"/>
      </w:pPr>
      <w:r>
        <w:rPr>
          <w:rFonts w:hAnsi="Arial"/>
          <w:rFonts w:ascii="Arial"/>
          <w:sz w:val="24"/>
          <w:b/>
          <w:vanish/>
          <w:color w:val="black"/>
        </w:rPr>
        <w:t>&amp;$</w:t>
      </w:r>
      <w:bookmarkStart w:id="60097" w:name="2.2.4.5.2"/>
      <w:r>
        <w:rPr>
          <w:rFonts w:hAnsi="Arial"/>
          <w:rFonts w:ascii="Arial"/>
          <w:sz w:val="24"/>
          <w:color w:val="navy"/>
        </w:rPr>
        <w:t xml:space="preserve">ARTÍCULO 2.2.4.5.2. ÁMBITO DE APLICACIÓN.</w:t>
      </w:r>
      <w:bookmarkEnd w:id="60097"/>
      <w:r>
        <w:rPr>
          <w:rFonts w:hAnsi="Arial"/>
          <w:rFonts w:ascii="Arial"/>
          <w:sz w:val="24"/>
          <w:color w:val="black"/>
        </w:rPr>
        <w:t xml:space="preserve"> &lt;Ver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El presente decreto se aplica a todas las personas naturales o jurídicas, de conformidad con lo establecido en la presente norma, con excepción de la Fuerza Pública, en el cumplimiento de su misión Constitucional, Legal y Reglamentaria. </w:t>
      </w:r>
    </w:p>
    <w:p>
      <w:pPr>
        <w:jc w:val="both"/>
      </w:pPr>
      <w:rPr>
        <w:color w:val="black"/>
      </w:rPr>
    </w:p>
    <w:p>
      <w:pPr>
        <w:jc w:val="both"/>
      </w:pPr>
      <w:r>
        <w:rPr>
          <w:rFonts w:hAnsi="Arial"/>
          <w:rFonts w:ascii="Arial"/>
          <w:sz w:val="24"/>
          <w:b/>
          <w:vanish/>
          <w:color w:val="black"/>
        </w:rPr>
        <w:t>&amp;$</w:t>
      </w:r>
      <w:bookmarkStart w:id="60098" w:name="2.2.4.5.3"/>
      <w:r>
        <w:rPr>
          <w:rFonts w:hAnsi="Arial"/>
          <w:rFonts w:ascii="Arial"/>
          <w:sz w:val="24"/>
          <w:color w:val="navy"/>
        </w:rPr>
        <w:t xml:space="preserve">ARTÍCULO 2.2.4.5.3. ARMAS, MUNICIONES, ELEMENTOS Y DISPOSITIVOS MENOS LETALES.</w:t>
      </w:r>
      <w:bookmarkEnd w:id="60098"/>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Las armas, municiones, elementos y dispositivos menos letales se clasificarán según su funcionamiento y características, como se enuncia en los artículos siguientes, así como el cumplimiento de requisitos para el porte, la comercialización, importación y exportación, en los términos establecidos en el presente decreto. </w:t>
      </w:r>
    </w:p>
    <w:p>
      <w:pPr>
        <w:jc w:val="both"/>
      </w:pPr>
      <w:rPr>
        <w:color w:val="black"/>
      </w:rPr>
    </w:p>
    <w:p>
      <w:pPr>
        <w:jc w:val="both"/>
      </w:pPr>
      <w:r>
        <w:rPr>
          <w:rFonts w:hAnsi="Arial"/>
          <w:rFonts w:ascii="Arial"/>
          <w:sz w:val="24"/>
          <w:b/>
          <w:vanish/>
          <w:color w:val="black"/>
        </w:rPr>
        <w:t>&amp;$</w:t>
      </w:r>
      <w:bookmarkStart w:id="60099" w:name="2.2.4.5.4"/>
      <w:r>
        <w:rPr>
          <w:rFonts w:hAnsi="Arial"/>
          <w:rFonts w:ascii="Arial"/>
          <w:sz w:val="24"/>
          <w:color w:val="navy"/>
        </w:rPr>
        <w:t xml:space="preserve">ARTÍCULO 2.2.4.5.4. ENERGÍA CINÉTICA.</w:t>
      </w:r>
      <w:bookmarkEnd w:id="60099"/>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Elemento diseñado para influir en el comportamiento de una persona, generando incomodidad física o dolor mediante el impacto no punzante o perforante; así mismo entiéndase la energía cinética como la energía que se genera por el movimiento, de lo que se desprende que no depende de su funcionamiento, sino de su movimiento, en los términos de la Ley. Dentro de esta clasificación se incluyen a título de enunciación, las siguientes: </w:t>
      </w:r>
    </w:p>
    <w:p>
      <w:pPr>
        <w:jc w:val="both"/>
        <w:outlineLvl w:val="1"/>
      </w:pPr>
      <w:rPr>
        <w:sz w:val="24"/>
        <w:b/>
        <w:color w:val="black"/>
      </w:rPr>
    </w:p>
    <w:p>
      <w:pPr>
        <w:jc w:val="both"/>
        <w:outlineLvl w:val="1"/>
      </w:pPr>
      <w:r>
        <w:rPr>
          <w:rFonts w:hAnsi="Arial"/>
          <w:rFonts w:ascii="Arial"/>
          <w:sz w:val="24"/>
          <w:color w:val="black"/>
        </w:rPr>
        <w:t xml:space="preserve">a) Bastón tonfa. </w:t>
      </w:r>
    </w:p>
    <w:p>
      <w:pPr>
        <w:jc w:val="both"/>
        <w:outlineLvl w:val="1"/>
      </w:pPr>
      <w:r>
        <w:rPr>
          <w:rFonts w:hAnsi="Arial"/>
          <w:rFonts w:ascii="Arial"/>
          <w:sz w:val="24"/>
          <w:color w:val="black"/>
        </w:rPr>
        <w:t xml:space="preserve">b) Bastón extraíble. </w:t>
      </w:r>
    </w:p>
    <w:p>
      <w:pPr>
        <w:jc w:val="both"/>
        <w:outlineLvl w:val="1"/>
      </w:pPr>
      <w:r>
        <w:rPr>
          <w:rFonts w:hAnsi="Arial"/>
          <w:rFonts w:ascii="Arial"/>
          <w:sz w:val="24"/>
          <w:color w:val="black"/>
        </w:rPr>
        <w:t xml:space="preserve">c) Manoplas metálicas. </w:t>
      </w:r>
    </w:p>
    <w:p>
      <w:pPr>
        <w:jc w:val="both"/>
      </w:pPr>
      <w:rPr>
        <w:color w:val="black"/>
      </w:rPr>
    </w:p>
    <w:p>
      <w:pPr>
        <w:jc w:val="both"/>
      </w:pPr>
      <w:r>
        <w:rPr>
          <w:rFonts w:hAnsi="Arial"/>
          <w:rFonts w:ascii="Arial"/>
          <w:sz w:val="24"/>
          <w:b/>
          <w:vanish/>
          <w:color w:val="black"/>
        </w:rPr>
        <w:t>&amp;$</w:t>
      </w:r>
      <w:bookmarkStart w:id="60100" w:name="2.2.4.5.5"/>
      <w:r>
        <w:rPr>
          <w:rFonts w:hAnsi="Arial"/>
          <w:rFonts w:ascii="Arial"/>
          <w:sz w:val="24"/>
          <w:color w:val="navy"/>
        </w:rPr>
        <w:t xml:space="preserve">ARTÍCULO 2.2.4.5.5. NEUMÁTICAS O DE AIRE COMPRIMIDO.</w:t>
      </w:r>
      <w:bookmarkEnd w:id="60100"/>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todas aquellas que utilizan como fuerza impulsora del proyectil la originada por la expansión de un gas comprimido. Dentro de esta clasificación solo se autoriza el porte de las siguientes armas menos letales: </w:t>
      </w:r>
    </w:p>
    <w:p>
      <w:pPr>
        <w:jc w:val="both"/>
        <w:outlineLvl w:val="1"/>
      </w:pPr>
      <w:rPr>
        <w:sz w:val="24"/>
        <w:b/>
        <w:color w:val="black"/>
      </w:rPr>
    </w:p>
    <w:p>
      <w:pPr>
        <w:jc w:val="both"/>
        <w:outlineLvl w:val="1"/>
      </w:pPr>
      <w:r>
        <w:rPr>
          <w:rFonts w:hAnsi="Arial"/>
          <w:rFonts w:ascii="Arial"/>
          <w:sz w:val="24"/>
          <w:color w:val="black"/>
        </w:rPr>
        <w:t xml:space="preserve">a) Revólver. </w:t>
      </w:r>
    </w:p>
    <w:p>
      <w:pPr>
        <w:jc w:val="both"/>
        <w:outlineLvl w:val="1"/>
      </w:pPr>
      <w:r>
        <w:rPr>
          <w:rFonts w:hAnsi="Arial"/>
          <w:rFonts w:ascii="Arial"/>
          <w:sz w:val="24"/>
          <w:color w:val="black"/>
        </w:rPr>
        <w:t xml:space="preserve">b) Pistola. </w:t>
      </w:r>
    </w:p>
    <w:p>
      <w:pPr>
        <w:jc w:val="both"/>
        <w:outlineLvl w:val="1"/>
      </w:pPr>
      <w:r>
        <w:rPr>
          <w:rFonts w:hAnsi="Arial"/>
          <w:rFonts w:ascii="Arial"/>
          <w:sz w:val="24"/>
          <w:color w:val="black"/>
        </w:rPr>
        <w:t xml:space="preserve">c) Escopeta. </w:t>
      </w:r>
    </w:p>
    <w:p>
      <w:pPr>
        <w:jc w:val="both"/>
        <w:outlineLvl w:val="1"/>
      </w:pPr>
      <w:r>
        <w:rPr>
          <w:rFonts w:hAnsi="Arial"/>
          <w:rFonts w:ascii="Arial"/>
          <w:sz w:val="24"/>
          <w:color w:val="black"/>
        </w:rPr>
        <w:t xml:space="preserve">d) Carabina. </w:t>
      </w:r>
    </w:p>
    <w:p>
      <w:pPr>
        <w:jc w:val="both"/>
        <w:outlineLvl w:val="1"/>
      </w:pPr>
      <w:r>
        <w:rPr>
          <w:rFonts w:hAnsi="Arial"/>
          <w:rFonts w:ascii="Arial"/>
          <w:sz w:val="24"/>
          <w:color w:val="black"/>
        </w:rPr>
        <w:t xml:space="preserve">e) Rifle. </w:t>
      </w:r>
    </w:p>
    <w:p>
      <w:pPr>
        <w:jc w:val="both"/>
      </w:pPr>
      <w:rPr>
        <w:color w:val="black"/>
      </w:rPr>
    </w:p>
    <w:p>
      <w:pPr>
        <w:jc w:val="both"/>
        <w:outlineLvl w:val="1"/>
      </w:pPr>
      <w:r>
        <w:rPr>
          <w:rFonts w:hAnsi="Arial"/>
          <w:rFonts w:ascii="Arial"/>
          <w:sz w:val="24"/>
          <w:b/>
          <w:vanish/>
          <w:color w:val="black"/>
        </w:rPr>
        <w:t>&amp;$</w:t>
      </w:r>
      <w:bookmarkStart w:id="60101" w:name="2.2.4.5.6"/>
      <w:r>
        <w:rPr>
          <w:rFonts w:hAnsi="Arial"/>
          <w:rFonts w:ascii="Arial"/>
          <w:sz w:val="24"/>
          <w:color w:val="navy"/>
        </w:rPr>
        <w:t xml:space="preserve">ARTÍCULO 2.2.4.5.6. FOGUEO.</w:t>
      </w:r>
      <w:bookmarkEnd w:id="60101"/>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todas aquellas que utilizan un cartucho que carece de proyectil, el cual genera sonido similar al de un arma de fuego. Dentro de esta clasificación solo se autoriza el porte de las siguientes armas menos letales: </w:t>
      </w:r>
    </w:p>
    <w:p>
      <w:pPr>
        <w:jc w:val="both"/>
        <w:outlineLvl w:val="1"/>
      </w:pPr>
      <w:rPr>
        <w:sz w:val="24"/>
        <w:b/>
        <w:color w:val="black"/>
      </w:rPr>
    </w:p>
    <w:p>
      <w:pPr>
        <w:jc w:val="both"/>
        <w:outlineLvl w:val="1"/>
      </w:pPr>
      <w:r>
        <w:rPr>
          <w:rFonts w:hAnsi="Arial"/>
          <w:rFonts w:ascii="Arial"/>
          <w:sz w:val="24"/>
          <w:color w:val="black"/>
        </w:rPr>
        <w:t xml:space="preserve">a) Revólver. </w:t>
      </w:r>
    </w:p>
    <w:p>
      <w:pPr>
        <w:jc w:val="both"/>
        <w:outlineLvl w:val="1"/>
      </w:pPr>
      <w:r>
        <w:rPr>
          <w:rFonts w:hAnsi="Arial"/>
          <w:rFonts w:ascii="Arial"/>
          <w:sz w:val="24"/>
          <w:color w:val="black"/>
        </w:rPr>
        <w:t xml:space="preserve">b) Pistola. </w:t>
      </w:r>
    </w:p>
    <w:p>
      <w:pPr>
        <w:jc w:val="both"/>
        <w:outlineLvl w:val="1"/>
      </w:pPr>
      <w:r>
        <w:rPr>
          <w:rFonts w:hAnsi="Arial"/>
          <w:rFonts w:ascii="Arial"/>
          <w:sz w:val="24"/>
          <w:color w:val="black"/>
        </w:rPr>
        <w:t xml:space="preserve">c) Escopeta. </w:t>
      </w:r>
    </w:p>
    <w:p>
      <w:pPr>
        <w:jc w:val="both"/>
        <w:outlineLvl w:val="1"/>
      </w:pPr>
      <w:r>
        <w:rPr>
          <w:rFonts w:hAnsi="Arial"/>
          <w:rFonts w:ascii="Arial"/>
          <w:sz w:val="24"/>
          <w:color w:val="black"/>
        </w:rPr>
        <w:t xml:space="preserve">d) Carabina. </w:t>
      </w:r>
    </w:p>
    <w:p>
      <w:pPr>
        <w:jc w:val="both"/>
        <w:outlineLvl w:val="1"/>
      </w:pPr>
      <w:r>
        <w:rPr>
          <w:rFonts w:hAnsi="Arial"/>
          <w:rFonts w:ascii="Arial"/>
          <w:sz w:val="24"/>
          <w:color w:val="black"/>
        </w:rPr>
        <w:t xml:space="preserve">e) Rifle. </w:t>
      </w:r>
    </w:p>
    <w:p>
      <w:pPr>
        <w:jc w:val="both"/>
      </w:pPr>
      <w:rPr>
        <w:color w:val="black"/>
      </w:rPr>
    </w:p>
    <w:p>
      <w:pPr>
        <w:jc w:val="both"/>
      </w:pPr>
      <w:r>
        <w:rPr>
          <w:rFonts w:hAnsi="Arial"/>
          <w:rFonts w:ascii="Arial"/>
          <w:sz w:val="24"/>
          <w:b/>
          <w:vanish/>
          <w:color w:val="black"/>
        </w:rPr>
        <w:t>&amp;$</w:t>
      </w:r>
      <w:bookmarkStart w:id="60102" w:name="2.2.4.5.7"/>
      <w:r>
        <w:rPr>
          <w:rFonts w:hAnsi="Arial"/>
          <w:rFonts w:ascii="Arial"/>
          <w:sz w:val="24"/>
          <w:color w:val="navy"/>
        </w:rPr>
        <w:t xml:space="preserve">ARTÍCULO 2.2.4.5.7. ELÉCTRICAS.</w:t>
      </w:r>
      <w:bookmarkEnd w:id="60102"/>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todas aquellas que utilizan una descarga eléctrica para anular el sistema nervioso central y provocar una contracción involuntaria del tejido muscular. Dentro de esta clasificación solo se autoriza la importación, comercialización y porte de aquellas que cumplan con las siguientes características técnicas. </w:t>
      </w:r>
    </w:p>
    <w:p>
      <w:pPr>
        <w:jc w:val="both"/>
        <w:outlineLvl w:val="1"/>
      </w:pPr>
      <w:rPr>
        <w:sz w:val="24"/>
        <w:b/>
        <w:color w:val="black"/>
      </w:rPr>
    </w:p>
    <w:p>
      <w:pPr>
        <w:jc w:val="both"/>
        <w:outlineLvl w:val="1"/>
      </w:pPr>
      <w:r>
        <w:rPr>
          <w:rFonts w:hAnsi="Arial"/>
          <w:rFonts w:ascii="Arial"/>
          <w:sz w:val="24"/>
          <w:color w:val="black"/>
        </w:rPr>
        <w:t xml:space="preserve">a) Dispositivo de Control Electrónico (descarga de energía eléctrica). </w:t>
      </w:r>
    </w:p>
    <w:p>
      <w:pPr>
        <w:jc w:val="both"/>
        <w:outlineLvl w:val="1"/>
      </w:pPr>
      <w:r>
        <w:rPr>
          <w:rFonts w:hAnsi="Arial"/>
          <w:rFonts w:ascii="Arial"/>
          <w:sz w:val="24"/>
          <w:color w:val="black"/>
        </w:rPr>
        <w:t xml:space="preserve">b) Emisión de pulsos máxima de 5 segundos de duración. </w:t>
      </w:r>
    </w:p>
    <w:p>
      <w:pPr>
        <w:jc w:val="both"/>
        <w:outlineLvl w:val="1"/>
      </w:pPr>
      <w:r>
        <w:rPr>
          <w:rFonts w:hAnsi="Arial"/>
          <w:rFonts w:ascii="Arial"/>
          <w:sz w:val="24"/>
          <w:color w:val="black"/>
        </w:rPr>
        <w:t xml:space="preserve">c) Voltaje: mínima 1.200 Volt. </w:t>
      </w:r>
    </w:p>
    <w:p>
      <w:pPr>
        <w:jc w:val="both"/>
        <w:outlineLvl w:val="1"/>
      </w:pPr>
      <w:r>
        <w:rPr>
          <w:rFonts w:hAnsi="Arial"/>
          <w:rFonts w:ascii="Arial"/>
          <w:sz w:val="24"/>
          <w:color w:val="black"/>
        </w:rPr>
        <w:t xml:space="preserve">d) Máxima 50.000 volt. </w:t>
      </w:r>
    </w:p>
    <w:p>
      <w:pPr>
        <w:jc w:val="both"/>
        <w:outlineLvl w:val="1"/>
      </w:pPr>
      <w:r>
        <w:rPr>
          <w:rFonts w:hAnsi="Arial"/>
          <w:rFonts w:ascii="Arial"/>
          <w:sz w:val="24"/>
          <w:color w:val="black"/>
        </w:rPr>
        <w:t xml:space="preserve">e) Intensidad max 2,1 mA. </w:t>
      </w:r>
    </w:p>
    <w:p>
      <w:pPr>
        <w:jc w:val="both"/>
      </w:pPr>
      <w:rPr>
        <w:color w:val="black"/>
      </w:rPr>
    </w:p>
    <w:p>
      <w:pPr>
        <w:jc w:val="both"/>
      </w:pPr>
      <w:r>
        <w:rPr>
          <w:rFonts w:hAnsi="Arial"/>
          <w:rFonts w:ascii="Arial"/>
          <w:sz w:val="24"/>
          <w:b/>
          <w:vanish/>
          <w:color w:val="black"/>
        </w:rPr>
        <w:t>&amp;$</w:t>
      </w:r>
      <w:bookmarkStart w:id="60103" w:name="2.2.4.5.8"/>
      <w:r>
        <w:rPr>
          <w:rFonts w:hAnsi="Arial"/>
          <w:rFonts w:ascii="Arial"/>
          <w:sz w:val="24"/>
          <w:color w:val="navy"/>
        </w:rPr>
        <w:t xml:space="preserve">ARTÍCULO 2.2.4.5.8. BIOQUÍMICA.</w:t>
      </w:r>
      <w:bookmarkEnd w:id="60103"/>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todos aquellos elementos diseñados para la detención de animales salvajes, reducen de manera inmediata, produciendo un efecto analgésico incapacitante. Dentro de esta clasificación solo se autoriza el porte de las siguientes armas menos letales: </w:t>
      </w:r>
    </w:p>
    <w:p>
      <w:pPr>
        <w:jc w:val="both"/>
        <w:outlineLvl w:val="1"/>
      </w:pPr>
      <w:rPr>
        <w:sz w:val="24"/>
        <w:b/>
        <w:color w:val="black"/>
      </w:rPr>
    </w:p>
    <w:p>
      <w:pPr>
        <w:jc w:val="both"/>
        <w:outlineLvl w:val="1"/>
      </w:pPr>
      <w:r>
        <w:rPr>
          <w:rFonts w:hAnsi="Arial"/>
          <w:rFonts w:ascii="Arial"/>
          <w:sz w:val="24"/>
          <w:color w:val="black"/>
        </w:rPr>
        <w:t xml:space="preserve">a) Pistola lanzadora de dardos tranquilizantes. </w:t>
      </w:r>
    </w:p>
    <w:p>
      <w:pPr>
        <w:jc w:val="both"/>
        <w:outlineLvl w:val="1"/>
      </w:pPr>
      <w:r>
        <w:rPr>
          <w:rFonts w:hAnsi="Arial"/>
          <w:rFonts w:ascii="Arial"/>
          <w:sz w:val="24"/>
          <w:color w:val="black"/>
        </w:rPr>
        <w:t xml:space="preserve">b) Rifle lanzador de dardos tranquilizantes con manómetro (uso animal). </w:t>
      </w:r>
    </w:p>
    <w:p>
      <w:pPr>
        <w:jc w:val="both"/>
      </w:pPr>
      <w:rPr>
        <w:color w:val="black"/>
      </w:rPr>
    </w:p>
    <w:p>
      <w:pPr>
        <w:jc w:val="both"/>
      </w:pPr>
      <w:r>
        <w:rPr>
          <w:rFonts w:hAnsi="Arial"/>
          <w:rFonts w:ascii="Arial"/>
          <w:sz w:val="24"/>
          <w:b/>
          <w:vanish/>
          <w:color w:val="black"/>
        </w:rPr>
        <w:t>&amp;$</w:t>
      </w:r>
      <w:bookmarkStart w:id="60104" w:name="2.2.4.5.9"/>
      <w:r>
        <w:rPr>
          <w:rFonts w:hAnsi="Arial"/>
          <w:rFonts w:ascii="Arial"/>
          <w:sz w:val="24"/>
          <w:color w:val="navy"/>
        </w:rPr>
        <w:t xml:space="preserve">ARTÍCULO 2.2.4.5.9. MUNICIONES DE LAS ARMAS, ELEMENTOS Y DISPOSITIVOS MENOS LETALES.</w:t>
      </w:r>
      <w:bookmarkEnd w:id="60104"/>
      <w:r>
        <w:rPr>
          <w:rFonts w:hAnsi="Arial"/>
          <w:rFonts w:ascii="Arial"/>
          <w:sz w:val="24"/>
          <w:color w:val="black"/>
        </w:rPr>
        <w:t xml:space="preserve"> &lt;Ver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Corresponden a la unidad de carga diseñada para ser empleada en las armas, elementos y dispositivos menos letales, necesaria para su funcionamiento. Se clasifican de la siguiente manera: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b/>
          <w:u w:val="single"/>
          <w:color w:val="black"/>
        </w:rPr>
        <w:t xml:space="preserve">Neumáticas o de Aire Comprimido. </w:t>
      </w:r>
    </w:p>
    <w:p>
      <w:pPr>
        <w:jc w:val="both"/>
        <w:outlineLvl w:val="1"/>
      </w:pPr>
      <w:rPr>
        <w:sz w:val="24"/>
        <w:b/>
        <w:color w:val="black"/>
      </w:rPr>
    </w:p>
    <w:p>
      <w:pPr>
        <w:jc w:val="both"/>
        <w:outlineLvl w:val="1"/>
      </w:pPr>
      <w:r>
        <w:rPr>
          <w:rFonts w:hAnsi="Arial"/>
          <w:rFonts w:ascii="Arial"/>
          <w:sz w:val="24"/>
          <w:color w:val="black"/>
        </w:rPr>
        <w:t xml:space="preserve">a) Proyectiles tipo balín (posta o perdigón), diábolos o dardos calibres entre el 4,5 milímetro o.117 pulgadas al 17,3 milímetro o.68 pulgadas, metálicos o plásticos. </w:t>
      </w:r>
    </w:p>
    <w:p>
      <w:pPr>
        <w:jc w:val="both"/>
        <w:outlineLvl w:val="1"/>
      </w:pPr>
      <w:rPr>
        <w:sz w:val="24"/>
        <w:b/>
        <w:color w:val="black"/>
      </w:rPr>
    </w:p>
    <w:p>
      <w:pPr>
        <w:jc w:val="both"/>
        <w:outlineLvl w:val="1"/>
      </w:pPr>
      <w:r>
        <w:rPr>
          <w:rFonts w:hAnsi="Arial"/>
          <w:rFonts w:ascii="Arial"/>
          <w:sz w:val="24"/>
          <w:color w:val="black"/>
        </w:rPr>
        <w:t xml:space="preserve">b) Proyectiles esféricos en goma o pintura calibre 10,92 milímetros o.43 pulgadas.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b/>
          <w:u w:val="single"/>
          <w:color w:val="black"/>
        </w:rPr>
        <w:t xml:space="preserve">Fogueo. </w:t>
      </w:r>
    </w:p>
    <w:p>
      <w:pPr>
        <w:jc w:val="both"/>
        <w:outlineLvl w:val="1"/>
      </w:pPr>
      <w:rPr>
        <w:sz w:val="24"/>
        <w:b/>
        <w:color w:val="black"/>
      </w:rPr>
    </w:p>
    <w:p>
      <w:pPr>
        <w:jc w:val="both"/>
        <w:outlineLvl w:val="1"/>
      </w:pPr>
      <w:r>
        <w:rPr>
          <w:rFonts w:hAnsi="Arial"/>
          <w:rFonts w:ascii="Arial"/>
          <w:sz w:val="24"/>
          <w:color w:val="black"/>
        </w:rPr>
        <w:t xml:space="preserve">a) Cartucho sin proyectil, calibre 5,59 milímetros o.22 pulgadas. </w:t>
      </w:r>
    </w:p>
    <w:p>
      <w:pPr>
        <w:jc w:val="both"/>
        <w:outlineLvl w:val="1"/>
      </w:pPr>
      <w:r>
        <w:rPr>
          <w:rFonts w:hAnsi="Arial"/>
          <w:rFonts w:ascii="Arial"/>
          <w:sz w:val="24"/>
          <w:color w:val="black"/>
        </w:rPr>
        <w:t xml:space="preserve">b) Cartucho sin proyectil calibre 9x22mm o.380 pulgadas.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b/>
          <w:u w:val="single"/>
          <w:color w:val="black"/>
        </w:rPr>
        <w:t xml:space="preserve">Bioquímica. </w:t>
      </w:r>
    </w:p>
    <w:p>
      <w:pPr>
        <w:jc w:val="both"/>
        <w:outlineLvl w:val="1"/>
      </w:pPr>
      <w:rPr>
        <w:sz w:val="24"/>
        <w:b/>
        <w:color w:val="black"/>
      </w:rPr>
    </w:p>
    <w:p>
      <w:pPr>
        <w:jc w:val="both"/>
        <w:outlineLvl w:val="1"/>
      </w:pPr>
      <w:r>
        <w:rPr>
          <w:rFonts w:hAnsi="Arial"/>
          <w:rFonts w:ascii="Arial"/>
          <w:sz w:val="24"/>
          <w:color w:val="black"/>
        </w:rPr>
        <w:t xml:space="preserve">Dardos de 3/8 pulgada a 3 pulgadas de longitud, con analgésico, en material plástico desechable.</w:t>
      </w:r>
    </w:p>
    <w:p>
      <w:pPr>
        <w:jc w:val="both"/>
      </w:pPr>
      <w:rPr>
        <w:color w:val="black"/>
      </w:rPr>
    </w:p>
    <w:p>
      <w:pPr>
        <w:jc w:val="both"/>
      </w:pPr>
      <w:r>
        <w:rPr>
          <w:rFonts w:hAnsi="Arial"/>
          <w:rFonts w:ascii="Arial"/>
          <w:sz w:val="24"/>
          <w:b/>
          <w:vanish/>
          <w:color w:val="black"/>
        </w:rPr>
        <w:t>&amp;$</w:t>
      </w:r>
      <w:bookmarkStart w:id="60105" w:name="2.2.4.5.10"/>
      <w:r>
        <w:rPr>
          <w:rFonts w:hAnsi="Arial"/>
          <w:rFonts w:ascii="Arial"/>
          <w:sz w:val="24"/>
          <w:color w:val="navy"/>
        </w:rPr>
        <w:t xml:space="preserve">ARTÍCULO 2.2.4.5.10. PERMISO PARA PORTE DE ARMAS, ELEMENTOS Y DISPOSITIVOS MENOS LETALES.</w:t>
      </w:r>
      <w:bookmarkEnd w:id="60105"/>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Los particulares de conformidad con lo establecido en el artículo </w:t>
      </w:r>
      <w:r>
        <w:fldChar w:fldCharType="begin"/>
      </w:r>
      <w:r>
        <w:instrText>HYPERLINK "http://www.redjurista.com/document.aspx?ajcode=l2197022&amp;arts=26"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2197 de 2022, podrán tramitar un permiso para el porte de armas, elementos o dispositivos menos letales clasificados en el presente decreto.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permiso de que trata el presente artículo, tendrá una vigencia de tres (3) años, se podrá autorizar hasta un máximo de dos (2) armas, elementos o dispositivos menos letales por persona natural, para las personas jurídicas deberán justificar la cantidad requerida para el uso de estos elementos y su autorización será bajo la potestad discrecional del Departamento Control Comercio de Armas, Municiones y Explosivos.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elementos menos letales enunciados en la clasificación de energía cinética, no requieren permiso de porte.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Aquellos elementos o dispositivos menos letales que sean de consumo o se agoten a través del tiempo o su empleo, no requieren permiso para su porte, excepto, las restricciones establecidas en la Ley. </w:t>
      </w:r>
    </w:p>
    <w:p>
      <w:pPr>
        <w:jc w:val="both"/>
      </w:pPr>
      <w:rPr>
        <w:color w:val="black"/>
      </w:rPr>
    </w:p>
    <w:p>
      <w:pPr>
        <w:jc w:val="both"/>
        <w:outlineLvl w:val="1"/>
      </w:pPr>
      <w:r>
        <w:rPr>
          <w:rFonts w:hAnsi="Arial"/>
          <w:rFonts w:ascii="Arial"/>
          <w:sz w:val="24"/>
          <w:b/>
          <w:vanish/>
          <w:color w:val="black"/>
        </w:rPr>
        <w:t>&amp;$</w:t>
      </w:r>
      <w:bookmarkStart w:id="60106" w:name="2.2.4.5.11"/>
      <w:r>
        <w:rPr>
          <w:rFonts w:hAnsi="Arial"/>
          <w:rFonts w:ascii="Arial"/>
          <w:sz w:val="24"/>
          <w:color w:val="navy"/>
        </w:rPr>
        <w:t xml:space="preserve">ARTÍCULO 2.2.4.5.11. PROCEDIMIENTO DE OBTENCIÓN DE PERMISO DE PORTE DE ARMAS Y DISPOSITIVOS MENOS LETALES.</w:t>
      </w:r>
      <w:bookmarkEnd w:id="60106"/>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Las personas naturales o jurídicas para la obtención del permiso de porte de las armas y dispositivos menos letales, deberán seguir el siguiente procedimiento: </w:t>
      </w:r>
    </w:p>
    <w:p>
      <w:pPr>
        <w:jc w:val="both"/>
        <w:outlineLvl w:val="1"/>
      </w:pPr>
      <w:rPr>
        <w:sz w:val="24"/>
        <w:b/>
        <w:color w:val="black"/>
      </w:rPr>
    </w:p>
    <w:p>
      <w:pPr>
        <w:jc w:val="both"/>
        <w:outlineLvl w:val="1"/>
      </w:pPr>
      <w:r>
        <w:rPr>
          <w:rFonts w:hAnsi="Arial"/>
          <w:rFonts w:ascii="Arial"/>
          <w:sz w:val="24"/>
          <w:b/>
          <w:color w:val="black"/>
        </w:rPr>
        <w:t xml:space="preserve">Marcaje. </w:t>
      </w:r>
      <w:r>
        <w:rPr>
          <w:rFonts w:hAnsi="Arial"/>
          <w:rFonts w:ascii="Arial"/>
          <w:sz w:val="24"/>
          <w:color w:val="black"/>
        </w:rPr>
        <w:t xml:space="preserve">La Industria Militar dentro de los seis (6) meses posteriores a la entrada en vigencia del presente Decreto, procederá a iniciar el marcaje de las armas o dispositivos menos letales, que los ciudadanos a iniciativa propia interesados en definir la situación jurídica sobre las mismas, entreguen, conforme al siguiente procedimiento: </w:t>
      </w:r>
    </w:p>
    <w:p>
      <w:pPr>
        <w:jc w:val="both"/>
        <w:outlineLvl w:val="1"/>
      </w:pPr>
      <w:rPr>
        <w:sz w:val="24"/>
        <w:b/>
        <w:color w:val="black"/>
      </w:rPr>
    </w:p>
    <w:p>
      <w:pPr>
        <w:jc w:val="both"/>
        <w:outlineLvl w:val="1"/>
      </w:pPr>
      <w:r>
        <w:rPr>
          <w:rFonts w:hAnsi="Arial"/>
          <w:rFonts w:ascii="Arial"/>
          <w:sz w:val="24"/>
          <w:color w:val="black"/>
        </w:rPr>
        <w:t xml:space="preserve">1. Inscribirse en los canales de atención definidos por el Departamento Control Comercio de Armas, Municiones y Explosivos. </w:t>
      </w:r>
    </w:p>
    <w:p>
      <w:pPr>
        <w:jc w:val="both"/>
        <w:outlineLvl w:val="1"/>
      </w:pPr>
      <w:rPr>
        <w:sz w:val="24"/>
        <w:b/>
        <w:color w:val="black"/>
      </w:rPr>
    </w:p>
    <w:p>
      <w:pPr>
        <w:jc w:val="both"/>
        <w:outlineLvl w:val="1"/>
      </w:pPr>
      <w:r>
        <w:rPr>
          <w:rFonts w:hAnsi="Arial"/>
          <w:rFonts w:ascii="Arial"/>
          <w:sz w:val="24"/>
          <w:color w:val="black"/>
        </w:rPr>
        <w:t xml:space="preserve">2. Para la realización del marcaje, se verificarán los antecedentes judiciales del solicitante. </w:t>
      </w:r>
    </w:p>
    <w:p>
      <w:pPr>
        <w:jc w:val="both"/>
        <w:outlineLvl w:val="1"/>
      </w:pPr>
      <w:rPr>
        <w:sz w:val="24"/>
        <w:b/>
        <w:color w:val="black"/>
      </w:rPr>
    </w:p>
    <w:p>
      <w:pPr>
        <w:jc w:val="both"/>
        <w:outlineLvl w:val="1"/>
      </w:pPr>
      <w:r>
        <w:rPr>
          <w:rFonts w:hAnsi="Arial"/>
          <w:rFonts w:ascii="Arial"/>
          <w:sz w:val="24"/>
          <w:color w:val="black"/>
        </w:rPr>
        <w:t xml:space="preserve">3. Los puntos de entrega de las armas y dispositivos menos letales serán establecidos por la Industria Militar. </w:t>
      </w:r>
    </w:p>
    <w:p>
      <w:pPr>
        <w:jc w:val="both"/>
        <w:outlineLvl w:val="1"/>
      </w:pPr>
      <w:rPr>
        <w:sz w:val="24"/>
        <w:b/>
        <w:color w:val="black"/>
      </w:rPr>
    </w:p>
    <w:p>
      <w:pPr>
        <w:jc w:val="both"/>
        <w:outlineLvl w:val="1"/>
      </w:pPr>
      <w:r>
        <w:rPr>
          <w:rFonts w:hAnsi="Arial"/>
          <w:rFonts w:ascii="Arial"/>
          <w:sz w:val="24"/>
          <w:color w:val="black"/>
        </w:rPr>
        <w:t xml:space="preserve">4. Presentarse ante la Industria Militar con la solicitud de marcaje previa inscripción. </w:t>
      </w:r>
    </w:p>
    <w:p>
      <w:pPr>
        <w:jc w:val="both"/>
        <w:outlineLvl w:val="1"/>
      </w:pPr>
      <w:rPr>
        <w:sz w:val="24"/>
        <w:b/>
        <w:color w:val="black"/>
      </w:rPr>
    </w:p>
    <w:p>
      <w:pPr>
        <w:jc w:val="both"/>
        <w:outlineLvl w:val="1"/>
      </w:pPr>
      <w:r>
        <w:rPr>
          <w:rFonts w:hAnsi="Arial"/>
          <w:rFonts w:ascii="Arial"/>
          <w:sz w:val="24"/>
          <w:color w:val="black"/>
        </w:rPr>
        <w:t xml:space="preserve">5. Una vez recibida el arma por parte de la Industria Militar en los puntos establecidos, se procederá al marcaje de armas y dispositivos menos letales, en el cual mínimo se debe contemplar: </w:t>
      </w:r>
    </w:p>
    <w:p>
      <w:pPr>
        <w:jc w:val="both"/>
        <w:outlineLvl w:val="1"/>
      </w:pPr>
      <w:rPr>
        <w:sz w:val="24"/>
        <w:b/>
        <w:color w:val="black"/>
      </w:rPr>
    </w:p>
    <w:p>
      <w:pPr>
        <w:jc w:val="both"/>
        <w:outlineLvl w:val="1"/>
      </w:pPr>
      <w:r>
        <w:rPr>
          <w:rFonts w:hAnsi="Arial"/>
          <w:rFonts w:ascii="Arial"/>
          <w:sz w:val="24"/>
          <w:color w:val="black"/>
        </w:rPr>
        <w:t xml:space="preserve">5.1. Características de cada una de las armas y dispositivos menos letales. </w:t>
      </w:r>
    </w:p>
    <w:p>
      <w:pPr>
        <w:jc w:val="both"/>
        <w:outlineLvl w:val="1"/>
      </w:pPr>
      <w:r>
        <w:rPr>
          <w:rFonts w:hAnsi="Arial"/>
          <w:rFonts w:ascii="Arial"/>
          <w:sz w:val="24"/>
          <w:color w:val="black"/>
        </w:rPr>
        <w:t xml:space="preserve">5.2. Datos de contacto del titular de la misma. </w:t>
      </w:r>
    </w:p>
    <w:p>
      <w:pPr>
        <w:jc w:val="both"/>
        <w:outlineLvl w:val="1"/>
      </w:pPr>
      <w:r>
        <w:rPr>
          <w:rFonts w:hAnsi="Arial"/>
          <w:rFonts w:ascii="Arial"/>
          <w:sz w:val="24"/>
          <w:color w:val="black"/>
        </w:rPr>
        <w:t xml:space="preserve">5.3. se realiza un marcaje alfanumérico mediante tecnología láser en bajo relieve. </w:t>
      </w:r>
    </w:p>
    <w:p>
      <w:pPr>
        <w:jc w:val="both"/>
        <w:outlineLvl w:val="1"/>
      </w:pPr>
      <w:rPr>
        <w:sz w:val="24"/>
        <w:b/>
        <w:color w:val="black"/>
      </w:rPr>
    </w:p>
    <w:p>
      <w:pPr>
        <w:jc w:val="both"/>
        <w:outlineLvl w:val="1"/>
      </w:pPr>
      <w:r>
        <w:rPr>
          <w:rFonts w:hAnsi="Arial"/>
          <w:rFonts w:ascii="Arial"/>
          <w:sz w:val="24"/>
          <w:color w:val="black"/>
        </w:rPr>
        <w:t xml:space="preserve">6. El ciudadano será notificado cuando debe presentarse a reclamar el arma, elemento o dispositivo menos letales marcada y deberá continuar el trámite del permiso de porte para su posterior anotación en el Registro Nacional de Armas, elementos o dispositivos menos letales. </w:t>
      </w:r>
    </w:p>
    <w:p>
      <w:pPr>
        <w:jc w:val="both"/>
        <w:outlineLvl w:val="1"/>
      </w:pPr>
      <w:rPr>
        <w:sz w:val="24"/>
        <w:b/>
        <w:color w:val="black"/>
      </w:rPr>
    </w:p>
    <w:p>
      <w:pPr>
        <w:jc w:val="both"/>
        <w:outlineLvl w:val="1"/>
      </w:pPr>
      <w:r>
        <w:rPr>
          <w:rFonts w:hAnsi="Arial"/>
          <w:rFonts w:ascii="Arial"/>
          <w:sz w:val="24"/>
          <w:color w:val="black"/>
        </w:rPr>
        <w:t xml:space="preserve">7. Entregar el arma voluntariamente en el caso en que decida no marcarla o haya reportado antecedentes judiciales, en los puntos de atención definidos por el Departamento Control Comercio de Armas, Municiones y Explosivos.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De conformidad con lo establecido en el artículo </w:t>
      </w:r>
      <w:r>
        <w:fldChar w:fldCharType="begin"/>
      </w:r>
      <w:r>
        <w:instrText>HYPERLINK "http://www.redjurista.com/document.aspx?ajcode=l2197022&amp;arts=38"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2197 de 2022, las personas naturales o jurídicas que posean armas y dispositivos menos letales, tendrán seis (6) meses para iniciar los trámites ante la Industria Militar y posterior solicitud de obtención del permiso de porte, y consecuente registro ante el Departamento Control Comercio de Armas, Municiones y Explosivos, so pena de su incautación por parte de la autoridad. </w:t>
      </w:r>
    </w:p>
    <w:p>
      <w:pPr>
        <w:jc w:val="both"/>
      </w:pPr>
      <w:rPr>
        <w:color w:val="black"/>
      </w:rPr>
    </w:p>
    <w:p>
      <w:pPr>
        <w:jc w:val="both"/>
      </w:pPr>
      <w:r>
        <w:rPr>
          <w:rFonts w:hAnsi="Arial"/>
          <w:rFonts w:ascii="Arial"/>
          <w:sz w:val="24"/>
          <w:b/>
          <w:vanish/>
          <w:color w:val="black"/>
        </w:rPr>
        <w:t>&amp;$</w:t>
      </w:r>
      <w:bookmarkStart w:id="60107" w:name="2.2.4.5.12"/>
      <w:r>
        <w:rPr>
          <w:rFonts w:hAnsi="Arial"/>
          <w:rFonts w:ascii="Arial"/>
          <w:sz w:val="24"/>
          <w:color w:val="navy"/>
        </w:rPr>
        <w:t xml:space="preserve">ARTÍCULO 2.2.4.5.12. REQUISITOS PARA LA SOLICITUD DE PERMISO DE PORTE DE LAS ARMAS, ELEMENTOS, Y DISPOSITIVOS MENOS LETALES.</w:t>
      </w:r>
      <w:bookmarkEnd w:id="60107"/>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Para el estudio de las solicitudes de permisos para el porte de armas, elementos y dispositivos menos letales, deberá cumplir los siguientes requisitos ante el Departamento Control Comercio de Armas, Municiones y Explosivos: </w:t>
      </w:r>
    </w:p>
    <w:p>
      <w:pPr>
        <w:jc w:val="both"/>
        <w:outlineLvl w:val="1"/>
      </w:pPr>
      <w:rPr>
        <w:sz w:val="24"/>
        <w:b/>
        <w:color w:val="black"/>
      </w:rPr>
    </w:p>
    <w:p>
      <w:pPr>
        <w:jc w:val="both"/>
        <w:outlineLvl w:val="1"/>
      </w:pPr>
      <w:r>
        <w:rPr>
          <w:rFonts w:hAnsi="Arial"/>
          <w:rFonts w:ascii="Arial"/>
          <w:sz w:val="24"/>
          <w:color w:val="black"/>
        </w:rPr>
        <w:t xml:space="preserve">1. Haber realizado el procedimiento de marcaje ante la Industria Militar </w:t>
      </w:r>
    </w:p>
    <w:p>
      <w:pPr>
        <w:jc w:val="both"/>
        <w:outlineLvl w:val="1"/>
      </w:pPr>
      <w:rPr>
        <w:sz w:val="24"/>
        <w:b/>
        <w:color w:val="black"/>
      </w:rPr>
    </w:p>
    <w:p>
      <w:pPr>
        <w:jc w:val="both"/>
        <w:outlineLvl w:val="1"/>
      </w:pPr>
      <w:r>
        <w:rPr>
          <w:rFonts w:hAnsi="Arial"/>
          <w:rFonts w:ascii="Arial"/>
          <w:sz w:val="24"/>
          <w:color w:val="black"/>
        </w:rPr>
        <w:t xml:space="preserve">2. Generar el trámite de permiso de porte de las armas menos letales, digitalizando los siguientes documentos: </w:t>
      </w:r>
    </w:p>
    <w:p>
      <w:pPr>
        <w:jc w:val="both"/>
        <w:outlineLvl w:val="1"/>
      </w:pPr>
      <w:rPr>
        <w:sz w:val="24"/>
        <w:b/>
        <w:color w:val="black"/>
      </w:rPr>
    </w:p>
    <w:p>
      <w:pPr>
        <w:jc w:val="both"/>
        <w:outlineLvl w:val="1"/>
      </w:pPr>
      <w:r>
        <w:rPr>
          <w:rFonts w:hAnsi="Arial"/>
          <w:rFonts w:ascii="Arial"/>
          <w:sz w:val="24"/>
          <w:color w:val="black"/>
        </w:rPr>
        <w:t xml:space="preserve">a) Para personas naturales: </w:t>
      </w:r>
    </w:p>
    <w:p>
      <w:pPr>
        <w:jc w:val="both"/>
        <w:outlineLvl w:val="1"/>
      </w:pPr>
      <w:rPr>
        <w:sz w:val="24"/>
        <w:b/>
        <w:color w:val="black"/>
      </w:rPr>
    </w:p>
    <w:p>
      <w:pPr>
        <w:jc w:val="both"/>
        <w:outlineLvl w:val="1"/>
      </w:pPr>
      <w:r>
        <w:rPr>
          <w:rFonts w:hAnsi="Arial"/>
          <w:rFonts w:ascii="Arial"/>
          <w:sz w:val="24"/>
          <w:color w:val="black"/>
        </w:rPr>
        <w:t xml:space="preserve">1. Fotocopia de la cédula de ciudadanía. </w:t>
      </w:r>
    </w:p>
    <w:p>
      <w:pPr>
        <w:jc w:val="both"/>
        <w:outlineLvl w:val="1"/>
      </w:pPr>
      <w:rPr>
        <w:sz w:val="24"/>
        <w:b/>
        <w:color w:val="black"/>
      </w:rPr>
    </w:p>
    <w:p>
      <w:pPr>
        <w:jc w:val="both"/>
        <w:outlineLvl w:val="1"/>
      </w:pPr>
      <w:r>
        <w:rPr>
          <w:rFonts w:hAnsi="Arial"/>
          <w:rFonts w:ascii="Arial"/>
          <w:sz w:val="24"/>
          <w:color w:val="black"/>
        </w:rPr>
        <w:t xml:space="preserve">b) Para personas jurídicas, Además de la verificación por parte del Departamento Control Comercio de Armas, Municiones y Explosivos, del certificado de existencia y representación legal de la persona jurídica, los siguientes documentos: </w:t>
      </w:r>
    </w:p>
    <w:p>
      <w:pPr>
        <w:jc w:val="both"/>
        <w:outlineLvl w:val="1"/>
      </w:pPr>
      <w:rPr>
        <w:sz w:val="24"/>
        <w:b/>
        <w:color w:val="black"/>
      </w:rPr>
    </w:p>
    <w:p>
      <w:pPr>
        <w:jc w:val="both"/>
        <w:outlineLvl w:val="1"/>
      </w:pPr>
      <w:r>
        <w:rPr>
          <w:rFonts w:hAnsi="Arial"/>
          <w:rFonts w:ascii="Arial"/>
          <w:sz w:val="24"/>
          <w:color w:val="black"/>
        </w:rPr>
        <w:t xml:space="preserve">1. Fotocopia de la Cédula de ciudadanía del representante legal. </w:t>
      </w:r>
    </w:p>
    <w:p>
      <w:pPr>
        <w:jc w:val="both"/>
        <w:outlineLvl w:val="1"/>
      </w:pPr>
      <w:rPr>
        <w:sz w:val="24"/>
        <w:b/>
        <w:color w:val="black"/>
      </w:rPr>
    </w:p>
    <w:p>
      <w:pPr>
        <w:jc w:val="both"/>
        <w:outlineLvl w:val="1"/>
      </w:pPr>
      <w:r>
        <w:rPr>
          <w:rFonts w:hAnsi="Arial"/>
          <w:rFonts w:ascii="Arial"/>
          <w:sz w:val="24"/>
          <w:color w:val="black"/>
        </w:rPr>
        <w:t xml:space="preserve">2. Autorización previa de la Superintendencia de Vigilancia y Seguridad Privada para los servicios sometidos a su vigilancia. </w:t>
      </w:r>
    </w:p>
    <w:p>
      <w:pPr>
        <w:jc w:val="both"/>
      </w:pPr>
      <w:rPr>
        <w:color w:val="black"/>
      </w:rPr>
    </w:p>
    <w:p>
      <w:pPr>
        <w:jc w:val="both"/>
      </w:pPr>
      <w:r>
        <w:rPr>
          <w:rFonts w:hAnsi="Arial"/>
          <w:rFonts w:ascii="Arial"/>
          <w:sz w:val="24"/>
          <w:b/>
          <w:vanish/>
          <w:color w:val="black"/>
        </w:rPr>
        <w:t>&amp;$</w:t>
      </w:r>
      <w:bookmarkStart w:id="60108" w:name="2.2.4.5.13"/>
      <w:r>
        <w:rPr>
          <w:rFonts w:hAnsi="Arial"/>
          <w:rFonts w:ascii="Arial"/>
          <w:sz w:val="24"/>
          <w:color w:val="navy"/>
        </w:rPr>
        <w:t xml:space="preserve">ARTÍCULO 2.2.4.5.13. REGISTRO NACIONAL DE ARMAS, ELEMENTOS O DISPOSITIVOS MENOS LETALES.</w:t>
      </w:r>
      <w:bookmarkEnd w:id="60108"/>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Es un sistema único que permitirá interoperabiliad entre el sistema de información de la Industria Militar, sistema del DCCAE, sistema de información de la DIAN, sistema de información de la Policía Nacional y sistema de información de la Superintendencia de Vigilancia a Seguridad Privada, para su implementación y puesta en marcha, el Departamento Control Comercio de Armas y Explosivos (DCCAE), a partir de la entrada en vigencia del presente Decreto, contará con ocho (8) meses, teniendo en cuenta los principios de identidad, integridad, preservación, seguridad, inalterabilidad y autenticidad de la información allí registrada.</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Registro Nacional de Armas y dispositivos menos letales, será administrado por el Departamento Control Comercio de Armas, Municiones y Explosivos y en él se incluirán todos los permisos de porte expedidos a las personas naturales o jurídicas; estando disponible para su consulta por parte de los organismos de seguridad del Estado, a efectos de las investigaciones penales y administrativas en que puedan verse involucradas.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sistema de información de la Industria Militar debe contener los registros del marcaje de armas y dispositivos menos letales, como de sus características y la información del titular de las mismas, así como los registros de la comercialización, importación y exportación de armas, elementos y dispositivos menos letales.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Policía Nacional coordinará con el Departamento Control Comercio de Armas, Municiones y Explosivos el apoyo necesario para acceder a la información, teniendo en cuenta los roles que se determinen para tal fin y en cumplimiento a la Ley, que permitan dar celeridad a los trámites de los ciudadanos. </w:t>
      </w:r>
    </w:p>
    <w:p>
      <w:pPr>
        <w:jc w:val="both"/>
      </w:pPr>
      <w:rPr>
        <w:color w:val="black"/>
      </w:rPr>
    </w:p>
    <w:p>
      <w:pPr>
        <w:jc w:val="both"/>
      </w:pPr>
      <w:r>
        <w:rPr>
          <w:rFonts w:hAnsi="Arial"/>
          <w:rFonts w:ascii="Arial"/>
          <w:sz w:val="24"/>
          <w:b/>
          <w:vanish/>
          <w:color w:val="black"/>
        </w:rPr>
        <w:t>&amp;$</w:t>
      </w:r>
      <w:bookmarkStart w:id="60109" w:name="2.2.4.5.14"/>
      <w:r>
        <w:rPr>
          <w:rFonts w:hAnsi="Arial"/>
          <w:rFonts w:ascii="Arial"/>
          <w:sz w:val="24"/>
          <w:color w:val="navy"/>
        </w:rPr>
        <w:t xml:space="preserve">ARTÍCULO 2.2.4.5.14. COSTOS PARA EL REGISTRO.</w:t>
      </w:r>
      <w:bookmarkEnd w:id="60109"/>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El solicitante deberá pagar los valores asociados al Registro Nacional de Armas y dispositivos menos letales en la cuenta bancaria que el Comando General de las Fuerzas Militares - Dirección Administrativa y Financiera o quien haga sus veces establezca, de acuerdo con lo estipulado en el parágrafo 3o. del artículo </w:t>
      </w:r>
      <w:r>
        <w:fldChar w:fldCharType="begin"/>
      </w:r>
      <w:r>
        <w:instrText>HYPERLINK "http://www.redjurista.com/document.aspx?ajcode=l2197022&amp;arts=38"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2197 de 2022, que corresponde a un 3% de un smlmv, el cual deberá ser ajustado al valor de la Unidad de Valor Tributario (UVT) por el Departamento Control Comercio de Armas, municiones y Explosivos.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recaudo del valor del Registro Nacional de Armas y dispositivos menos letales, será destinado para el sostenimiento del Registro Nacional de que trata el artículo </w:t>
      </w:r>
      <w:r>
        <w:fldChar w:fldCharType="begin"/>
      </w:r>
      <w:r>
        <w:instrText>HYPERLINK "http://www.redjurista.com/document.aspx?ajcode=l2197022&amp;arts=29"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2197 de 2022. </w:t>
      </w:r>
    </w:p>
    <w:p>
      <w:pPr>
        <w:jc w:val="both"/>
      </w:pPr>
      <w:rPr>
        <w:color w:val="black"/>
      </w:rPr>
    </w:p>
    <w:p>
      <w:pPr>
        <w:jc w:val="both"/>
      </w:pPr>
      <w:r>
        <w:rPr>
          <w:rFonts w:hAnsi="Arial"/>
          <w:rFonts w:ascii="Arial"/>
          <w:sz w:val="24"/>
          <w:b/>
          <w:vanish/>
          <w:color w:val="black"/>
        </w:rPr>
        <w:t>&amp;$</w:t>
      </w:r>
      <w:bookmarkStart w:id="60110" w:name="2.2.4.5.15"/>
      <w:r>
        <w:rPr>
          <w:rFonts w:hAnsi="Arial"/>
          <w:rFonts w:ascii="Arial"/>
          <w:sz w:val="24"/>
          <w:color w:val="navy"/>
        </w:rPr>
        <w:t xml:space="preserve">ARTÍCULO 2.2.4.5.15. TIEMPO PARA ENTREGA DEL PERMISO.</w:t>
      </w:r>
      <w:bookmarkEnd w:id="60110"/>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Una vez el solicitante cumpla los requisitos establecidos para obtener el permiso, previo marcaje del arma menos letal, deberá realizar el pago del registro, a través de los mecanismos que establezca el Comando General de las Fuerzas Militares, el cual será entregado en ocho (8) días hábiles. </w:t>
      </w:r>
    </w:p>
    <w:p>
      <w:pPr>
        <w:jc w:val="both"/>
      </w:pPr>
      <w:rPr>
        <w:color w:val="black"/>
      </w:rPr>
    </w:p>
    <w:p>
      <w:pPr>
        <w:jc w:val="both"/>
      </w:pPr>
      <w:r>
        <w:rPr>
          <w:rFonts w:hAnsi="Arial"/>
          <w:rFonts w:ascii="Arial"/>
          <w:sz w:val="24"/>
          <w:b/>
          <w:vanish/>
          <w:color w:val="black"/>
        </w:rPr>
        <w:t>&amp;$</w:t>
      </w:r>
      <w:bookmarkStart w:id="60111" w:name="2.2.4.5.16"/>
      <w:r>
        <w:rPr>
          <w:rFonts w:hAnsi="Arial"/>
          <w:rFonts w:ascii="Arial"/>
          <w:sz w:val="24"/>
          <w:color w:val="navy"/>
        </w:rPr>
        <w:t xml:space="preserve">ARTÍCULO 2.2.4.5.16. AUTORIZACIÓN PARA ENTREGAR AL CIUDADANO.</w:t>
      </w:r>
      <w:bookmarkEnd w:id="60111"/>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El ciudadano recibirá por la realización del trámite, el respectivo permiso de porte del arma o dispositivos menos letales, cuando cumpla con todos los requisitos establecidos en el presente Decreto. </w:t>
      </w:r>
    </w:p>
    <w:p>
      <w:pPr>
        <w:jc w:val="both"/>
      </w:pPr>
      <w:rPr>
        <w:color w:val="black"/>
      </w:rPr>
    </w:p>
    <w:p>
      <w:pPr>
        <w:jc w:val="both"/>
      </w:pPr>
      <w:r>
        <w:rPr>
          <w:rFonts w:hAnsi="Arial"/>
          <w:rFonts w:ascii="Arial"/>
          <w:sz w:val="24"/>
          <w:b/>
          <w:vanish/>
          <w:color w:val="black"/>
        </w:rPr>
        <w:t>&amp;$</w:t>
      </w:r>
      <w:bookmarkStart w:id="60112" w:name="2.2.4.5.17"/>
      <w:r>
        <w:rPr>
          <w:rFonts w:hAnsi="Arial"/>
          <w:rFonts w:ascii="Arial"/>
          <w:sz w:val="24"/>
          <w:color w:val="navy"/>
        </w:rPr>
        <w:t xml:space="preserve">ARTÍCULO 2.2.4.5.17. CANALES DE ATENCIÓN.</w:t>
      </w:r>
      <w:bookmarkEnd w:id="60112"/>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Los canales de atención para realizar el trámite serán los establecidos por el Departamento Control Comercio de Armas, Municiones y Explosivos del Comando General de las Fuerzas Militares, y para el marcaje, los definidos por la Industria Militar.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personas naturales o jurídicas que tengan armas menos letales de uso civil, en caso de no entregarlas al Estado, deberán realizar el trámite de marcaje y permiso de estas ante la autoridad competente en un plazo de ocho (8) meses contados a partir del inicio del proceso de marcaje por parte de INDUMIL. </w:t>
      </w:r>
    </w:p>
    <w:p>
      <w:pPr>
        <w:jc w:val="both"/>
      </w:pPr>
      <w:rPr>
        <w:color w:val="black"/>
      </w:rPr>
    </w:p>
    <w:p>
      <w:pPr>
        <w:jc w:val="both"/>
      </w:pPr>
      <w:r>
        <w:rPr>
          <w:rFonts w:hAnsi="Arial"/>
          <w:rFonts w:ascii="Arial"/>
          <w:sz w:val="24"/>
          <w:b/>
          <w:vanish/>
          <w:color w:val="black"/>
        </w:rPr>
        <w:t>&amp;$</w:t>
      </w:r>
      <w:bookmarkStart w:id="60113" w:name="2.2.4.5.18"/>
      <w:r>
        <w:rPr>
          <w:rFonts w:hAnsi="Arial"/>
          <w:rFonts w:ascii="Arial"/>
          <w:sz w:val="24"/>
          <w:color w:val="navy"/>
        </w:rPr>
        <w:t xml:space="preserve">ARTÍCULO 2.2.4.5.18. PÉRDIDA O HURTO DE ARMAS.</w:t>
      </w:r>
      <w:bookmarkEnd w:id="60113"/>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El titular de un permiso de porte de armas, elementos y dispositivos menos letales que sufra pérdida o hurto, deberá: </w:t>
      </w:r>
    </w:p>
    <w:p>
      <w:pPr>
        <w:jc w:val="both"/>
        <w:outlineLvl w:val="1"/>
      </w:pPr>
      <w:rPr>
        <w:sz w:val="24"/>
        <w:b/>
        <w:color w:val="black"/>
      </w:rPr>
    </w:p>
    <w:p>
      <w:pPr>
        <w:jc w:val="both"/>
        <w:outlineLvl w:val="1"/>
      </w:pPr>
      <w:r>
        <w:rPr>
          <w:rFonts w:hAnsi="Arial"/>
          <w:rFonts w:ascii="Arial"/>
          <w:sz w:val="24"/>
          <w:color w:val="black"/>
        </w:rPr>
        <w:t xml:space="preserve">a) Inscribirse en los canales de atención definidos por el Departamento Control Comercio de Armas, Municiones y Explosivos. </w:t>
      </w:r>
    </w:p>
    <w:p>
      <w:pPr>
        <w:jc w:val="both"/>
        <w:outlineLvl w:val="1"/>
      </w:pPr>
      <w:rPr>
        <w:sz w:val="24"/>
        <w:b/>
        <w:color w:val="black"/>
      </w:rPr>
    </w:p>
    <w:p>
      <w:pPr>
        <w:jc w:val="both"/>
        <w:outlineLvl w:val="1"/>
      </w:pPr>
      <w:r>
        <w:rPr>
          <w:rFonts w:hAnsi="Arial"/>
          <w:rFonts w:ascii="Arial"/>
          <w:sz w:val="24"/>
          <w:color w:val="black"/>
        </w:rPr>
        <w:t xml:space="preserve">b) Generar el trámite de descargo por cualquiera de las dos situaciones, pérdida o hurto, digitalizando los siguientes documentos: </w:t>
      </w:r>
    </w:p>
    <w:p>
      <w:pPr>
        <w:jc w:val="both"/>
        <w:outlineLvl w:val="1"/>
      </w:pPr>
      <w:rPr>
        <w:sz w:val="24"/>
        <w:b/>
        <w:color w:val="black"/>
      </w:rPr>
    </w:p>
    <w:p>
      <w:pPr>
        <w:jc w:val="both"/>
        <w:outlineLvl w:val="1"/>
      </w:pPr>
      <w:r>
        <w:rPr>
          <w:rFonts w:hAnsi="Arial"/>
          <w:rFonts w:ascii="Arial"/>
          <w:sz w:val="24"/>
          <w:color w:val="black"/>
        </w:rPr>
        <w:t xml:space="preserve">- Cuando sea por pérdida por cualquier motivo, el ciudadano deberá indicar la fecha, datos personales, datos del arma (clase, marca, calibre y serie) y relato sucinto de los hechos ocurridos al respecto </w:t>
      </w:r>
    </w:p>
    <w:p>
      <w:pPr>
        <w:jc w:val="both"/>
        <w:outlineLvl w:val="1"/>
      </w:pPr>
      <w:rPr>
        <w:sz w:val="24"/>
        <w:b/>
        <w:color w:val="black"/>
      </w:rPr>
    </w:p>
    <w:p>
      <w:pPr>
        <w:jc w:val="both"/>
        <w:outlineLvl w:val="1"/>
      </w:pPr>
      <w:r>
        <w:rPr>
          <w:rFonts w:hAnsi="Arial"/>
          <w:rFonts w:ascii="Arial"/>
          <w:sz w:val="24"/>
          <w:color w:val="black"/>
        </w:rPr>
        <w:t xml:space="preserve">- Cuando sea por hurto, el ciudadano deberá presentar denuncia ante la autoridad competente en la que se debe registrar el número de noticia criminal. </w:t>
      </w:r>
    </w:p>
    <w:p>
      <w:pPr>
        <w:jc w:val="both"/>
      </w:pPr>
      <w:rPr>
        <w:color w:val="black"/>
      </w:rPr>
    </w:p>
    <w:p>
      <w:pPr>
        <w:jc w:val="both"/>
        <w:outlineLvl w:val="1"/>
      </w:pPr>
      <w:r>
        <w:rPr>
          <w:rFonts w:hAnsi="Arial"/>
          <w:rFonts w:ascii="Arial"/>
          <w:sz w:val="24"/>
          <w:b/>
          <w:vanish/>
          <w:color w:val="black"/>
        </w:rPr>
        <w:t>&amp;$</w:t>
      </w:r>
      <w:bookmarkStart w:id="60114" w:name="2.2.4.5.19"/>
      <w:r>
        <w:rPr>
          <w:rFonts w:hAnsi="Arial"/>
          <w:rFonts w:ascii="Arial"/>
          <w:sz w:val="24"/>
          <w:color w:val="navy"/>
        </w:rPr>
        <w:t xml:space="preserve">ARTÍCULO 2.2.4.5.19. COMERCIALIZACIÓN, IMPORTACIÓN Y EXPORTACIÓN DE ARMAS, MUNICIONES, ELEMENTOS Y DISPOSITIVOS MENOS LETALES.</w:t>
      </w:r>
      <w:bookmarkEnd w:id="60114"/>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Las personas nacionales o extranjeras podrán comercializar, importar y exportar armas y dispositivos menos letales; accesorios, partes y municiones, clasificados en el presente articulado, conforme a la regulación que expedirá la Industria Militar, en un plazo de tres (3) meses, a partir de la entrada en vigencia del presente decreto. </w:t>
      </w:r>
    </w:p>
    <w:p>
      <w:pPr>
        <w:jc w:val="both"/>
        <w:outlineLvl w:val="1"/>
      </w:pPr>
      <w:rPr>
        <w:sz w:val="24"/>
        <w:b/>
        <w:color w:val="black"/>
      </w:rPr>
    </w:p>
    <w:p>
      <w:pPr>
        <w:jc w:val="both"/>
        <w:outlineLvl w:val="1"/>
      </w:pPr>
      <w:r>
        <w:rPr>
          <w:rFonts w:hAnsi="Arial"/>
          <w:rFonts w:ascii="Arial"/>
          <w:sz w:val="24"/>
          <w:color w:val="black"/>
        </w:rPr>
        <w:t xml:space="preserve">Las personas nacionales o extranjeras que quieran comercializar, importar y exportar armas y dispositivos menos letales; accesorios, partes y municiones, clasificados en el presente Decreto, deberán obtener previamente un concepto favorable expedido por el Departamento Control Comercio de Armas, Municiones y Explosivos, en un plazo máximo de 30 días, conforme a la reglamentación expedida por la Industria Militar.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comerciantes autorizados para la importación de armas y dispositivos menos letales, deberán tramitar el proceso de marcaje ante la Industria Militar, previo a su comercialización. </w:t>
      </w:r>
    </w:p>
    <w:p>
      <w:pPr>
        <w:jc w:val="both"/>
      </w:pPr>
      <w:rPr>
        <w:color w:val="black"/>
      </w:rPr>
    </w:p>
    <w:p>
      <w:pPr>
        <w:jc w:val="both"/>
      </w:pPr>
      <w:r>
        <w:rPr>
          <w:rFonts w:hAnsi="Arial"/>
          <w:rFonts w:ascii="Arial"/>
          <w:sz w:val="24"/>
          <w:b/>
          <w:vanish/>
          <w:color w:val="black"/>
        </w:rPr>
        <w:t>&amp;$</w:t>
      </w:r>
      <w:bookmarkStart w:id="60115" w:name="2.2.4.5.20"/>
      <w:r>
        <w:rPr>
          <w:rFonts w:hAnsi="Arial"/>
          <w:rFonts w:ascii="Arial"/>
          <w:sz w:val="24"/>
          <w:color w:val="navy"/>
        </w:rPr>
        <w:t xml:space="preserve">ARTÍCULO 2.2.4.5.20. ARMAS, MUNICIONES, ELEMENTOS Y DISPOSITIVOS MENOS LETALES DEPORTIVAS.</w:t>
      </w:r>
      <w:bookmarkEnd w:id="60115"/>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las armas, municiones, elementos y dispositivos menos letales que cumplen con las especificaciones necesarias para practicar las modalidades de tiro avaladas por la Federación Colombiana de Tiro Deportivo, para la práctica del deporte en sitios y por entidades autorizadas, clasificadas dentro de las neumáticas, aire o gas comprimido, las cuales pueden transportarse sin necesidad de permiso de porte. </w:t>
      </w:r>
    </w:p>
    <w:p>
      <w:pPr>
        <w:jc w:val="both"/>
        <w:outlineLvl w:val="1"/>
      </w:pPr>
      <w:rPr>
        <w:sz w:val="24"/>
        <w:b/>
        <w:color w:val="black"/>
      </w:rPr>
    </w:p>
    <w:p>
      <w:pPr>
        <w:jc w:val="both"/>
        <w:outlineLvl w:val="1"/>
      </w:pPr>
      <w:r>
        <w:rPr>
          <w:rFonts w:hAnsi="Arial"/>
          <w:rFonts w:ascii="Arial"/>
          <w:sz w:val="24"/>
          <w:b/>
          <w:color w:val="black"/>
        </w:rPr>
        <w:t xml:space="preserve">Transporte: </w:t>
      </w:r>
      <w:r>
        <w:rPr>
          <w:rFonts w:hAnsi="Arial"/>
          <w:rFonts w:ascii="Arial"/>
          <w:sz w:val="24"/>
          <w:color w:val="black"/>
        </w:rPr>
        <w:t xml:space="preserve">Es la acción de llevar las armas, municiones, elementos y dispositivos menos letales de un lugar a otro, clasificadas dentro de las neumáticas o de aire comprimido, para reparación o práctica de tiro en sitios autorizados, o para participar en competencias nacionales o internacionales. Estas deben ir en su respectiva caja o estuche, en la cajuela o morral que denoten su difícil accesibilidad y deben estar completamente descargadas, y sus proveedores descargados por fuera del arma, si los tiene. Quien transporte esta arma, munición, elemento o dispositivo menos letal, deberá estar acreditado por la Federación Colombiana de Tiro.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En el evento que el arma deportiva neumática, aire o gas comprimido sea de características similares a las armas menos letales clasificadas en el presente decreto, deberá contar con el respectivo permiso de porte.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elementos o dispositivos menos letales, de características y funcionamiento diferente a las armas de fuego, ubicados en centros de entrenamientos, polígonos o lugares para práctica de recreación autorizados, no requieren tramitar permiso de porte. </w:t>
      </w:r>
    </w:p>
    <w:p>
      <w:pPr>
        <w:jc w:val="both"/>
      </w:pPr>
      <w:rPr>
        <w:color w:val="black"/>
      </w:rPr>
    </w:p>
    <w:p>
      <w:pPr>
        <w:jc w:val="both"/>
      </w:pPr>
      <w:r>
        <w:rPr>
          <w:rFonts w:hAnsi="Arial"/>
          <w:rFonts w:ascii="Arial"/>
          <w:sz w:val="24"/>
          <w:b/>
          <w:vanish/>
          <w:color w:val="black"/>
        </w:rPr>
        <w:t>&amp;$</w:t>
      </w:r>
      <w:bookmarkStart w:id="60116" w:name="2.2.4.5.21"/>
      <w:r>
        <w:rPr>
          <w:rFonts w:hAnsi="Arial"/>
          <w:rFonts w:ascii="Arial"/>
          <w:sz w:val="24"/>
          <w:color w:val="navy"/>
        </w:rPr>
        <w:t xml:space="preserve">ARTÍCULO 2.2.4.5.21. ARMAS, ELEMENTOS Y DISPOSITIVOS MENOS LETALES DE COLECCIÓN.</w:t>
      </w:r>
      <w:bookmarkEnd w:id="60116"/>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Son aquellas que por sus características históricas, tecnológicas o científicas son destinadas a la exhibición privada dentro de inmuebles por lo tanto no requieren tramitar permiso de porte, no podrán ser portadas, so pena de su incautación conforme lo dispone el artículo </w:t>
      </w:r>
      <w:r>
        <w:fldChar w:fldCharType="begin"/>
      </w:r>
      <w:r>
        <w:instrText>HYPERLINK "http://www.redjurista.com/document.aspx?ajcode=l1801016&amp;arts=27"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1801 de 2016. </w:t>
      </w:r>
    </w:p>
    <w:p>
      <w:pPr>
        <w:jc w:val="both"/>
      </w:pPr>
      <w:rPr>
        <w:color w:val="black"/>
      </w:rPr>
    </w:p>
    <w:p>
      <w:pPr>
        <w:jc w:val="both"/>
        <w:outlineLvl w:val="1"/>
      </w:pPr>
      <w:r>
        <w:rPr>
          <w:rFonts w:hAnsi="Arial"/>
          <w:rFonts w:ascii="Arial"/>
          <w:sz w:val="24"/>
          <w:b/>
          <w:vanish/>
          <w:color w:val="black"/>
        </w:rPr>
        <w:t>&amp;$</w:t>
      </w:r>
      <w:bookmarkStart w:id="60117" w:name="2.2.4.5.22"/>
      <w:r>
        <w:rPr>
          <w:rFonts w:hAnsi="Arial"/>
          <w:rFonts w:ascii="Arial"/>
          <w:sz w:val="24"/>
          <w:color w:val="navy"/>
        </w:rPr>
        <w:t xml:space="preserve">ARTÍCULO 2.2.4.5.22. TRÁMITE ADMINISTRATIVO DE LA INCAUTACIÓN Y DISPOSICIÓN FINAL.</w:t>
      </w:r>
      <w:bookmarkEnd w:id="60117"/>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Las armas, municiones y dispositivos menos letales que sean objeto de incautación, por circunstancias diferentes a las establecidas en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se adelantará el procedimiento administrativo de que trata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del 2011, garantizando el debido proceso. El presente trámite deberá ser registrado en el sistema de información creado para el efecto.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Terminado el procedimiento administrativo, el arma, munición o dispositivo menos letal, se entregará al Departamento Control Comercio de Armas y Explosivos, para que de conformidad con lo establecido en el artículo </w:t>
      </w:r>
      <w:r>
        <w:fldChar w:fldCharType="begin"/>
      </w:r>
      <w:r>
        <w:instrText>HYPERLINK "http://www.redjurista.com/document.aspx?ajcode=l2197022&amp;arts=34"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2197 de 2022, se proceda a la destrucción.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En el momento que el arma, munición o dispositivo menos letal, se encuentre inmersa en la comisión de una conducta punible, quedará a disposición de la autoridad judicial en las instalaciones policiales, y se informará al Departamento Control Comercio de Armas y Explosivos, para que proceda a la respectiva cancelación del permiso. </w:t>
      </w:r>
    </w:p>
    <w:p>
      <w:pPr>
        <w:jc w:val="both"/>
        <w:outlineLvl w:val="1"/>
      </w:pPr>
      <w:rPr>
        <w:sz w:val="24"/>
        <w:b/>
        <w:color w:val="black"/>
      </w:rPr>
    </w:p>
    <w:p>
      <w:pPr>
        <w:jc w:val="both"/>
        <w:outlineLvl w:val="1"/>
      </w:pPr>
      <w:r>
        <w:rPr>
          <w:rFonts w:hAnsi="Arial"/>
          <w:rFonts w:ascii="Arial"/>
          <w:sz w:val="24"/>
          <w:color w:val="black"/>
        </w:rPr>
        <w:t xml:space="preserve">Una vez se resuelva la situación del arma menos letal, por parte de la autoridad judicial, se remitirá al Departamento Control Comercio de Armas y Explosivos, para su destrucción, conforme al procedimiento establecido en la Ley </w:t>
      </w:r>
      <w:r>
        <w:fldChar w:fldCharType="begin"/>
      </w:r>
      <w:r>
        <w:instrText>HYPERLINK "http://www.redjurista.com/document.aspx?ajcode=l2197022&amp;arts=INICIO"</w:instrText>
      </w:r>
      <w:r>
        <w:fldChar w:fldCharType="separate"/>
      </w:r>
      <w:r>
        <w:rPr>
          <w:rFonts w:hAnsi="Arial"/>
          <w:rFonts w:ascii="Arial"/>
          <w:sz w:val="24"/>
          <w:u w:val="single"/>
          <w:color w:val="black"/>
        </w:rPr>
        <w:t>2197</w:t>
      </w:r>
      <w:r>
        <w:fldChar w:fldCharType="end"/>
      </w:r>
      <w:r>
        <w:rPr>
          <w:rFonts w:hAnsi="Arial"/>
          <w:rFonts w:ascii="Arial"/>
          <w:sz w:val="24"/>
          <w:u w:val="none"/>
          <w:color w:val="black"/>
        </w:rPr>
        <w:t xml:space="preserve"> de 2022.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Indumil, deberá adelantar las coordinaciones pertinentes con el Departamento Control Comercio de Armas Municiones y Explosivos que permitan llevar a cabo la disposición final de las armas, municiones y dispositivos menos letales, así como la actualización en el registro nacional de armas, elementos y dispositivos menos letales, dando cuenta de las armas destruidas. </w:t>
      </w:r>
    </w:p>
    <w:p>
      <w:pPr>
        <w:jc w:val="both"/>
      </w:pPr>
      <w:rPr>
        <w:color w:val="black"/>
      </w:rPr>
    </w:p>
    <w:p>
      <w:pPr>
        <w:jc w:val="both"/>
      </w:pPr>
      <w:r>
        <w:rPr>
          <w:rFonts w:hAnsi="Arial"/>
          <w:rFonts w:ascii="Arial"/>
          <w:sz w:val="24"/>
          <w:b/>
          <w:vanish/>
          <w:color w:val="black"/>
        </w:rPr>
        <w:t>&amp;$</w:t>
      </w:r>
      <w:bookmarkStart w:id="60118" w:name="2.2.4.5.23"/>
      <w:r>
        <w:rPr>
          <w:rFonts w:hAnsi="Arial"/>
          <w:rFonts w:ascii="Arial"/>
          <w:sz w:val="24"/>
          <w:color w:val="navy"/>
        </w:rPr>
        <w:t xml:space="preserve">ARTÍCULO 2.2.4.5.23. ENTREGA DE ARMAS MENOS LETALES.</w:t>
      </w:r>
      <w:bookmarkEnd w:id="60118"/>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Dentro de los seis (6) meses siguientes a la entrada en vigencia del presente Decreto, las personas naturales o jurídicas propietarias de armas menos letales con características similares a las armas de guerra, o uso privativo de la fuerza pública y de uso restringido, deberán entregarlas al Estado, en caso contrario serán incautadas y decomisadas conforme lo señala el artículo </w:t>
      </w:r>
      <w:r>
        <w:fldChar w:fldCharType="begin"/>
      </w:r>
      <w:r>
        <w:instrText>HYPERLINK "http://www.redjurista.com/document.aspx?ajcode=l2197022&amp;arts=34"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2197 de 2022. La entrega se hará al Departamento Control Comercio de Armas, Municiones y Explosivos del Comando General de las Fuerzas Militares y/o Seccionales Control Comercio de Armas a nivel nacional, sin recibir contraprestación alguna.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personas naturales y jurídicas propietarias de armas menos letales que cumplan con las características de uso civil de defensa personal que quieran hacer su entrega y no quieran solicitar el permiso ante la autoridad competente, podrán entregarlas al Estado en el mismo término establecido en el presente artículo.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material recibido en el Departamento Control Comercio de Armas, Municiones y Explosivos del Comando General de las Fuerzas Militares y/o Seccionales Control Comercio de Armas a nivel nacional, deberá remitirse al Almacén General de Armas entregadas al Estado, para su destrucción por parte de la Industria Militar, previo concepto del DCCAE.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w:t>
      </w:r>
      <w:r>
        <w:rPr>
          <w:rFonts w:hAnsi="Arial"/>
          <w:rFonts w:ascii="Arial"/>
          <w:sz w:val="24"/>
          <w:color w:val="navy"/>
        </w:rPr>
        <w:t>TRANSITORIO</w:t>
      </w:r>
      <w:r>
        <w:rPr>
          <w:rFonts w:hAnsi="Arial"/>
          <w:rFonts w:ascii="Arial"/>
          <w:sz w:val="24"/>
          <w:color w:val="black"/>
        </w:rPr>
        <w:t xml:space="preserve">. Las armas, elementos o dispositivos menos letales, accesorios, partes y municiones, que al momento de la expedición del presente decreto se encuentren incautadas con acto administrativo ejecutoriado, se entregarán al Departamento Control Comercio de Armas y Explosivos, de su jurisdicción para proceder con la disposición final. </w:t>
      </w:r>
    </w:p>
    <w:p>
      <w:pPr>
        <w:jc w:val="both"/>
      </w:pPr>
      <w:rPr>
        <w:color w:val="black"/>
      </w:rPr>
    </w:p>
    <w:p>
      <w:pPr>
        <w:jc w:val="both"/>
        <w:outlineLvl w:val="1"/>
      </w:pPr>
      <w:r>
        <w:rPr>
          <w:rFonts w:hAnsi="Arial"/>
          <w:rFonts w:ascii="Arial"/>
          <w:sz w:val="24"/>
          <w:b/>
          <w:vanish/>
          <w:color w:val="black"/>
        </w:rPr>
        <w:t>&amp;$</w:t>
      </w:r>
      <w:bookmarkStart w:id="60119" w:name="2.2.4.5.24"/>
      <w:r>
        <w:rPr>
          <w:rFonts w:hAnsi="Arial"/>
          <w:rFonts w:ascii="Arial"/>
          <w:sz w:val="24"/>
          <w:color w:val="navy"/>
        </w:rPr>
        <w:t xml:space="preserve">ARTÍCULO 2.2.4.5.24. CLASIFICACIÓN DE LAS ARMAS, MUNICIONES, ELEMENTOS Y DISPOSITIVOS MENOS LETALES, AUTORIZADOS PARA EL SERVICIO DE VIGILANCIA Y SEGURIDAD PRIVADA.</w:t>
      </w:r>
      <w:bookmarkEnd w:id="60119"/>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Las armas, municiones, elementos y dispositivos menos letales para el desarrollo de actividades por parte de los servicios de vigilancia y seguridad privada, se clasificarán según su funcionamiento y características, previa autorización de la Superintendencia de Vigilancia y Seguridad Privada, como se enuncia seguidamente: </w:t>
      </w:r>
    </w:p>
    <w:p>
      <w:pPr>
        <w:jc w:val="both"/>
        <w:outlineLvl w:val="1"/>
      </w:pPr>
      <w:rPr>
        <w:sz w:val="24"/>
        <w:b/>
        <w:color w:val="black"/>
      </w:rPr>
    </w:p>
    <w:p>
      <w:pPr>
        <w:jc w:val="both"/>
        <w:outlineLvl w:val="1"/>
      </w:pPr>
      <w:r>
        <w:rPr>
          <w:rFonts w:hAnsi="Arial"/>
          <w:rFonts w:ascii="Arial"/>
          <w:sz w:val="24"/>
          <w:b/>
          <w:color w:val="black"/>
        </w:rPr>
        <w:t xml:space="preserve">I. Neumáticas o de Aire Comprimido. </w:t>
      </w:r>
      <w:r>
        <w:rPr>
          <w:rFonts w:hAnsi="Arial"/>
          <w:rFonts w:ascii="Arial"/>
          <w:sz w:val="24"/>
          <w:color w:val="black"/>
        </w:rPr>
        <w:t xml:space="preserve">Son todas aquellas que utilizan como fuerza impulsora del proyectil la originada por la expansión de un gas comprimido. Dentro de esta clasificación solo se autoriza el empleo de las siguientes armas menos letales:</w:t>
      </w:r>
    </w:p>
    <w:p>
      <w:pPr>
        <w:jc w:val="both"/>
        <w:outlineLvl w:val="1"/>
      </w:pPr>
      <w:rPr>
        <w:sz w:val="24"/>
        <w:b/>
        <w:color w:val="black"/>
      </w:rPr>
    </w:p>
    <w:p>
      <w:pPr>
        <w:jc w:val="both"/>
        <w:outlineLvl w:val="1"/>
      </w:pPr>
      <w:r>
        <w:rPr>
          <w:rFonts w:hAnsi="Arial"/>
          <w:rFonts w:ascii="Arial"/>
          <w:sz w:val="24"/>
          <w:color w:val="black"/>
        </w:rPr>
        <w:t xml:space="preserve">a) Revólver. </w:t>
      </w:r>
    </w:p>
    <w:p>
      <w:pPr>
        <w:jc w:val="both"/>
        <w:outlineLvl w:val="1"/>
      </w:pPr>
      <w:r>
        <w:rPr>
          <w:rFonts w:hAnsi="Arial"/>
          <w:rFonts w:ascii="Arial"/>
          <w:sz w:val="24"/>
          <w:color w:val="black"/>
        </w:rPr>
        <w:t xml:space="preserve">b) Pistola. </w:t>
      </w:r>
    </w:p>
    <w:p>
      <w:pPr>
        <w:jc w:val="both"/>
        <w:outlineLvl w:val="1"/>
      </w:pPr>
      <w:r>
        <w:rPr>
          <w:rFonts w:hAnsi="Arial"/>
          <w:rFonts w:ascii="Arial"/>
          <w:sz w:val="24"/>
          <w:color w:val="black"/>
        </w:rPr>
        <w:t xml:space="preserve">c) Carabina. </w:t>
      </w:r>
    </w:p>
    <w:p>
      <w:pPr>
        <w:jc w:val="both"/>
        <w:outlineLvl w:val="1"/>
      </w:pPr>
      <w:rPr>
        <w:sz w:val="24"/>
        <w:b/>
        <w:color w:val="black"/>
      </w:rPr>
    </w:p>
    <w:p>
      <w:pPr>
        <w:jc w:val="both"/>
        <w:outlineLvl w:val="1"/>
      </w:pPr>
      <w:r>
        <w:rPr>
          <w:rFonts w:hAnsi="Arial"/>
          <w:rFonts w:ascii="Arial"/>
          <w:sz w:val="24"/>
          <w:b/>
          <w:color w:val="black"/>
        </w:rPr>
        <w:t xml:space="preserve">II. Fogueo. </w:t>
      </w:r>
      <w:r>
        <w:rPr>
          <w:rFonts w:hAnsi="Arial"/>
          <w:rFonts w:ascii="Arial"/>
          <w:sz w:val="24"/>
          <w:color w:val="black"/>
        </w:rPr>
        <w:t xml:space="preserve">Son todas aquellas que utilizan un cartucho que carece de proyectil, el cual genera sonido similar al de un arma de fuego. Dentro de esta clasificación solo se autoriza el empleo de las siguientes armas menos letales: </w:t>
      </w:r>
    </w:p>
    <w:p>
      <w:pPr>
        <w:jc w:val="both"/>
        <w:outlineLvl w:val="1"/>
      </w:pPr>
      <w:rPr>
        <w:sz w:val="24"/>
        <w:b/>
        <w:color w:val="black"/>
      </w:rPr>
    </w:p>
    <w:p>
      <w:pPr>
        <w:jc w:val="both"/>
        <w:outlineLvl w:val="1"/>
      </w:pPr>
      <w:r>
        <w:rPr>
          <w:rFonts w:hAnsi="Arial"/>
          <w:rFonts w:ascii="Arial"/>
          <w:sz w:val="24"/>
          <w:color w:val="black"/>
        </w:rPr>
        <w:t xml:space="preserve">a) Revólver </w:t>
      </w:r>
    </w:p>
    <w:p>
      <w:pPr>
        <w:jc w:val="both"/>
        <w:outlineLvl w:val="1"/>
      </w:pPr>
      <w:r>
        <w:rPr>
          <w:rFonts w:hAnsi="Arial"/>
          <w:rFonts w:ascii="Arial"/>
          <w:sz w:val="24"/>
          <w:color w:val="black"/>
        </w:rPr>
        <w:t xml:space="preserve">b) Pistola </w:t>
      </w:r>
    </w:p>
    <w:p>
      <w:pPr>
        <w:jc w:val="both"/>
        <w:outlineLvl w:val="1"/>
      </w:pPr>
      <w:rPr>
        <w:sz w:val="24"/>
        <w:b/>
        <w:color w:val="black"/>
      </w:rPr>
    </w:p>
    <w:p>
      <w:pPr>
        <w:jc w:val="both"/>
        <w:outlineLvl w:val="1"/>
      </w:pPr>
      <w:r>
        <w:rPr>
          <w:rFonts w:hAnsi="Arial"/>
          <w:rFonts w:ascii="Arial"/>
          <w:sz w:val="24"/>
          <w:color w:val="black"/>
        </w:rPr>
        <w:t xml:space="preserve">III. </w:t>
      </w:r>
      <w:r>
        <w:rPr>
          <w:rFonts w:hAnsi="Arial"/>
          <w:rFonts w:ascii="Arial"/>
          <w:sz w:val="24"/>
          <w:b/>
          <w:color w:val="black"/>
        </w:rPr>
        <w:t xml:space="preserve">Eléctricas. </w:t>
      </w:r>
      <w:r>
        <w:rPr>
          <w:rFonts w:hAnsi="Arial"/>
          <w:rFonts w:ascii="Arial"/>
          <w:sz w:val="24"/>
          <w:color w:val="black"/>
        </w:rPr>
        <w:t xml:space="preserve">Son todas aquellas que utilizan una descarga eléctrica para anular el sistema nervioso central y provocar una contracción involuntaria del tejido muscular. Dentro de esta clasificación solo se autoriza la importación, comercialización y empleo de aquellas que cumplan con las siguientes características técnicas. </w:t>
      </w:r>
    </w:p>
    <w:p>
      <w:pPr>
        <w:jc w:val="both"/>
        <w:outlineLvl w:val="1"/>
      </w:pPr>
      <w:rPr>
        <w:sz w:val="24"/>
        <w:b/>
        <w:color w:val="black"/>
      </w:rPr>
    </w:p>
    <w:p>
      <w:pPr>
        <w:jc w:val="both"/>
        <w:outlineLvl w:val="1"/>
      </w:pPr>
      <w:r>
        <w:rPr>
          <w:rFonts w:hAnsi="Arial"/>
          <w:rFonts w:ascii="Arial"/>
          <w:sz w:val="24"/>
          <w:color w:val="black"/>
        </w:rPr>
        <w:t xml:space="preserve">Dispositivo de Control Electrónico (descarga de energía eléctrica). </w:t>
      </w:r>
    </w:p>
    <w:p>
      <w:pPr>
        <w:jc w:val="both"/>
        <w:outlineLvl w:val="1"/>
      </w:pPr>
      <w:r>
        <w:rPr>
          <w:rFonts w:hAnsi="Arial"/>
          <w:rFonts w:ascii="Arial"/>
          <w:sz w:val="24"/>
          <w:color w:val="black"/>
        </w:rPr>
        <w:t xml:space="preserve">Emisión de pulsos máxima de 5 segundos de duración. </w:t>
      </w:r>
    </w:p>
    <w:p>
      <w:pPr>
        <w:jc w:val="both"/>
        <w:outlineLvl w:val="1"/>
      </w:pPr>
      <w:r>
        <w:rPr>
          <w:rFonts w:hAnsi="Arial"/>
          <w:rFonts w:ascii="Arial"/>
          <w:sz w:val="24"/>
          <w:color w:val="black"/>
        </w:rPr>
        <w:t xml:space="preserve">Voltaje: mínima 1.200 Volt Máxima 50.000 volt. </w:t>
      </w:r>
    </w:p>
    <w:p>
      <w:pPr>
        <w:jc w:val="both"/>
        <w:outlineLvl w:val="1"/>
      </w:pPr>
      <w:r>
        <w:rPr>
          <w:rFonts w:hAnsi="Arial"/>
          <w:rFonts w:ascii="Arial"/>
          <w:sz w:val="24"/>
          <w:color w:val="black"/>
        </w:rPr>
        <w:t xml:space="preserve">Intensidad max 2,1 mA. </w:t>
      </w:r>
    </w:p>
    <w:p>
      <w:pPr>
        <w:jc w:val="both"/>
        <w:outlineLvl w:val="1"/>
      </w:pPr>
      <w:rPr>
        <w:sz w:val="24"/>
        <w:b/>
        <w:color w:val="black"/>
      </w:rPr>
    </w:p>
    <w:p>
      <w:pPr>
        <w:jc w:val="both"/>
        <w:outlineLvl w:val="1"/>
      </w:pPr>
      <w:r>
        <w:rPr>
          <w:rFonts w:hAnsi="Arial"/>
          <w:rFonts w:ascii="Arial"/>
          <w:sz w:val="24"/>
          <w:b/>
          <w:color w:val="black"/>
        </w:rPr>
        <w:t xml:space="preserve">IV. Acústica. </w:t>
      </w:r>
      <w:r>
        <w:rPr>
          <w:rFonts w:hAnsi="Arial"/>
          <w:rFonts w:ascii="Arial"/>
          <w:sz w:val="24"/>
          <w:color w:val="black"/>
        </w:rPr>
        <w:t xml:space="preserve">Elemento diseñado para emplear tecnología de sonido audible para entregar mensajes de advertencia, tales como discursos, grabaciones o tonos de aviso o que generen fatiga auditiva de manera temporal. </w:t>
      </w:r>
    </w:p>
    <w:p>
      <w:pPr>
        <w:jc w:val="both"/>
      </w:pPr>
      <w:rPr>
        <w:color w:val="black"/>
      </w:rPr>
    </w:p>
    <w:p>
      <w:pPr>
        <w:jc w:val="both"/>
      </w:pPr>
      <w:r>
        <w:rPr>
          <w:rFonts w:hAnsi="Arial"/>
          <w:rFonts w:ascii="Arial"/>
          <w:sz w:val="24"/>
          <w:b/>
          <w:vanish/>
          <w:color w:val="black"/>
        </w:rPr>
        <w:t>&amp;$</w:t>
      </w:r>
      <w:bookmarkStart w:id="60120" w:name="2.2.4.5.25"/>
      <w:r>
        <w:rPr>
          <w:rFonts w:hAnsi="Arial"/>
          <w:rFonts w:ascii="Arial"/>
          <w:sz w:val="24"/>
          <w:color w:val="navy"/>
        </w:rPr>
        <w:t xml:space="preserve">ARTÍCULO 2.2.4.5.25. AUTORIZACIÓN, USO Y PERMISOS DE LAS ARMAS, MUNICIONES, ELEMENTOS Y DISPOSITIVOS MENOS LETALES PARA LOS SERVICIOS DE VIGILANCIA Y SEGURIDAD PRIVADA.</w:t>
      </w:r>
      <w:bookmarkEnd w:id="60120"/>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La Superintendencia de Vigilancia y Seguridad Privada regulará la autorización, el uso y tipo de permisos de las armas, elementos y dispositivos menos letales; accesorios, partes y municiones para los servicios de vigilancia y seguridad privada en desarrollo de sus labores, de conformidad con la normatividad vigente. </w:t>
      </w:r>
    </w:p>
    <w:p>
      <w:pPr>
        <w:jc w:val="both"/>
        <w:outlineLvl w:val="1"/>
      </w:pPr>
      <w:rPr>
        <w:sz w:val="24"/>
        <w:b/>
        <w:color w:val="black"/>
      </w:rPr>
    </w:p>
    <w:p>
      <w:pPr>
        <w:jc w:val="both"/>
        <w:outlineLvl w:val="1"/>
      </w:pPr>
      <w:r>
        <w:rPr>
          <w:rFonts w:hAnsi="Arial"/>
          <w:rFonts w:ascii="Arial"/>
          <w:sz w:val="24"/>
          <w:color w:val="black"/>
        </w:rPr>
        <w:t xml:space="preserve">Para ello deberán contar con la autorización previa para la prestación del servicio con medio tecnológico, emitida por la Superintendencia de vigilancia y Seguridad Privada.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Los servicios de vigilancia y seguridad privada procederán ante la Industria Militar para el proceso de marcaje de las armas menos letales autorizadas para el desarrollo de las actividades, previa autorización de la Superintendencia de vigilancia y seguridad.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escuelas de capacitación y entrenamiento en vigilancia y seguridad privada y los departamentos de capacitación utilizarán, para los fines académicos correspondientes, las armas elementos, dispositivos menos letales; accesorios, partes y municiones conforme a la reglamentación que expida la Superintendencia de Vigilancia y Seguridad Privada.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Exceptúese el uso de armas, elementos, dispositivos menos letales; accesorios, partes y municiones a las empresas de transporte de valores.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Exceptúese el uso de armas, elementos, dispositivos menos letales; accesorios, partes y municiones al personal de manejadores caninos en la prestación de su servicio, al tenor de lo dispuesto en el artículo </w:t>
      </w:r>
      <w:r>
        <w:fldChar w:fldCharType="begin"/>
      </w:r>
      <w:r>
        <w:instrText>HYPERLINK "http://www.redjurista.com/document.aspx?ajcode=d1070015&amp;arts=2.6.1.1.3.3.19"</w:instrText>
      </w:r>
      <w:r>
        <w:fldChar w:fldCharType="separate"/>
      </w:r>
      <w:r>
        <w:rPr>
          <w:rFonts w:hAnsi="Arial"/>
          <w:rFonts w:ascii="Arial"/>
          <w:sz w:val="24"/>
          <w:u w:val="single"/>
          <w:color w:val="black"/>
        </w:rPr>
        <w:t>2.6.1.1.3.3.19</w:t>
      </w:r>
      <w:r>
        <w:fldChar w:fldCharType="end"/>
      </w:r>
      <w:r>
        <w:rPr>
          <w:rFonts w:hAnsi="Arial"/>
          <w:rFonts w:ascii="Arial"/>
          <w:sz w:val="24"/>
          <w:u w:val="none"/>
          <w:color w:val="black"/>
        </w:rPr>
        <w:t xml:space="preserve"> del Decreto 1070 de 2015. </w:t>
      </w:r>
    </w:p>
    <w:p>
      <w:pPr>
        <w:jc w:val="both"/>
      </w:pPr>
      <w:rPr>
        <w:color w:val="black"/>
      </w:rPr>
    </w:p>
    <w:p>
      <w:pPr>
        <w:jc w:val="both"/>
        <w:outlineLvl w:val="1"/>
      </w:pPr>
      <w:r>
        <w:rPr>
          <w:rFonts w:hAnsi="Arial"/>
          <w:rFonts w:ascii="Arial"/>
          <w:sz w:val="24"/>
          <w:b/>
          <w:vanish/>
          <w:color w:val="black"/>
        </w:rPr>
        <w:t>&amp;$</w:t>
      </w:r>
      <w:bookmarkStart w:id="60121" w:name="2.2.4.5.26"/>
      <w:r>
        <w:rPr>
          <w:rFonts w:hAnsi="Arial"/>
          <w:rFonts w:ascii="Arial"/>
          <w:sz w:val="24"/>
          <w:color w:val="navy"/>
        </w:rPr>
        <w:t xml:space="preserve">ARTÍCULO 2.2.4.5.26. RÉGIMEN DE TRANSICIÓN PARA EL COMERCIO DE LAS ARMAS, ELEMENTOS Y DISPOSITIVOS MENOS LETALES.</w:t>
      </w:r>
      <w:bookmarkEnd w:id="60121"/>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"http://www.redjurista.com/document.aspx?ajcode=d1563022&amp;arts=1"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1563 de 2022. El nuevo texto es el siguiente:&gt; Los comerciantes que al momento de entrar en vigencia el presente Decreto tengan registradas en sus balances e inventarios armas y dispositivos menos letales deberán tramitar el marcaje ante la Industria Militar, con excepción de las armas establecidas en el artículo </w:t>
      </w:r>
      <w:r>
        <w:fldChar w:fldCharType="begin"/>
      </w:r>
      <w:r>
        <w:instrText>HYPERLINK "http://www.redjurista.com/document.aspx?ajcode=d1070015&amp;arts=2.2.4.5.23"</w:instrText>
      </w:r>
      <w:r>
        <w:fldChar w:fldCharType="separate"/>
      </w:r>
      <w:r>
        <w:rPr>
          <w:rFonts w:hAnsi="Arial"/>
          <w:rFonts w:ascii="Arial"/>
          <w:sz w:val="24"/>
          <w:u w:val="single"/>
          <w:color w:val="black"/>
        </w:rPr>
        <w:t>2.2.4.5.23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Una vez marcadas las armas, el comerciante que proceda a comercializar las mismas, deberá exigir al particular que vaya a adquirir el arma menos letal, tramitar el permiso ante el Departamento Control Comercio Armas y Explosivos. Una vez sea autorizado el permiso, podrá entregar el arma menos letal al particular. </w:t>
      </w:r>
    </w:p>
    <w:p>
      <w:pPr>
        <w:jc w:val="both"/>
        <w:outlineLvl w:val="1"/>
      </w:pPr>
      <w:rPr>
        <w:sz w:val="24"/>
        <w:b/>
        <w:color w:val="black"/>
      </w:rPr>
    </w:p>
    <w:p>
      <w:pPr>
        <w:jc w:val="both"/>
        <w:outlineLvl w:val="1"/>
      </w:pPr>
      <w:r>
        <w:rPr>
          <w:rFonts w:hAnsi="Arial"/>
          <w:rFonts w:ascii="Arial"/>
          <w:sz w:val="24"/>
          <w:color w:val="black"/>
        </w:rPr>
        <w:t xml:space="preserve">El comerciante deberá llevar un registro de quien las adquiere, salvo cuando se exporten. En el registro deberá indicar el nombre, apellidos y el número de la cédula de ciudadanía de las personas naturales o la razón social, número de identificación tributaria -NIT y nombre, apellidos y número de la cédula de ciudadanía del representante legal cuando se trate de una persona jurídica, dejando copia del documento de identidad y del certificado de existencia y representación legal. </w:t>
      </w:r>
    </w:p>
    <w:p>
      <w:pPr>
        <w:jc w:val="both"/>
      </w:pPr>
      <w:rPr>
        <w:color w:val="black"/>
      </w:rPr>
    </w:p>
    <w:p>
      <w:rPr>
        <w:sz w:val="24"/>
        <w:color w:val="black"/>
      </w:rPr>
    </w:p>
    <w:p>
      <w:pPr>
        <w:jc w:val="center"/>
      </w:pPr>
      <w:r>
        <w:rPr>
          <w:rFonts w:hAnsi="Arial"/>
          <w:rFonts w:ascii="Arial"/>
          <w:sz w:val="24"/>
          <w:vanish/>
          <w:color w:val="black"/>
        </w:rPr>
        <w:t>&amp;$</w:t>
      </w:r>
      <w:bookmarkStart w:id="60122" w:name="TÍTULO 2.2.5"/>
      <w:r>
        <w:rPr>
          <w:rFonts w:hAnsi="Arial"/>
          <w:rFonts w:ascii="Arial"/>
          <w:sz w:val="24"/>
          <w:color w:val="navy"/>
        </w:rPr>
        <w:t xml:space="preserve">TÍTULO 5. </w:t>
      </w:r>
    </w:p>
    <w:p>
      <w:pPr>
        <w:jc w:val="center"/>
      </w:pPr>
      <w:r>
        <w:rPr>
          <w:rFonts w:hAnsi="Arial"/>
          <w:rFonts w:ascii="Arial"/>
          <w:sz w:val="24"/>
          <w:color w:val="navy"/>
        </w:rPr>
        <w:t xml:space="preserve">UTILIZACIÓN DEL EMBLEMA DE LA CRUZ ROJA.</w:t>
      </w:r>
      <w:bookmarkEnd w:id="6012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0123" w:name="CAPÍTULO 2.2.5.1"/>
      <w:r>
        <w:rPr>
          <w:rFonts w:hAnsi="Arial"/>
          <w:rFonts w:ascii="Arial"/>
          <w:sz w:val="24"/>
          <w:color w:val="navy"/>
        </w:rPr>
        <w:t xml:space="preserve">CAPÍTULO 1. </w:t>
      </w:r>
    </w:p>
    <w:p>
      <w:pPr>
        <w:jc w:val="center"/>
      </w:pPr>
      <w:r>
        <w:rPr>
          <w:rFonts w:hAnsi="Arial"/>
          <w:rFonts w:ascii="Arial"/>
          <w:sz w:val="24"/>
          <w:color w:val="navy"/>
        </w:rPr>
        <w:t xml:space="preserve">ÁMBITO DE APLICACIÓN Y DEFINICIONES.</w:t>
      </w:r>
      <w:bookmarkEnd w:id="6012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0124" w:name="2.2.5.1.1"/>
      <w:r>
        <w:rPr>
          <w:rFonts w:hAnsi="Arial"/>
          <w:rFonts w:ascii="Arial"/>
          <w:sz w:val="24"/>
          <w:color w:val="navy"/>
        </w:rPr>
        <w:t xml:space="preserve">ARTÍCULO 2.2.5.1.1. </w:t>
      </w:r>
      <w:r>
        <w:rPr>
          <w:rFonts w:hAnsi="Arial"/>
          <w:rFonts w:ascii="Arial"/>
          <w:sz w:val="24"/>
          <w:i/>
          <w:color w:val="navy"/>
        </w:rPr>
        <w:t xml:space="preserve">OBJETO Y ÁMBITO DE APLICACIÓN.</w:t>
      </w:r>
      <w:bookmarkEnd w:id="60124"/>
      <w:r>
        <w:rPr>
          <w:rFonts w:hAnsi="Arial"/>
          <w:rFonts w:ascii="Arial"/>
          <w:sz w:val="24"/>
          <w:b/>
          <w:i/>
          <w:color w:val="black"/>
        </w:rPr>
        <w:t xml:space="preserve"> </w:t>
      </w:r>
      <w:r>
        <w:rPr>
          <w:rFonts w:hAnsi="Arial"/>
          <w:rFonts w:ascii="Arial"/>
          <w:sz w:val="24"/>
          <w:color w:val="black"/>
        </w:rPr>
        <w:t xml:space="preserve">El presente Título tiene por objeto reglamentar la utilización a título protector del emblema de la Cruz Roja por parte del personal sanitario al servicio de la Fuerza Pública y del personal sanitario civil autorizado por el Ministerio de la Protección Social, así como de sus unidades y medios de transporte sanitarios destinados exclusivamente a la asistencia, búsqueda y transporte de heridos, enfermos y náufragos.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25" w:name="2.2.5.1.2"/>
      <w:r>
        <w:rPr>
          <w:rFonts w:hAnsi="Arial"/>
          <w:rFonts w:ascii="Arial"/>
          <w:sz w:val="24"/>
          <w:color w:val="navy"/>
        </w:rPr>
        <w:t xml:space="preserve">ARTÍCULO 2.2.5.1.2. </w:t>
      </w:r>
      <w:r>
        <w:rPr>
          <w:rFonts w:hAnsi="Arial"/>
          <w:rFonts w:ascii="Arial"/>
          <w:sz w:val="24"/>
          <w:i/>
          <w:color w:val="navy"/>
        </w:rPr>
        <w:t>ALCANCE.</w:t>
      </w:r>
      <w:bookmarkEnd w:id="60125"/>
      <w:r>
        <w:rPr>
          <w:rFonts w:hAnsi="Arial"/>
          <w:rFonts w:ascii="Arial"/>
          <w:sz w:val="24"/>
          <w:b/>
          <w:i/>
          <w:color w:val="black"/>
        </w:rPr>
        <w:t xml:space="preserve"> </w:t>
      </w:r>
      <w:r>
        <w:rPr>
          <w:rFonts w:hAnsi="Arial"/>
          <w:rFonts w:ascii="Arial"/>
          <w:sz w:val="24"/>
          <w:color w:val="black"/>
        </w:rPr>
        <w:t xml:space="preserve">Para los efectos del presente Título se entiende por:</w:t>
      </w:r>
    </w:p>
    <w:p>
      <w:pPr>
        <w:jc w:val="both"/>
      </w:pPr>
      <w:rPr>
        <w:sz w:val="24"/>
        <w:color w:val="black"/>
      </w:rPr>
    </w:p>
    <w:p>
      <w:pPr>
        <w:jc w:val="both"/>
      </w:pPr>
      <w:r>
        <w:rPr>
          <w:rFonts w:hAnsi="Arial"/>
          <w:rFonts w:ascii="Arial"/>
          <w:sz w:val="24"/>
          <w:color w:val="black"/>
        </w:rPr>
        <w:t xml:space="preserve">Personal sanitario de la Fuerza Pública: Se entiende por personal sanitario de la Fuerza Pública, aquellas personas al servicio del Ministerio de Defensa Nacional, destinadas exclusivamente, con carácter permanente, temporal u ocasional, a la atención, búsqueda, recogida, transporte, diagnóstico o tratamiento (incluido los primeros auxilios) de los heridos, enfermos o náufragos, así como a la prevención de las enfermedades o a la administración o funcionamiento de las unidades y medios de transporte sanitario.</w:t>
      </w:r>
    </w:p>
    <w:p>
      <w:pPr>
        <w:jc w:val="both"/>
      </w:pPr>
      <w:rPr>
        <w:sz w:val="24"/>
        <w:color w:val="black"/>
      </w:rPr>
    </w:p>
    <w:p>
      <w:pPr>
        <w:jc w:val="both"/>
      </w:pPr>
      <w:r>
        <w:rPr>
          <w:rFonts w:hAnsi="Arial"/>
          <w:rFonts w:ascii="Arial"/>
          <w:sz w:val="24"/>
          <w:color w:val="black"/>
        </w:rPr>
        <w:t xml:space="preserve">Unidades sanitarias de la Fuerza Pública: Son los establecimientos sanitarios militares y policiales, organizados para el desarrollo de labores sanitarias. Comprende los establecimientos de sanidad militar y policial de cualquier nivel de atención, los puestos de socorro en campaña fijos, móviles, temporales o permanentes, los depósitos de material sanitario y productos farmacéuticos de dichos establecimientos.</w:t>
      </w:r>
    </w:p>
    <w:p>
      <w:pPr>
        <w:jc w:val="both"/>
      </w:pPr>
      <w:rPr>
        <w:sz w:val="24"/>
        <w:color w:val="black"/>
      </w:rPr>
    </w:p>
    <w:p>
      <w:pPr>
        <w:jc w:val="both"/>
      </w:pPr>
      <w:r>
        <w:rPr>
          <w:rFonts w:hAnsi="Arial"/>
          <w:rFonts w:ascii="Arial"/>
          <w:sz w:val="24"/>
          <w:color w:val="black"/>
        </w:rPr>
        <w:t xml:space="preserve">Medios de transporte sanitarios de la Fuerza Pública: Son todos los vehículos terrestres, aéreos o acuáticos, temporales o permanentes, exclusivamente utilizados por las Fuerzas Militares y la Policía Nacional para la evacuación y transporte de heridos, enfermos o náufragos, personal sanitario y/o equipo y/o materiales sanitarios.</w:t>
      </w:r>
    </w:p>
    <w:p>
      <w:pPr>
        <w:jc w:val="both"/>
      </w:pPr>
      <w:rPr>
        <w:sz w:val="24"/>
        <w:color w:val="black"/>
      </w:rPr>
    </w:p>
    <w:p>
      <w:pPr>
        <w:jc w:val="both"/>
      </w:pPr>
      <w:r>
        <w:rPr>
          <w:rFonts w:hAnsi="Arial"/>
          <w:rFonts w:ascii="Arial"/>
          <w:sz w:val="24"/>
          <w:color w:val="black"/>
        </w:rPr>
        <w:t xml:space="preserve">Personal religioso de la Fuerza Pública: Son todas las personas exclusivamente consagradas de manera temporal o permanente, a su ministerio asistencia espiritual y adscrita a la Fuerza Pública.</w:t>
      </w:r>
    </w:p>
    <w:p>
      <w:pPr>
        <w:jc w:val="both"/>
      </w:pPr>
      <w:rPr>
        <w:sz w:val="24"/>
        <w:color w:val="black"/>
      </w:rPr>
    </w:p>
    <w:p>
      <w:pPr>
        <w:jc w:val="both"/>
      </w:pPr>
      <w:r>
        <w:rPr>
          <w:rFonts w:hAnsi="Arial"/>
          <w:rFonts w:ascii="Arial"/>
          <w:sz w:val="24"/>
          <w:color w:val="black"/>
        </w:rPr>
        <w:t xml:space="preserve">Personal sanitario civil: Se entiende por personal sanitario civil, aquellas personas al servicio de entidades de salud tanto públicas como privadas autorizadas por el Ministerio de la Protección Social, sin vinculación con la Fuerza Pública, y destinadas exclusivamente con carácter permanente, temporal u ocasional, a la atención, búsqueda, recogida, transporte, diagnóstico o tratamiento (incluido los primeros auxilios) de los heridos, enfermos o náufragos, así como a la prevención de las enfermedades o a la administración o funcionamiento de las unidades o medios de transporte sanitario civiles en situación o zonas de conflicto armado.</w:t>
      </w:r>
    </w:p>
    <w:p>
      <w:pPr>
        <w:jc w:val="both"/>
      </w:pPr>
      <w:rPr>
        <w:sz w:val="24"/>
        <w:color w:val="black"/>
      </w:rPr>
    </w:p>
    <w:p>
      <w:pPr>
        <w:jc w:val="both"/>
      </w:pPr>
      <w:r>
        <w:rPr>
          <w:rFonts w:hAnsi="Arial"/>
          <w:rFonts w:ascii="Arial"/>
          <w:sz w:val="24"/>
          <w:color w:val="black"/>
        </w:rPr>
        <w:t xml:space="preserve">Unidades sanitarias civiles: Se entiende por unidades sanitarias civiles los establecimientos y otras formaciones, de carácter civil autorizados por el Ministerio de la Protección Social y organizados con fines sanitarios. La expresión comprende, entre otros hospitales y otras unidades similares, los centros de transfusión de sangre, los centros e institutos de medicina preventiva y los depósitos de material sanitario, así como los almacenes de material sanitario y de productos farmacéuticos de esas unidades. Las unidades sanitarias pueden ser fijas o móviles, permanentes o temporales.</w:t>
      </w:r>
    </w:p>
    <w:p>
      <w:pPr>
        <w:jc w:val="both"/>
      </w:pPr>
      <w:rPr>
        <w:sz w:val="24"/>
        <w:color w:val="black"/>
      </w:rPr>
    </w:p>
    <w:p>
      <w:pPr>
        <w:jc w:val="both"/>
      </w:pPr>
      <w:r>
        <w:rPr>
          <w:rFonts w:hAnsi="Arial"/>
          <w:rFonts w:ascii="Arial"/>
          <w:sz w:val="24"/>
          <w:color w:val="black"/>
        </w:rPr>
        <w:t xml:space="preserve">Medios de transporte sanitarios civiles: Se entiende por medio de transporte sanitario civil todo medio de transporte de carácter civil autorizado por el Ministerio de la Protección Social, permanente o temporal, destinado exclusivamente al transporte sanitario en situaciones o zonas de conflicto armado. Por transporte sanitario se entenderá el transporte por tierra, agua o aire de los heridos, enfermos o náufragos, o del personal sanitario o del equipo y material sanitarios.</w:t>
      </w:r>
    </w:p>
    <w:p>
      <w:pPr>
        <w:jc w:val="both"/>
      </w:pPr>
      <w:rPr>
        <w:sz w:val="24"/>
        <w:color w:val="black"/>
      </w:rPr>
    </w:p>
    <w:p>
      <w:pPr>
        <w:jc w:val="both"/>
      </w:pPr>
      <w:r>
        <w:rPr>
          <w:rFonts w:hAnsi="Arial"/>
          <w:rFonts w:ascii="Arial"/>
          <w:sz w:val="24"/>
          <w:color w:val="black"/>
        </w:rPr>
        <w:t xml:space="preserve">Uso del emblema de la Cruz Roja a título protector: La utilización del emblema de la Cruz Roja a título protector en tiempo de conflicto armado es la manifestación visible de la protección que confieren los Convenios de Ginebra, sus protocolos adicionales, la Ley </w:t>
      </w:r>
      <w:r>
        <w:fldChar w:fldCharType="begin"/>
      </w:r>
      <w:r>
        <w:instrText>HYPERLINK "http://www.redjurista.com/document.aspx?ajcode=l0875004&amp;arts=INICIO"</w:instrText>
      </w:r>
      <w:r>
        <w:fldChar w:fldCharType="separate"/>
      </w:r>
      <w:r>
        <w:rPr>
          <w:rFonts w:hAnsi="Arial"/>
          <w:rFonts w:ascii="Arial"/>
          <w:sz w:val="24"/>
          <w:u w:val="single"/>
          <w:color w:val="black"/>
        </w:rPr>
        <w:t>875</w:t>
      </w:r>
      <w:r>
        <w:fldChar w:fldCharType="end"/>
      </w:r>
      <w:r>
        <w:rPr>
          <w:rFonts w:hAnsi="Arial"/>
          <w:rFonts w:ascii="Arial"/>
          <w:sz w:val="24"/>
          <w:u w:val="none"/>
          <w:color w:val="black"/>
        </w:rPr>
        <w:t xml:space="preserve"> de 2004 y el presente Título, al personal sanitario y religioso de la Fuerza Pública, al Personal Sanitario Civil autorizado por el Ministerio de la Protección Social, así como a sus unidades y medios de transporte sanitarios.</w:t>
      </w:r>
    </w:p>
    <w:p>
      <w:pPr>
        <w:jc w:val="both"/>
      </w:pPr>
      <w:rPr>
        <w:sz w:val="24"/>
        <w:color w:val="black"/>
      </w:rPr>
    </w:p>
    <w:p>
      <w:pPr>
        <w:jc w:val="both"/>
      </w:pPr>
      <w:r>
        <w:rPr>
          <w:rFonts w:hAnsi="Arial"/>
          <w:rFonts w:ascii="Arial"/>
          <w:sz w:val="24"/>
          <w:color w:val="black"/>
        </w:rPr>
        <w:t xml:space="preserve">Uso indebido del emblema: Se entiende por uso indebido el empleo del emblema de la Cruz Roja o del término Cruz Roja por personal no autorizado en virtud de los Convenios de Ginebra de 1949, sus protocolos adicionales, la Ley </w:t>
      </w:r>
      <w:r>
        <w:fldChar w:fldCharType="begin"/>
      </w:r>
      <w:r>
        <w:instrText>HYPERLINK "http://www.redjurista.com/document.aspx?ajcode=l0875004&amp;arts=INICIO"</w:instrText>
      </w:r>
      <w:r>
        <w:fldChar w:fldCharType="separate"/>
      </w:r>
      <w:r>
        <w:rPr>
          <w:rFonts w:hAnsi="Arial"/>
          <w:rFonts w:ascii="Arial"/>
          <w:sz w:val="24"/>
          <w:u w:val="single"/>
          <w:color w:val="black"/>
        </w:rPr>
        <w:t>875</w:t>
      </w:r>
      <w:r>
        <w:fldChar w:fldCharType="end"/>
      </w:r>
      <w:r>
        <w:rPr>
          <w:rFonts w:hAnsi="Arial"/>
          <w:rFonts w:ascii="Arial"/>
          <w:sz w:val="24"/>
          <w:u w:val="none"/>
          <w:color w:val="black"/>
        </w:rPr>
        <w:t xml:space="preserve"> de 2004 y el presente Título, así como el empleo de cualquier señal, signo o término que constituya una imitación o que pueda dar lugar a confusión, sea cual fuere la finalidad de tal empleo.</w:t>
      </w:r>
    </w:p>
    <w:p>
      <w:pPr>
        <w:jc w:val="both"/>
      </w:pPr>
      <w:rPr>
        <w:sz w:val="24"/>
        <w:color w:val="black"/>
      </w:rPr>
    </w:p>
    <w:p>
      <w:pPr>
        <w:jc w:val="both"/>
      </w:pPr>
      <w:r>
        <w:rPr>
          <w:rFonts w:hAnsi="Arial"/>
          <w:rFonts w:ascii="Arial"/>
          <w:sz w:val="24"/>
          <w:color w:val="black"/>
        </w:rPr>
        <w:t xml:space="preserve">Abuso del emblema: Se entiende por abuso del emblema su uso pérfido por el personal sanitario o religioso de conformidad con lo establecido en el artículo </w:t>
      </w:r>
      <w:r>
        <w:fldChar w:fldCharType="begin"/>
      </w:r>
      <w:r>
        <w:instrText>HYPERLINK "http://www.redjurista.com/document.aspx?ajcode=c_penal&amp;arts=143"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del Código Penal Colombiano.</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sz w:val="24"/>
        <w:color w:val="black"/>
      </w:rPr>
    </w:p>
    <w:p>
      <w:pPr>
        <w:jc w:val="center"/>
      </w:pPr>
      <w:r>
        <w:rPr>
          <w:rFonts w:hAnsi="Arial"/>
          <w:rFonts w:ascii="Arial"/>
          <w:sz w:val="24"/>
          <w:vanish/>
          <w:color w:val="black"/>
        </w:rPr>
        <w:t>&amp;$</w:t>
      </w:r>
      <w:bookmarkStart w:id="60126" w:name="CAPÍTULO 2.2.5.2"/>
      <w:r>
        <w:rPr>
          <w:rFonts w:hAnsi="Arial"/>
          <w:rFonts w:ascii="Arial"/>
          <w:sz w:val="24"/>
          <w:color w:val="navy"/>
        </w:rPr>
        <w:t xml:space="preserve">CAPÍTULO 2. </w:t>
      </w:r>
    </w:p>
    <w:p>
      <w:pPr>
        <w:jc w:val="center"/>
      </w:pPr>
      <w:r>
        <w:rPr>
          <w:rFonts w:hAnsi="Arial"/>
          <w:rFonts w:ascii="Arial"/>
          <w:sz w:val="24"/>
          <w:color w:val="navy"/>
        </w:rPr>
        <w:t xml:space="preserve">DEL PERSONAL SANITARIO DE LA FUERZA PÚBLICA.</w:t>
      </w:r>
      <w:bookmarkEnd w:id="6012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127" w:name="2.2.5.2.1"/>
      <w:r>
        <w:rPr>
          <w:rFonts w:hAnsi="Arial"/>
          <w:rFonts w:ascii="Arial"/>
          <w:sz w:val="24"/>
          <w:color w:val="navy"/>
        </w:rPr>
        <w:t xml:space="preserve">ARTÍCULO 2.2.5.2.1. </w:t>
      </w:r>
      <w:r>
        <w:rPr>
          <w:rFonts w:hAnsi="Arial"/>
          <w:rFonts w:ascii="Arial"/>
          <w:sz w:val="24"/>
          <w:i/>
          <w:color w:val="navy"/>
        </w:rPr>
        <w:t xml:space="preserve">USO DEL EMBLEMA A TÍTULO PROTECTOR POR PARTE DEL PERSONAL SANITARIO Y RELIGIOSO.</w:t>
      </w:r>
      <w:bookmarkEnd w:id="60127"/>
      <w:r>
        <w:rPr>
          <w:rFonts w:hAnsi="Arial"/>
          <w:rFonts w:ascii="Arial"/>
          <w:sz w:val="24"/>
          <w:b/>
          <w:i/>
          <w:color w:val="black"/>
        </w:rPr>
        <w:t xml:space="preserve"> </w:t>
      </w:r>
      <w:r>
        <w:rPr>
          <w:rFonts w:hAnsi="Arial"/>
          <w:rFonts w:ascii="Arial"/>
          <w:sz w:val="24"/>
          <w:color w:val="black"/>
        </w:rPr>
        <w:t xml:space="preserve">En desarrollo de lo establecido en el Anexo I, del Protocolo I, adicional a los Convenios de Ginebra, bajo el control del Ministerio de Defensa Nacional, a través de la Dirección General de Sanidad Militar y de la Dirección de Sanidad de la Policía Nacional, el personal sanitario y religioso de la Fuerza Pública, tanto en tiempo de paz como en tiempo de conflicto armado, utilizarán el emblema de la Cruz Roja.</w:t>
      </w:r>
    </w:p>
    <w:p>
      <w:pPr>
        <w:jc w:val="both"/>
      </w:pPr>
      <w:rPr>
        <w:sz w:val="24"/>
        <w:color w:val="black"/>
      </w:rPr>
    </w:p>
    <w:p>
      <w:pPr>
        <w:jc w:val="both"/>
      </w:pPr>
      <w:r>
        <w:rPr>
          <w:rFonts w:hAnsi="Arial"/>
          <w:rFonts w:ascii="Arial"/>
          <w:sz w:val="24"/>
          <w:color w:val="black"/>
        </w:rPr>
        <w:t xml:space="preserve">El personal sanitario y religioso se identificará mediante un brazalete cuyo modelo único será confeccionado en material impermeable, de color negro de 50 cm de longitud por 12 cm de ancho, que en el centro contendrá un cuadrado blanco de 9 cm de lado, en cuyo interior se bordará la Cruz Roja de 8 cm de longitud, formada por dos bandas de las mismas dimensiones de ancho, una horizontal y otra vertical, que se cruzan por la mitad formando cinco cuadrados exactos, indicando en la parte inferior-exterior del cuadrado blanco, el nombre de la Fuerza a la cual pertenece quien lo porta.</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28" w:name="2.2.5.2.2"/>
      <w:r>
        <w:rPr>
          <w:rFonts w:hAnsi="Arial"/>
          <w:rFonts w:ascii="Arial"/>
          <w:sz w:val="24"/>
          <w:color w:val="navy"/>
        </w:rPr>
        <w:t xml:space="preserve">ARTÍCULO 2.2.5.2.2. </w:t>
      </w:r>
      <w:r>
        <w:rPr>
          <w:rFonts w:hAnsi="Arial"/>
          <w:rFonts w:ascii="Arial"/>
          <w:sz w:val="24"/>
          <w:i/>
          <w:color w:val="navy"/>
        </w:rPr>
        <w:t xml:space="preserve">USO DEL EMBLEMA A TÍTULO PROTECTOR EN UNIDADES Y MEDIOS DE TRANSPORTE SANITARIO.</w:t>
      </w:r>
      <w:bookmarkEnd w:id="60128"/>
      <w:r>
        <w:rPr>
          <w:rFonts w:hAnsi="Arial"/>
          <w:rFonts w:ascii="Arial"/>
          <w:sz w:val="24"/>
          <w:b/>
          <w:i/>
          <w:color w:val="black"/>
        </w:rPr>
        <w:t xml:space="preserve"> </w:t>
      </w:r>
      <w:r>
        <w:rPr>
          <w:rFonts w:hAnsi="Arial"/>
          <w:rFonts w:ascii="Arial"/>
          <w:sz w:val="24"/>
          <w:color w:val="black"/>
        </w:rPr>
        <w:t xml:space="preserve">En desarrollo de lo establecido en el Capítulo II del Anexo I del Protocolo I, adicional a los Convenios de Ginebra, bajo el control del Ministerio de Defensa Nacional, a través de la Dirección General de Sanidad Militar y de la Dirección de Sanidad de la Policía Nacional, en tiempo de paz y conflicto armado:</w:t>
      </w:r>
    </w:p>
    <w:p>
      <w:pPr>
        <w:jc w:val="both"/>
      </w:pPr>
      <w:rPr>
        <w:sz w:val="24"/>
        <w:color w:val="black"/>
      </w:rPr>
    </w:p>
    <w:p>
      <w:pPr>
        <w:jc w:val="both"/>
      </w:pPr>
      <w:r>
        <w:rPr>
          <w:rFonts w:hAnsi="Arial"/>
          <w:rFonts w:ascii="Arial"/>
          <w:sz w:val="24"/>
          <w:color w:val="black"/>
        </w:rPr>
        <w:t xml:space="preserve">1. Los establecimientos sanitarios militares y policiales se identificarán con el emblema de la Cruz Roja a título protector, pintado sobre un recuadro blanco de las máximas dimensiones posibles, en el cual esté inscrita la Cruz Roja, formada por dos bandas de las mismas dimensiones de ancho, una horizontal y otra vertical, que se cruzan por la mitad formando cinco cuadrados exactos.</w:t>
      </w:r>
    </w:p>
    <w:p>
      <w:pPr>
        <w:jc w:val="both"/>
      </w:pPr>
      <w:rPr>
        <w:sz w:val="24"/>
        <w:color w:val="black"/>
      </w:rPr>
    </w:p>
    <w:p>
      <w:pPr>
        <w:jc w:val="both"/>
      </w:pPr>
      <w:r>
        <w:rPr>
          <w:rFonts w:hAnsi="Arial"/>
          <w:rFonts w:ascii="Arial"/>
          <w:sz w:val="24"/>
          <w:color w:val="black"/>
        </w:rPr>
        <w:t xml:space="preserve">Dicho emblema se ubicará en techo, laterales y fachada de los establecimientos de sanidad, con el fin que resulte visible desde todas las direcciones y desde la mayor distancia posible, especialmente desde el aire.</w:t>
      </w:r>
    </w:p>
    <w:p>
      <w:pPr>
        <w:jc w:val="both"/>
      </w:pPr>
      <w:rPr>
        <w:sz w:val="24"/>
        <w:color w:val="black"/>
      </w:rPr>
    </w:p>
    <w:p>
      <w:pPr>
        <w:jc w:val="both"/>
      </w:pPr>
      <w:r>
        <w:rPr>
          <w:rFonts w:hAnsi="Arial"/>
          <w:rFonts w:ascii="Arial"/>
          <w:sz w:val="24"/>
          <w:color w:val="black"/>
        </w:rPr>
        <w:t xml:space="preserve">2. Los medios de transporte sanitarios militares y policiales conservarán sus colores correspondientes y se identificarán con el emblema de la Cruz Roja a título protector, pintado sobre un recuadro blanco de las máximas dimensiones posibles, en el cual esté inscrita la Cruz Roja, formada por dos bandas de las mismas dimensiones de ancho, una horizontal y otra vertical, que se cruzan por la mitad formando cinco cuadrados exactos, que se ubicará en el techo, capó, laterales y parte posterior, de acuerdo con las características propias de cada vehículo terrestre.</w:t>
      </w:r>
    </w:p>
    <w:p>
      <w:pPr>
        <w:jc w:val="both"/>
      </w:pPr>
      <w:rPr>
        <w:sz w:val="24"/>
        <w:color w:val="black"/>
      </w:rPr>
    </w:p>
    <w:p>
      <w:pPr>
        <w:jc w:val="both"/>
      </w:pPr>
      <w:r>
        <w:rPr>
          <w:rFonts w:hAnsi="Arial"/>
          <w:rFonts w:ascii="Arial"/>
          <w:sz w:val="24"/>
          <w:color w:val="black"/>
        </w:rPr>
        <w:t xml:space="preserve">3. Las embarcaciones sanitarias, sus botes salvavidas, las embarcaciones costeras de salvamento y todas las pequeñas embarcaciones que utilice el personal sanitario de la Fuerza Pública, conservando los colores correspondientes a cada Fuerza Militar y a la Policía Nacional, tendrán visible, tan grande como sea posible, una o varias cruces rojas a cada lado del casco así como en las superficies horizontales, de manera que se garantice la mayor visibilidad desde el aire y en el agua. Todos los buques hospitales militares izarán la bandera nacional y en el palo mayor ondeará lo más alto posible la bandera blanca con la Cruz Roja en el centro e incluirán la indicación de la unidad militar o policial a la que pertenecen.</w:t>
      </w:r>
    </w:p>
    <w:p>
      <w:pPr>
        <w:jc w:val="both"/>
      </w:pPr>
      <w:rPr>
        <w:sz w:val="24"/>
        <w:color w:val="black"/>
      </w:rPr>
    </w:p>
    <w:p>
      <w:pPr>
        <w:jc w:val="both"/>
      </w:pPr>
      <w:r>
        <w:rPr>
          <w:rFonts w:hAnsi="Arial"/>
          <w:rFonts w:ascii="Arial"/>
          <w:sz w:val="24"/>
          <w:color w:val="black"/>
        </w:rPr>
        <w:t xml:space="preserve">4. Las aeronaves sanitarias, utilizadas para la evacuación de heridos, enfermos o náufragos, así como para el transporte de material y personal sanitarios, conservarán los colores de la Fuerza correspondiente y tendrán visible tan grande como sea posible, el signo distintivo de la Cruz Roja sobre fondo blanco.</w:t>
      </w:r>
    </w:p>
    <w:p>
      <w:pPr>
        <w:jc w:val="both"/>
      </w:pPr>
      <w:rPr>
        <w:sz w:val="24"/>
        <w:color w:val="black"/>
      </w:rPr>
    </w:p>
    <w:p>
      <w:pPr>
        <w:jc w:val="both"/>
      </w:pPr>
      <w:r>
        <w:rPr>
          <w:rFonts w:hAnsi="Arial"/>
          <w:rFonts w:ascii="Arial"/>
          <w:sz w:val="24"/>
          <w:color w:val="black"/>
        </w:rPr>
        <w:t xml:space="preserve">5. La Dirección General de Sanidad Militar, las Direcciones de Sanidad de las Fuerzas Militares y la Dirección de Sanidad de la Policía Nacional, proveerán a las unidades de la Fuerza Pública, de medios temporales de identificación, tales como banderas, adhesivos y magnéticos entre otros, provistos del emblema de la Cruz Roja, para identificar medios de transporte sanitarios ocasionales.</w:t>
      </w:r>
    </w:p>
    <w:p>
      <w:pPr>
        <w:jc w:val="both"/>
      </w:pPr>
      <w:rPr>
        <w:sz w:val="24"/>
        <w:color w:val="black"/>
      </w:rPr>
    </w:p>
    <w:p>
      <w:pPr>
        <w:jc w:val="both"/>
      </w:pPr>
      <w:r>
        <w:rPr>
          <w:rFonts w:hAnsi="Arial"/>
          <w:rFonts w:ascii="Arial"/>
          <w:sz w:val="24"/>
          <w:color w:val="black"/>
        </w:rPr>
        <w:t xml:space="preserve">Todo el material entregado estará sometido a los controles establecidos en el artículo </w:t>
      </w:r>
      <w:r>
        <w:fldChar w:fldCharType="begin"/>
      </w:r>
      <w:r>
        <w:instrText>HYPERLINK "http://www.redjurista.com/document.aspx?ajcode=d1070015&amp;arts=2.2.5.3.1"</w:instrText>
      </w:r>
      <w:r>
        <w:fldChar w:fldCharType="separate"/>
      </w:r>
      <w:r>
        <w:rPr>
          <w:rFonts w:hAnsi="Arial"/>
          <w:rFonts w:ascii="Arial"/>
          <w:sz w:val="24"/>
          <w:u w:val="single"/>
          <w:color w:val="black"/>
        </w:rPr>
        <w:t>2.2.5.3.1.</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color w:val="black"/>
        </w:rPr>
        <w:t xml:space="preserve">6. Los medios de transporte y las unidades sanitarios autorizados para portar el emblema de la Cruz Roja a título protector, podrán emplearlo en banderas o en medios de fácil remoción, los cuales deberán ser visibles a distancia y en horarios nocturnos se podrán iluminar o emplear materiales reflectivos.</w:t>
      </w:r>
    </w:p>
    <w:p>
      <w:pPr>
        <w:jc w:val="both"/>
      </w:pPr>
      <w:rPr>
        <w:sz w:val="24"/>
        <w:color w:val="black"/>
      </w:rPr>
    </w:p>
    <w:p>
      <w:pPr>
        <w:jc w:val="both"/>
      </w:pPr>
      <w:r>
        <w:rPr>
          <w:rFonts w:hAnsi="Arial"/>
          <w:rFonts w:ascii="Arial"/>
          <w:sz w:val="24"/>
          <w:color w:val="black"/>
        </w:rPr>
        <w:t xml:space="preserve">7. Las unidades y medios de transporte sanitarios podrán utilizar además, señales distintivas tales como la señal luminosa, la señal de radio o la identificación por medios electrónicos.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29" w:name="2.2.5.2.3"/>
      <w:r>
        <w:rPr>
          <w:rFonts w:hAnsi="Arial"/>
          <w:rFonts w:ascii="Arial"/>
          <w:sz w:val="24"/>
          <w:color w:val="navy"/>
        </w:rPr>
        <w:t xml:space="preserve">ARTÍCULO 2.2.5.2.3. </w:t>
      </w:r>
      <w:r>
        <w:rPr>
          <w:rFonts w:hAnsi="Arial"/>
          <w:rFonts w:ascii="Arial"/>
          <w:sz w:val="24"/>
          <w:i/>
          <w:color w:val="navy"/>
        </w:rPr>
        <w:t xml:space="preserve">TARJETA DE IDENTIFICACIÓN PARA EL PERSONAL SANITARIO DE LA FUERZA PÚBLICA.</w:t>
      </w:r>
      <w:bookmarkEnd w:id="60129"/>
      <w:r>
        <w:rPr>
          <w:rFonts w:hAnsi="Arial"/>
          <w:rFonts w:ascii="Arial"/>
          <w:sz w:val="24"/>
          <w:b/>
          <w:i/>
          <w:color w:val="black"/>
        </w:rPr>
        <w:t xml:space="preserve"> </w:t>
      </w:r>
      <w:r>
        <w:rPr>
          <w:rFonts w:hAnsi="Arial"/>
          <w:rFonts w:ascii="Arial"/>
          <w:sz w:val="24"/>
          <w:color w:val="black"/>
        </w:rPr>
        <w:t xml:space="preserve">En desarrollo de lo establecido en el Capítulo I del Anexo I, del Protocolo I, adicional a los Convenios de Ginebra, a través de la Dirección General de Sanidad Militar y de la Dirección de Sanidad de la Policía Nacional, en tiempo de paz y conflicto armado, bajo el control del Ministerio de Defensa Nacional se deberán cumplir las siguientes disposiciones:</w:t>
      </w:r>
    </w:p>
    <w:p>
      <w:pPr>
        <w:jc w:val="both"/>
      </w:pPr>
      <w:rPr>
        <w:sz w:val="24"/>
        <w:color w:val="black"/>
      </w:rPr>
    </w:p>
    <w:p>
      <w:pPr>
        <w:jc w:val="both"/>
      </w:pPr>
      <w:r>
        <w:rPr>
          <w:rFonts w:hAnsi="Arial"/>
          <w:rFonts w:ascii="Arial"/>
          <w:sz w:val="24"/>
          <w:color w:val="black"/>
        </w:rPr>
        <w:t xml:space="preserve">1. El personal sanitario y religioso de la Fuerza Pública debidamente autorizado portará la tarjeta de identificación con el emblema de la Cruz Roja, diseñada en material plastificado que ofrezca garantía contra su adulteración o falsificación, de 85 mm de longitud por 50 mm de ancho, fondo blanco, en el cual estará inscrita la Cruz Roja, formada por dos bandas, una horizontal y otra vertical, que se cruzan por la mitad formando cinco cuadrados exactos, cada uno de ellos de 8 mm de lado. La tarjeta contendrá:</w:t>
      </w:r>
    </w:p>
    <w:p>
      <w:pPr>
        <w:jc w:val="both"/>
      </w:pPr>
      <w:rPr>
        <w:sz w:val="24"/>
        <w:color w:val="black"/>
      </w:rPr>
    </w:p>
    <w:p>
      <w:pPr>
        <w:jc w:val="both"/>
      </w:pPr>
      <w:r>
        <w:rPr>
          <w:rFonts w:hAnsi="Arial"/>
          <w:rFonts w:ascii="Arial"/>
          <w:sz w:val="24"/>
          <w:color w:val="black"/>
        </w:rPr>
        <w:t xml:space="preserve">a) En el anverso:</w:t>
      </w:r>
    </w:p>
    <w:p>
      <w:pPr>
        <w:jc w:val="both"/>
      </w:pPr>
      <w:rPr>
        <w:sz w:val="24"/>
        <w:color w:val="black"/>
      </w:rPr>
    </w:p>
    <w:p>
      <w:pPr>
        <w:jc w:val="both"/>
      </w:pPr>
      <w:r>
        <w:rPr>
          <w:rFonts w:hAnsi="Arial"/>
          <w:rFonts w:ascii="Arial"/>
          <w:sz w:val="24"/>
          <w:color w:val="black"/>
        </w:rPr>
        <w:t xml:space="preserve">La indicación de la fuerza y unidad a la que pertenece el titular.</w:t>
      </w:r>
    </w:p>
    <w:p>
      <w:pPr>
        <w:jc w:val="both"/>
      </w:pPr>
      <w:rPr>
        <w:sz w:val="24"/>
        <w:color w:val="black"/>
      </w:rPr>
    </w:p>
    <w:p>
      <w:pPr>
        <w:jc w:val="both"/>
      </w:pPr>
      <w:r>
        <w:rPr>
          <w:rFonts w:hAnsi="Arial"/>
          <w:rFonts w:ascii="Arial"/>
          <w:sz w:val="24"/>
          <w:color w:val="black"/>
        </w:rPr>
        <w:t xml:space="preserve">Nombre, apellidos, documento de identidad, grupo sanguíneo, fecha de nacimiento del titular.</w:t>
      </w:r>
    </w:p>
    <w:p>
      <w:pPr>
        <w:jc w:val="both"/>
      </w:pPr>
      <w:rPr>
        <w:sz w:val="24"/>
        <w:color w:val="black"/>
      </w:rPr>
    </w:p>
    <w:p>
      <w:pPr>
        <w:jc w:val="both"/>
      </w:pPr>
      <w:r>
        <w:rPr>
          <w:rFonts w:hAnsi="Arial"/>
          <w:rFonts w:ascii="Arial"/>
          <w:sz w:val="24"/>
          <w:color w:val="black"/>
        </w:rPr>
        <w:t xml:space="preserve">Fecha de expedición y vencimiento de la tarjeta.</w:t>
      </w:r>
    </w:p>
    <w:p>
      <w:pPr>
        <w:jc w:val="both"/>
      </w:pPr>
      <w:rPr>
        <w:sz w:val="24"/>
        <w:color w:val="black"/>
      </w:rPr>
    </w:p>
    <w:p>
      <w:pPr>
        <w:jc w:val="both"/>
      </w:pPr>
      <w:r>
        <w:rPr>
          <w:rFonts w:hAnsi="Arial"/>
          <w:rFonts w:ascii="Arial"/>
          <w:sz w:val="24"/>
          <w:color w:val="black"/>
        </w:rPr>
        <w:t xml:space="preserve">La indicación de tratarse de personal sanitario o religioso, militar o civil, permanente o temporal.</w:t>
      </w:r>
    </w:p>
    <w:p>
      <w:pPr>
        <w:jc w:val="both"/>
      </w:pPr>
      <w:rPr>
        <w:sz w:val="24"/>
        <w:color w:val="black"/>
      </w:rPr>
    </w:p>
    <w:p>
      <w:pPr>
        <w:jc w:val="both"/>
      </w:pPr>
      <w:r>
        <w:rPr>
          <w:rFonts w:hAnsi="Arial"/>
          <w:rFonts w:ascii="Arial"/>
          <w:sz w:val="24"/>
          <w:color w:val="black"/>
        </w:rPr>
        <w:t xml:space="preserve">Número interno de la tarjeta.</w:t>
      </w:r>
    </w:p>
    <w:p>
      <w:pPr>
        <w:jc w:val="both"/>
      </w:pPr>
      <w:rPr>
        <w:sz w:val="24"/>
        <w:color w:val="black"/>
      </w:rPr>
    </w:p>
    <w:p>
      <w:pPr>
        <w:jc w:val="both"/>
      </w:pPr>
      <w:r>
        <w:rPr>
          <w:rFonts w:hAnsi="Arial"/>
          <w:rFonts w:ascii="Arial"/>
          <w:sz w:val="24"/>
          <w:color w:val="black"/>
        </w:rPr>
        <w:t xml:space="preserve">Firma de la autoridad que expide la tarjeta.</w:t>
      </w:r>
    </w:p>
    <w:p>
      <w:pPr>
        <w:jc w:val="both"/>
      </w:pPr>
      <w:rPr>
        <w:sz w:val="24"/>
        <w:color w:val="black"/>
      </w:rPr>
    </w:p>
    <w:p>
      <w:pPr>
        <w:jc w:val="both"/>
      </w:pPr>
      <w:r>
        <w:rPr>
          <w:rFonts w:hAnsi="Arial"/>
          <w:rFonts w:ascii="Arial"/>
          <w:sz w:val="24"/>
          <w:color w:val="black"/>
        </w:rPr>
        <w:t xml:space="preserve">La leyenda El titular de esta tarjeta está protegido por los Convenios de Ginebra de 1949 y los Protocolos I y II Adicionales a los Convenios de Ginebra de 1949, relativos a la protección de las víctimas de los conflictos armados.</w:t>
      </w:r>
    </w:p>
    <w:p>
      <w:pPr>
        <w:jc w:val="both"/>
      </w:pPr>
      <w:rPr>
        <w:sz w:val="24"/>
        <w:color w:val="black"/>
      </w:rPr>
    </w:p>
    <w:p>
      <w:pPr>
        <w:jc w:val="both"/>
      </w:pPr>
      <w:r>
        <w:rPr>
          <w:rFonts w:hAnsi="Arial"/>
          <w:rFonts w:ascii="Arial"/>
          <w:sz w:val="24"/>
          <w:color w:val="black"/>
        </w:rPr>
        <w:t xml:space="preserve">Estatura, color de ojos y de cabello, del titular.</w:t>
      </w:r>
    </w:p>
    <w:p>
      <w:pPr>
        <w:jc w:val="both"/>
      </w:pPr>
      <w:rPr>
        <w:sz w:val="24"/>
        <w:color w:val="black"/>
      </w:rPr>
    </w:p>
    <w:p>
      <w:pPr>
        <w:jc w:val="both"/>
      </w:pPr>
      <w:r>
        <w:rPr>
          <w:rFonts w:hAnsi="Arial"/>
          <w:rFonts w:ascii="Arial"/>
          <w:sz w:val="24"/>
          <w:color w:val="black"/>
        </w:rPr>
        <w:t xml:space="preserve">Señales particulares del titular.</w:t>
      </w:r>
    </w:p>
    <w:p>
      <w:pPr>
        <w:jc w:val="both"/>
      </w:pPr>
      <w:rPr>
        <w:sz w:val="24"/>
        <w:color w:val="black"/>
      </w:rPr>
    </w:p>
    <w:p>
      <w:pPr>
        <w:jc w:val="both"/>
      </w:pPr>
      <w:r>
        <w:rPr>
          <w:rFonts w:hAnsi="Arial"/>
          <w:rFonts w:ascii="Arial"/>
          <w:sz w:val="24"/>
          <w:color w:val="black"/>
        </w:rPr>
        <w:t xml:space="preserve">Fotografía del titular.</w:t>
      </w:r>
    </w:p>
    <w:p>
      <w:pPr>
        <w:jc w:val="both"/>
      </w:pPr>
      <w:rPr>
        <w:sz w:val="24"/>
        <w:color w:val="black"/>
      </w:rPr>
    </w:p>
    <w:p>
      <w:pPr>
        <w:jc w:val="both"/>
      </w:pPr>
      <w:r>
        <w:rPr>
          <w:rFonts w:hAnsi="Arial"/>
          <w:rFonts w:ascii="Arial"/>
          <w:sz w:val="24"/>
          <w:color w:val="black"/>
        </w:rPr>
        <w:t xml:space="preserve">Firma del titular.</w:t>
      </w:r>
    </w:p>
    <w:p>
      <w:pPr>
        <w:jc w:val="both"/>
      </w:pPr>
      <w:rPr>
        <w:sz w:val="24"/>
        <w:color w:val="black"/>
      </w:rPr>
    </w:p>
    <w:p>
      <w:pPr>
        <w:jc w:val="both"/>
      </w:pPr>
      <w:r>
        <w:rPr>
          <w:rFonts w:hAnsi="Arial"/>
          <w:rFonts w:ascii="Arial"/>
          <w:sz w:val="24"/>
          <w:color w:val="black"/>
        </w:rPr>
        <w:t xml:space="preserve">Huella dactilar del pulgar derecho del titular.</w:t>
      </w:r>
    </w:p>
    <w:p>
      <w:pPr>
        <w:jc w:val="both"/>
      </w:pPr>
      <w:rPr>
        <w:sz w:val="24"/>
        <w:color w:val="black"/>
      </w:rPr>
    </w:p>
    <w:p>
      <w:pPr>
        <w:jc w:val="both"/>
      </w:pPr>
      <w:r>
        <w:rPr>
          <w:rFonts w:hAnsi="Arial"/>
          <w:rFonts w:ascii="Arial"/>
          <w:sz w:val="24"/>
          <w:color w:val="black"/>
        </w:rPr>
        <w:t xml:space="preserve">2. El personal sanitario o religioso autorizado a portar el brazalete y/o tarjeta de identificación, deberá entregarlos a la Dirección de Sanidad respectiva, una vez termine su vinculación laboral o contractual con el Ministerio de Defensa Nacional.</w:t>
      </w:r>
    </w:p>
    <w:p>
      <w:pPr>
        <w:jc w:val="both"/>
      </w:pPr>
      <w:rPr>
        <w:sz w:val="24"/>
        <w:color w:val="black"/>
      </w:rPr>
    </w:p>
    <w:p>
      <w:pPr>
        <w:jc w:val="both"/>
      </w:pPr>
      <w:r>
        <w:rPr>
          <w:rFonts w:hAnsi="Arial"/>
          <w:rFonts w:ascii="Arial"/>
          <w:sz w:val="24"/>
          <w:color w:val="black"/>
        </w:rPr>
        <w:t xml:space="preserve">3. La tarjeta de identificación se refrendará según permanencia en el grado.</w:t>
      </w:r>
    </w:p>
    <w:p>
      <w:pPr>
        <w:jc w:val="both"/>
      </w:pPr>
      <w:rPr>
        <w:sz w:val="24"/>
        <w:color w:val="black"/>
      </w:rPr>
    </w:p>
    <w:p>
      <w:pPr>
        <w:jc w:val="both"/>
      </w:pPr>
      <w:r>
        <w:rPr>
          <w:rFonts w:hAnsi="Arial"/>
          <w:rFonts w:ascii="Arial"/>
          <w:sz w:val="24"/>
          <w:color w:val="black"/>
        </w:rPr>
        <w:t xml:space="preserve">4. Se designan las siguientes autoridades competentes para suscribir, expedir y refrendar la tarjeta de identificación para el personal sanitario y religioso de la Fuerza Pública, temporal o permanente, así:</w:t>
      </w:r>
    </w:p>
    <w:p>
      <w:pPr>
        <w:jc w:val="both"/>
      </w:pPr>
      <w:rPr>
        <w:sz w:val="24"/>
        <w:color w:val="black"/>
      </w:rPr>
    </w:p>
    <w:p>
      <w:pPr>
        <w:jc w:val="both"/>
      </w:pPr>
      <w:r>
        <w:rPr>
          <w:rFonts w:hAnsi="Arial"/>
          <w:rFonts w:ascii="Arial"/>
          <w:sz w:val="24"/>
          <w:color w:val="black"/>
        </w:rPr>
        <w:t xml:space="preserve">a) Comando General Fuerzas Militares Director General Sanidad Militar</w:t>
      </w:r>
    </w:p>
    <w:p>
      <w:pPr>
        <w:jc w:val="both"/>
      </w:pPr>
      <w:rPr>
        <w:sz w:val="24"/>
        <w:color w:val="black"/>
      </w:rPr>
    </w:p>
    <w:p>
      <w:pPr>
        <w:jc w:val="both"/>
      </w:pPr>
      <w:r>
        <w:rPr>
          <w:rFonts w:hAnsi="Arial"/>
          <w:rFonts w:ascii="Arial"/>
          <w:sz w:val="24"/>
          <w:color w:val="black"/>
        </w:rPr>
        <w:t xml:space="preserve">b) Ejército Nacional Director Sanidad Ejército</w:t>
      </w:r>
    </w:p>
    <w:p>
      <w:pPr>
        <w:jc w:val="both"/>
      </w:pPr>
      <w:rPr>
        <w:sz w:val="24"/>
        <w:color w:val="black"/>
      </w:rPr>
    </w:p>
    <w:p>
      <w:pPr>
        <w:jc w:val="both"/>
      </w:pPr>
      <w:r>
        <w:rPr>
          <w:rFonts w:hAnsi="Arial"/>
          <w:rFonts w:ascii="Arial"/>
          <w:sz w:val="24"/>
          <w:color w:val="black"/>
        </w:rPr>
        <w:t xml:space="preserve">c) Armada Nacional Director Sanidad Armada</w:t>
      </w:r>
    </w:p>
    <w:p>
      <w:pPr>
        <w:jc w:val="both"/>
      </w:pPr>
      <w:rPr>
        <w:sz w:val="24"/>
        <w:color w:val="black"/>
      </w:rPr>
    </w:p>
    <w:p>
      <w:pPr>
        <w:jc w:val="both"/>
      </w:pPr>
      <w:r>
        <w:rPr>
          <w:rFonts w:hAnsi="Arial"/>
          <w:rFonts w:ascii="Arial"/>
          <w:sz w:val="24"/>
          <w:color w:val="black"/>
        </w:rPr>
        <w:t xml:space="preserve">d)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Director Sanidad Fuerza Aérea</w:t>
      </w:r>
    </w:p>
    <w:p>
      <w:pPr>
        <w:jc w:val="both"/>
      </w:pPr>
      <w:rPr>
        <w:sz w:val="24"/>
        <w:color w:val="black"/>
      </w:rPr>
    </w:p>
    <w:p>
      <w:pPr>
        <w:jc w:val="both"/>
      </w:pPr>
      <w:r>
        <w:rPr>
          <w:rFonts w:hAnsi="Arial"/>
          <w:rFonts w:ascii="Arial"/>
          <w:sz w:val="24"/>
          <w:color w:val="black"/>
        </w:rPr>
        <w:t xml:space="preserve">e) Policía Nacional Director Sanidad Policía</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30" w:name="2.2.5.2.4"/>
      <w:r>
        <w:rPr>
          <w:rFonts w:hAnsi="Arial"/>
          <w:rFonts w:ascii="Arial"/>
          <w:sz w:val="24"/>
          <w:color w:val="navy"/>
        </w:rPr>
        <w:t xml:space="preserve">ARTÍCULO 2.2.5.2.4. </w:t>
      </w:r>
      <w:r>
        <w:rPr>
          <w:rFonts w:hAnsi="Arial"/>
          <w:rFonts w:ascii="Arial"/>
          <w:sz w:val="24"/>
          <w:i/>
          <w:color w:val="navy"/>
        </w:rPr>
        <w:t xml:space="preserve">MEDIDAS DE CONTROL.</w:t>
      </w:r>
      <w:bookmarkEnd w:id="60130"/>
      <w:r>
        <w:rPr>
          <w:rFonts w:hAnsi="Arial"/>
          <w:rFonts w:ascii="Arial"/>
          <w:sz w:val="24"/>
          <w:b/>
          <w:i/>
          <w:color w:val="black"/>
        </w:rPr>
        <w:t xml:space="preserve"> </w:t>
      </w:r>
      <w:r>
        <w:rPr>
          <w:rFonts w:hAnsi="Arial"/>
          <w:rFonts w:ascii="Arial"/>
          <w:sz w:val="24"/>
          <w:color w:val="black"/>
        </w:rPr>
        <w:t xml:space="preserve">Con el fin de controlar el uso del emblema de la Cruz Roja, se adelantarán las siguientes acciones:</w:t>
      </w:r>
    </w:p>
    <w:p>
      <w:pPr>
        <w:jc w:val="both"/>
      </w:pPr>
      <w:rPr>
        <w:sz w:val="24"/>
        <w:color w:val="black"/>
      </w:rPr>
    </w:p>
    <w:p>
      <w:pPr>
        <w:jc w:val="both"/>
      </w:pPr>
      <w:r>
        <w:rPr>
          <w:rFonts w:hAnsi="Arial"/>
          <w:rFonts w:ascii="Arial"/>
          <w:sz w:val="24"/>
          <w:color w:val="black"/>
        </w:rPr>
        <w:t xml:space="preserve">1. El Ministerio de Defensa Nacional a través de las Direcciones de Sanidad de la Fuerza Pública, velarán por el correcto uso del emblema de la Cruz Roja, a título protector por parte del personal sanitario y religioso de la Fuerza Pública.</w:t>
      </w:r>
    </w:p>
    <w:p>
      <w:pPr>
        <w:jc w:val="both"/>
      </w:pPr>
      <w:rPr>
        <w:sz w:val="24"/>
        <w:color w:val="black"/>
      </w:rPr>
    </w:p>
    <w:p>
      <w:pPr>
        <w:jc w:val="both"/>
      </w:pPr>
      <w:r>
        <w:rPr>
          <w:rFonts w:hAnsi="Arial"/>
          <w:rFonts w:ascii="Arial"/>
          <w:sz w:val="24"/>
          <w:color w:val="black"/>
        </w:rPr>
        <w:t xml:space="preserve">2. Las autoridades determinadas en el numeral cuarto del artículo </w:t>
      </w:r>
      <w:r>
        <w:fldChar w:fldCharType="begin"/>
      </w:r>
      <w:r>
        <w:instrText>HYPERLINK "http://www.redjurista.com/document.aspx?ajcode=d1070015&amp;arts=2.2.5.2.3"</w:instrText>
      </w:r>
      <w:r>
        <w:fldChar w:fldCharType="separate"/>
      </w:r>
      <w:r>
        <w:rPr>
          <w:rFonts w:hAnsi="Arial"/>
          <w:rFonts w:ascii="Arial"/>
          <w:sz w:val="24"/>
          <w:u w:val="single"/>
          <w:color w:val="black"/>
        </w:rPr>
        <w:t>2.2.5.2.3.</w:t>
      </w:r>
      <w:r>
        <w:fldChar w:fldCharType="end"/>
      </w:r>
      <w:r>
        <w:rPr>
          <w:rFonts w:hAnsi="Arial"/>
          <w:rFonts w:ascii="Arial"/>
          <w:sz w:val="24"/>
          <w:u w:val="none"/>
          <w:color w:val="black"/>
        </w:rPr>
        <w:t xml:space="preserve">, del presente Título, enviarán a los establecimientos de sanidad militar y policial los brazaletes y tarjetas de identificación debidamente diligenciadas a nombre de los funcionarios que los portarán, y ejercerán estrictas medidas de control, mediante la implementación y actualización permanente de las bases de datos respectivas.</w:t>
      </w:r>
    </w:p>
    <w:p>
      <w:pPr>
        <w:jc w:val="both"/>
      </w:pPr>
      <w:rPr>
        <w:sz w:val="24"/>
        <w:color w:val="black"/>
      </w:rPr>
    </w:p>
    <w:p>
      <w:pPr>
        <w:jc w:val="both"/>
      </w:pPr>
      <w:r>
        <w:rPr>
          <w:rFonts w:hAnsi="Arial"/>
          <w:rFonts w:ascii="Arial"/>
          <w:sz w:val="24"/>
          <w:color w:val="black"/>
        </w:rPr>
        <w:t xml:space="preserve">3. En caso de pérdida de la tarjeta de identificación, deberá anexarse la copia de la denuncia para efectos de su correspondiente reposición.</w:t>
      </w:r>
    </w:p>
    <w:p>
      <w:pPr>
        <w:jc w:val="both"/>
      </w:pPr>
      <w:rPr>
        <w:sz w:val="24"/>
        <w:color w:val="black"/>
      </w:rPr>
    </w:p>
    <w:p>
      <w:pPr>
        <w:jc w:val="both"/>
      </w:pPr>
      <w:r>
        <w:rPr>
          <w:rFonts w:hAnsi="Arial"/>
          <w:rFonts w:ascii="Arial"/>
          <w:sz w:val="24"/>
          <w:color w:val="black"/>
        </w:rPr>
        <w:t xml:space="preserve">4. Las inspecciones de cada una de las Fuerzas y la Policía Nacional deberán incluir entre los aspectos a revisar o inspeccionar, el correcto uso del brazalete y tarjeta de identificación por parte del personal sanitario y religioso de la Fuerza Pública, y las unidades y medios de transporte sanitarios identificados.</w:t>
      </w:r>
    </w:p>
    <w:p>
      <w:pPr>
        <w:jc w:val="both"/>
      </w:pPr>
      <w:rPr>
        <w:sz w:val="24"/>
        <w:color w:val="black"/>
      </w:rPr>
    </w:p>
    <w:p>
      <w:pPr>
        <w:jc w:val="both"/>
      </w:pPr>
      <w:r>
        <w:rPr>
          <w:rFonts w:hAnsi="Arial"/>
          <w:rFonts w:ascii="Arial"/>
          <w:sz w:val="24"/>
          <w:color w:val="black"/>
        </w:rPr>
        <w:t xml:space="preserve">5. Las mismas autoridades determinadas en el numeral cuarto del artículo </w:t>
      </w:r>
      <w:r>
        <w:fldChar w:fldCharType="begin"/>
      </w:r>
      <w:r>
        <w:instrText>HYPERLINK "http://www.redjurista.com/document.aspx?ajcode=d1070015&amp;arts=2.2.5.2.3"</w:instrText>
      </w:r>
      <w:r>
        <w:fldChar w:fldCharType="separate"/>
      </w:r>
      <w:r>
        <w:rPr>
          <w:rFonts w:hAnsi="Arial"/>
          <w:rFonts w:ascii="Arial"/>
          <w:sz w:val="24"/>
          <w:u w:val="single"/>
          <w:color w:val="black"/>
        </w:rPr>
        <w:t>2.2.5.2.3.</w:t>
      </w:r>
      <w:r>
        <w:fldChar w:fldCharType="end"/>
      </w:r>
      <w:r>
        <w:rPr>
          <w:rFonts w:hAnsi="Arial"/>
          <w:rFonts w:ascii="Arial"/>
          <w:sz w:val="24"/>
          <w:u w:val="none"/>
          <w:color w:val="black"/>
        </w:rPr>
        <w:t xml:space="preserve">, del presente Título, dispondrán las medidas necesarias para que las tarjetas de identificación sean personales e intransferibles.</w:t>
      </w:r>
    </w:p>
    <w:p>
      <w:pPr>
        <w:jc w:val="both"/>
      </w:pPr>
      <w:rPr>
        <w:sz w:val="24"/>
        <w:color w:val="black"/>
      </w:rPr>
    </w:p>
    <w:p>
      <w:pPr>
        <w:jc w:val="both"/>
      </w:pPr>
      <w:r>
        <w:rPr>
          <w:rFonts w:hAnsi="Arial"/>
          <w:rFonts w:ascii="Arial"/>
          <w:sz w:val="24"/>
          <w:color w:val="black"/>
        </w:rPr>
        <w:t xml:space="preserve">6. El Ministerio de Defensa Nacional, a través de las autoridades determinadas en el numeral cuarto del artículo </w:t>
      </w:r>
      <w:r>
        <w:fldChar w:fldCharType="begin"/>
      </w:r>
      <w:r>
        <w:instrText>HYPERLINK "http://www.redjurista.com/document.aspx?ajcode=d1070015&amp;arts=2.2.5.2.3"</w:instrText>
      </w:r>
      <w:r>
        <w:fldChar w:fldCharType="separate"/>
      </w:r>
      <w:r>
        <w:rPr>
          <w:rFonts w:hAnsi="Arial"/>
          <w:rFonts w:ascii="Arial"/>
          <w:sz w:val="24"/>
          <w:u w:val="single"/>
          <w:color w:val="black"/>
        </w:rPr>
        <w:t>2.2.5.2.3.</w:t>
      </w:r>
      <w:r>
        <w:fldChar w:fldCharType="end"/>
      </w:r>
      <w:r>
        <w:rPr>
          <w:rFonts w:hAnsi="Arial"/>
          <w:rFonts w:ascii="Arial"/>
          <w:sz w:val="24"/>
          <w:u w:val="none"/>
          <w:color w:val="black"/>
        </w:rPr>
        <w:t xml:space="preserve">, del presente Título, de oficio o a solicitud de parte, tomarán las medidas indispensables en orden a evitar el uso indebido o el abuso del emblema a título protector e informarán inmediatamente a los Comandos con atribuciones disciplinarias.</w:t>
      </w:r>
    </w:p>
    <w:p>
      <w:pPr>
        <w:jc w:val="both"/>
      </w:pPr>
      <w:rPr>
        <w:sz w:val="24"/>
        <w:color w:val="black"/>
      </w:rPr>
    </w:p>
    <w:p>
      <w:pPr>
        <w:jc w:val="both"/>
      </w:pPr>
      <w:r>
        <w:rPr>
          <w:rFonts w:hAnsi="Arial"/>
          <w:rFonts w:ascii="Arial"/>
          <w:sz w:val="24"/>
          <w:color w:val="black"/>
        </w:rPr>
        <w:t xml:space="preserve">7. El Ministerio de Defensa Nacional, a través de la Dirección General de Sanidad Militar y de la Dirección de Sanidad de la Policía Nacional, tomará las medidas indispensables para crear y actualizar una base de datos que contenga las unidades y medios de transporte sanitarios de la Fuerza Pública autorizados a portar el emblema.</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b/>
        <w:color w:val="black"/>
      </w:rPr>
    </w:p>
    <w:p>
      <w:pPr>
        <w:jc w:val="center"/>
      </w:pPr>
      <w:r>
        <w:rPr>
          <w:rFonts w:hAnsi="Arial"/>
          <w:rFonts w:ascii="Arial"/>
          <w:sz w:val="24"/>
          <w:vanish/>
          <w:color w:val="black"/>
        </w:rPr>
        <w:t>&amp;$</w:t>
      </w:r>
      <w:bookmarkStart w:id="60131" w:name="CAPÍTULO 2.2.5.3"/>
      <w:r>
        <w:rPr>
          <w:rFonts w:hAnsi="Arial"/>
          <w:rFonts w:ascii="Arial"/>
          <w:sz w:val="24"/>
          <w:color w:val="navy"/>
        </w:rPr>
        <w:t xml:space="preserve">CAPÍTULO 3. </w:t>
      </w:r>
    </w:p>
    <w:p>
      <w:pPr>
        <w:jc w:val="center"/>
      </w:pPr>
      <w:r>
        <w:rPr>
          <w:rFonts w:hAnsi="Arial"/>
          <w:rFonts w:ascii="Arial"/>
          <w:sz w:val="24"/>
          <w:color w:val="navy"/>
        </w:rPr>
        <w:t xml:space="preserve">USO DEL EMBLEMA DE LA CRUZ ROJA POR PARTE DEL PERSONAL SANITARIO CIVIL.</w:t>
      </w:r>
      <w:bookmarkEnd w:id="6013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132" w:name="2.2.5.3.1"/>
      <w:r>
        <w:rPr>
          <w:rFonts w:hAnsi="Arial"/>
          <w:rFonts w:ascii="Arial"/>
          <w:sz w:val="24"/>
          <w:color w:val="navy"/>
        </w:rPr>
        <w:t xml:space="preserve">ARTÍCULO 2.2.5.3.1. </w:t>
      </w:r>
      <w:r>
        <w:rPr>
          <w:rFonts w:hAnsi="Arial"/>
          <w:rFonts w:ascii="Arial"/>
          <w:sz w:val="24"/>
          <w:i/>
          <w:color w:val="navy"/>
        </w:rPr>
        <w:t xml:space="preserve">USO DEL EMBLEMA A TÍTULO PROTECTOR POR PARTE DEL PERSONAL SANITARIO CIVIL.</w:t>
      </w:r>
      <w:bookmarkEnd w:id="60132"/>
      <w:r>
        <w:rPr>
          <w:rFonts w:hAnsi="Arial"/>
          <w:rFonts w:ascii="Arial"/>
          <w:sz w:val="24"/>
          <w:b/>
          <w:i/>
          <w:color w:val="black"/>
        </w:rPr>
        <w:t xml:space="preserve"> </w:t>
      </w:r>
      <w:r>
        <w:rPr>
          <w:rFonts w:hAnsi="Arial"/>
          <w:rFonts w:ascii="Arial"/>
          <w:sz w:val="24"/>
          <w:color w:val="black"/>
        </w:rPr>
        <w:t xml:space="preserve">En tiempo de conflicto armado o en zona de conflicto armado, el personal sanitario civil autorizado por el Ministerio de la Protección Social, para portar el emblema de la Cruz Roja a título protector podrá emplearlo en brazaletes, petos, chalecos u otras prendas de vestir, siempre procurando que sea lo más visible posible.</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33" w:name="2.2.5.3.2"/>
      <w:r>
        <w:rPr>
          <w:rFonts w:hAnsi="Arial"/>
          <w:rFonts w:ascii="Arial"/>
          <w:sz w:val="24"/>
          <w:color w:val="navy"/>
        </w:rPr>
        <w:t xml:space="preserve">ARTÍCULO 2.2.5.3.2. </w:t>
      </w:r>
      <w:r>
        <w:rPr>
          <w:rFonts w:hAnsi="Arial"/>
          <w:rFonts w:ascii="Arial"/>
          <w:sz w:val="24"/>
          <w:i/>
          <w:color w:val="navy"/>
        </w:rPr>
        <w:t xml:space="preserve">TARJETA DE IDENTIFICACIÓN Y BRAZALETE.</w:t>
      </w:r>
      <w:bookmarkEnd w:id="60133"/>
      <w:r>
        <w:rPr>
          <w:rFonts w:hAnsi="Arial"/>
          <w:rFonts w:ascii="Arial"/>
          <w:sz w:val="24"/>
          <w:b/>
          <w:i/>
          <w:color w:val="black"/>
        </w:rPr>
        <w:t xml:space="preserve"> </w:t>
      </w:r>
      <w:r>
        <w:rPr>
          <w:rFonts w:hAnsi="Arial"/>
          <w:rFonts w:ascii="Arial"/>
          <w:sz w:val="24"/>
          <w:color w:val="black"/>
        </w:rPr>
        <w:t xml:space="preserve">En desarrollo de lo establecido en el Capítulo I del Anexo I, del Protocolo I, adicional a los Convenios de Ginebra, bajo el control del Ministerio de la Protección Social, se deberán cumplir las siguientes disposiciones:</w:t>
      </w:r>
    </w:p>
    <w:p>
      <w:pPr>
        <w:jc w:val="both"/>
      </w:pPr>
      <w:rPr>
        <w:sz w:val="24"/>
        <w:color w:val="black"/>
      </w:rPr>
    </w:p>
    <w:p>
      <w:pPr>
        <w:jc w:val="both"/>
      </w:pPr>
      <w:r>
        <w:rPr>
          <w:rFonts w:hAnsi="Arial"/>
          <w:rFonts w:ascii="Arial"/>
          <w:sz w:val="24"/>
          <w:color w:val="black"/>
        </w:rPr>
        <w:t xml:space="preserve">1. El personal sanitario civil debidamente autorizado portará la tarjeta de identificación con el emblema de la Cruz Roja, diseñada con las dimensiones de 85 mm de longitud por 50 mm de ancho, fondo blanco, en la cual estará inscrita la Cruz Roja, formada por dos bandas, una horizontal y otra vertical, que se cruzan por la mitad formando cinco cuadrados exactos, cada uno de ellos de 8 mm de lado. La tarjeta contendrá:</w:t>
      </w:r>
    </w:p>
    <w:p>
      <w:pPr>
        <w:jc w:val="both"/>
      </w:pPr>
      <w:rPr>
        <w:sz w:val="24"/>
        <w:color w:val="black"/>
      </w:rPr>
    </w:p>
    <w:p>
      <w:pPr>
        <w:jc w:val="both"/>
      </w:pPr>
      <w:r>
        <w:rPr>
          <w:rFonts w:hAnsi="Arial"/>
          <w:rFonts w:ascii="Arial"/>
          <w:sz w:val="24"/>
          <w:color w:val="black"/>
        </w:rPr>
        <w:t xml:space="preserve">a) En el anverso:</w:t>
      </w:r>
    </w:p>
    <w:p>
      <w:pPr>
        <w:jc w:val="both"/>
      </w:pPr>
      <w:rPr>
        <w:sz w:val="24"/>
        <w:color w:val="black"/>
      </w:rPr>
    </w:p>
    <w:p>
      <w:pPr>
        <w:jc w:val="both"/>
      </w:pPr>
      <w:r>
        <w:rPr>
          <w:rFonts w:hAnsi="Arial"/>
          <w:rFonts w:ascii="Arial"/>
          <w:sz w:val="24"/>
          <w:color w:val="black"/>
        </w:rPr>
        <w:t xml:space="preserve">Nombre, apellidos, documento de identidad, grupo sanguíneo y fecha de nacimiento del titular.</w:t>
      </w:r>
    </w:p>
    <w:p>
      <w:pPr>
        <w:jc w:val="both"/>
      </w:pPr>
      <w:rPr>
        <w:sz w:val="24"/>
        <w:color w:val="black"/>
      </w:rPr>
    </w:p>
    <w:p>
      <w:pPr>
        <w:jc w:val="both"/>
      </w:pPr>
      <w:r>
        <w:rPr>
          <w:rFonts w:hAnsi="Arial"/>
          <w:rFonts w:ascii="Arial"/>
          <w:sz w:val="24"/>
          <w:color w:val="black"/>
        </w:rPr>
        <w:t xml:space="preserve">La leyenda El titular de esta tarjeta está protegido por los Convenios de Ginebra de 1949 y los Protocolos I y II Adicionales a los Convenios de Ginebra de 1949, relativos a la protección de las víctimas de los conflictos armados.</w:t>
      </w:r>
    </w:p>
    <w:p>
      <w:pPr>
        <w:jc w:val="both"/>
      </w:pPr>
      <w:rPr>
        <w:sz w:val="24"/>
        <w:color w:val="black"/>
      </w:rPr>
    </w:p>
    <w:p>
      <w:pPr>
        <w:jc w:val="both"/>
      </w:pPr>
      <w:r>
        <w:rPr>
          <w:rFonts w:hAnsi="Arial"/>
          <w:rFonts w:ascii="Arial"/>
          <w:sz w:val="24"/>
          <w:color w:val="black"/>
        </w:rPr>
        <w:t xml:space="preserve">b) En el reverso:</w:t>
      </w:r>
    </w:p>
    <w:p>
      <w:pPr>
        <w:jc w:val="both"/>
      </w:pPr>
      <w:rPr>
        <w:sz w:val="24"/>
        <w:color w:val="black"/>
      </w:rPr>
    </w:p>
    <w:p>
      <w:pPr>
        <w:jc w:val="both"/>
      </w:pPr>
      <w:r>
        <w:rPr>
          <w:rFonts w:hAnsi="Arial"/>
          <w:rFonts w:ascii="Arial"/>
          <w:sz w:val="24"/>
          <w:color w:val="black"/>
        </w:rPr>
        <w:t xml:space="preserve">Número interno de la tarjeta.</w:t>
      </w:r>
    </w:p>
    <w:p>
      <w:pPr>
        <w:jc w:val="both"/>
      </w:pPr>
      <w:rPr>
        <w:sz w:val="24"/>
        <w:color w:val="black"/>
      </w:rPr>
    </w:p>
    <w:p>
      <w:pPr>
        <w:jc w:val="both"/>
      </w:pPr>
      <w:r>
        <w:rPr>
          <w:rFonts w:hAnsi="Arial"/>
          <w:rFonts w:ascii="Arial"/>
          <w:sz w:val="24"/>
          <w:color w:val="black"/>
        </w:rPr>
        <w:t xml:space="preserve">La Leyenda Este documento es personal e intransferible. Debe ser presentada junto con el documento de identidad, tarjeta profesional o carné de la entidad de salud correspondiente.</w:t>
      </w:r>
    </w:p>
    <w:p>
      <w:pPr>
        <w:jc w:val="both"/>
      </w:pPr>
      <w:rPr>
        <w:sz w:val="24"/>
        <w:color w:val="black"/>
      </w:rPr>
    </w:p>
    <w:p>
      <w:pPr>
        <w:jc w:val="both"/>
      </w:pPr>
      <w:r>
        <w:rPr>
          <w:rFonts w:hAnsi="Arial"/>
          <w:rFonts w:ascii="Arial"/>
          <w:sz w:val="24"/>
          <w:color w:val="black"/>
        </w:rPr>
        <w:t xml:space="preserve">Firma del titular.</w:t>
      </w:r>
    </w:p>
    <w:p>
      <w:pPr>
        <w:jc w:val="both"/>
      </w:pPr>
      <w:rPr>
        <w:sz w:val="24"/>
        <w:color w:val="black"/>
      </w:rPr>
    </w:p>
    <w:p>
      <w:pPr>
        <w:jc w:val="both"/>
      </w:pPr>
      <w:r>
        <w:rPr>
          <w:rFonts w:hAnsi="Arial"/>
          <w:rFonts w:ascii="Arial"/>
          <w:sz w:val="24"/>
          <w:color w:val="black"/>
        </w:rPr>
        <w:t xml:space="preserve">Fecha de expedición y vencimiento de la tarjeta.</w:t>
      </w:r>
    </w:p>
    <w:p>
      <w:pPr>
        <w:jc w:val="both"/>
      </w:pPr>
      <w:rPr>
        <w:sz w:val="24"/>
        <w:color w:val="black"/>
      </w:rPr>
    </w:p>
    <w:p>
      <w:pPr>
        <w:jc w:val="both"/>
      </w:pPr>
      <w:r>
        <w:rPr>
          <w:rFonts w:hAnsi="Arial"/>
          <w:rFonts w:ascii="Arial"/>
          <w:sz w:val="24"/>
          <w:color w:val="black"/>
        </w:rPr>
        <w:t xml:space="preserve">Firma de la autoridad que expide la tarjeta.</w:t>
      </w:r>
    </w:p>
    <w:p>
      <w:pPr>
        <w:jc w:val="both"/>
      </w:pPr>
      <w:rPr>
        <w:sz w:val="24"/>
        <w:color w:val="black"/>
      </w:rPr>
    </w:p>
    <w:p>
      <w:pPr>
        <w:jc w:val="both"/>
      </w:pPr>
      <w:r>
        <w:rPr>
          <w:rFonts w:hAnsi="Arial"/>
          <w:rFonts w:ascii="Arial"/>
          <w:sz w:val="24"/>
          <w:color w:val="black"/>
        </w:rPr>
        <w:t xml:space="preserve">2. El personal sanitario civil debidamente autorizado, podrá identificarse mediante un brazalete cuyo modelo único será confeccionado en material impermeable, de color blanco de 50 cm de longitud por 12 cm de ancho, que en el centro contendrá una Cruz Roja de 9 cm de longitud, formada por dos bandas de las mismas dimensiones de ancho, una horizontal y otra vertical, que se cruzan por la mitad, formando cinco cuadrados exactos.</w:t>
      </w:r>
    </w:p>
    <w:p>
      <w:pPr>
        <w:jc w:val="both"/>
      </w:pPr>
      <w:rPr>
        <w:sz w:val="24"/>
        <w:color w:val="black"/>
      </w:rPr>
    </w:p>
    <w:p>
      <w:pPr>
        <w:jc w:val="both"/>
      </w:pPr>
      <w:r>
        <w:rPr>
          <w:rFonts w:hAnsi="Arial"/>
          <w:rFonts w:ascii="Arial"/>
          <w:sz w:val="24"/>
          <w:color w:val="black"/>
        </w:rPr>
        <w:t xml:space="preserve">3. El Despacho del Ministro de la Protección Social o el del Viceministro de Salud y Bienestar, o quien haga sus veces, será la única autoridad competente para expedir la tarjeta de identificación del personal sanitario civil y proporcionar el brazalete.</w:t>
      </w:r>
    </w:p>
    <w:p>
      <w:pPr>
        <w:jc w:val="both"/>
      </w:pPr>
      <w:rPr>
        <w:sz w:val="24"/>
        <w:color w:val="black"/>
      </w:rPr>
    </w:p>
    <w:p>
      <w:pPr>
        <w:jc w:val="both"/>
      </w:pPr>
      <w:r>
        <w:rPr>
          <w:rFonts w:hAnsi="Arial"/>
          <w:rFonts w:ascii="Arial"/>
          <w:sz w:val="24"/>
          <w:color w:val="black"/>
        </w:rPr>
        <w:t xml:space="preserve">4. El personal sanitario civil autorizado a portar el brazalete y tarjeta de identificación, deberá entregarlos al Ministerio de la Protección Social, una vez termine la vigencia de la autorización.</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34" w:name="2.2.5.3.3"/>
      <w:r>
        <w:rPr>
          <w:rFonts w:hAnsi="Arial"/>
          <w:rFonts w:ascii="Arial"/>
          <w:sz w:val="24"/>
          <w:color w:val="navy"/>
        </w:rPr>
        <w:t xml:space="preserve">ARTÍCULO 2.2.5.3.3. </w:t>
      </w:r>
      <w:r>
        <w:rPr>
          <w:rFonts w:hAnsi="Arial"/>
          <w:rFonts w:ascii="Arial"/>
          <w:sz w:val="24"/>
          <w:i/>
          <w:color w:val="navy"/>
        </w:rPr>
        <w:t xml:space="preserve">USO DEL EMBLEMA A TÍTULO PROTECTOR EN UNIDADES Y MEDIOS DE TRANSPORTE SANITARIOS CIVILES.</w:t>
      </w:r>
      <w:bookmarkEnd w:id="60134"/>
      <w:r>
        <w:rPr>
          <w:rFonts w:hAnsi="Arial"/>
          <w:rFonts w:ascii="Arial"/>
          <w:sz w:val="24"/>
          <w:b/>
          <w:i/>
          <w:color w:val="black"/>
        </w:rPr>
        <w:t xml:space="preserve"> </w:t>
      </w:r>
      <w:r>
        <w:rPr>
          <w:rFonts w:hAnsi="Arial"/>
          <w:rFonts w:ascii="Arial"/>
          <w:sz w:val="24"/>
          <w:color w:val="black"/>
        </w:rPr>
        <w:t xml:space="preserve">En tiempo de conflicto armado o en zona de conflicto armado, las unidades y medios de transporte civiles, autorizados para portar el emblema de la Cruz Roja a título protector, podrán emplearlo en banderas o en medios de fácil remoción, los cuales deberán ser visibles a distancia y en horarios nocturnos se podrán iluminar o emplear materiales reflectivos.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135" w:name="2.2.5.3.4"/>
      <w:r>
        <w:rPr>
          <w:rFonts w:hAnsi="Arial"/>
          <w:rFonts w:ascii="Arial"/>
          <w:sz w:val="24"/>
          <w:color w:val="navy"/>
        </w:rPr>
        <w:t xml:space="preserve">ARTÍCULO 2.2.5.3.4. </w:t>
      </w:r>
      <w:r>
        <w:rPr>
          <w:rFonts w:hAnsi="Arial"/>
          <w:rFonts w:ascii="Arial"/>
          <w:sz w:val="24"/>
          <w:i/>
          <w:color w:val="navy"/>
        </w:rPr>
        <w:t xml:space="preserve">DE LOS REQUISITOS TÉCNICOS.</w:t>
      </w:r>
      <w:bookmarkEnd w:id="60135"/>
      <w:r>
        <w:rPr>
          <w:rFonts w:hAnsi="Arial"/>
          <w:rFonts w:ascii="Arial"/>
          <w:sz w:val="24"/>
          <w:b/>
          <w:i/>
          <w:color w:val="black"/>
        </w:rPr>
        <w:t xml:space="preserve"> </w:t>
      </w:r>
      <w:r>
        <w:rPr>
          <w:rFonts w:hAnsi="Arial"/>
          <w:rFonts w:ascii="Arial"/>
          <w:sz w:val="24"/>
          <w:color w:val="black"/>
        </w:rPr>
        <w:t xml:space="preserve">El emblema deberá constar de una cruz conformada por cinco cuadros iguales de color rojo, la cual siempre estará sobre un fondo blanco. El emblema no podrá ir acompañado de ningún otro logotipo, escudo, publicidad o texto y será de las mayores dimensiones posibles según su aplicación.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unificar la tonalidad del color rojo se recomienda tomar como base el Pantone 485, o en el sistema de cuatricromía, combinar amarillo 100% con magenta 100%.</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136" w:name="2.2.5.3.5"/>
      <w:r>
        <w:rPr>
          <w:rFonts w:hAnsi="Arial"/>
          <w:rFonts w:ascii="Arial"/>
          <w:sz w:val="24"/>
          <w:color w:val="navy"/>
        </w:rPr>
        <w:t xml:space="preserve">ARTÍCULO 2.2.5.3.5. </w:t>
      </w:r>
      <w:r>
        <w:rPr>
          <w:rFonts w:hAnsi="Arial"/>
          <w:rFonts w:ascii="Arial"/>
          <w:sz w:val="24"/>
          <w:i/>
          <w:color w:val="navy"/>
        </w:rPr>
        <w:t xml:space="preserve">DE LA AUTORIZACIÓN.</w:t>
      </w:r>
      <w:bookmarkEnd w:id="60136"/>
      <w:r>
        <w:rPr>
          <w:rFonts w:hAnsi="Arial"/>
          <w:rFonts w:ascii="Arial"/>
          <w:sz w:val="24"/>
          <w:b/>
          <w:i/>
          <w:color w:val="black"/>
        </w:rPr>
        <w:t xml:space="preserve"> </w:t>
      </w:r>
      <w:r>
        <w:rPr>
          <w:rFonts w:hAnsi="Arial"/>
          <w:rFonts w:ascii="Arial"/>
          <w:sz w:val="24"/>
          <w:color w:val="black"/>
        </w:rPr>
        <w:t xml:space="preserve">El emblema de la Cruz Roja a título protector únicamente será autorizado expresamente, para identificar al personal, unidades y medios de transporte sanitarios civiles, en situaciones o actividades específicas, cuando realicen labores humanitarias de atención de víctimas del conflicto armado, misiones concretas de salud pública o de atención de una emergencia o desastre en zonas de conflicto armado. El Ministerio de la Protección Social, adoptará el formato para la solicitud y autorización del uso del emblema de la Cruz Roja a título protector, que hace parte integral del presente Título, que deberá incluir el tipo de actividad, las zonas geográficas a donde se realizará, el período de tiempo, nombres e identificación del personal sanitario civil, las unidades y medios de transporte sanitarios civiles involucrados.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137" w:name="2.2.5.3.6"/>
      <w:r>
        <w:rPr>
          <w:rFonts w:hAnsi="Arial"/>
          <w:rFonts w:ascii="Arial"/>
          <w:sz w:val="24"/>
          <w:color w:val="navy"/>
        </w:rPr>
        <w:t xml:space="preserve">ARTÍCULO 2.2.5.3.6. </w:t>
      </w:r>
      <w:r>
        <w:rPr>
          <w:rFonts w:hAnsi="Arial"/>
          <w:rFonts w:ascii="Arial"/>
          <w:sz w:val="24"/>
          <w:i/>
          <w:color w:val="navy"/>
        </w:rPr>
        <w:t xml:space="preserve">MEDIDAS DE CONTROL.</w:t>
      </w:r>
      <w:bookmarkEnd w:id="60137"/>
      <w:r>
        <w:rPr>
          <w:rFonts w:hAnsi="Arial"/>
          <w:rFonts w:ascii="Arial"/>
          <w:sz w:val="24"/>
          <w:b/>
          <w:i/>
          <w:color w:val="black"/>
        </w:rPr>
        <w:t xml:space="preserve"> </w:t>
      </w:r>
      <w:r>
        <w:rPr>
          <w:rFonts w:hAnsi="Arial"/>
          <w:rFonts w:ascii="Arial"/>
          <w:sz w:val="24"/>
          <w:color w:val="black"/>
        </w:rPr>
        <w:t xml:space="preserve">Con el fin de controlar el uso del emblema de la Cruz Roja, se adelantarán las siguientes acciones:</w:t>
      </w:r>
    </w:p>
    <w:p>
      <w:pPr>
        <w:jc w:val="both"/>
      </w:pPr>
      <w:rPr>
        <w:sz w:val="24"/>
        <w:color w:val="black"/>
      </w:rPr>
    </w:p>
    <w:p>
      <w:pPr>
        <w:jc w:val="both"/>
      </w:pPr>
      <w:r>
        <w:rPr>
          <w:rFonts w:hAnsi="Arial"/>
          <w:rFonts w:ascii="Arial"/>
          <w:sz w:val="24"/>
          <w:color w:val="black"/>
        </w:rPr>
        <w:t xml:space="preserve">1. El Ministerio de la Protección Social velará por el correcto uso del emblema de la Cruz Roja, a título protector por parte del personal sanitario civil autorizado.</w:t>
      </w:r>
    </w:p>
    <w:p>
      <w:pPr>
        <w:jc w:val="both"/>
      </w:pPr>
      <w:rPr>
        <w:sz w:val="24"/>
        <w:color w:val="black"/>
      </w:rPr>
    </w:p>
    <w:p>
      <w:pPr>
        <w:jc w:val="both"/>
      </w:pPr>
      <w:r>
        <w:rPr>
          <w:rFonts w:hAnsi="Arial"/>
          <w:rFonts w:ascii="Arial"/>
          <w:sz w:val="24"/>
          <w:color w:val="black"/>
        </w:rPr>
        <w:t xml:space="preserve">2. En caso de que el personal sanitario civil autorizado utilice el emblema de la Cruz Roja a título protector en actividades diferentes a las autorizadas, incluyendo el mal uso de unidades o medios de transporte sanitarios señalizados, el Ministerio de la Protección Social ordenará su retiro, sin perjuicio de las sanciones penales, disciplinarias o legales a que haya lugar.</w:t>
      </w:r>
    </w:p>
    <w:p>
      <w:pPr>
        <w:jc w:val="both"/>
      </w:pPr>
      <w:rPr>
        <w:sz w:val="24"/>
        <w:color w:val="black"/>
      </w:rPr>
    </w:p>
    <w:p>
      <w:pPr>
        <w:jc w:val="both"/>
      </w:pPr>
      <w:r>
        <w:rPr>
          <w:rFonts w:hAnsi="Arial"/>
          <w:rFonts w:ascii="Arial"/>
          <w:sz w:val="24"/>
          <w:color w:val="black"/>
        </w:rPr>
        <w:t xml:space="preserve">3. El Ministerio de la Protección Social, a través del Despacho del Ministro o del Viceministro de Salud y Bienestar tomará las medidas indispensables para crear un registro que contenga el personal sanitario, sus unidades o medios de transportes autorizados a portar el emblema.</w:t>
      </w:r>
    </w:p>
    <w:p>
      <w:pPr>
        <w:jc w:val="both"/>
      </w:pPr>
      <w:rPr>
        <w:sz w:val="24"/>
        <w:color w:val="black"/>
      </w:rPr>
    </w:p>
    <w:p>
      <w:pPr>
        <w:jc w:val="both"/>
      </w:pPr>
      <w:r>
        <w:rPr>
          <w:rFonts w:hAnsi="Arial"/>
          <w:rFonts w:ascii="Arial"/>
          <w:sz w:val="24"/>
          <w:color w:val="black"/>
        </w:rPr>
        <w:t xml:space="preserve">4. El Ministerio de la Protección Social y el personal sanitario civil autorizado tienen la obligación de denunciar ante la autoridad competente cualquier abuso o uso indebido del emblema del que tengan conocimiento.</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138" w:name="CAPÍTULO 2.2.5.4"/>
      <w:r>
        <w:rPr>
          <w:rFonts w:hAnsi="Arial"/>
          <w:rFonts w:ascii="Arial"/>
          <w:sz w:val="24"/>
          <w:color w:val="navy"/>
        </w:rPr>
        <w:t xml:space="preserve">CAPÍTULO 4.</w:t>
      </w:r>
    </w:p>
    <w:p>
      <w:pPr>
        <w:jc w:val="center"/>
      </w:pPr>
      <w:r>
        <w:rPr>
          <w:rFonts w:hAnsi="Arial"/>
          <w:rFonts w:ascii="Arial"/>
          <w:sz w:val="24"/>
          <w:color w:val="navy"/>
        </w:rPr>
        <w:t xml:space="preserve">DISPOSICIONES FINALES.</w:t>
      </w:r>
    </w:p>
    <w:p>
      <w:pPr>
        <w:jc w:val="center"/>
      </w:pPr>
      <w:bookmarkEnd w:id="60138"/>
    </w:p>
    <w:p>
      <w:pPr>
        <w:jc w:val="both"/>
      </w:pPr>
      <w:r>
        <w:rPr>
          <w:rFonts w:hAnsi="Arial"/>
          <w:rFonts w:ascii="Arial"/>
          <w:sz w:val="24"/>
          <w:vanish/>
          <w:color w:val="black"/>
        </w:rPr>
        <w:t>&amp;$</w:t>
      </w:r>
      <w:bookmarkStart w:id="60139" w:name="2.2.5.4.1"/>
      <w:r>
        <w:rPr>
          <w:rFonts w:hAnsi="Arial"/>
          <w:rFonts w:ascii="Arial"/>
          <w:sz w:val="24"/>
          <w:color w:val="navy"/>
        </w:rPr>
        <w:t xml:space="preserve">ARTÍCULO 2.2.5.4.1. </w:t>
      </w:r>
      <w:r>
        <w:rPr>
          <w:rFonts w:hAnsi="Arial"/>
          <w:rFonts w:ascii="Arial"/>
          <w:sz w:val="24"/>
          <w:i/>
          <w:color w:val="navy"/>
        </w:rPr>
        <w:t>SANCIONES.</w:t>
      </w:r>
      <w:bookmarkEnd w:id="60139"/>
      <w:r>
        <w:rPr>
          <w:rFonts w:hAnsi="Arial"/>
          <w:rFonts w:ascii="Arial"/>
          <w:sz w:val="24"/>
          <w:b/>
          <w:i/>
          <w:color w:val="black"/>
        </w:rPr>
        <w:t xml:space="preserve"> </w:t>
      </w:r>
      <w:r>
        <w:rPr>
          <w:rFonts w:hAnsi="Arial"/>
          <w:rFonts w:ascii="Arial"/>
          <w:sz w:val="24"/>
          <w:color w:val="black"/>
        </w:rPr>
        <w:t xml:space="preserve">Los miembros de la Fuerza Pública, que abusen del emblema de la Cruz Roja, en los términos consagrados en el artículo </w:t>
      </w:r>
      <w:r>
        <w:fldChar w:fldCharType="begin"/>
      </w:r>
      <w:r>
        <w:instrText>HYPERLINK "http://www.redjurista.com/document.aspx?ajcode=d1070015&amp;arts=2.2.5.3.2"</w:instrText>
      </w:r>
      <w:r>
        <w:fldChar w:fldCharType="separate"/>
      </w:r>
      <w:r>
        <w:rPr>
          <w:rFonts w:hAnsi="Arial"/>
          <w:rFonts w:ascii="Arial"/>
          <w:sz w:val="24"/>
          <w:u w:val="single"/>
          <w:color w:val="black"/>
        </w:rPr>
        <w:t>2.2.5.3.2</w:t>
      </w:r>
      <w:r>
        <w:fldChar w:fldCharType="end"/>
      </w:r>
      <w:r>
        <w:rPr>
          <w:rFonts w:hAnsi="Arial"/>
          <w:rFonts w:ascii="Arial"/>
          <w:sz w:val="24"/>
          <w:u w:val="none"/>
          <w:color w:val="black"/>
        </w:rPr>
        <w:t xml:space="preserve">. del presente Título, sin perjuicio de la acción penal, en su condición de servidores públicos, incurrirán, además, en falta gravísima de acuerdo con lo establecido en la Ley 1015 de 2006, por medio de la cual se expide el Régimen Disciplinario para la Policía Nacional y el numeral 34 del artículo </w:t>
      </w:r>
      <w:r>
        <w:fldChar w:fldCharType="begin"/>
      </w:r>
      <w:r>
        <w:instrText>HYPERLINK "http://www.redjurista.com/document.aspx?ajcode=l0836003&amp;arts=58"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836, del 16 de julio de 2003 Reglamento de Régimen Disciplinario para las Fuerzas Militares en concordancia con el numeral 7, artículo </w:t>
      </w:r>
      <w:r>
        <w:fldChar w:fldCharType="begin"/>
      </w:r>
      <w:r>
        <w:instrText>HYPERLINK "http://www.redjurista.com/document.aspx?ajcode=l0734002&amp;arts=48"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734 de 2002 Código Disciplinario Único, o las normas que hagan sus veces.</w:t>
      </w:r>
    </w:p>
    <w:p>
      <w:pPr>
        <w:jc w:val="both"/>
      </w:pPr>
      <w:rPr>
        <w:sz w:val="24"/>
        <w:color w:val="black"/>
      </w:rPr>
    </w:p>
    <w:p>
      <w:pPr>
        <w:jc w:val="both"/>
      </w:pPr>
      <w:r>
        <w:rPr>
          <w:rFonts w:hAnsi="Arial"/>
          <w:rFonts w:ascii="Arial"/>
          <w:sz w:val="24"/>
          <w:color w:val="black"/>
        </w:rPr>
        <w:t xml:space="preserve">Respecto a su personal sanitario civil autorizado, el Ministerio de la Protección Social ejercerá su potestad disciplinaria en caso de uso indebido o abuso del emblema. Los servidores públicos del sector salud, que abusen del emblema de la Cruz Roja, en los términos consagrados en el presente Título, sin perjuicio de la acción penal, incurrirán, además en falta gravísima de acuerdo con lo establecido en el numeral 7, artículo </w:t>
      </w:r>
      <w:r>
        <w:fldChar w:fldCharType="begin"/>
      </w:r>
      <w:r>
        <w:instrText>HYPERLINK "http://www.redjurista.com/document.aspx?ajcode=l0734002&amp;arts=48"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734 de 2002 Código Disciplinario Único, o las normas que hagan sus veces.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140" w:name="2.2.5.4.2"/>
      <w:r>
        <w:rPr>
          <w:rFonts w:hAnsi="Arial"/>
          <w:rFonts w:ascii="Arial"/>
          <w:sz w:val="24"/>
          <w:color w:val="navy"/>
        </w:rPr>
        <w:t xml:space="preserve">ARTÍCULO 2.2.5.4.2. </w:t>
      </w:r>
      <w:r>
        <w:rPr>
          <w:rFonts w:hAnsi="Arial"/>
          <w:rFonts w:ascii="Arial"/>
          <w:sz w:val="24"/>
          <w:i/>
          <w:color w:val="navy"/>
        </w:rPr>
        <w:t>DIFUSIÓN.</w:t>
      </w:r>
      <w:bookmarkEnd w:id="60140"/>
      <w:r>
        <w:rPr>
          <w:rFonts w:hAnsi="Arial"/>
          <w:rFonts w:ascii="Arial"/>
          <w:sz w:val="24"/>
          <w:b/>
          <w:i/>
          <w:color w:val="black"/>
        </w:rPr>
        <w:t xml:space="preserve"> </w:t>
      </w:r>
      <w:r>
        <w:rPr>
          <w:rFonts w:hAnsi="Arial"/>
          <w:rFonts w:ascii="Arial"/>
          <w:sz w:val="24"/>
          <w:color w:val="black"/>
        </w:rPr>
        <w:t xml:space="preserve">El Ministerio de Defensa Nacional, efectuará programas de difusión permanentes a través del Comando General de las Fuerzas Militares y la Dirección General de la Policía Nacional y tomará las medidas pertinentes con el fin de incluir en los programas académicos de las escuelas de formación de la Fuerza Pública, el estudio de las normas relacionadas con el uso y protección del emblema de la Cruz Roja. De igual manera dispondrá la difusión de dichas normas a todos los niveles de la Fuerza Pública.</w:t>
      </w:r>
    </w:p>
    <w:p>
      <w:pPr>
        <w:jc w:val="both"/>
      </w:pPr>
      <w:r>
        <w:rPr>
          <w:rFonts w:hAnsi="Arial"/>
          <w:rFonts w:ascii="Arial"/>
          <w:sz w:val="24"/>
          <w:color w:val="black"/>
        </w:rPr>
        <w:t xml:space="preserve">El Ministerio de la Protección Social continuará con sus programas de difusión de las normas del Derecho Internacional Humanitario, en especial las reglas que guardan relación directa con el respeto a la Misión Médica, por medio de las asociaciones de facultades de ciencias de la salud, los entes territoriales de salud y la divulgación dirigida al público en general.</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141" w:name="2.2.5.4.3"/>
      <w:r>
        <w:rPr>
          <w:rFonts w:hAnsi="Arial"/>
          <w:rFonts w:ascii="Arial"/>
          <w:sz w:val="24"/>
          <w:color w:val="navy"/>
        </w:rPr>
        <w:t xml:space="preserve">ARTÍCULO 2.2.5.4.3. </w:t>
      </w:r>
      <w:r>
        <w:rPr>
          <w:rFonts w:hAnsi="Arial"/>
          <w:rFonts w:ascii="Arial"/>
          <w:sz w:val="24"/>
          <w:i/>
          <w:color w:val="navy"/>
        </w:rPr>
        <w:t xml:space="preserve">INCLUSIÓN EN LA DOCTRINA MILITAR Y POLICIAL DE LAS NORMAS RELATIVAS AL USO Y PROTECCIÓN DEL EMBLEMA DE LA CRUZ ROJA Y OTRAS SEÑALES DISTINTIVAS.</w:t>
      </w:r>
      <w:bookmarkEnd w:id="60141"/>
      <w:r>
        <w:rPr>
          <w:rFonts w:hAnsi="Arial"/>
          <w:rFonts w:ascii="Arial"/>
          <w:sz w:val="24"/>
          <w:b/>
          <w:i/>
          <w:color w:val="black"/>
        </w:rPr>
        <w:t xml:space="preserve"> </w:t>
      </w:r>
      <w:r>
        <w:rPr>
          <w:rFonts w:hAnsi="Arial"/>
          <w:rFonts w:ascii="Arial"/>
          <w:sz w:val="24"/>
          <w:color w:val="black"/>
        </w:rPr>
        <w:t xml:space="preserve">El Ministerio de Defensa Nacional, a través del Comando General de las Fuerzas Militares y la Dirección General de la Policía Nacional, tomará las medidas pertinentes con el fin de incluir en la doctrina militar y policial, las normas relacionadas con el uso y protección del emblema de la Cruz Roja y otras señales distintivas. A su vez, la Dirección General de Sanidad Militar y la Dirección de Sanidad de la Policía Nacional, elaborarán un glosario de términos, de actualización permanente, relacionado con dichas normas.</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142" w:name="2.2.5.4.4"/>
      <w:r>
        <w:rPr>
          <w:rFonts w:hAnsi="Arial"/>
          <w:rFonts w:ascii="Arial"/>
          <w:sz w:val="24"/>
          <w:color w:val="navy"/>
        </w:rPr>
        <w:t xml:space="preserve">ARTÍCULO 2.2.5.4.4. </w:t>
      </w:r>
      <w:r>
        <w:rPr>
          <w:rFonts w:hAnsi="Arial"/>
          <w:rFonts w:ascii="Arial"/>
          <w:sz w:val="24"/>
          <w:i/>
          <w:color w:val="navy"/>
        </w:rPr>
        <w:t>GARANTÍAS.</w:t>
      </w:r>
      <w:bookmarkEnd w:id="60142"/>
      <w:r>
        <w:rPr>
          <w:rFonts w:hAnsi="Arial"/>
          <w:rFonts w:ascii="Arial"/>
          <w:sz w:val="24"/>
          <w:b/>
          <w:i/>
          <w:color w:val="black"/>
        </w:rPr>
        <w:t xml:space="preserve"> </w:t>
      </w:r>
      <w:r>
        <w:rPr>
          <w:rFonts w:hAnsi="Arial"/>
          <w:rFonts w:ascii="Arial"/>
          <w:sz w:val="24"/>
          <w:color w:val="black"/>
        </w:rPr>
        <w:t xml:space="preserve">Todas las autoridades y personas en Colombia deberán proteger al personal sanitario y religioso de la Fuerza Pública, al personal sanitario civil, al personal médico, paramédico, de socorro, y a las personas que de manera permanente o transitoria realicen labores humanitarias en situaciones de conflicto armado o de catástrofes naturales, facilitándoles su libre tránsito y transporte de medicamentos, alimentos y ayudas humanitarias, evacuación de muertos, heridos y enfermos, cooperando con ellos en lo que fuere necesario para el buen desarrollo de sus actividades.</w:t>
      </w:r>
    </w:p>
    <w:p>
      <w:pPr>
        <w:jc w:val="both"/>
      </w:pPr>
      <w:rPr>
        <w:sz w:val="24"/>
        <w:color w:val="black"/>
      </w:rPr>
    </w:p>
    <w:p>
      <w:pPr>
        <w:jc w:val="both"/>
      </w:pPr>
      <w:r>
        <w:rPr>
          <w:rFonts w:hAnsi="Arial"/>
          <w:rFonts w:ascii="Arial"/>
          <w:sz w:val="24"/>
          <w:color w:val="black"/>
        </w:rPr>
        <w:t xml:space="preserve">Las personas a que se refiere el inciso anterior, que en cumplimiento del deber constitucional de solidaridad social respondan con acciones humanitarias ante situaciones que pongan en peligro la vida o salud de los seres humanos, contarán con todas las garantías de seguridad y derecho de confidencialidad, respecto de los hechos que por razón de sus labores hubieren conocido.</w:t>
      </w:r>
    </w:p>
    <w:p>
      <w:pPr>
        <w:jc w:val="both"/>
      </w:pPr>
      <w:rPr>
        <w:sz w:val="24"/>
        <w:color w:val="black"/>
      </w:rPr>
    </w:p>
    <w:p>
      <w:r>
        <w:rPr>
          <w:rFonts w:hAnsi="Arial"/>
          <w:rFonts w:ascii="Arial"/>
          <w:sz w:val="24"/>
          <w:i/>
          <w:color w:val="black"/>
        </w:rPr>
        <w:t xml:space="preserve">(Decreto 138 de 2005 artículo </w:t>
      </w:r>
      <w:r>
        <w:fldChar w:fldCharType="begin"/>
      </w:r>
      <w:r>
        <w:instrText>HYPERLINK "http://www.redjurista.com/document.aspx?ajcode=d0138005&amp;arts=16"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143" w:name="TÍTULO 2.2.6"/>
      <w:r>
        <w:rPr>
          <w:rFonts w:hAnsi="Arial"/>
          <w:rFonts w:ascii="Arial"/>
          <w:sz w:val="24"/>
          <w:color w:val="navy"/>
        </w:rPr>
        <w:t xml:space="preserve">TÍTULO 6. </w:t>
      </w:r>
    </w:p>
    <w:p>
      <w:pPr>
        <w:jc w:val="center"/>
      </w:pPr>
      <w:r>
        <w:rPr>
          <w:rFonts w:hAnsi="Arial"/>
          <w:rFonts w:ascii="Arial"/>
          <w:sz w:val="24"/>
          <w:color w:val="navy"/>
        </w:rPr>
        <w:t xml:space="preserve">REGULACIÓN, REGISTRO Y CONTROL DE LA IMPORTACIÓN Y MOVILIZACIÓN DE LA MAQUINARIA CLASIFICABLE EN LAS SUBPARTIDAS 8429.11.00.00, 8429.19.00.00, 8429.51.00.00, 8429.52.00.00, 8429.59.00.00, 8431.41.00.00, 8431.42.00.00 Y 8905.10.00.00 DEL ARANCEL DE ADUANAS Y SE DICTAN OTRAS DISPOSICIONES.</w:t>
      </w:r>
      <w:bookmarkEnd w:id="60143"/>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0144" w:name="2.2.6.1"/>
      <w:r>
        <w:rPr>
          <w:rFonts w:hAnsi="Arial"/>
          <w:rFonts w:ascii="Arial"/>
          <w:sz w:val="24"/>
          <w:color w:val="navy"/>
        </w:rPr>
        <w:t xml:space="preserve">ARTÍCULO 2.2.6.1. </w:t>
      </w:r>
      <w:r>
        <w:rPr>
          <w:rFonts w:hAnsi="Arial"/>
          <w:rFonts w:ascii="Arial"/>
          <w:sz w:val="24"/>
          <w:i/>
          <w:color w:val="navy"/>
        </w:rPr>
        <w:t>OBJETO</w:t>
      </w:r>
      <w:r>
        <w:rPr>
          <w:rFonts w:hAnsi="Arial"/>
          <w:rFonts w:ascii="Arial"/>
          <w:sz w:val="24"/>
          <w:color w:val="navy"/>
        </w:rPr>
        <w:t>.</w:t>
      </w:r>
      <w:bookmarkEnd w:id="60144"/>
      <w:r>
        <w:rPr>
          <w:rFonts w:hAnsi="Arial"/>
          <w:rFonts w:ascii="Arial"/>
          <w:sz w:val="24"/>
          <w:color w:val="black"/>
        </w:rPr>
        <w:t xml:space="preserve"> El presente título establece controles a la maquinaria y sus partes clasificada bajo las subpartidas arancelarias 8429.11.00.00, 8429.19.00.00, 8429.51.00.00, 8429.52.00.00, 8429.59.00.00, 8431.41.00.00, 8431.42.00.00 y 8905.10.00.00.</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145" w:name="2.2.6.2"/>
      <w:r>
        <w:rPr>
          <w:rFonts w:hAnsi="Arial"/>
          <w:rFonts w:ascii="Arial"/>
          <w:sz w:val="24"/>
          <w:color w:val="navy"/>
        </w:rPr>
        <w:t xml:space="preserve">ARTÍCULO 2.2.6.2. </w:t>
      </w:r>
      <w:r>
        <w:rPr>
          <w:rFonts w:hAnsi="Arial"/>
          <w:rFonts w:ascii="Arial"/>
          <w:sz w:val="24"/>
          <w:i/>
          <w:color w:val="navy"/>
        </w:rPr>
        <w:t xml:space="preserve">INTERCAMBIO DE INFORMACIÓN.</w:t>
      </w:r>
      <w:bookmarkEnd w:id="60145"/>
      <w:r>
        <w:rPr>
          <w:rFonts w:hAnsi="Arial"/>
          <w:rFonts w:ascii="Arial"/>
          <w:sz w:val="24"/>
          <w:b/>
          <w:i/>
          <w:color w:val="black"/>
        </w:rPr>
        <w:t xml:space="preserve"> </w:t>
      </w:r>
      <w:r>
        <w:rPr>
          <w:rFonts w:hAnsi="Arial"/>
          <w:rFonts w:ascii="Arial"/>
          <w:sz w:val="24"/>
          <w:color w:val="black"/>
        </w:rPr>
        <w:t xml:space="preserve">la Dirección de Impuestos y Aduanas Nacionales - DIAN y el Ministerio de Defensa Nacional suscribirán un convenio de intercambio de información para acceder a la información disponible sobre la importación de los bienes descritos en las subpartidas arancelarias previstas en el artículo anterior. Así mismo, se deberá incluir en este convenio el intercambio y actualización periódica de información relevante que pueda ser usada en el sistema de administración y perfilamiento de riesgos de la DIAN, para incrementar la efectividad en el control a las importaciones de maquinaria utilizada en la minería.</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46" w:name="2.2.6.3"/>
      <w:r>
        <w:rPr>
          <w:rFonts w:hAnsi="Arial"/>
          <w:rFonts w:ascii="Arial"/>
          <w:sz w:val="24"/>
          <w:color w:val="navy"/>
        </w:rPr>
        <w:t xml:space="preserve">ARTÍCULO 2.2.6.3. </w:t>
      </w:r>
      <w:r>
        <w:rPr>
          <w:rFonts w:hAnsi="Arial"/>
          <w:rFonts w:ascii="Arial"/>
          <w:sz w:val="24"/>
          <w:i/>
          <w:color w:val="navy"/>
        </w:rPr>
        <w:t xml:space="preserve">IMPORTACIÓN DE MERCANCÍAS USADAS</w:t>
      </w:r>
      <w:r>
        <w:rPr>
          <w:rFonts w:hAnsi="Arial"/>
          <w:rFonts w:ascii="Arial"/>
          <w:sz w:val="24"/>
          <w:color w:val="navy"/>
        </w:rPr>
        <w:t>.</w:t>
      </w:r>
      <w:bookmarkEnd w:id="60146"/>
      <w:r>
        <w:rPr>
          <w:rFonts w:hAnsi="Arial"/>
          <w:rFonts w:ascii="Arial"/>
          <w:sz w:val="24"/>
          <w:b/>
          <w:color w:val="black"/>
        </w:rPr>
        <w:t xml:space="preserve"> </w:t>
      </w:r>
      <w:r>
        <w:rPr>
          <w:rFonts w:hAnsi="Arial"/>
          <w:rFonts w:ascii="Arial"/>
          <w:sz w:val="24"/>
          <w:color w:val="black"/>
        </w:rPr>
        <w:t xml:space="preserve">La importación de mercancías usadas clasificadas en las subpartidas mencionadas en el artículo </w:t>
      </w:r>
      <w:r>
        <w:fldChar w:fldCharType="begin"/>
      </w:r>
      <w:r>
        <w:instrText>HYPERLINK "http://www.redjurista.com/document.aspx?ajcode=d1070015&amp;arts=2.2.6.1"</w:instrText>
      </w:r>
      <w:r>
        <w:fldChar w:fldCharType="separate"/>
      </w:r>
      <w:r>
        <w:rPr>
          <w:rFonts w:hAnsi="Arial"/>
          <w:rFonts w:ascii="Arial"/>
          <w:sz w:val="24"/>
          <w:u w:val="single"/>
          <w:color w:val="black"/>
        </w:rPr>
        <w:t>2.2.6.1.</w:t>
      </w:r>
      <w:r>
        <w:fldChar w:fldCharType="end"/>
      </w:r>
      <w:r>
        <w:rPr>
          <w:rFonts w:hAnsi="Arial"/>
          <w:rFonts w:ascii="Arial"/>
          <w:sz w:val="24"/>
          <w:u w:val="none"/>
          <w:color w:val="black"/>
        </w:rPr>
        <w:t xml:space="preserve">, del presente Título estará sujeta al régimen de licencia previa en los términos del Decreto </w:t>
      </w:r>
      <w:r>
        <w:fldChar w:fldCharType="begin"/>
      </w:r>
      <w:r>
        <w:instrText>HYPERLINK "http://www.redjurista.com/document.aspx?ajcode=d0925013&amp;arts=INICIO"</w:instrText>
      </w:r>
      <w:r>
        <w:fldChar w:fldCharType="separate"/>
      </w:r>
      <w:r>
        <w:rPr>
          <w:rFonts w:hAnsi="Arial"/>
          <w:rFonts w:ascii="Arial"/>
          <w:sz w:val="24"/>
          <w:u w:val="single"/>
          <w:color w:val="black"/>
        </w:rPr>
        <w:t>925</w:t>
      </w:r>
      <w:r>
        <w:fldChar w:fldCharType="end"/>
      </w:r>
      <w:r>
        <w:rPr>
          <w:rFonts w:hAnsi="Arial"/>
          <w:rFonts w:ascii="Arial"/>
          <w:sz w:val="24"/>
          <w:u w:val="none"/>
          <w:color w:val="black"/>
        </w:rPr>
        <w:t xml:space="preserve"> de 2013, o la norma que lo compile, modifique o sustituya.</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147" w:name="2.2.6.4"/>
      <w:r>
        <w:rPr>
          <w:rFonts w:hAnsi="Arial"/>
          <w:rFonts w:ascii="Arial"/>
          <w:sz w:val="24"/>
          <w:color w:val="navy"/>
        </w:rPr>
        <w:t xml:space="preserve">ARTÍCULO 2.2.6.4. </w:t>
      </w:r>
      <w:r>
        <w:rPr>
          <w:rFonts w:hAnsi="Arial"/>
          <w:rFonts w:ascii="Arial"/>
          <w:sz w:val="24"/>
          <w:i/>
          <w:color w:val="navy"/>
        </w:rPr>
        <w:t xml:space="preserve">LUGARES HABILITADOS PARA EL INGRESO DE MAQUINARIA</w:t>
      </w:r>
      <w:r>
        <w:rPr>
          <w:rFonts w:hAnsi="Arial"/>
          <w:rFonts w:ascii="Arial"/>
          <w:sz w:val="24"/>
          <w:color w:val="navy"/>
        </w:rPr>
        <w:t>.</w:t>
      </w:r>
      <w:bookmarkEnd w:id="60147"/>
      <w:r>
        <w:rPr>
          <w:rFonts w:hAnsi="Arial"/>
          <w:rFonts w:ascii="Arial"/>
          <w:sz w:val="24"/>
          <w:b/>
          <w:color w:val="black"/>
        </w:rPr>
        <w:t xml:space="preserve"> </w:t>
      </w:r>
      <w:r>
        <w:rPr>
          <w:rFonts w:hAnsi="Arial"/>
          <w:rFonts w:ascii="Arial"/>
          <w:sz w:val="24"/>
          <w:color w:val="black"/>
        </w:rPr>
        <w:t xml:space="preserve">La DIAN establecerá mediante acto administrativo, los puertos habilitados para la importación de la maquinaria y sus partes clasificadas bajo las subpartidas arancelarias 8429.11.00.00, 8429.19.00.00, 8429.51.00.00 8429.52.00.00, 8429.59.00.00, 8431.41.00.00, 8431.42.00.00 y 8905.10.00.00.</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48" w:name="2.2.6.5"/>
      <w:r>
        <w:rPr>
          <w:rFonts w:hAnsi="Arial"/>
          <w:rFonts w:ascii="Arial"/>
          <w:sz w:val="24"/>
          <w:color w:val="navy"/>
        </w:rPr>
        <w:t xml:space="preserve">ARTÍCULO 2.2.6.5. </w:t>
      </w:r>
      <w:r>
        <w:rPr>
          <w:rFonts w:hAnsi="Arial"/>
          <w:rFonts w:ascii="Arial"/>
          <w:sz w:val="24"/>
          <w:i/>
          <w:color w:val="navy"/>
        </w:rPr>
        <w:t xml:space="preserve">DECLARACIÓN DE IMPORTACIÓN ANTICIPADA</w:t>
      </w:r>
      <w:r>
        <w:rPr>
          <w:rFonts w:hAnsi="Arial"/>
          <w:rFonts w:ascii="Arial"/>
          <w:sz w:val="24"/>
          <w:color w:val="navy"/>
        </w:rPr>
        <w:t>.</w:t>
      </w:r>
      <w:bookmarkEnd w:id="60148"/>
      <w:r>
        <w:rPr>
          <w:rFonts w:hAnsi="Arial"/>
          <w:rFonts w:ascii="Arial"/>
          <w:sz w:val="24"/>
          <w:b/>
          <w:color w:val="black"/>
        </w:rPr>
        <w:t xml:space="preserve"> </w:t>
      </w:r>
      <w:r>
        <w:rPr>
          <w:rFonts w:hAnsi="Arial"/>
          <w:rFonts w:ascii="Arial"/>
          <w:sz w:val="24"/>
          <w:color w:val="black"/>
        </w:rPr>
        <w:t xml:space="preserve">La DIAN establecerá la obligatoriedad de presentar declaración de importación anticipada, sin importar origen o procedencia, para las mercancías descritas en el artículo </w:t>
      </w:r>
      <w:r>
        <w:fldChar w:fldCharType="begin"/>
      </w:r>
      <w:r>
        <w:instrText>HYPERLINK "http://www.redjurista.com/document.aspx?ajcode=d1070015&amp;arts=2.2.6.1"</w:instrText>
      </w:r>
      <w:r>
        <w:fldChar w:fldCharType="separate"/>
      </w:r>
      <w:r>
        <w:rPr>
          <w:rFonts w:hAnsi="Arial"/>
          <w:rFonts w:ascii="Arial"/>
          <w:sz w:val="24"/>
          <w:u w:val="single"/>
          <w:color w:val="black"/>
        </w:rPr>
        <w:t>2.2.6.1.</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49" w:name="2.2.6.6"/>
      <w:r>
        <w:rPr>
          <w:rFonts w:hAnsi="Arial"/>
          <w:rFonts w:ascii="Arial"/>
          <w:sz w:val="24"/>
          <w:color w:val="navy"/>
        </w:rPr>
        <w:t xml:space="preserve">ARTÍCULO 2.2.6.6. </w:t>
      </w:r>
      <w:r>
        <w:rPr>
          <w:rFonts w:hAnsi="Arial"/>
          <w:rFonts w:ascii="Arial"/>
          <w:sz w:val="24"/>
          <w:i/>
          <w:color w:val="navy"/>
        </w:rPr>
        <w:t xml:space="preserve">REGISTRO DE LA MAQUINARIA</w:t>
      </w:r>
      <w:r>
        <w:rPr>
          <w:rFonts w:hAnsi="Arial"/>
          <w:rFonts w:ascii="Arial"/>
          <w:sz w:val="24"/>
          <w:color w:val="navy"/>
        </w:rPr>
        <w:t>.</w:t>
      </w:r>
      <w:bookmarkEnd w:id="60149"/>
      <w:r>
        <w:rPr>
          <w:rFonts w:hAnsi="Arial"/>
          <w:rFonts w:ascii="Arial"/>
          <w:sz w:val="24"/>
          <w:b/>
          <w:color w:val="black"/>
        </w:rPr>
        <w:t xml:space="preserve"> </w:t>
      </w:r>
      <w:r>
        <w:rPr>
          <w:rFonts w:hAnsi="Arial"/>
          <w:rFonts w:ascii="Arial"/>
          <w:sz w:val="24"/>
          <w:color w:val="black"/>
        </w:rPr>
        <w:t xml:space="preserve">Toda la maquinaria clasificable en las subpartidas 8429.11.00.00, 8429.19.00.00, 8429.51.00.00, 8429.52.00.00, 8429.59.00.00 y 8905.10.00.00, que se encuentre e ingrese al territorio colombiano, deberá registrarse obligatoriamente en el registro de maquinaria, del registro único nacional de tránsito (RUNT).</w:t>
      </w:r>
    </w:p>
    <w:p>
      <w:pPr>
        <w:jc w:val="both"/>
      </w:pPr>
      <w:rPr>
        <w:sz w:val="24"/>
        <w:color w:val="black"/>
      </w:rPr>
    </w:p>
    <w:p>
      <w:pPr>
        <w:jc w:val="both"/>
      </w:pPr>
      <w:r>
        <w:rPr>
          <w:rFonts w:hAnsi="Arial"/>
          <w:rFonts w:ascii="Arial"/>
          <w:sz w:val="24"/>
          <w:color w:val="black"/>
        </w:rPr>
        <w:t xml:space="preserve">La maquinaria antes descrita, de manera previa a su inclusión en el registro único nacional de tránsito (RUNT), deberá tener incorporado de manera permanente y en funcionamiento, un sistema de posicionamiento global (GPS) u otro dispositivo de seguridad y monitoreo electrónico, que permita la localización de la maquinaria y la verificación por parte de las autoridades de control.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Policía Nacional establecerá las condiciones técnicas del equipo, instalación, identificación, funcionamiento y monitoreo del sistema de posicionamiento global (GPS) u otro dispositivo de seguridad y monitoreo electrónico y el mecanismo de control para el cambio del dispositivo, así como los parámetros para la autorización de proveedores de servicios, y llevará el registro respectivo.</w:t>
      </w:r>
    </w:p>
    <w:p>
      <w:pPr>
        <w:jc w:val="both"/>
      </w:pPr>
      <w:rPr>
        <w:color w:val="black"/>
      </w:rPr>
    </w:p>
    <w:p>
      <w:pPr>
        <w:jc w:val="both"/>
      </w:pPr>
      <w:r>
        <w:rPr>
          <w:rFonts w:hAnsi="Arial"/>
          <w:rFonts w:ascii="Arial"/>
          <w:sz w:val="24"/>
          <w:color w:val="black"/>
        </w:rPr>
        <w:t xml:space="preserve">La Policía Nacional podrá verificar en cualquier tiempo que los proveedores registrados, mantengan las condiciones de cumplimiento respecto de los requerimientos técnicos mínimos. En caso de verificarse que alguno de los proveedores ha dejado de cumplir con estas, se podrá suspender su autorización y registro.</w:t>
      </w:r>
    </w:p>
    <w:p>
      <w:pPr>
        <w:jc w:val="both"/>
      </w:pPr>
      <w:rPr>
        <w:sz w:val="24"/>
        <w:color w:val="black"/>
      </w:rPr>
    </w:p>
    <w:p>
      <w:pPr>
        <w:jc w:val="both"/>
      </w:pPr>
      <w:r>
        <w:rPr>
          <w:rFonts w:hAnsi="Arial"/>
          <w:rFonts w:ascii="Arial"/>
          <w:sz w:val="24"/>
          <w:color w:val="black"/>
        </w:rPr>
        <w:t xml:space="preserve">Será responsabilidad de los proveedores informar la suspensión del registro a sus usuarios, con el fin de que puedan suscribir el servicio con proveedores que tengan vigente el registro.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maquinaria que no cumpla con los requisitos exigidos en el presente artículo deberá ser inmovilizada por la fuerza pública y puesta a disposición de la autoridad de tránsito competente. Los gastos de inmovilización de la maquinaria objeto de la medida de tránsito, serán asumidos por el propietario de la misma.</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50" w:name="2.2.6.7"/>
      <w:r>
        <w:rPr>
          <w:rFonts w:hAnsi="Arial"/>
          <w:rFonts w:ascii="Arial"/>
          <w:sz w:val="24"/>
          <w:color w:val="navy"/>
        </w:rPr>
        <w:t xml:space="preserve">ARTÍCULO 2.2.6.7. </w:t>
      </w:r>
      <w:r>
        <w:rPr>
          <w:rFonts w:hAnsi="Arial"/>
          <w:rFonts w:ascii="Arial"/>
          <w:sz w:val="24"/>
          <w:i/>
          <w:color w:val="navy"/>
        </w:rPr>
        <w:t xml:space="preserve">DOCUMENTOS SOPORTES DE LA OPERACIÓN</w:t>
      </w:r>
      <w:r>
        <w:rPr>
          <w:rFonts w:hAnsi="Arial"/>
          <w:rFonts w:ascii="Arial"/>
          <w:sz w:val="24"/>
          <w:color w:val="navy"/>
        </w:rPr>
        <w:t>.</w:t>
      </w:r>
      <w:bookmarkEnd w:id="60150"/>
      <w:r>
        <w:rPr>
          <w:rFonts w:hAnsi="Arial"/>
          <w:rFonts w:ascii="Arial"/>
          <w:sz w:val="24"/>
          <w:color w:val="black"/>
        </w:rPr>
        <w:t xml:space="preserve"> Se considerarán como documentos públicos y que soportan la operación del vehículo, aquellos que sean necesarios para la ejecución y cumplimiento de las disposiciones establecidas en el presente Título. El incumplimiento en el porte y presentación de los documentos a los que se hace alusión dará lugar a inmovilización.</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151" w:name="2.2.6.8"/>
      <w:r>
        <w:rPr>
          <w:rFonts w:hAnsi="Arial"/>
          <w:rFonts w:ascii="Arial"/>
          <w:sz w:val="24"/>
          <w:color w:val="navy"/>
        </w:rPr>
        <w:t xml:space="preserve">ARTÍCULO 2.2.6.8. </w:t>
      </w:r>
      <w:r>
        <w:rPr>
          <w:rFonts w:hAnsi="Arial"/>
          <w:rFonts w:ascii="Arial"/>
          <w:sz w:val="24"/>
          <w:i/>
          <w:color w:val="navy"/>
        </w:rPr>
        <w:t xml:space="preserve">VÍAS AUTORIZADAS</w:t>
      </w:r>
      <w:r>
        <w:rPr>
          <w:rFonts w:hAnsi="Arial"/>
          <w:rFonts w:ascii="Arial"/>
          <w:sz w:val="24"/>
          <w:color w:val="navy"/>
        </w:rPr>
        <w:t>.</w:t>
      </w:r>
      <w:bookmarkEnd w:id="60151"/>
      <w:r>
        <w:rPr>
          <w:rFonts w:hAnsi="Arial"/>
          <w:rFonts w:ascii="Arial"/>
          <w:sz w:val="24"/>
          <w:color w:val="black"/>
        </w:rPr>
        <w:t xml:space="preserve"> La autoridad competente definirá las vías terrestres, fluviales y marítimas, así como los horarios en los cuales se podrá realizar el traslado o movilización de esta maquinaria y sus partes.</w:t>
      </w:r>
    </w:p>
    <w:p>
      <w:pPr>
        <w:jc w:val="both"/>
      </w:pPr>
      <w:rPr>
        <w:sz w:val="24"/>
        <w:color w:val="black"/>
      </w:rPr>
    </w:p>
    <w:p>
      <w:pPr>
        <w:jc w:val="both"/>
      </w:pPr>
      <w:r>
        <w:rPr>
          <w:rFonts w:hAnsi="Arial"/>
          <w:rFonts w:ascii="Arial"/>
          <w:sz w:val="24"/>
          <w:color w:val="black"/>
        </w:rPr>
        <w:t xml:space="preserve">La maquinaria que no cumpla con los requisitos de que trata el presente artículo deberá ser inmovilizada por la fuerza pública y puesta a disposición de la autoridad de tránsito competente.</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actos administrativos que hayan sido expedidos en cumplimiento del artículo </w:t>
      </w:r>
      <w:r>
        <w:fldChar w:fldCharType="begin"/>
      </w:r>
      <w:r>
        <w:instrText>HYPERLINK "http://www.redjurista.com/document.aspx?ajcode=d2261012&amp;arts=7"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2261 de 2012 mantendrán su vigencia.</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52" w:name="2.2.6.9"/>
      <w:r>
        <w:rPr>
          <w:rFonts w:hAnsi="Arial"/>
          <w:rFonts w:ascii="Arial"/>
          <w:sz w:val="24"/>
          <w:color w:val="navy"/>
        </w:rPr>
        <w:t xml:space="preserve">ARTÍCULO 2.2.6.9. </w:t>
      </w:r>
      <w:r>
        <w:rPr>
          <w:rFonts w:hAnsi="Arial"/>
          <w:rFonts w:ascii="Arial"/>
          <w:sz w:val="24"/>
          <w:i/>
          <w:color w:val="navy"/>
        </w:rPr>
        <w:t xml:space="preserve">GUÍA DE MOVILIZACIÓN DE MAQUINARIA</w:t>
      </w:r>
      <w:r>
        <w:rPr>
          <w:rFonts w:hAnsi="Arial"/>
          <w:rFonts w:ascii="Arial"/>
          <w:sz w:val="24"/>
          <w:color w:val="navy"/>
        </w:rPr>
        <w:t>.</w:t>
      </w:r>
      <w:bookmarkEnd w:id="60152"/>
      <w:r>
        <w:rPr>
          <w:rFonts w:hAnsi="Arial"/>
          <w:rFonts w:ascii="Arial"/>
          <w:sz w:val="24"/>
          <w:b/>
          <w:color w:val="black"/>
        </w:rPr>
        <w:t xml:space="preserve"> </w:t>
      </w:r>
      <w:r>
        <w:rPr>
          <w:rFonts w:hAnsi="Arial"/>
          <w:rFonts w:ascii="Arial"/>
          <w:sz w:val="24"/>
          <w:color w:val="black"/>
        </w:rPr>
        <w:t xml:space="preserve">El Ministerio de Transporte a través del registro único nacional de tránsito, expedirá el documento "Guía de movilización o tránsito", que habilita la movilización o tránsito de las maquinarias descritas en las subpartidas arancelarias 8429.11.00.00, 8429.19.00.00, 8429.51.00.00, 8429.52.00.00, 8429.59.00.00 y 8905.10.00.00, previo registro del propietario, identificación de la maquinaria o de sus partes, color, uso y destino en el registro único nacional de tránsito. Este documento será exigible por la fuerza pública o la autoridad de tránsito competente en los puntos de control establecidos en las vías y horarios autorizados.</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153" w:name="2.2.6.10"/>
      <w:r>
        <w:rPr>
          <w:rFonts w:hAnsi="Arial"/>
          <w:rFonts w:ascii="Arial"/>
          <w:sz w:val="24"/>
          <w:color w:val="navy"/>
        </w:rPr>
        <w:t xml:space="preserve">ARTÍCULO 2.2.6.10. </w:t>
      </w:r>
      <w:r>
        <w:rPr>
          <w:rFonts w:hAnsi="Arial"/>
          <w:rFonts w:ascii="Arial"/>
          <w:sz w:val="24"/>
          <w:i/>
          <w:color w:val="navy"/>
        </w:rPr>
        <w:t xml:space="preserve">CONDICIONES GENERALES DEL SISTEMA DE POSICIONAMIENTO GLOBAL</w:t>
      </w:r>
      <w:r>
        <w:rPr>
          <w:rFonts w:hAnsi="Arial"/>
          <w:rFonts w:ascii="Arial"/>
          <w:sz w:val="24"/>
          <w:color w:val="navy"/>
        </w:rPr>
        <w:t>.</w:t>
      </w:r>
      <w:bookmarkEnd w:id="60153"/>
      <w:r>
        <w:rPr>
          <w:rFonts w:hAnsi="Arial"/>
          <w:rFonts w:ascii="Arial"/>
          <w:sz w:val="24"/>
          <w:b/>
          <w:color w:val="black"/>
        </w:rPr>
        <w:t xml:space="preserve"> </w:t>
      </w:r>
      <w:r>
        <w:rPr>
          <w:rFonts w:hAnsi="Arial"/>
          <w:rFonts w:ascii="Arial"/>
          <w:sz w:val="24"/>
          <w:color w:val="black"/>
        </w:rPr>
        <w:t xml:space="preserve">Cada dispositivo instalado en la maquinaria deberá ser registrado en la plataforma de propiedad del proveedor del servicio, indicando el IMEI y número de serie del terminal y los datos de la máquina a la cual está asociado.</w:t>
      </w:r>
    </w:p>
    <w:p>
      <w:pPr>
        <w:jc w:val="both"/>
      </w:pPr>
      <w:rPr>
        <w:sz w:val="24"/>
        <w:color w:val="black"/>
      </w:rPr>
    </w:p>
    <w:p>
      <w:pPr>
        <w:jc w:val="both"/>
      </w:pPr>
      <w:r>
        <w:rPr>
          <w:rFonts w:hAnsi="Arial"/>
          <w:rFonts w:ascii="Arial"/>
          <w:sz w:val="24"/>
          <w:color w:val="black"/>
        </w:rPr>
        <w:t xml:space="preserve">Cada vez que se realice un cambio de dispositivo por cualquier causa, el propietario y/o poseedor de la maquinaria que debe portar GPS, deberá actualizar de manera inmediata la información registrada en la plataforma de propiedad del proveedor del servicio, y en el registro único nacional de tránsito (RUNT).</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154" w:name="2.2.6.11"/>
      <w:r>
        <w:rPr>
          <w:rFonts w:hAnsi="Arial"/>
          <w:rFonts w:ascii="Arial"/>
          <w:sz w:val="24"/>
          <w:color w:val="navy"/>
        </w:rPr>
        <w:t xml:space="preserve">ARTÍCULO 2.2.6.11. </w:t>
      </w:r>
      <w:r>
        <w:rPr>
          <w:rFonts w:hAnsi="Arial"/>
          <w:rFonts w:ascii="Arial"/>
          <w:sz w:val="24"/>
          <w:i/>
          <w:color w:val="navy"/>
        </w:rPr>
        <w:t xml:space="preserve">RESPONSABILIDAD SOBRE LA INFORMACIÓN</w:t>
      </w:r>
      <w:r>
        <w:rPr>
          <w:rFonts w:hAnsi="Arial"/>
          <w:rFonts w:ascii="Arial"/>
          <w:sz w:val="24"/>
          <w:color w:val="navy"/>
        </w:rPr>
        <w:t>.</w:t>
      </w:r>
      <w:bookmarkEnd w:id="60154"/>
      <w:r>
        <w:rPr>
          <w:rFonts w:hAnsi="Arial"/>
          <w:rFonts w:ascii="Arial"/>
          <w:sz w:val="24"/>
          <w:b/>
          <w:color w:val="black"/>
        </w:rPr>
        <w:t xml:space="preserve"> </w:t>
      </w:r>
      <w:r>
        <w:rPr>
          <w:rFonts w:hAnsi="Arial"/>
          <w:rFonts w:ascii="Arial"/>
          <w:sz w:val="24"/>
          <w:color w:val="black"/>
        </w:rPr>
        <w:t xml:space="preserve">El proveedor del servicio es responsable de la autenticidad, exactitud y validez del servicio, que deberá prestarse de forma permanente e ininterrumpida.</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155" w:name="2.2.6.12"/>
      <w:r>
        <w:rPr>
          <w:rFonts w:hAnsi="Arial"/>
          <w:rFonts w:ascii="Arial"/>
          <w:sz w:val="24"/>
          <w:color w:val="navy"/>
        </w:rPr>
        <w:t xml:space="preserve">ARTÍCULO 2.2.6.12. </w:t>
      </w:r>
      <w:r>
        <w:rPr>
          <w:rFonts w:hAnsi="Arial"/>
          <w:rFonts w:ascii="Arial"/>
          <w:sz w:val="24"/>
          <w:i/>
          <w:color w:val="navy"/>
        </w:rPr>
        <w:t xml:space="preserve">REQUISITOS QUE DEBEN CUMPLIR LOS PROVEEDORES DEL SERVICIO DE POSICIONAMIENTO GLOBAL</w:t>
      </w:r>
      <w:r>
        <w:rPr>
          <w:rFonts w:hAnsi="Arial"/>
          <w:rFonts w:ascii="Arial"/>
          <w:sz w:val="24"/>
          <w:color w:val="navy"/>
        </w:rPr>
        <w:t>.</w:t>
      </w:r>
      <w:bookmarkEnd w:id="60155"/>
      <w:r>
        <w:rPr>
          <w:rFonts w:hAnsi="Arial"/>
          <w:rFonts w:ascii="Arial"/>
          <w:sz w:val="24"/>
          <w:b/>
          <w:color w:val="black"/>
        </w:rPr>
        <w:t xml:space="preserve"> </w:t>
      </w:r>
      <w:r>
        <w:rPr>
          <w:rFonts w:hAnsi="Arial"/>
          <w:rFonts w:ascii="Arial"/>
          <w:sz w:val="24"/>
          <w:color w:val="black"/>
        </w:rPr>
        <w:t xml:space="preserve">El proveedor del servicio de posicionamiento global que pretenda ser autorizado para el cumplimento de las disposiciones previstas en el presente título, deberá:</w:t>
      </w:r>
    </w:p>
    <w:p>
      <w:pPr>
        <w:jc w:val="both"/>
      </w:pPr>
      <w:rPr>
        <w:sz w:val="24"/>
        <w:color w:val="black"/>
      </w:rPr>
    </w:p>
    <w:p>
      <w:pPr>
        <w:jc w:val="both"/>
      </w:pPr>
      <w:r>
        <w:rPr>
          <w:rFonts w:hAnsi="Arial"/>
          <w:rFonts w:ascii="Arial"/>
          <w:sz w:val="24"/>
          <w:color w:val="black"/>
        </w:rPr>
        <w:t xml:space="preserve">1. Instalar de manera permanente e ininterrumpida, un canal dedicado hacia los servidores de la Policía Nacional, para la consulta por demanda de la información que en tiempo real reporten los dispositivos de rastreo y que sea solicitada por la Policía Nacional.</w:t>
      </w:r>
    </w:p>
    <w:p>
      <w:pPr>
        <w:jc w:val="both"/>
      </w:pPr>
      <w:rPr>
        <w:sz w:val="24"/>
        <w:color w:val="black"/>
      </w:rPr>
    </w:p>
    <w:p>
      <w:pPr>
        <w:jc w:val="both"/>
      </w:pPr>
      <w:r>
        <w:rPr>
          <w:rFonts w:hAnsi="Arial"/>
          <w:rFonts w:ascii="Arial"/>
          <w:sz w:val="24"/>
          <w:color w:val="black"/>
        </w:rPr>
        <w:t xml:space="preserve">2. Suministrar mediante el canal dedicado a la Policía Nacional, en las tramas, la información que sea solicitada por la Policía Nacional.</w:t>
      </w:r>
    </w:p>
    <w:p>
      <w:pPr>
        <w:jc w:val="both"/>
      </w:pPr>
      <w:rPr>
        <w:sz w:val="24"/>
        <w:color w:val="black"/>
      </w:rPr>
    </w:p>
    <w:p>
      <w:pPr>
        <w:jc w:val="both"/>
      </w:pPr>
      <w:r>
        <w:rPr>
          <w:rFonts w:hAnsi="Arial"/>
          <w:rFonts w:ascii="Arial"/>
          <w:sz w:val="24"/>
          <w:color w:val="black"/>
        </w:rPr>
        <w:t xml:space="preserve">3. Suministrar un equipo servidor con su correspondiente proceso de recepción de la información requerida por la Policía Nacional, el cual deberá recibir las tramas de información reportadas por los dispositivos instalados en la maquinaria.</w:t>
      </w:r>
    </w:p>
    <w:p>
      <w:pPr>
        <w:jc w:val="both"/>
      </w:pPr>
      <w:rPr>
        <w:sz w:val="24"/>
        <w:color w:val="black"/>
      </w:rPr>
    </w:p>
    <w:p>
      <w:pPr>
        <w:jc w:val="both"/>
      </w:pPr>
      <w:r>
        <w:rPr>
          <w:rFonts w:hAnsi="Arial"/>
          <w:rFonts w:ascii="Arial"/>
          <w:sz w:val="24"/>
          <w:color w:val="black"/>
        </w:rPr>
        <w:t xml:space="preserve">4. Suministrar a la Policía Nacional, de manera permanente e ininterrumpida un servicio geográfico OGC (Open Geospatial Consortium), de la información que en tiempo real reportan los equipos instalados en la maquinaria a la plataforma de monitoreo que utiliza el proveedor del servicio y que sean solicitados por la Policía Nacional.</w:t>
      </w:r>
    </w:p>
    <w:p>
      <w:pPr>
        <w:jc w:val="both"/>
      </w:pPr>
      <w:rPr>
        <w:sz w:val="24"/>
        <w:color w:val="black"/>
      </w:rPr>
    </w:p>
    <w:p>
      <w:pPr>
        <w:jc w:val="both"/>
      </w:pPr>
      <w:r>
        <w:rPr>
          <w:rFonts w:hAnsi="Arial"/>
          <w:rFonts w:ascii="Arial"/>
          <w:sz w:val="24"/>
          <w:color w:val="black"/>
        </w:rPr>
        <w:t xml:space="preserve">5. Contar con los diferentes reportes de trazabilidad de la maquinaria, alojando esta información histórica en sus bases de datos, por un tiempo mínimo de un (1) año.</w:t>
      </w:r>
    </w:p>
    <w:p>
      <w:pPr>
        <w:jc w:val="both"/>
      </w:pPr>
      <w:rPr>
        <w:sz w:val="24"/>
        <w:color w:val="black"/>
      </w:rPr>
    </w:p>
    <w:p>
      <w:pPr>
        <w:jc w:val="both"/>
      </w:pPr>
      <w:r>
        <w:rPr>
          <w:rFonts w:hAnsi="Arial"/>
          <w:rFonts w:ascii="Arial"/>
          <w:sz w:val="24"/>
          <w:color w:val="black"/>
        </w:rPr>
        <w:t xml:space="preserve">6. La Policía Nacional, podrá en cualquier tiempo verificar la información anteriormente expuesta, con el fin de evaluar el funcionamiento y eficacia del sistema de monitoreo.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caso de incumplimiento a lo previsto en el presente artículo se dará aplicación a lo dispuesto en el artículo </w:t>
      </w:r>
      <w:r>
        <w:fldChar w:fldCharType="begin"/>
      </w:r>
      <w:r>
        <w:instrText>HYPERLINK "http://www.redjurista.com/document.aspx?ajcode=d1070015&amp;arts=2.2.6.6"</w:instrText>
      </w:r>
      <w:r>
        <w:fldChar w:fldCharType="separate"/>
      </w:r>
      <w:r>
        <w:rPr>
          <w:rFonts w:hAnsi="Arial"/>
          <w:rFonts w:ascii="Arial"/>
          <w:sz w:val="24"/>
          <w:u w:val="single"/>
          <w:color w:val="black"/>
        </w:rPr>
        <w:t>2.2.6.6.</w:t>
      </w:r>
      <w:r>
        <w:fldChar w:fldCharType="end"/>
      </w:r>
      <w:r>
        <w:rPr>
          <w:rFonts w:hAnsi="Arial"/>
          <w:rFonts w:ascii="Arial"/>
          <w:sz w:val="24"/>
          <w:u w:val="none"/>
          <w:color w:val="black"/>
        </w:rPr>
        <w:t xml:space="preserve">, del presente Título.</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156" w:name="2.2.6.13"/>
      <w:r>
        <w:rPr>
          <w:rFonts w:hAnsi="Arial"/>
          <w:rFonts w:ascii="Arial"/>
          <w:sz w:val="24"/>
          <w:color w:val="navy"/>
        </w:rPr>
        <w:t xml:space="preserve">ARTÍCULO 2.2.6.13. </w:t>
      </w:r>
      <w:r>
        <w:rPr>
          <w:rFonts w:hAnsi="Arial"/>
          <w:rFonts w:ascii="Arial"/>
          <w:sz w:val="24"/>
          <w:i/>
          <w:color w:val="navy"/>
        </w:rPr>
        <w:t xml:space="preserve">CONTROL DEL MERCURIO UTILIZADO EN ACTIVIDADES DE MINERÍA</w:t>
      </w:r>
      <w:r>
        <w:rPr>
          <w:rFonts w:hAnsi="Arial"/>
          <w:rFonts w:ascii="Arial"/>
          <w:sz w:val="24"/>
          <w:color w:val="navy"/>
        </w:rPr>
        <w:t>.</w:t>
      </w:r>
      <w:bookmarkEnd w:id="60156"/>
      <w:r>
        <w:rPr>
          <w:rFonts w:hAnsi="Arial"/>
          <w:rFonts w:ascii="Arial"/>
          <w:sz w:val="24"/>
          <w:b/>
          <w:color w:val="black"/>
        </w:rPr>
        <w:t xml:space="preserve"> </w:t>
      </w:r>
      <w:r>
        <w:rPr>
          <w:rFonts w:hAnsi="Arial"/>
          <w:rFonts w:ascii="Arial"/>
          <w:sz w:val="24"/>
          <w:color w:val="black"/>
        </w:rPr>
        <w:t xml:space="preserve">La fuerza pública tendrá acceso a la información contenida en el registro único nacional de importadores y comercializadores autorizados de mercurio de que tratan los artículos </w:t>
      </w:r>
      <w:r>
        <w:fldChar w:fldCharType="begin"/>
      </w:r>
      <w:r>
        <w:instrText>HYPERLINK "http://www.redjurista.com/document.aspx?ajcode=l1658013&amp;arts=4"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y </w:t>
      </w:r>
      <w:r>
        <w:fldChar w:fldCharType="begin"/>
      </w:r>
      <w:r>
        <w:instrText>HYPERLINK "http://www.redjurista.com/document.aspx?ajcode=l1658013&amp;arts=5"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1658 de 2013.</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157" w:name="2.2.6.14"/>
      <w:r>
        <w:rPr>
          <w:rFonts w:hAnsi="Arial"/>
          <w:rFonts w:ascii="Arial"/>
          <w:sz w:val="24"/>
          <w:color w:val="navy"/>
        </w:rPr>
        <w:t xml:space="preserve">ARTÍCULO 2.2.6.14. </w:t>
      </w:r>
      <w:r>
        <w:rPr>
          <w:rFonts w:hAnsi="Arial"/>
          <w:rFonts w:ascii="Arial"/>
          <w:sz w:val="24"/>
          <w:i/>
          <w:color w:val="navy"/>
        </w:rPr>
        <w:t xml:space="preserve">SOLICITUDES EN TRÁMITE</w:t>
      </w:r>
      <w:r>
        <w:rPr>
          <w:rFonts w:hAnsi="Arial"/>
          <w:rFonts w:ascii="Arial"/>
          <w:sz w:val="24"/>
          <w:color w:val="navy"/>
        </w:rPr>
        <w:t>.</w:t>
      </w:r>
      <w:bookmarkEnd w:id="60157"/>
      <w:r>
        <w:rPr>
          <w:rFonts w:hAnsi="Arial"/>
          <w:rFonts w:ascii="Arial"/>
          <w:sz w:val="24"/>
          <w:b/>
          <w:color w:val="black"/>
        </w:rPr>
        <w:t xml:space="preserve"> </w:t>
      </w:r>
      <w:r>
        <w:rPr>
          <w:rFonts w:hAnsi="Arial"/>
          <w:rFonts w:ascii="Arial"/>
          <w:sz w:val="24"/>
          <w:color w:val="black"/>
        </w:rPr>
        <w:t xml:space="preserve">Las personas naturales o jurídicas que tuvieran radicadas solicitudes al día 10 de abril de 2014 en cumplimiento del artículo </w:t>
      </w:r>
      <w:r>
        <w:fldChar w:fldCharType="begin"/>
      </w:r>
      <w:r>
        <w:instrText>HYPERLINK "http://www.redjurista.com/document.aspx?ajcode=d2261012&amp;arts=2"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Decreto 2261 de 2012 no requerirán de dicha autorización y, por lo tanto, las solicitudes en trámite serán objeto de archivo.</w:t>
      </w:r>
    </w:p>
    <w:p>
      <w:pPr>
        <w:jc w:val="both"/>
      </w:pPr>
      <w:rPr>
        <w:sz w:val="24"/>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158" w:name="2.2.6.15"/>
      <w:r>
        <w:rPr>
          <w:rFonts w:hAnsi="Arial"/>
          <w:rFonts w:ascii="Arial"/>
          <w:sz w:val="24"/>
          <w:color w:val="navy"/>
        </w:rPr>
        <w:t xml:space="preserve">ARTÍCULO 2.2.6.15. </w:t>
      </w:r>
      <w:r>
        <w:rPr>
          <w:rFonts w:hAnsi="Arial"/>
          <w:rFonts w:ascii="Arial"/>
          <w:sz w:val="24"/>
          <w:i/>
          <w:color w:val="navy"/>
        </w:rPr>
        <w:t xml:space="preserve">INSTALACIÓN DEL SISTEMA DE MONITOREO</w:t>
      </w:r>
      <w:r>
        <w:rPr>
          <w:rFonts w:hAnsi="Arial"/>
          <w:rFonts w:ascii="Arial"/>
          <w:sz w:val="24"/>
          <w:color w:val="navy"/>
        </w:rPr>
        <w:t>.</w:t>
      </w:r>
      <w:bookmarkEnd w:id="60158"/>
      <w:r>
        <w:rPr>
          <w:rFonts w:hAnsi="Arial"/>
          <w:rFonts w:ascii="Arial"/>
          <w:sz w:val="24"/>
          <w:b/>
          <w:color w:val="black"/>
        </w:rPr>
        <w:t xml:space="preserve"> </w:t>
      </w:r>
      <w:r>
        <w:rPr>
          <w:rFonts w:hAnsi="Arial"/>
          <w:rFonts w:ascii="Arial"/>
          <w:sz w:val="24"/>
          <w:color w:val="black"/>
        </w:rPr>
        <w:t xml:space="preserve">La instalación del sistema de monitoreo de que trata el artículo </w:t>
      </w:r>
      <w:r>
        <w:fldChar w:fldCharType="begin"/>
      </w:r>
      <w:r>
        <w:instrText>HYPERLINK "http://www.redjurista.com/document.aspx?ajcode=d1070015&amp;arts=2.2.6.6"</w:instrText>
      </w:r>
      <w:r>
        <w:fldChar w:fldCharType="separate"/>
      </w:r>
      <w:r>
        <w:rPr>
          <w:rFonts w:hAnsi="Arial"/>
          <w:rFonts w:ascii="Arial"/>
          <w:sz w:val="24"/>
          <w:u w:val="single"/>
          <w:color w:val="black"/>
        </w:rPr>
        <w:t>2.2.6.6.</w:t>
      </w:r>
      <w:r>
        <w:fldChar w:fldCharType="end"/>
      </w:r>
      <w:r>
        <w:rPr>
          <w:rFonts w:hAnsi="Arial"/>
          <w:rFonts w:ascii="Arial"/>
          <w:sz w:val="24"/>
          <w:u w:val="none"/>
          <w:color w:val="black"/>
        </w:rPr>
        <w:t xml:space="preserve">, del presente Título deberá ser exigido por la Policía Fiscal Aduanera de la Dirección de Impuestos y Aduanas Nacionales - DIAN, con posterioridad a la autorización de levante de la maquinaria.</w:t>
      </w:r>
    </w:p>
    <w:p>
      <w:pPr>
        <w:jc w:val="both"/>
      </w:pPr>
      <w:rPr>
        <w:sz w:val="24"/>
        <w:color w:val="black"/>
      </w:rPr>
    </w:p>
    <w:p>
      <w:pPr>
        <w:jc w:val="both"/>
      </w:pPr>
      <w:r>
        <w:rPr>
          <w:rFonts w:hAnsi="Arial"/>
          <w:rFonts w:ascii="Arial"/>
          <w:sz w:val="24"/>
          <w:color w:val="black"/>
        </w:rPr>
        <w:t xml:space="preserve">El Ministerio de Transporte, reglamentará el registro de la maquinaria clasificable en las subpartidas 8429.11.00.00, 8429.19.00.00, 8429.51.00.00, 8429.52.00.00, 8429.59.00.00 y 8905.10.00.00, que haya ingresado a territorio colombiano con anterioridad al 2 de noviembre de 2012.</w:t>
      </w:r>
    </w:p>
    <w:p>
      <w:pPr>
        <w:jc w:val="both"/>
      </w:pPr>
      <w:rPr>
        <w:color w:val="black"/>
      </w:rPr>
    </w:p>
    <w:p>
      <w:pPr>
        <w:jc w:val="both"/>
      </w:pPr>
      <w:r>
        <w:rPr>
          <w:rFonts w:hAnsi="Arial"/>
          <w:rFonts w:ascii="Arial"/>
          <w:sz w:val="24"/>
          <w:i/>
          <w:color w:val="black"/>
        </w:rPr>
        <w:t xml:space="preserve">(Decreto 723 de 2014, artículo </w:t>
      </w:r>
      <w:r>
        <w:fldChar w:fldCharType="begin"/>
      </w:r>
      <w:r>
        <w:instrText>HYPERLINK "http://www.redjurista.com/document.aspx?ajcode=d0723014&amp;arts=15"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rPr>
        <w:sz w:val="24"/>
        <w:color w:val="black"/>
      </w:rPr>
    </w:p>
    <w:p>
      <w:pPr>
        <w:jc w:val="center"/>
        <w:outlineLvl w:val="1"/>
      </w:pPr>
      <w:r>
        <w:rPr>
          <w:rFonts w:hAnsi="Arial"/>
          <w:rFonts w:ascii="Arial"/>
          <w:sz w:val="24"/>
          <w:vanish/>
          <w:color w:val="black"/>
        </w:rPr>
        <w:t>&amp;$</w:t>
      </w:r>
      <w:bookmarkStart w:id="60159" w:name="TÍTULO 2.2.7"/>
      <w:r>
        <w:rPr>
          <w:rFonts w:hAnsi="Arial"/>
          <w:rFonts w:ascii="Arial"/>
          <w:sz w:val="24"/>
          <w:color w:val="navy"/>
        </w:rPr>
        <w:t xml:space="preserve">TÍTULO 7.</w:t>
      </w:r>
    </w:p>
    <w:p>
      <w:pPr>
        <w:jc w:val="center"/>
        <w:outlineLvl w:val="1"/>
      </w:pPr>
      <w:r>
        <w:rPr>
          <w:rFonts w:hAnsi="Arial"/>
          <w:rFonts w:ascii="Arial"/>
          <w:sz w:val="24"/>
          <w:color w:val="navy"/>
        </w:rPr>
        <w:t xml:space="preserve">POR MEDIO DEL CUAL SE REGLAMENTA LA LEY 1699 DEL 27 DE DICIEMBRE DE 2013 SOBRE BENEFICIOS PARA LOS DISCAPACITADOS, VIUDAS, HUÉRFANOS O PADRES DE LOS MIEMBROS DE LA FUERZA PÚBLICA Y SE DICTAN OTRAS DISPOSICIONES.</w:t>
      </w:r>
      <w:bookmarkEnd w:id="60159"/>
      <w:r>
        <w:rPr>
          <w:rFonts w:hAnsi="Arial"/>
          <w:rFonts w:ascii="Arial"/>
          <w:sz w:val="24"/>
          <w:color w:val="black"/>
        </w:rPr>
        <w:t xml:space="preserve"> </w:t>
      </w:r>
    </w:p>
    <w:p>
      <w:pPr>
        <w:jc w:val="both"/>
      </w:pPr>
      <w:rPr>
        <w:color w:val="black"/>
      </w:rPr>
    </w:p>
    <w:p>
      <w:pPr>
        <w:jc w:val="center"/>
        <w:outlineLvl w:val="1"/>
      </w:pPr>
      <w:r>
        <w:rPr>
          <w:rFonts w:hAnsi="Arial"/>
          <w:rFonts w:ascii="Arial"/>
          <w:sz w:val="24"/>
          <w:vanish/>
          <w:color w:val="black"/>
        </w:rPr>
        <w:t>&amp;$</w:t>
      </w:r>
      <w:bookmarkStart w:id="60160" w:name="CAPÍTULO 2.2.7.1"/>
      <w:r>
        <w:rPr>
          <w:rFonts w:hAnsi="Arial"/>
          <w:rFonts w:ascii="Arial"/>
          <w:sz w:val="24"/>
          <w:color w:val="navy"/>
        </w:rPr>
        <w:t xml:space="preserve">CAPÍTULO I. </w:t>
      </w:r>
    </w:p>
    <w:p>
      <w:pPr>
        <w:jc w:val="center"/>
        <w:outlineLvl w:val="1"/>
      </w:pPr>
      <w:r>
        <w:rPr>
          <w:rFonts w:hAnsi="Arial"/>
          <w:rFonts w:ascii="Arial"/>
          <w:sz w:val="24"/>
          <w:color w:val="navy"/>
        </w:rPr>
        <w:t>GENERALIDADES.</w:t>
      </w:r>
      <w:bookmarkEnd w:id="6016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61" w:name="2.2.7.1.1"/>
      <w:r>
        <w:rPr>
          <w:rFonts w:hAnsi="Arial"/>
          <w:rFonts w:ascii="Arial"/>
          <w:sz w:val="24"/>
          <w:color w:val="navy"/>
        </w:rPr>
        <w:t xml:space="preserve">ARTÍCULO 2.2.7.1.1. </w:t>
      </w:r>
      <w:r>
        <w:rPr>
          <w:rFonts w:hAnsi="Arial"/>
          <w:rFonts w:ascii="Arial"/>
          <w:sz w:val="24"/>
          <w:i/>
          <w:color w:val="navy"/>
        </w:rPr>
        <w:t xml:space="preserve">ACREDITACIÓN DE LA CALIDAD DE BENEFICIARIO</w:t>
      </w:r>
      <w:r>
        <w:rPr>
          <w:rFonts w:hAnsi="Arial"/>
          <w:rFonts w:ascii="Arial"/>
          <w:sz w:val="24"/>
          <w:color w:val="navy"/>
        </w:rPr>
        <w:t>.</w:t>
      </w:r>
      <w:bookmarkEnd w:id="601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La calidad de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será acreditada por medio de un carnet, el cual será solicitado por los beneficiarios y entregado sin costo alguno por el Ministerio de Defensa Nacional. En fiel y estricto cumplimiento del artículo </w:t>
      </w:r>
      <w:r>
        <w:fldChar w:fldCharType="begin"/>
      </w:r>
      <w:r>
        <w:instrText>HYPERLINK "http://www.redjurista.com/document.aspx?ajcode=l1699013&amp;arts=3"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1699 de 2013, el Grupo de Prestaciones Sociales de la Dirección Administrativa del Ministerio de Defensa Nacional y el Área de Prestaciones Sociales de la Policía Nacional determinaron el carnet como documento para la acreditación de la población beneficiaria.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Para todos los efectos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la presentación del carnet &lt;sic&gt; acreditará la calidad de beneficiario.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hijos de los miembros de la Fuerza Pública fallecidos, según el numeral 1 del artículo </w:t>
      </w:r>
      <w:r>
        <w:fldChar w:fldCharType="begin"/>
      </w:r>
      <w:r>
        <w:instrText>HYPERLINK "http://www.redjurista.com/document.aspx?ajcode=l1699013&amp;arts=2"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 la Ley 1699 de 2013, perderán su calidad de beneficiarios al cumplir los veinticinco (25) años de edad; con excepción del beneficio en educación establecido en el artículo 4o de la citada ley; condicionado lo anterior a que se les haya otorgado el crédito educativo previo al cumplimiento de los veinticinco (25) años de edad, y que se encuentren estudiando el programa por el cual les fue otorgado el crédito.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En caso de cualquier uso o destino indebido del documento de acreditación, o su utilización por cualquier persona diferente a su titular, dará lugar a la cancelación de la acreditación como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w:t>
      </w:r>
    </w:p>
    <w:p>
      <w:pPr>
        <w:jc w:val="both"/>
      </w:pPr>
      <w:rPr>
        <w:color w:val="black"/>
      </w:rPr>
    </w:p>
    <w:p>
      <w:pPr>
        <w:jc w:val="both"/>
      </w:pPr>
      <w:r>
        <w:rPr>
          <w:rFonts w:hAnsi="Arial"/>
          <w:rFonts w:ascii="Arial"/>
          <w:sz w:val="24"/>
          <w:b/>
          <w:vanish/>
          <w:color w:val="black"/>
        </w:rPr>
        <w:t>&amp;$</w:t>
      </w:r>
      <w:bookmarkStart w:id="60162" w:name="2.2.7.1.2"/>
      <w:r>
        <w:rPr>
          <w:rFonts w:hAnsi="Arial"/>
          <w:rFonts w:ascii="Arial"/>
          <w:sz w:val="24"/>
          <w:color w:val="navy"/>
        </w:rPr>
        <w:t xml:space="preserve">ARTÍCULO 2.2.7.1.2. PERSONAL CON ASIGNACIÓN DE RETIRO.</w:t>
      </w:r>
      <w:bookmarkEnd w:id="60162"/>
      <w:r>
        <w:rPr>
          <w:rFonts w:hAnsi="Arial"/>
          <w:rFonts w:ascii="Arial"/>
          <w:sz w:val="24"/>
          <w:color w:val="black"/>
        </w:rPr>
        <w:t xml:space="preserve"> &lt;Artículo adicionado por el artículo </w:t>
      </w:r>
      <w:r>
        <w:fldChar w:fldCharType="begin"/>
      </w:r>
      <w:r>
        <w:instrText>HYPERLINK "http://www.redjurista.com/document.aspx?ajcode=d1345020&amp;arts=1"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1345 de 2020. El nuevo texto es el siguiente:&gt; Tendrán derecho a los beneficios consagrados en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los miembros de la Fuerza Pública con asignación de retiro que tengan una disminución de la capacidad psicofísica superior al 50% únicamente por hechos o actos ocurridos por causa y razón del mismo, o por acción directa del enemigo o en combate, previa acreditación acorde a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y a su Decreto Reglamentario </w:t>
      </w:r>
      <w:r>
        <w:fldChar w:fldCharType="begin"/>
      </w:r>
      <w:r>
        <w:instrText>HYPERLINK "http://www.redjurista.com/document.aspx?ajcode=d2092015&amp;arts=INICIO"</w:instrText>
      </w:r>
      <w:r>
        <w:fldChar w:fldCharType="separate"/>
      </w:r>
      <w:r>
        <w:rPr>
          <w:rFonts w:hAnsi="Arial"/>
          <w:rFonts w:ascii="Arial"/>
          <w:sz w:val="24"/>
          <w:u w:val="single"/>
          <w:color w:val="black"/>
        </w:rPr>
        <w:t>2092</w:t>
      </w:r>
      <w:r>
        <w:fldChar w:fldCharType="end"/>
      </w:r>
      <w:r>
        <w:rPr>
          <w:rFonts w:hAnsi="Arial"/>
          <w:rFonts w:ascii="Arial"/>
          <w:sz w:val="24"/>
          <w:u w:val="none"/>
          <w:color w:val="black"/>
        </w:rPr>
        <w:t xml:space="preserve"> de 2015 o la normas que la adicione, modifiquen o sustituyan.</w:t>
      </w:r>
    </w:p>
    <w:p>
      <w:pPr>
        <w:jc w:val="both"/>
      </w:pPr>
      <w:rPr>
        <w:color w:val="black"/>
      </w:rPr>
    </w:p>
    <w:p>
      <w:pPr>
        <w:jc w:val="center"/>
        <w:outlineLvl w:val="1"/>
      </w:pPr>
      <w:r>
        <w:rPr>
          <w:rFonts w:hAnsi="Arial"/>
          <w:rFonts w:ascii="Arial"/>
          <w:sz w:val="24"/>
          <w:vanish/>
          <w:color w:val="black"/>
        </w:rPr>
        <w:t>&amp;$</w:t>
      </w:r>
      <w:bookmarkStart w:id="60163" w:name="CAPÍTULO 2.2.7.2"/>
      <w:r>
        <w:rPr>
          <w:rFonts w:hAnsi="Arial"/>
          <w:rFonts w:ascii="Arial"/>
          <w:sz w:val="24"/>
          <w:color w:val="navy"/>
        </w:rPr>
        <w:t xml:space="preserve">CAPÍTULO II. </w:t>
      </w:r>
    </w:p>
    <w:p>
      <w:pPr>
        <w:jc w:val="center"/>
        <w:outlineLvl w:val="1"/>
      </w:pPr>
      <w:r>
        <w:rPr>
          <w:rFonts w:hAnsi="Arial"/>
          <w:rFonts w:ascii="Arial"/>
          <w:sz w:val="24"/>
          <w:color w:val="navy"/>
        </w:rPr>
        <w:t xml:space="preserve">BENEFICIOS EN EDUCACIÓN.</w:t>
      </w:r>
      <w:bookmarkEnd w:id="6016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64" w:name="2.2.7.2.1"/>
      <w:r>
        <w:rPr>
          <w:rFonts w:hAnsi="Arial"/>
          <w:rFonts w:ascii="Arial"/>
          <w:sz w:val="24"/>
          <w:color w:val="navy"/>
        </w:rPr>
        <w:t xml:space="preserve">ARTÍCULO 2.2.7.2.1. </w:t>
      </w:r>
      <w:r>
        <w:rPr>
          <w:rFonts w:hAnsi="Arial"/>
          <w:rFonts w:ascii="Arial"/>
          <w:sz w:val="24"/>
          <w:i/>
          <w:color w:val="navy"/>
        </w:rPr>
        <w:t xml:space="preserve">FONDO EN ADMINISTRACIÓN</w:t>
      </w:r>
      <w:r>
        <w:rPr>
          <w:rFonts w:hAnsi="Arial"/>
          <w:rFonts w:ascii="Arial"/>
          <w:sz w:val="24"/>
          <w:color w:val="navy"/>
        </w:rPr>
        <w:t>.</w:t>
      </w:r>
      <w:bookmarkEnd w:id="601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Se creará un Fondo en Administración mediante un convenio, suscrito entre el Ministerio de Defensa Nacional y el Icetex, cuyo fin principal será el otorgamiento de créditos educativos para financiar estudios de pregrado o de educación para el trabajo y desarrollo humano, –única y exclusivamente– para las personas establecidas como beneficiarias en el artículo </w:t>
      </w:r>
      <w:r>
        <w:fldChar w:fldCharType="begin"/>
      </w:r>
      <w:r>
        <w:instrText>HYPERLINK "http://www.redjurista.com/document.aspx?ajcode=l1699013&amp;arts=2"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1699 de 2013; y que se encuentren en cualquiera de los estratos socioeconómicos definidos como uno (1), dos (2) y tres (3) conforme a lo dispuesto en el artículo </w:t>
      </w:r>
      <w:r>
        <w:fldChar w:fldCharType="begin"/>
      </w:r>
      <w:r>
        <w:instrText>HYPERLINK "http://www.redjurista.com/document.aspx?ajcode=l1699013&amp;arts=4"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citada ley, el presente Decreto y demás documentos que hagan parte del Fondo.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Defensa Nacional y el Icetex conformarán una Junta Administradora en el convenio y estará conformado por dos (2) representantes designados por el Ministerio y un (1) representante designado por el Icetex con el fin de realizar actividades de toma de decisiones, emisión de directrices y control para garantizar el debido manejo de la administración y destinación de los recursos por parte del Ministerio al Fondo durante la vigencia del convenio. </w:t>
      </w:r>
    </w:p>
    <w:p>
      <w:pPr>
        <w:jc w:val="both"/>
        <w:outlineLvl w:val="1"/>
      </w:pPr>
      <w:rPr>
        <w:sz w:val="24"/>
        <w:b/>
        <w:color w:val="black"/>
      </w:rPr>
    </w:p>
    <w:p>
      <w:pPr>
        <w:jc w:val="both"/>
        <w:outlineLvl w:val="1"/>
      </w:pPr>
      <w:r>
        <w:rPr>
          <w:rFonts w:hAnsi="Arial"/>
          <w:rFonts w:ascii="Arial"/>
          <w:sz w:val="24"/>
          <w:color w:val="black"/>
        </w:rPr>
        <w:t xml:space="preserve">El Ministerio de Educación Nacional será invitado permanente a las sesiones que adelante la Junta Administradora de que trata el presente artículo. </w:t>
      </w:r>
    </w:p>
    <w:p>
      <w:pPr>
        <w:jc w:val="both"/>
      </w:pPr>
      <w:rPr>
        <w:color w:val="black"/>
      </w:rPr>
    </w:p>
    <w:p>
      <w:pPr>
        <w:jc w:val="both"/>
        <w:outlineLvl w:val="1"/>
      </w:pPr>
      <w:r>
        <w:rPr>
          <w:rFonts w:hAnsi="Arial"/>
          <w:rFonts w:ascii="Arial"/>
          <w:sz w:val="24"/>
          <w:b/>
          <w:vanish/>
          <w:color w:val="black"/>
        </w:rPr>
        <w:t>&amp;$</w:t>
      </w:r>
      <w:bookmarkStart w:id="60165" w:name="2.2.7.2.2"/>
      <w:r>
        <w:rPr>
          <w:rFonts w:hAnsi="Arial"/>
          <w:rFonts w:ascii="Arial"/>
          <w:sz w:val="24"/>
          <w:color w:val="navy"/>
        </w:rPr>
        <w:t xml:space="preserve">ARTÍCULO 2.2.7.2.2. </w:t>
      </w:r>
      <w:r>
        <w:rPr>
          <w:rFonts w:hAnsi="Arial"/>
          <w:rFonts w:ascii="Arial"/>
          <w:sz w:val="24"/>
          <w:i/>
          <w:color w:val="navy"/>
        </w:rPr>
        <w:t>CONVOCATORIA</w:t>
      </w:r>
      <w:r>
        <w:rPr>
          <w:rFonts w:hAnsi="Arial"/>
          <w:rFonts w:ascii="Arial"/>
          <w:sz w:val="24"/>
          <w:color w:val="navy"/>
        </w:rPr>
        <w:t>.</w:t>
      </w:r>
      <w:bookmarkEnd w:id="601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Previo al proceso de selección para la asignación de los créditos, se realizará la respectiva convocatoria la cual estará a cargo del Icetex de acuerdo con los términos señalados en el reglamento operativo del fondo. En este sentido, la publicación de la convocatoria se hará a través de los medios de comunicación que disponga la Junta Administradora del Fondo.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personas que se presenten a la convocatoria y no sean seleccionadas, podrán participar nuevamente en los futuros procesos de selección que se adelanten. </w:t>
      </w:r>
    </w:p>
    <w:p>
      <w:pPr>
        <w:jc w:val="both"/>
      </w:pPr>
      <w:rPr>
        <w:color w:val="black"/>
      </w:rPr>
    </w:p>
    <w:p>
      <w:pPr>
        <w:jc w:val="both"/>
        <w:outlineLvl w:val="1"/>
      </w:pPr>
      <w:r>
        <w:rPr>
          <w:rFonts w:hAnsi="Arial"/>
          <w:rFonts w:ascii="Arial"/>
          <w:sz w:val="24"/>
          <w:b/>
          <w:vanish/>
          <w:color w:val="black"/>
        </w:rPr>
        <w:t>&amp;$</w:t>
      </w:r>
      <w:bookmarkStart w:id="60166" w:name="2.2.7.2.3"/>
      <w:r>
        <w:rPr>
          <w:rFonts w:hAnsi="Arial"/>
          <w:rFonts w:ascii="Arial"/>
          <w:sz w:val="24"/>
          <w:color w:val="navy"/>
        </w:rPr>
        <w:t xml:space="preserve">ARTÍCULO 2.2.7.2.3. </w:t>
      </w:r>
      <w:r>
        <w:rPr>
          <w:rFonts w:hAnsi="Arial"/>
          <w:rFonts w:ascii="Arial"/>
          <w:sz w:val="24"/>
          <w:i/>
          <w:color w:val="navy"/>
        </w:rPr>
        <w:t xml:space="preserve">CRÉDITO EDUCATIVO</w:t>
      </w:r>
      <w:r>
        <w:rPr>
          <w:rFonts w:hAnsi="Arial"/>
          <w:rFonts w:ascii="Arial"/>
          <w:sz w:val="24"/>
          <w:color w:val="navy"/>
        </w:rPr>
        <w:t>.</w:t>
      </w:r>
      <w:bookmarkEnd w:id="601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crédito educativo será condonable en un noventa por ciento (90%) y estará compuesto por los siguientes rubros: </w:t>
      </w:r>
      <w:r>
        <w:rPr>
          <w:rFonts w:hAnsi="Arial"/>
          <w:rFonts w:ascii="Arial"/>
          <w:sz w:val="24"/>
          <w:b/>
          <w:u w:val="none"/>
          <w:color w:val="black"/>
        </w:rPr>
        <w:t>I</w:t>
      </w:r>
      <w:r>
        <w:rPr>
          <w:rFonts w:hAnsi="Arial"/>
          <w:rFonts w:ascii="Arial"/>
          <w:sz w:val="24"/>
          <w:u w:val="none"/>
          <w:color w:val="black"/>
        </w:rPr>
        <w:t xml:space="preserve">. Matrícula por período académico a cursar; </w:t>
      </w:r>
      <w:r>
        <w:rPr>
          <w:rFonts w:hAnsi="Arial"/>
          <w:rFonts w:ascii="Arial"/>
          <w:sz w:val="24"/>
          <w:b/>
          <w:u w:val="none"/>
          <w:color w:val="black"/>
        </w:rPr>
        <w:t>II</w:t>
      </w:r>
      <w:r>
        <w:rPr>
          <w:rFonts w:hAnsi="Arial"/>
          <w:rFonts w:ascii="Arial"/>
          <w:sz w:val="24"/>
          <w:u w:val="none"/>
          <w:color w:val="black"/>
        </w:rPr>
        <w:t xml:space="preserve">. Apoyo de sostenimiento semestral, valor que se girará directamente al beneficiario del crédito; </w:t>
      </w:r>
      <w:r>
        <w:rPr>
          <w:rFonts w:hAnsi="Arial"/>
          <w:rFonts w:ascii="Arial"/>
          <w:sz w:val="24"/>
          <w:b/>
          <w:u w:val="none"/>
          <w:color w:val="black"/>
        </w:rPr>
        <w:t>III</w:t>
      </w:r>
      <w:r>
        <w:rPr>
          <w:rFonts w:hAnsi="Arial"/>
          <w:rFonts w:ascii="Arial"/>
          <w:sz w:val="24"/>
          <w:u w:val="none"/>
          <w:color w:val="black"/>
        </w:rPr>
        <w:t xml:space="preserve">. Derechos de grado, en caso que aplique; </w:t>
      </w:r>
      <w:r>
        <w:rPr>
          <w:rFonts w:hAnsi="Arial"/>
          <w:rFonts w:ascii="Arial"/>
          <w:sz w:val="24"/>
          <w:b/>
          <w:u w:val="none"/>
          <w:color w:val="black"/>
        </w:rPr>
        <w:t>IV</w:t>
      </w:r>
      <w:r>
        <w:rPr>
          <w:rFonts w:hAnsi="Arial"/>
          <w:rFonts w:ascii="Arial"/>
          <w:sz w:val="24"/>
          <w:u w:val="none"/>
          <w:color w:val="black"/>
        </w:rPr>
        <w:t xml:space="preserve">. El valor de la prima de garantía para amparar los riesgos de muerte, invalidez física o mental, total y permanente del beneficiario.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Junta Administradora del Fondo determinará en cada convocatoria el monto máximo de la matrícula a ser reconocido por cada beneficiario.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Por cada beneficiario solo se otorgará un crédito, en virtud del Fondo.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El Fondo cubrirá la totalidad del programa académico, incluso los períodos adicionales, de ser necesario, que en todo caso no podrán superar el equivalente a un (1) año.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El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al cual se le haya adjudicado un crédito mediante el Fondo en Administración creado entre el Ministerio de Defensa y el Icetex, tendrá derecho a acceder a los cuatro rubros estipulados en el artículo </w:t>
      </w:r>
      <w:r>
        <w:fldChar w:fldCharType="begin"/>
      </w:r>
      <w:r>
        <w:instrText>HYPERLINK "http://www.redjurista.com/document.aspx?ajcode=d1070015&amp;arts=2.2.7.2.3"</w:instrText>
      </w:r>
      <w:r>
        <w:fldChar w:fldCharType="separate"/>
      </w:r>
      <w:r>
        <w:rPr>
          <w:rFonts w:hAnsi="Arial"/>
          <w:rFonts w:ascii="Arial"/>
          <w:sz w:val="24"/>
          <w:u w:val="single"/>
          <w:color w:val="black"/>
        </w:rPr>
        <w:t>2.2.7.2.3</w:t>
      </w:r>
      <w:r>
        <w:fldChar w:fldCharType="end"/>
      </w:r>
      <w:r>
        <w:rPr>
          <w:rFonts w:hAnsi="Arial"/>
          <w:rFonts w:ascii="Arial"/>
          <w:sz w:val="24"/>
          <w:u w:val="none"/>
          <w:color w:val="black"/>
        </w:rPr>
        <w:t xml:space="preserve"> del presente decreto. </w:t>
      </w:r>
    </w:p>
    <w:p>
      <w:pPr>
        <w:jc w:val="both"/>
      </w:pPr>
      <w:rPr>
        <w:color w:val="black"/>
      </w:rPr>
    </w:p>
    <w:p>
      <w:pPr>
        <w:jc w:val="both"/>
        <w:outlineLvl w:val="1"/>
      </w:pPr>
      <w:r>
        <w:rPr>
          <w:rFonts w:hAnsi="Arial"/>
          <w:rFonts w:ascii="Arial"/>
          <w:sz w:val="24"/>
          <w:b/>
          <w:vanish/>
          <w:color w:val="black"/>
        </w:rPr>
        <w:t>&amp;$</w:t>
      </w:r>
      <w:bookmarkStart w:id="60167" w:name="2.2.7.2.4"/>
      <w:r>
        <w:rPr>
          <w:rFonts w:hAnsi="Arial"/>
          <w:rFonts w:ascii="Arial"/>
          <w:sz w:val="24"/>
          <w:color w:val="navy"/>
        </w:rPr>
        <w:t xml:space="preserve">ARTÍCULO 2.2.7.2.4. </w:t>
      </w:r>
      <w:r>
        <w:rPr>
          <w:rFonts w:hAnsi="Arial"/>
          <w:rFonts w:ascii="Arial"/>
          <w:sz w:val="24"/>
          <w:i/>
          <w:color w:val="navy"/>
        </w:rPr>
        <w:t xml:space="preserve">NÚMERO DE CRÉDITOS EDUCATIVOS A OTORGAR POR CADA ANUALIDAD Y ADJUDICACIÓN</w:t>
      </w:r>
      <w:r>
        <w:rPr>
          <w:rFonts w:hAnsi="Arial"/>
          <w:rFonts w:ascii="Arial"/>
          <w:sz w:val="24"/>
          <w:color w:val="navy"/>
        </w:rPr>
        <w:t>.</w:t>
      </w:r>
      <w:bookmarkEnd w:id="601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número de créditos educativos a otorgar por cada período académico estará sujeto a la disponibilidad de los recursos asignados al Fondo en cada anualidad. En este sentido, el proceso de adjudicación de los créditos estará a cargo de la Junta Administradora del Fondo, a partir de la selección y calificación realizada por el Icetex entre los aspirantes con mayores puntajes. Lo anterior hasta agotar el presupuesto disponible, protegiendo siempre la sostenibilidad de los cohortes y teniendo en cuenta los compromisos adquiridos por el Fondo. </w:t>
      </w:r>
    </w:p>
    <w:p>
      <w:pPr>
        <w:jc w:val="both"/>
      </w:pPr>
      <w:rPr>
        <w:color w:val="black"/>
      </w:rPr>
    </w:p>
    <w:p>
      <w:pPr>
        <w:jc w:val="both"/>
        <w:outlineLvl w:val="1"/>
      </w:pPr>
      <w:r>
        <w:rPr>
          <w:rFonts w:hAnsi="Arial"/>
          <w:rFonts w:ascii="Arial"/>
          <w:sz w:val="24"/>
          <w:b/>
          <w:vanish/>
          <w:color w:val="black"/>
        </w:rPr>
        <w:t>&amp;$</w:t>
      </w:r>
      <w:bookmarkStart w:id="60168" w:name="2.2.7.2.5"/>
      <w:r>
        <w:rPr>
          <w:rFonts w:hAnsi="Arial"/>
          <w:rFonts w:ascii="Arial"/>
          <w:sz w:val="24"/>
          <w:color w:val="navy"/>
        </w:rPr>
        <w:t xml:space="preserve">ARTÍCULO 2.2.7.2.5. </w:t>
      </w:r>
      <w:r>
        <w:rPr>
          <w:rFonts w:hAnsi="Arial"/>
          <w:rFonts w:ascii="Arial"/>
          <w:sz w:val="24"/>
          <w:i/>
          <w:color w:val="navy"/>
        </w:rPr>
        <w:t xml:space="preserve">REQUISITOS MÍNIMOS DE LOS ASPIRANTES A LOS CRÉDITOS EDUCATIVOS</w:t>
      </w:r>
      <w:r>
        <w:rPr>
          <w:rFonts w:hAnsi="Arial"/>
          <w:rFonts w:ascii="Arial"/>
          <w:sz w:val="24"/>
          <w:color w:val="navy"/>
        </w:rPr>
        <w:t>.</w:t>
      </w:r>
      <w:bookmarkEnd w:id="601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aspirantes a los créditos educativos deberán cumplir como mínimo con los siguientes requisitos: </w:t>
      </w:r>
    </w:p>
    <w:p>
      <w:pPr>
        <w:jc w:val="both"/>
        <w:outlineLvl w:val="1"/>
      </w:pPr>
      <w:rPr>
        <w:sz w:val="24"/>
        <w:b/>
        <w:color w:val="black"/>
      </w:rPr>
    </w:p>
    <w:p>
      <w:pPr>
        <w:jc w:val="both"/>
        <w:outlineLvl w:val="1"/>
      </w:pPr>
      <w:r>
        <w:rPr>
          <w:rFonts w:hAnsi="Arial"/>
          <w:rFonts w:ascii="Arial"/>
          <w:sz w:val="24"/>
          <w:color w:val="black"/>
        </w:rPr>
        <w:t xml:space="preserve">1. Estar acreditados como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mediante el carnet &lt;sic&gt; que expida el Ministerio de Defensa Nacional. </w:t>
      </w:r>
    </w:p>
    <w:p>
      <w:pPr>
        <w:jc w:val="both"/>
        <w:outlineLvl w:val="1"/>
      </w:pPr>
      <w:rPr>
        <w:sz w:val="24"/>
        <w:b/>
        <w:color w:val="black"/>
      </w:rPr>
    </w:p>
    <w:p>
      <w:pPr>
        <w:jc w:val="both"/>
        <w:outlineLvl w:val="1"/>
      </w:pPr>
      <w:r>
        <w:rPr>
          <w:rFonts w:hAnsi="Arial"/>
          <w:rFonts w:ascii="Arial"/>
          <w:sz w:val="24"/>
          <w:color w:val="black"/>
        </w:rPr>
        <w:t xml:space="preserve">2. Los beneficiarios deberán pertenecer a alguno de los estratos socioeconómicos definidos como uno (1), dos (2) o tres (3). </w:t>
      </w:r>
    </w:p>
    <w:p>
      <w:pPr>
        <w:jc w:val="both"/>
        <w:outlineLvl w:val="1"/>
      </w:pPr>
      <w:rPr>
        <w:sz w:val="24"/>
        <w:b/>
        <w:color w:val="black"/>
      </w:rPr>
    </w:p>
    <w:p>
      <w:pPr>
        <w:jc w:val="both"/>
        <w:outlineLvl w:val="1"/>
      </w:pPr>
      <w:r>
        <w:rPr>
          <w:rFonts w:hAnsi="Arial"/>
          <w:rFonts w:ascii="Arial"/>
          <w:sz w:val="24"/>
          <w:color w:val="black"/>
        </w:rPr>
        <w:t xml:space="preserve">3. En caso de pregrado, estar admitidos o matriculados en programas académicos de pregrado que cuenten con Registro Calificado vigente o programas de educación para el trabajo y el desarrollo humano registrados por las entidades certificadas en educación. </w:t>
      </w:r>
    </w:p>
    <w:p>
      <w:pPr>
        <w:jc w:val="both"/>
        <w:outlineLvl w:val="1"/>
      </w:pPr>
      <w:rPr>
        <w:sz w:val="24"/>
        <w:b/>
        <w:color w:val="black"/>
      </w:rPr>
    </w:p>
    <w:p>
      <w:pPr>
        <w:jc w:val="both"/>
        <w:outlineLvl w:val="1"/>
      </w:pPr>
      <w:r>
        <w:rPr>
          <w:rFonts w:hAnsi="Arial"/>
          <w:rFonts w:ascii="Arial"/>
          <w:sz w:val="24"/>
          <w:color w:val="black"/>
        </w:rPr>
        <w:t xml:space="preserve">4. Tener título de bachiller, en el caso de aspirantes para estudios de pregrado en educación superior. </w:t>
      </w:r>
    </w:p>
    <w:p>
      <w:pPr>
        <w:jc w:val="both"/>
        <w:outlineLvl w:val="1"/>
      </w:pPr>
      <w:rPr>
        <w:sz w:val="24"/>
        <w:b/>
        <w:color w:val="black"/>
      </w:rPr>
    </w:p>
    <w:p>
      <w:pPr>
        <w:jc w:val="both"/>
        <w:outlineLvl w:val="1"/>
      </w:pPr>
      <w:r>
        <w:rPr>
          <w:rFonts w:hAnsi="Arial"/>
          <w:rFonts w:ascii="Arial"/>
          <w:sz w:val="24"/>
          <w:color w:val="black"/>
        </w:rPr>
        <w:t xml:space="preserve">5. Cumplir con el grado mínimo de estudios según el programa académico al que desee ingresar el aspirante, en el caso de educación para el trabajo y desarrollo humano. </w:t>
      </w:r>
    </w:p>
    <w:p>
      <w:pPr>
        <w:jc w:val="both"/>
        <w:outlineLvl w:val="1"/>
      </w:pPr>
      <w:rPr>
        <w:sz w:val="24"/>
        <w:b/>
        <w:color w:val="black"/>
      </w:rPr>
    </w:p>
    <w:p>
      <w:pPr>
        <w:jc w:val="both"/>
        <w:outlineLvl w:val="1"/>
      </w:pPr>
      <w:r>
        <w:rPr>
          <w:rFonts w:hAnsi="Arial"/>
          <w:rFonts w:ascii="Arial"/>
          <w:sz w:val="24"/>
          <w:color w:val="black"/>
        </w:rPr>
        <w:t xml:space="preserve">6. Cumplir con los requisitos y aprobar los exámenes de admisión exigidos por la respectiva institución educativa. </w:t>
      </w:r>
    </w:p>
    <w:p>
      <w:pPr>
        <w:jc w:val="both"/>
        <w:outlineLvl w:val="1"/>
      </w:pPr>
      <w:rPr>
        <w:sz w:val="24"/>
        <w:b/>
        <w:color w:val="black"/>
      </w:rPr>
    </w:p>
    <w:p>
      <w:pPr>
        <w:jc w:val="both"/>
        <w:outlineLvl w:val="1"/>
      </w:pPr>
      <w:r>
        <w:rPr>
          <w:rFonts w:hAnsi="Arial"/>
          <w:rFonts w:ascii="Arial"/>
          <w:sz w:val="24"/>
          <w:color w:val="black"/>
        </w:rPr>
        <w:t xml:space="preserve">7. Inscribirse a través de la página web del Icetex dentro de los plazos, términos y condiciones señalados.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estudiantes que deseen acceder al Fondo y que ya hayan iniciado un programa académico, deben haber aprobado el período académico inmediatamente anterior. </w:t>
      </w:r>
    </w:p>
    <w:p>
      <w:pPr>
        <w:jc w:val="both"/>
      </w:pPr>
      <w:rPr>
        <w:color w:val="black"/>
      </w:rPr>
    </w:p>
    <w:p>
      <w:pPr>
        <w:jc w:val="both"/>
        <w:outlineLvl w:val="1"/>
      </w:pPr>
      <w:r>
        <w:rPr>
          <w:rFonts w:hAnsi="Arial"/>
          <w:rFonts w:ascii="Arial"/>
          <w:sz w:val="24"/>
          <w:vanish/>
          <w:color w:val="black"/>
        </w:rPr>
        <w:t>&amp;$</w:t>
      </w:r>
      <w:bookmarkStart w:id="60169" w:name="2.2.7.2.6"/>
      <w:r>
        <w:rPr>
          <w:rFonts w:hAnsi="Arial"/>
          <w:rFonts w:ascii="Arial"/>
          <w:sz w:val="24"/>
          <w:color w:val="navy"/>
        </w:rPr>
        <w:t xml:space="preserve">ARTÍCULO 2.2.7.2.6. CRITERIOS DE SELECCIÓN Y CALIFICACIÓN.</w:t>
      </w:r>
      <w:bookmarkEnd w:id="60169"/>
      <w:r>
        <w:rPr>
          <w:rFonts w:hAnsi="Arial"/>
          <w:rFonts w:ascii="Arial"/>
          <w:sz w:val="24"/>
          <w:color w:val="black"/>
        </w:rPr>
        <w:t xml:space="preserve"> &lt;Artículo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Todo el proceso de selección y calificación se llevará a cabo por el Icetex, a partir de las solicitudes recibidas y de acuerdo a los criterios que la Junta Administradora defina y señale en cada convocatoria. Lo anterior en cumplimiento con los siguientes criterios de selección que estarán estipulados en el reglamento operativo del Fondo tales como: </w:t>
      </w:r>
      <w:r>
        <w:rPr>
          <w:rFonts w:hAnsi="Arial"/>
          <w:rFonts w:ascii="Arial"/>
          <w:sz w:val="24"/>
          <w:b/>
          <w:u w:val="none"/>
          <w:color w:val="black"/>
        </w:rPr>
        <w:t>I</w:t>
      </w:r>
      <w:r>
        <w:rPr>
          <w:rFonts w:hAnsi="Arial"/>
          <w:rFonts w:ascii="Arial"/>
          <w:sz w:val="24"/>
          <w:u w:val="none"/>
          <w:color w:val="black"/>
        </w:rPr>
        <w:t xml:space="preserve">. Mérito académico. </w:t>
      </w:r>
      <w:r>
        <w:rPr>
          <w:rFonts w:hAnsi="Arial"/>
          <w:rFonts w:ascii="Arial"/>
          <w:sz w:val="24"/>
          <w:b/>
          <w:u w:val="none"/>
          <w:color w:val="black"/>
        </w:rPr>
        <w:t>II</w:t>
      </w:r>
      <w:r>
        <w:rPr>
          <w:rFonts w:hAnsi="Arial"/>
          <w:rFonts w:ascii="Arial"/>
          <w:sz w:val="24"/>
          <w:u w:val="none"/>
          <w:color w:val="black"/>
        </w:rPr>
        <w:t xml:space="preserve">. Nivel de formación académica. </w:t>
      </w:r>
      <w:r>
        <w:rPr>
          <w:rFonts w:hAnsi="Arial"/>
          <w:rFonts w:ascii="Arial"/>
          <w:sz w:val="24"/>
          <w:b/>
          <w:u w:val="none"/>
          <w:color w:val="black"/>
        </w:rPr>
        <w:t>III</w:t>
      </w:r>
      <w:r>
        <w:rPr>
          <w:rFonts w:hAnsi="Arial"/>
          <w:rFonts w:ascii="Arial"/>
          <w:sz w:val="24"/>
          <w:u w:val="none"/>
          <w:color w:val="black"/>
        </w:rPr>
        <w:t xml:space="preserve">. Estrato socioeconómico; y, </w:t>
      </w:r>
      <w:r>
        <w:rPr>
          <w:rFonts w:hAnsi="Arial"/>
          <w:rFonts w:ascii="Arial"/>
          <w:sz w:val="24"/>
          <w:b/>
          <w:u w:val="none"/>
          <w:color w:val="black"/>
        </w:rPr>
        <w:t>IV</w:t>
      </w:r>
      <w:r>
        <w:rPr>
          <w:rFonts w:hAnsi="Arial"/>
          <w:rFonts w:ascii="Arial"/>
          <w:sz w:val="24"/>
          <w:u w:val="none"/>
          <w:color w:val="black"/>
        </w:rPr>
        <w:t xml:space="preserve">. Carácter de la Institución Educativa.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Tratándose de aspirantes a cursar programas de pregrado, el mérito académico será evaluado por el Icetex teniendo como base los resultados que hayan obtenido estas personas en el examen de Estado de la Educación Media ICFES Saber 11. </w:t>
      </w:r>
    </w:p>
    <w:p>
      <w:pPr>
        <w:jc w:val="both"/>
      </w:pPr>
      <w:rPr>
        <w:color w:val="black"/>
      </w:rPr>
    </w:p>
    <w:p>
      <w:pPr>
        <w:jc w:val="both"/>
        <w:outlineLvl w:val="1"/>
      </w:pPr>
      <w:r>
        <w:rPr>
          <w:rFonts w:hAnsi="Arial"/>
          <w:rFonts w:ascii="Arial"/>
          <w:sz w:val="24"/>
          <w:b/>
          <w:vanish/>
          <w:color w:val="black"/>
        </w:rPr>
        <w:t>&amp;$</w:t>
      </w:r>
      <w:bookmarkStart w:id="60170" w:name="2.2.7.2.7"/>
      <w:r>
        <w:rPr>
          <w:rFonts w:hAnsi="Arial"/>
          <w:rFonts w:ascii="Arial"/>
          <w:sz w:val="24"/>
          <w:color w:val="navy"/>
        </w:rPr>
        <w:t xml:space="preserve">ARTÍCULO 2.2.7.2.7. </w:t>
      </w:r>
      <w:r>
        <w:rPr>
          <w:rFonts w:hAnsi="Arial"/>
          <w:rFonts w:ascii="Arial"/>
          <w:sz w:val="24"/>
          <w:i/>
          <w:color w:val="navy"/>
        </w:rPr>
        <w:t xml:space="preserve">LEGALIZACIÓN DEL CRÉDITO</w:t>
      </w:r>
      <w:r>
        <w:rPr>
          <w:rFonts w:hAnsi="Arial"/>
          <w:rFonts w:ascii="Arial"/>
          <w:sz w:val="24"/>
          <w:color w:val="navy"/>
        </w:rPr>
        <w:t>.</w:t>
      </w:r>
      <w:bookmarkEnd w:id="601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Adjudicados los créditos por la Junta Administradora del Fondo, los beneficiarios deberán legalizar su crédito a través del Icetex.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documentos exigidos para la legalización del crédito, se encontrarán señalados expresamente en el reglamento operativo del Fondo. </w:t>
      </w:r>
    </w:p>
    <w:p>
      <w:pPr>
        <w:jc w:val="both"/>
      </w:pPr>
      <w:rPr>
        <w:color w:val="black"/>
      </w:rPr>
    </w:p>
    <w:p>
      <w:pPr>
        <w:jc w:val="both"/>
        <w:outlineLvl w:val="1"/>
      </w:pPr>
      <w:r>
        <w:rPr>
          <w:rFonts w:hAnsi="Arial"/>
          <w:rFonts w:ascii="Arial"/>
          <w:sz w:val="24"/>
          <w:b/>
          <w:vanish/>
          <w:color w:val="black"/>
        </w:rPr>
        <w:t>&amp;$</w:t>
      </w:r>
      <w:bookmarkStart w:id="60171" w:name="2.2.7.2.8"/>
      <w:r>
        <w:rPr>
          <w:rFonts w:hAnsi="Arial"/>
          <w:rFonts w:ascii="Arial"/>
          <w:sz w:val="24"/>
          <w:color w:val="navy"/>
        </w:rPr>
        <w:t xml:space="preserve">ARTÍCULO 2.2.7.2.8. </w:t>
      </w:r>
      <w:r>
        <w:rPr>
          <w:rFonts w:hAnsi="Arial"/>
          <w:rFonts w:ascii="Arial"/>
          <w:sz w:val="24"/>
          <w:i/>
          <w:color w:val="navy"/>
        </w:rPr>
        <w:t xml:space="preserve">DURACIÓN DEL CRÉDITO EDUCATIVO</w:t>
      </w:r>
      <w:r>
        <w:rPr>
          <w:rFonts w:hAnsi="Arial"/>
          <w:rFonts w:ascii="Arial"/>
          <w:sz w:val="24"/>
          <w:color w:val="navy"/>
        </w:rPr>
        <w:t>.</w:t>
      </w:r>
      <w:bookmarkEnd w:id="601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crédito tendrá una duración equivalente a la totalidad del programa académico, incluso de los períodos adicionales si fuesen necesarios, que en todo caso no podrán superar un (1) año. </w:t>
      </w:r>
    </w:p>
    <w:p>
      <w:pPr>
        <w:jc w:val="both"/>
      </w:pPr>
      <w:rPr>
        <w:color w:val="black"/>
      </w:rPr>
    </w:p>
    <w:p>
      <w:pPr>
        <w:jc w:val="both"/>
        <w:outlineLvl w:val="1"/>
      </w:pPr>
      <w:r>
        <w:rPr>
          <w:rFonts w:hAnsi="Arial"/>
          <w:rFonts w:ascii="Arial"/>
          <w:sz w:val="24"/>
          <w:b/>
          <w:vanish/>
          <w:color w:val="black"/>
        </w:rPr>
        <w:t>&amp;$</w:t>
      </w:r>
      <w:bookmarkStart w:id="60172" w:name="2.2.7.2.9"/>
      <w:r>
        <w:rPr>
          <w:rFonts w:hAnsi="Arial"/>
          <w:rFonts w:ascii="Arial"/>
          <w:sz w:val="24"/>
          <w:color w:val="navy"/>
        </w:rPr>
        <w:t xml:space="preserve">ARTÍCULO 2.2.7.2.9. </w:t>
      </w:r>
      <w:r>
        <w:rPr>
          <w:rFonts w:hAnsi="Arial"/>
          <w:rFonts w:ascii="Arial"/>
          <w:sz w:val="24"/>
          <w:i/>
          <w:color w:val="navy"/>
        </w:rPr>
        <w:t xml:space="preserve">PROGRAMAS AUTORIZADOS</w:t>
      </w:r>
      <w:r>
        <w:rPr>
          <w:rFonts w:hAnsi="Arial"/>
          <w:rFonts w:ascii="Arial"/>
          <w:sz w:val="24"/>
          <w:color w:val="navy"/>
        </w:rPr>
        <w:t>.</w:t>
      </w:r>
      <w:bookmarkEnd w:id="601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Sin perjuicio de los demás requisitos establecidos en este Decreto, solo serán elegibles los aspirantes a cursar programas académicos de pregrado que cuenten con Registro Calificado vigente o programas de educación para el trabajo y desarrollo humano registrados por las entidades certificadas en educación. </w:t>
      </w:r>
    </w:p>
    <w:p>
      <w:pPr>
        <w:jc w:val="both"/>
      </w:pPr>
      <w:rPr>
        <w:color w:val="black"/>
      </w:rPr>
    </w:p>
    <w:p>
      <w:pPr>
        <w:jc w:val="both"/>
        <w:outlineLvl w:val="1"/>
      </w:pPr>
      <w:r>
        <w:rPr>
          <w:rFonts w:hAnsi="Arial"/>
          <w:rFonts w:ascii="Arial"/>
          <w:sz w:val="24"/>
          <w:b/>
          <w:vanish/>
          <w:color w:val="black"/>
        </w:rPr>
        <w:t>&amp;$</w:t>
      </w:r>
      <w:bookmarkStart w:id="60173" w:name="2.2.7.2.10"/>
      <w:r>
        <w:rPr>
          <w:rFonts w:hAnsi="Arial"/>
          <w:rFonts w:ascii="Arial"/>
          <w:sz w:val="24"/>
          <w:color w:val="navy"/>
        </w:rPr>
        <w:t xml:space="preserve">ARTÍCULO 2.2.7.2.10. </w:t>
      </w:r>
      <w:r>
        <w:rPr>
          <w:rFonts w:hAnsi="Arial"/>
          <w:rFonts w:ascii="Arial"/>
          <w:sz w:val="24"/>
          <w:i/>
          <w:color w:val="navy"/>
        </w:rPr>
        <w:t xml:space="preserve">RENOVACIÓN DEL CRÉDITO EDUCATIVO ANTE EL ICETEX</w:t>
      </w:r>
      <w:r>
        <w:rPr>
          <w:rFonts w:hAnsi="Arial"/>
          <w:rFonts w:ascii="Arial"/>
          <w:sz w:val="24"/>
          <w:color w:val="navy"/>
        </w:rPr>
        <w:t>.</w:t>
      </w:r>
      <w:bookmarkEnd w:id="60173"/>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efectos de la renovación de los créditos para un nuevo periodo académico, el beneficiario tendrá que actualizar la información y los datos que le sean solicitados dentro de los plazos establecidos. </w:t>
      </w:r>
    </w:p>
    <w:p>
      <w:pPr>
        <w:jc w:val="both"/>
      </w:pPr>
      <w:rPr>
        <w:color w:val="black"/>
      </w:rPr>
    </w:p>
    <w:p>
      <w:pPr>
        <w:jc w:val="both"/>
        <w:outlineLvl w:val="1"/>
      </w:pPr>
      <w:r>
        <w:rPr>
          <w:rFonts w:hAnsi="Arial"/>
          <w:rFonts w:ascii="Arial"/>
          <w:sz w:val="24"/>
          <w:b/>
          <w:vanish/>
          <w:color w:val="black"/>
        </w:rPr>
        <w:t>&amp;$</w:t>
      </w:r>
      <w:bookmarkStart w:id="60174" w:name="2.2.7.2.11"/>
      <w:r>
        <w:rPr>
          <w:rFonts w:hAnsi="Arial"/>
          <w:rFonts w:ascii="Arial"/>
          <w:sz w:val="24"/>
          <w:color w:val="navy"/>
        </w:rPr>
        <w:t xml:space="preserve">ARTÍCULO 2.2.7.2.11. </w:t>
      </w:r>
      <w:r>
        <w:rPr>
          <w:rFonts w:hAnsi="Arial"/>
          <w:rFonts w:ascii="Arial"/>
          <w:sz w:val="24"/>
          <w:i/>
          <w:color w:val="navy"/>
        </w:rPr>
        <w:t xml:space="preserve">DESEMBOLSO DE LOS CRÉDITOS EDUCATIVOS</w:t>
      </w:r>
      <w:r>
        <w:rPr>
          <w:rFonts w:hAnsi="Arial"/>
          <w:rFonts w:ascii="Arial"/>
          <w:sz w:val="24"/>
          <w:color w:val="navy"/>
        </w:rPr>
        <w:t>.</w:t>
      </w:r>
      <w:bookmarkEnd w:id="601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Icetex realizará directamente a favor de las instituciones de educación superior y las instituciones de educación para el trabajo y desarrollo humano el desembolso de los créditos por concepto de matrícula y derechos de grado (en caso que aplique al programa). Así mismo, girará directamente al beneficiario el valor por concepto de apoyo de sostenimiento, mediante el mecanismo de desembolso que establezca el Icetex. </w:t>
      </w:r>
    </w:p>
    <w:p>
      <w:pPr>
        <w:jc w:val="both"/>
      </w:pPr>
      <w:rPr>
        <w:color w:val="black"/>
      </w:rPr>
    </w:p>
    <w:p>
      <w:pPr>
        <w:jc w:val="both"/>
        <w:outlineLvl w:val="1"/>
      </w:pPr>
      <w:r>
        <w:rPr>
          <w:rFonts w:hAnsi="Arial"/>
          <w:rFonts w:ascii="Arial"/>
          <w:sz w:val="24"/>
          <w:b/>
          <w:vanish/>
          <w:color w:val="black"/>
        </w:rPr>
        <w:t>&amp;$</w:t>
      </w:r>
      <w:bookmarkStart w:id="60175" w:name="2.2.7.2.12"/>
      <w:r>
        <w:rPr>
          <w:rFonts w:hAnsi="Arial"/>
          <w:rFonts w:ascii="Arial"/>
          <w:sz w:val="24"/>
          <w:color w:val="navy"/>
        </w:rPr>
        <w:t xml:space="preserve">ARTÍCULO 2.2.7.2.12. </w:t>
      </w:r>
      <w:r>
        <w:rPr>
          <w:rFonts w:hAnsi="Arial"/>
          <w:rFonts w:ascii="Arial"/>
          <w:sz w:val="24"/>
          <w:i/>
          <w:color w:val="navy"/>
        </w:rPr>
        <w:t xml:space="preserve">CONDONACIÓN DE LOS CRÉDITOS EDUCATIVOS</w:t>
      </w:r>
      <w:r>
        <w:rPr>
          <w:rFonts w:hAnsi="Arial"/>
          <w:rFonts w:ascii="Arial"/>
          <w:sz w:val="24"/>
          <w:color w:val="navy"/>
        </w:rPr>
        <w:t>.</w:t>
      </w:r>
      <w:bookmarkEnd w:id="601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beneficiarios de los créditos educativos podrán solicitar una vez se gradúen del respectivo programa académico, la condonación de estos créditos por el noventa por ciento (90%) de su valor total; cumpliendo –previamente– y a cabalidad con los siguientes requisitos: </w:t>
      </w:r>
      <w:r>
        <w:rPr>
          <w:rFonts w:hAnsi="Arial"/>
          <w:rFonts w:ascii="Arial"/>
          <w:sz w:val="24"/>
          <w:b/>
          <w:u w:val="none"/>
          <w:color w:val="black"/>
        </w:rPr>
        <w:t xml:space="preserve">I. </w:t>
      </w:r>
      <w:r>
        <w:rPr>
          <w:rFonts w:hAnsi="Arial"/>
          <w:rFonts w:ascii="Arial"/>
          <w:sz w:val="24"/>
          <w:u w:val="none"/>
          <w:color w:val="black"/>
        </w:rPr>
        <w:t xml:space="preserve">Carta solicitando la condonación de los créditos; </w:t>
      </w:r>
      <w:r>
        <w:rPr>
          <w:rFonts w:hAnsi="Arial"/>
          <w:rFonts w:ascii="Arial"/>
          <w:sz w:val="24"/>
          <w:b/>
          <w:u w:val="none"/>
          <w:color w:val="black"/>
        </w:rPr>
        <w:t xml:space="preserve">II. </w:t>
      </w:r>
      <w:r>
        <w:rPr>
          <w:rFonts w:hAnsi="Arial"/>
          <w:rFonts w:ascii="Arial"/>
          <w:sz w:val="24"/>
          <w:u w:val="none"/>
          <w:color w:val="black"/>
        </w:rPr>
        <w:t xml:space="preserve">Copia del título académico obtenido y del acta de grado o sus equivalentes en caso de ser programas de educación para el trabajo y desarrollo humano. </w:t>
      </w:r>
    </w:p>
    <w:p>
      <w:pPr>
        <w:jc w:val="both"/>
      </w:pPr>
      <w:rPr>
        <w:color w:val="black"/>
      </w:rPr>
    </w:p>
    <w:p>
      <w:pPr>
        <w:jc w:val="both"/>
      </w:pPr>
      <w:r>
        <w:rPr>
          <w:rFonts w:hAnsi="Arial"/>
          <w:rFonts w:ascii="Arial"/>
          <w:sz w:val="24"/>
          <w:b/>
          <w:vanish/>
          <w:color w:val="black"/>
        </w:rPr>
        <w:t>&amp;$</w:t>
      </w:r>
      <w:bookmarkStart w:id="60176" w:name="2.2.7.2.13"/>
      <w:r>
        <w:rPr>
          <w:rFonts w:hAnsi="Arial"/>
          <w:rFonts w:ascii="Arial"/>
          <w:sz w:val="24"/>
          <w:color w:val="navy"/>
        </w:rPr>
        <w:t xml:space="preserve">ARTÍCULO 2.2.7.2.13. FINANCIACIÓN DE ESTUDIOS.</w:t>
      </w:r>
      <w:bookmarkEnd w:id="60176"/>
      <w:r>
        <w:rPr>
          <w:rFonts w:hAnsi="Arial"/>
          <w:rFonts w:ascii="Arial"/>
          <w:sz w:val="24"/>
          <w:color w:val="black"/>
        </w:rPr>
        <w:t xml:space="preserve"> &lt;Artículo adicionado por el artículo </w:t>
      </w:r>
      <w:r>
        <w:fldChar w:fldCharType="begin"/>
      </w:r>
      <w:r>
        <w:instrText>HYPERLINK "http://www.redjurista.com/document.aspx?ajcode=d1345020&amp;arts=2"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1345 de 2020. El nuevo texto es el siguiente:&gt; El pensionado por invalidez que esté acreditado como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podrá ceder su beneficio en educación por una sola vez, a uno de sus hijos menores de veinticinco (25) años, mediante solicitud escrita, dirigida y presentada ante la Dirección de Bienestar Sectorial y Salud del Ministerio de Defensa Nacional, la cual expedirá una certificación dirigida al Instituto Colombiano de Crédito Educativo y Estudios Técnicos en el Exterior “ICETEX' validando la cesión.</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hijo menor de veinticinco (25) años a quien le sea cedido el beneficio en educación, deberá estar acreditado conforme al parágrafo del artículo </w:t>
      </w:r>
      <w:r>
        <w:fldChar w:fldCharType="begin"/>
      </w:r>
      <w:r>
        <w:instrText>HYPERLINK "http://www.redjurista.com/document.aspx?ajcode=l1979019&amp;arts=28"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1979 de 2019, o normas que la adicionen, modifiquen o sustituyan.</w:t>
      </w:r>
    </w:p>
    <w:p>
      <w:pPr>
        <w:jc w:val="both"/>
      </w:pPr>
      <w:rPr>
        <w:color w:val="black"/>
      </w:rPr>
    </w:p>
    <w:p>
      <w:pPr>
        <w:jc w:val="center"/>
        <w:outlineLvl w:val="1"/>
      </w:pPr>
      <w:r>
        <w:rPr>
          <w:rFonts w:hAnsi="Arial"/>
          <w:rFonts w:ascii="Arial"/>
          <w:sz w:val="24"/>
          <w:vanish/>
          <w:color w:val="black"/>
        </w:rPr>
        <w:t>&amp;$</w:t>
      </w:r>
      <w:bookmarkStart w:id="60177" w:name="CAPÍTULO 2.2.7.3"/>
      <w:r>
        <w:rPr>
          <w:rFonts w:hAnsi="Arial"/>
          <w:rFonts w:ascii="Arial"/>
          <w:sz w:val="24"/>
          <w:color w:val="navy"/>
        </w:rPr>
        <w:t xml:space="preserve">CAPÍTULO III. </w:t>
      </w:r>
    </w:p>
    <w:p>
      <w:pPr>
        <w:jc w:val="center"/>
        <w:outlineLvl w:val="1"/>
      </w:pPr>
      <w:r>
        <w:rPr>
          <w:rFonts w:hAnsi="Arial"/>
          <w:rFonts w:ascii="Arial"/>
          <w:sz w:val="24"/>
          <w:color w:val="navy"/>
        </w:rPr>
        <w:t xml:space="preserve">BENEFICIOS EN LOS PRODUCTOS BÁSICOS DE PRIMERA NECESIDAD.</w:t>
      </w:r>
      <w:bookmarkEnd w:id="6017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78" w:name="2.2.7.3.1"/>
      <w:r>
        <w:rPr>
          <w:rFonts w:hAnsi="Arial"/>
          <w:rFonts w:ascii="Arial"/>
          <w:sz w:val="24"/>
          <w:color w:val="navy"/>
        </w:rPr>
        <w:t xml:space="preserve">ARTÍCULO 2.2.7.3.1. </w:t>
      </w:r>
      <w:r>
        <w:rPr>
          <w:rFonts w:hAnsi="Arial"/>
          <w:rFonts w:ascii="Arial"/>
          <w:sz w:val="24"/>
          <w:i/>
          <w:color w:val="navy"/>
        </w:rPr>
        <w:t xml:space="preserve">DESCUENTOS EN GRANDES ALMACENES DE CADENA O GRANDES SUPERFICIES</w:t>
      </w:r>
      <w:r>
        <w:rPr>
          <w:rFonts w:hAnsi="Arial"/>
          <w:rFonts w:ascii="Arial"/>
          <w:sz w:val="24"/>
          <w:color w:val="navy"/>
        </w:rPr>
        <w:t>.</w:t>
      </w:r>
      <w:bookmarkEnd w:id="601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grandes almacenes de cadena o grandes superficies y sus respectivas filiales, subsidiarias y sucursales a nivel nacional otorgarán descuentos en los productos básicos de primera necesidad a la población beneficiaria de la Ley 1699 de 2013, en los términos y condiciones establecidos en los artículos </w:t>
      </w:r>
      <w:r>
        <w:fldChar w:fldCharType="begin"/>
      </w:r>
      <w:r>
        <w:instrText>HYPERLINK "http://www.redjurista.com/document.aspx?ajcode=l1699013&amp;arts=2"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y </w:t>
      </w:r>
      <w:r>
        <w:fldChar w:fldCharType="begin"/>
      </w:r>
      <w:r>
        <w:instrText>HYPERLINK "http://www.redjurista.com/document.aspx?ajcode=l1699013&amp;arts=5"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beneficiarios de la Ley 1699 de 2013 al momento de hacer el pago efectivo de estos productos, deberán hacerlo personalmente y presentar el carnet &lt;sic&gt; junto con su documento de identidad. </w:t>
      </w:r>
    </w:p>
    <w:p>
      <w:pPr>
        <w:jc w:val="both"/>
      </w:pPr>
      <w:rPr>
        <w:color w:val="black"/>
      </w:rPr>
    </w:p>
    <w:p>
      <w:pPr>
        <w:jc w:val="both"/>
        <w:outlineLvl w:val="1"/>
      </w:pPr>
      <w:r>
        <w:rPr>
          <w:rFonts w:hAnsi="Arial"/>
          <w:rFonts w:ascii="Arial"/>
          <w:sz w:val="24"/>
          <w:b/>
          <w:vanish/>
          <w:color w:val="black"/>
        </w:rPr>
        <w:t>&amp;$</w:t>
      </w:r>
      <w:bookmarkStart w:id="60179" w:name="2.2.7.3.2"/>
      <w:r>
        <w:rPr>
          <w:rFonts w:hAnsi="Arial"/>
          <w:rFonts w:ascii="Arial"/>
          <w:sz w:val="24"/>
          <w:color w:val="navy"/>
        </w:rPr>
        <w:t xml:space="preserve">ARTÍCULO 2.2.7.3.2. </w:t>
      </w:r>
      <w:r>
        <w:rPr>
          <w:rFonts w:hAnsi="Arial"/>
          <w:rFonts w:ascii="Arial"/>
          <w:sz w:val="24"/>
          <w:i/>
          <w:color w:val="navy"/>
        </w:rPr>
        <w:t xml:space="preserve">CONVENIOS U OTRAS MODALIDADES DE VINCULACIÓN JURÍDICA CON LOS GRANDES ALMACENES DE CADENA O GRANDES SUPERFICIES</w:t>
      </w:r>
      <w:r>
        <w:rPr>
          <w:rFonts w:hAnsi="Arial"/>
          <w:rFonts w:ascii="Arial"/>
          <w:sz w:val="24"/>
          <w:color w:val="navy"/>
        </w:rPr>
        <w:t>.</w:t>
      </w:r>
      <w:bookmarkEnd w:id="601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Ministerio de Defensa Nacional suscribirá convenios u otras modalidades de vinculación jurídica con los grandes almacenes de cadena o grandes superficies para otorgar los descuentos en los productos básicos de primera necesidad; en ellos se contendrán e incorporarán los parámetros bajo los cuales se hará eficaz este descuento, además de las condiciones y restricciones establecidas en el artículo </w:t>
      </w:r>
      <w:r>
        <w:fldChar w:fldCharType="begin"/>
      </w:r>
      <w:r>
        <w:instrText>HYPERLINK "http://www.redjurista.com/document.aspx?ajcode=l1699013&amp;arts=5"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1699 de 2013.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obligación de otorgar este beneficio, es decir los descuentos en los productos básicos de primera necesidad, se hará eficaz para cada gran almacén de cadena o grande superficie a partir del sexto (6) mes contado desde del momento en que se suscriba el respectivo convenio u otra modalidad de vinculación jurídica con el Ministerio de Defensa Nacional, en los términos, condiciones y restricciones que se acuerden.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porcentaje de los descuentos en los productos básicos de primera necesidad otorgados por los grandes almacenes de cadena o grandes superficies se estipulará en cada uno de los convenios u otras modalidades de vinculación jurídica que se suscriban entre los anteriores y el Ministerio de Defensa Nacional. No será obligatorio el mismo porcentaje de descuento en todos los convenios ni en todos los productos. </w:t>
      </w:r>
    </w:p>
    <w:p>
      <w:pPr>
        <w:jc w:val="both"/>
      </w:pPr>
      <w:rPr>
        <w:color w:val="black"/>
      </w:rPr>
    </w:p>
    <w:p>
      <w:pPr>
        <w:jc w:val="both"/>
        <w:outlineLvl w:val="1"/>
      </w:pPr>
      <w:r>
        <w:rPr>
          <w:rFonts w:hAnsi="Arial"/>
          <w:rFonts w:ascii="Arial"/>
          <w:sz w:val="24"/>
          <w:b/>
          <w:vanish/>
          <w:color w:val="black"/>
        </w:rPr>
        <w:t>&amp;$</w:t>
      </w:r>
      <w:bookmarkStart w:id="60180" w:name="2.2.7.3.3"/>
      <w:r>
        <w:rPr>
          <w:rFonts w:hAnsi="Arial"/>
          <w:rFonts w:ascii="Arial"/>
          <w:sz w:val="24"/>
          <w:color w:val="navy"/>
        </w:rPr>
        <w:t xml:space="preserve">ARTÍCULO 2.2.7.3.3. </w:t>
      </w:r>
      <w:r>
        <w:rPr>
          <w:rFonts w:hAnsi="Arial"/>
          <w:rFonts w:ascii="Arial"/>
          <w:sz w:val="24"/>
          <w:i/>
          <w:color w:val="navy"/>
        </w:rPr>
        <w:t xml:space="preserve">USO NO AUTORIZADO DEL CARNET</w:t>
      </w:r>
      <w:r>
        <w:rPr>
          <w:rFonts w:hAnsi="Arial"/>
          <w:rFonts w:ascii="Arial"/>
          <w:sz w:val="24"/>
          <w:color w:val="navy"/>
        </w:rPr>
        <w:t>.</w:t>
      </w:r>
      <w:bookmarkEnd w:id="601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No está autorizado el uso del carnet &lt;sic&gt; de beneficiario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por quien no sea titular del mismo, ni su empleo para la compra de los productos básicos de primera necesidad con fines distintos al consumo doméstico tales como, pero sin limitarse a: comercialización y/o reventa; y en todo caso propósitos comerciales.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 anterior sin perjuicio de la cancelación de la acreditación como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w:t>
      </w:r>
    </w:p>
    <w:p>
      <w:pPr>
        <w:jc w:val="both"/>
      </w:pPr>
      <w:rPr>
        <w:sz w:val="24"/>
        <w:b/>
        <w:color w:val="black"/>
      </w:rPr>
    </w:p>
    <w:p>
      <w:pPr>
        <w:jc w:val="center"/>
        <w:outlineLvl w:val="1"/>
      </w:pPr>
      <w:r>
        <w:rPr>
          <w:rFonts w:hAnsi="Arial"/>
          <w:rFonts w:ascii="Arial"/>
          <w:sz w:val="24"/>
          <w:vanish/>
          <w:color w:val="black"/>
        </w:rPr>
        <w:t>&amp;$</w:t>
      </w:r>
      <w:bookmarkStart w:id="60181" w:name="CAPÍTULO 2.2.7.4"/>
      <w:r>
        <w:rPr>
          <w:rFonts w:hAnsi="Arial"/>
          <w:rFonts w:ascii="Arial"/>
          <w:sz w:val="24"/>
          <w:color w:val="navy"/>
        </w:rPr>
        <w:t xml:space="preserve">CAPÍTULO IV. </w:t>
      </w:r>
    </w:p>
    <w:p>
      <w:pPr>
        <w:jc w:val="center"/>
        <w:outlineLvl w:val="1"/>
      </w:pPr>
      <w:r>
        <w:rPr>
          <w:rFonts w:hAnsi="Arial"/>
          <w:rFonts w:ascii="Arial"/>
          <w:sz w:val="24"/>
          <w:color w:val="navy"/>
        </w:rPr>
        <w:t xml:space="preserve">BENEFICIOS EN EXHIBICIÓN CINEMATOGRÁFICA EN SALAS DE CINE.</w:t>
      </w:r>
      <w:bookmarkEnd w:id="6018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82" w:name="2.2.7.4.1"/>
      <w:r>
        <w:rPr>
          <w:rFonts w:hAnsi="Arial"/>
          <w:rFonts w:ascii="Arial"/>
          <w:sz w:val="24"/>
          <w:color w:val="navy"/>
        </w:rPr>
        <w:t xml:space="preserve">ARTÍCULO 2.2.7.4.1. </w:t>
      </w:r>
      <w:r>
        <w:rPr>
          <w:rFonts w:hAnsi="Arial"/>
          <w:rFonts w:ascii="Arial"/>
          <w:sz w:val="24"/>
          <w:i/>
          <w:color w:val="navy"/>
        </w:rPr>
        <w:t xml:space="preserve">DESCUENTOS EN EXHIBICIONES CINEMATOGRÁFICAS EN SALAS DE CINE</w:t>
      </w:r>
      <w:r>
        <w:rPr>
          <w:rFonts w:hAnsi="Arial"/>
          <w:rFonts w:ascii="Arial"/>
          <w:sz w:val="24"/>
          <w:color w:val="navy"/>
        </w:rPr>
        <w:t>.</w:t>
      </w:r>
      <w:bookmarkEnd w:id="601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exhibidores cinematográficos otorgarán descuentos del cincuenta por ciento (50%) en el valor de la boletería a los beneficiarios acreditados de la Ley 1699 de 2013, de acuerdo con las condiciones y restricciones que se señalan en el presente Decreto, conforme al artículo 7o de la misma ley. </w:t>
      </w:r>
    </w:p>
    <w:p>
      <w:pPr>
        <w:jc w:val="both"/>
      </w:pPr>
      <w:rPr>
        <w:color w:val="black"/>
      </w:rPr>
    </w:p>
    <w:p>
      <w:pPr>
        <w:jc w:val="both"/>
        <w:outlineLvl w:val="1"/>
      </w:pPr>
      <w:r>
        <w:rPr>
          <w:rFonts w:hAnsi="Arial"/>
          <w:rFonts w:ascii="Arial"/>
          <w:sz w:val="24"/>
          <w:b/>
          <w:vanish/>
          <w:color w:val="black"/>
        </w:rPr>
        <w:t>&amp;$</w:t>
      </w:r>
      <w:bookmarkStart w:id="60183" w:name="2.2.7.4.2"/>
      <w:r>
        <w:rPr>
          <w:rFonts w:hAnsi="Arial"/>
          <w:rFonts w:ascii="Arial"/>
          <w:sz w:val="24"/>
          <w:color w:val="navy"/>
        </w:rPr>
        <w:t xml:space="preserve">ARTÍCULO 2.2.7.4.2. </w:t>
      </w:r>
      <w:r>
        <w:rPr>
          <w:rFonts w:hAnsi="Arial"/>
          <w:rFonts w:ascii="Arial"/>
          <w:sz w:val="24"/>
          <w:i/>
          <w:color w:val="navy"/>
        </w:rPr>
        <w:t xml:space="preserve">TÉRMINOS, CONDICIONES Y RESTRICCIONES PARA OTORGAR EL DESCUENTO EN EXHIBICIONES CINEMATOGRÁFICAS EN SALAS DE CINE.</w:t>
      </w:r>
      <w:bookmarkEnd w:id="6018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que el beneficio del artículo </w:t>
      </w:r>
      <w:r>
        <w:fldChar w:fldCharType="begin"/>
      </w:r>
      <w:r>
        <w:instrText>HYPERLINK "http://www.redjurista.com/document.aspx?ajcode=l1699013&amp;arts=7"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1699 de 2013 sea eficaz, los beneficiarios de la Norma deberán comprar el boleto de entrada personalmente en las taquillas de cada sala de cine y presentar al momento de efectuar el pago del boleto el carnet &lt;sic&gt; de beneficiario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junto con su documento de identidad.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 anterior sin perjuicio de los términos, condiciones y restricciones propias de cada uno de los exhibidores cinematográficos en cada una de las salas de cine; esto además, sujeto a la disponibilidad de ubicaciones en cada una de la salas por función.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beneficiario al momento de realizar la compra en la taquilla del exhibidor cinematográfico solo podrá adquirir una (1) boleta por función. Por ende, no podrá utilizarse este beneficio más de una (1) vez por día frente a la misma función y en diferentes operadores cinematográficos.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Este descuento aplica única y exclusivamente para exhibiciones cinematográficas en la localidad general de cada una de las salas de cine y en formatos 2D y 3D. Quedan excluidas de este descuento las tecnologías de las cuales los exhibidores cinematográficos no son propietarios sino licenciatarios.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Este descuento solo aplica para el boleto del beneficiario en la tarifa plena del día de la función y la localidad señalada en este artículo, por lo cual no resulta acumulable y se excluye con otro tipo de beneficios, descuentos, precios y promociones; bien sean estos regulares y/o especiales. </w:t>
      </w:r>
    </w:p>
    <w:p>
      <w:pPr>
        <w:jc w:val="center"/>
        <w:outlineLvl w:val="1"/>
      </w:pPr>
      <w:rPr>
        <w:sz w:val="24"/>
        <w:color w:val="black"/>
      </w:rPr>
    </w:p>
    <w:p>
      <w:pPr>
        <w:jc w:val="center"/>
        <w:outlineLvl w:val="1"/>
      </w:pPr>
      <w:r>
        <w:rPr>
          <w:rFonts w:hAnsi="Arial"/>
          <w:rFonts w:ascii="Arial"/>
          <w:sz w:val="24"/>
          <w:vanish/>
          <w:color w:val="black"/>
        </w:rPr>
        <w:t>&amp;$</w:t>
      </w:r>
      <w:bookmarkStart w:id="60184" w:name="CAPÍTULO 2.2.7.5"/>
      <w:r>
        <w:rPr>
          <w:rFonts w:hAnsi="Arial"/>
          <w:rFonts w:ascii="Arial"/>
          <w:sz w:val="24"/>
          <w:color w:val="navy"/>
        </w:rPr>
        <w:t xml:space="preserve">CAPÍTULO V. </w:t>
      </w:r>
    </w:p>
    <w:p>
      <w:pPr>
        <w:jc w:val="center"/>
        <w:outlineLvl w:val="1"/>
      </w:pPr>
      <w:r>
        <w:rPr>
          <w:rFonts w:hAnsi="Arial"/>
          <w:rFonts w:ascii="Arial"/>
          <w:sz w:val="24"/>
          <w:color w:val="navy"/>
        </w:rPr>
        <w:t xml:space="preserve">TARIFA DIFERENCIAL EN TRANSPORTE AÉREO.</w:t>
      </w:r>
      <w:bookmarkEnd w:id="6018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85" w:name="2.2.7.5.1"/>
      <w:r>
        <w:rPr>
          <w:rFonts w:hAnsi="Arial"/>
          <w:rFonts w:ascii="Arial"/>
          <w:sz w:val="24"/>
          <w:color w:val="navy"/>
        </w:rPr>
        <w:t xml:space="preserve">ARTÍCULO 2.2.7.5.1. </w:t>
      </w:r>
      <w:r>
        <w:rPr>
          <w:rFonts w:hAnsi="Arial"/>
          <w:rFonts w:ascii="Arial"/>
          <w:sz w:val="24"/>
          <w:i/>
          <w:color w:val="navy"/>
        </w:rPr>
        <w:t xml:space="preserve">TARIFA DIFERENCIAL EN TRANSPORTE AÉREO</w:t>
      </w:r>
      <w:r>
        <w:rPr>
          <w:rFonts w:hAnsi="Arial"/>
          <w:rFonts w:ascii="Arial"/>
          <w:sz w:val="24"/>
          <w:color w:val="navy"/>
        </w:rPr>
        <w:t>.</w:t>
      </w:r>
      <w:bookmarkEnd w:id="601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Las empresas nacionales de transporte aéreo concederán a los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un descuento del diez por ciento (10%) en la tarifa más económica en cualquiera de las rutas nacionales, sin incluir impuestos.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beneficiario que solicite este descuento, sin perjuicio de las condiciones y restricciones que imponga cada aerolínea, tendrá que acreditar la calidad de beneficiario presentando su carnet &lt;sic&gt; junto con su documento de identidad; además de ser él quien personalmente compre el tiquete directamente en las oficinas de venta de cada empresa.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tiquetes tendrán que ser adquiridos personalmente por el beneficiario y a su nombre, además no podrá cederlos ni transferirlos.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Las aerolíneas dispondrán y establecerán los mecanismos, procesos y procedimientos de control y verificación que consideren necesarios para garantizar que el beneficio se otorgue única y exclusivamente a los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La calidad de beneficiario no exime en ningún caso a la persona de cumplir con las normas y obligaciones que regulan este tipo de contrato de transporte ni la reglamentación en materia aeronáutica. Es decir que los términos, condiciones y restricciones serán exactamente las mismas que estén vigentes para todos los pasajeros; las cuales incluyen, el no reembolso del valor de los tiquetes cuando a ello hubiere lugar, pago de las penalidades por cambio de fechas o pérdidas del vuelo, el pago de los impuestos sobre el valor de la tarifa, entre otros. </w:t>
      </w:r>
    </w:p>
    <w:p>
      <w:pPr>
        <w:jc w:val="both"/>
      </w:pPr>
      <w:rPr>
        <w:color w:val="black"/>
      </w:rPr>
    </w:p>
    <w:p>
      <w:pPr>
        <w:jc w:val="both"/>
        <w:outlineLvl w:val="1"/>
      </w:pPr>
      <w:r>
        <w:rPr>
          <w:rFonts w:hAnsi="Arial"/>
          <w:rFonts w:ascii="Arial"/>
          <w:sz w:val="24"/>
          <w:b/>
          <w:vanish/>
          <w:color w:val="black"/>
        </w:rPr>
        <w:t>&amp;$</w:t>
      </w:r>
      <w:bookmarkStart w:id="60186" w:name="2.2.7.5.2"/>
      <w:r>
        <w:rPr>
          <w:rFonts w:hAnsi="Arial"/>
          <w:rFonts w:ascii="Arial"/>
          <w:sz w:val="24"/>
          <w:color w:val="navy"/>
        </w:rPr>
        <w:t xml:space="preserve">ARTÍCULO 2.2.7.5.2. </w:t>
      </w:r>
      <w:r>
        <w:rPr>
          <w:rFonts w:hAnsi="Arial"/>
          <w:rFonts w:ascii="Arial"/>
          <w:sz w:val="24"/>
          <w:i/>
          <w:color w:val="navy"/>
        </w:rPr>
        <w:t xml:space="preserve">TARIFA MÁS ECONÓMICA</w:t>
      </w:r>
      <w:r>
        <w:rPr>
          <w:rFonts w:hAnsi="Arial"/>
          <w:rFonts w:ascii="Arial"/>
          <w:sz w:val="24"/>
          <w:color w:val="navy"/>
        </w:rPr>
        <w:t>.</w:t>
      </w:r>
      <w:bookmarkEnd w:id="601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Entiéndase por tarifa más económica para la aplicación del presente Decreto, la que se encuentre disponible al momento de hacer la compra o la reserva conforme la fecha y hora requerida por el beneficiario. Si las condiciones de la tarifa más económica, considerando lo previsto anteriormente exige la compra efectiva del tiquete en un periodo de tiempo específico, el beneficiario tendrá que hacerlo de tal forma.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descuento aplicará únicamente sobre la tarifa más económica aérea básica publicada o disponible al momento de la reserva o la compra, es decir, no se hace efectivo al sobrecargo por combustible, tasas aeroportuarias, tarifa administrativa ni sobre los impuestos que le sean aplicables.</w:t>
      </w:r>
    </w:p>
    <w:p>
      <w:pPr>
        <w:jc w:val="center"/>
        <w:outlineLvl w:val="1"/>
      </w:pPr>
      <w:rPr>
        <w:sz w:val="24"/>
        <w:color w:val="black"/>
      </w:rPr>
    </w:p>
    <w:p>
      <w:pPr>
        <w:jc w:val="center"/>
        <w:outlineLvl w:val="1"/>
      </w:pPr>
      <w:r>
        <w:rPr>
          <w:rFonts w:hAnsi="Arial"/>
          <w:rFonts w:ascii="Arial"/>
          <w:sz w:val="24"/>
          <w:vanish/>
          <w:color w:val="black"/>
        </w:rPr>
        <w:t>&amp;$</w:t>
      </w:r>
      <w:bookmarkStart w:id="60187" w:name="CAPÍTULO 2.2.7.6"/>
      <w:r>
        <w:rPr>
          <w:rFonts w:hAnsi="Arial"/>
          <w:rFonts w:ascii="Arial"/>
          <w:sz w:val="24"/>
          <w:color w:val="navy"/>
        </w:rPr>
        <w:t xml:space="preserve">CAPÍTULO VI. </w:t>
      </w:r>
    </w:p>
    <w:p>
      <w:pPr>
        <w:jc w:val="center"/>
        <w:outlineLvl w:val="1"/>
      </w:pPr>
      <w:r>
        <w:rPr>
          <w:rFonts w:hAnsi="Arial"/>
          <w:rFonts w:ascii="Arial"/>
          <w:sz w:val="24"/>
          <w:color w:val="navy"/>
        </w:rPr>
        <w:t xml:space="preserve">TARIFA DIFERENCIAL EN TELEFONÍA E INTERNET FIJA Y MÓVIL, Y TELEVISIÓN POR CABLE.</w:t>
      </w:r>
      <w:bookmarkEnd w:id="6018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88" w:name="2.2.7.6.1"/>
      <w:r>
        <w:rPr>
          <w:rFonts w:hAnsi="Arial"/>
          <w:rFonts w:ascii="Arial"/>
          <w:sz w:val="24"/>
          <w:color w:val="navy"/>
        </w:rPr>
        <w:t xml:space="preserve">ARTÍCULO 2.2.7.6.1. </w:t>
      </w:r>
      <w:r>
        <w:rPr>
          <w:rFonts w:hAnsi="Arial"/>
          <w:rFonts w:ascii="Arial"/>
          <w:sz w:val="24"/>
          <w:i/>
          <w:color w:val="navy"/>
        </w:rPr>
        <w:t xml:space="preserve">TARIFA DIFERENCIAL EN TELEFONÍA FIJA</w:t>
      </w:r>
      <w:r>
        <w:rPr>
          <w:rFonts w:hAnsi="Arial"/>
          <w:rFonts w:ascii="Arial"/>
          <w:sz w:val="24"/>
          <w:color w:val="navy"/>
        </w:rPr>
        <w:t>.</w:t>
      </w:r>
      <w:bookmarkEnd w:id="601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Conforme al numeral primero del artículo </w:t>
      </w:r>
      <w:r>
        <w:fldChar w:fldCharType="begin"/>
      </w:r>
      <w:r>
        <w:instrText>HYPERLINK "http://www.redjurista.com/document.aspx?ajcode=l1699013&amp;arts=9"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1699 de 2013, los beneficiarios tendrán derecho a tarifas diferenciales con descuentos del quince por ciento (15%), única y exclusivamente en una sola línea telefónica fija por núcleo familiar; la cual tendrá que ser solicitada personalmente por el miembro de la Fuerza Pública con discapacidad o por alguno de los integrantes del núcleo familiar del miembro de la Fuerza Pública fallecido, quien deberá estar acreditado y al momento de la solicitud presentará su carnet &lt;sic&gt; junto con su documento de identidad. </w:t>
      </w:r>
    </w:p>
    <w:p>
      <w:pPr>
        <w:jc w:val="both"/>
      </w:pPr>
      <w:rPr>
        <w:color w:val="black"/>
      </w:rPr>
    </w:p>
    <w:p>
      <w:pPr>
        <w:jc w:val="both"/>
        <w:outlineLvl w:val="1"/>
      </w:pPr>
      <w:r>
        <w:rPr>
          <w:rFonts w:hAnsi="Arial"/>
          <w:rFonts w:ascii="Arial"/>
          <w:sz w:val="24"/>
          <w:b/>
          <w:vanish/>
          <w:color w:val="black"/>
        </w:rPr>
        <w:t>&amp;$</w:t>
      </w:r>
      <w:bookmarkStart w:id="60189" w:name="2.2.7.6.2"/>
      <w:r>
        <w:rPr>
          <w:rFonts w:hAnsi="Arial"/>
          <w:rFonts w:ascii="Arial"/>
          <w:sz w:val="24"/>
          <w:color w:val="navy"/>
        </w:rPr>
        <w:t xml:space="preserve">ARTÍCULO 2.2.7.6.2. </w:t>
      </w:r>
      <w:r>
        <w:rPr>
          <w:rFonts w:hAnsi="Arial"/>
          <w:rFonts w:ascii="Arial"/>
          <w:sz w:val="24"/>
          <w:i/>
          <w:color w:val="navy"/>
        </w:rPr>
        <w:t xml:space="preserve">TARIFA DIFERENCIAL EN TELEFONÍA MÓVIL CELULAR</w:t>
      </w:r>
      <w:r>
        <w:rPr>
          <w:rFonts w:hAnsi="Arial"/>
          <w:rFonts w:ascii="Arial"/>
          <w:sz w:val="24"/>
          <w:color w:val="navy"/>
        </w:rPr>
        <w:t>.</w:t>
      </w:r>
      <w:bookmarkEnd w:id="601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Conforme al numeral segundo del artículo </w:t>
      </w:r>
      <w:r>
        <w:fldChar w:fldCharType="begin"/>
      </w:r>
      <w:r>
        <w:instrText>HYPERLINK "http://www.redjurista.com/document.aspx?ajcode=l1699013&amp;arts=9"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1699 de 2013, los beneficiarios tendrán derecho a tarifas diferenciales con descuentos del quince por ciento (15%), única y exclusivamente en una sola línea de telefonía móvil celular por núcleo familiar; la cual tendrá que ser solicitada personalmente por el miembro de la Fuerza Pública con discapacidad o por alguno de los integrantes del núcleo familiar del miembro de la Fuerza Pública fallecido quien deberá estar acreditado y al momento de su solicitud presentará su carnet &lt;sic&gt;, junto con su documento de identidad.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Entiéndase que el beneficio de la tarifa diferencial con descuento no aplica en ningún caso y bajo ninguna condición para la compra de equipos terminales móviles. </w:t>
      </w:r>
    </w:p>
    <w:p>
      <w:pPr>
        <w:jc w:val="both"/>
      </w:pPr>
      <w:rPr>
        <w:color w:val="black"/>
      </w:rPr>
    </w:p>
    <w:p>
      <w:pPr>
        <w:jc w:val="both"/>
        <w:outlineLvl w:val="1"/>
      </w:pPr>
      <w:r>
        <w:rPr>
          <w:rFonts w:hAnsi="Arial"/>
          <w:rFonts w:ascii="Arial"/>
          <w:sz w:val="24"/>
          <w:b/>
          <w:vanish/>
          <w:color w:val="black"/>
        </w:rPr>
        <w:t>&amp;$</w:t>
      </w:r>
      <w:bookmarkStart w:id="60190" w:name="2.2.7.6.3"/>
      <w:r>
        <w:rPr>
          <w:rFonts w:hAnsi="Arial"/>
          <w:rFonts w:ascii="Arial"/>
          <w:sz w:val="24"/>
          <w:color w:val="navy"/>
        </w:rPr>
        <w:t xml:space="preserve">ARTÍCULO 2.2.7.6.3. </w:t>
      </w:r>
      <w:r>
        <w:rPr>
          <w:rFonts w:hAnsi="Arial"/>
          <w:rFonts w:ascii="Arial"/>
          <w:sz w:val="24"/>
          <w:i/>
          <w:color w:val="navy"/>
        </w:rPr>
        <w:t xml:space="preserve">TARIFA DIFERENCIAL EN INTERNET FIJO O MÓVIL</w:t>
      </w:r>
      <w:r>
        <w:rPr>
          <w:rFonts w:hAnsi="Arial"/>
          <w:rFonts w:ascii="Arial"/>
          <w:sz w:val="24"/>
          <w:color w:val="navy"/>
        </w:rPr>
        <w:t>.</w:t>
      </w:r>
      <w:bookmarkEnd w:id="601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Conforme al numeral tercero del artículo </w:t>
      </w:r>
      <w:r>
        <w:fldChar w:fldCharType="begin"/>
      </w:r>
      <w:r>
        <w:instrText>HYPERLINK "http://www.redjurista.com/document.aspx?ajcode=l1699013&amp;arts=9"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1699 de 2013, los beneficiarios tendrán derecho a tarifas diferenciales con descuentos del quince por ciento (15%), única y exclusivamente en un solo plan de internet fijo o móvil por núcleo familiar; el cual tendrá que ser solicitado personalmente por el miembro de la Fuerza Pública con discapacidad o por alguno de los integrantes del núcleo familiar del miembro de la Fuerza Pública fallecido quien deberá estar acreditado y al momento de su solicitud presentará su carnet, junto con su documento de identidad. </w:t>
      </w:r>
    </w:p>
    <w:p>
      <w:pPr>
        <w:jc w:val="both"/>
      </w:pPr>
      <w:rPr>
        <w:color w:val="black"/>
      </w:rPr>
    </w:p>
    <w:p>
      <w:pPr>
        <w:jc w:val="both"/>
        <w:outlineLvl w:val="1"/>
      </w:pPr>
      <w:r>
        <w:rPr>
          <w:rFonts w:hAnsi="Arial"/>
          <w:rFonts w:ascii="Arial"/>
          <w:sz w:val="24"/>
          <w:b/>
          <w:vanish/>
          <w:color w:val="black"/>
        </w:rPr>
        <w:t>&amp;$</w:t>
      </w:r>
      <w:bookmarkStart w:id="60191" w:name="2.2.7.6.4"/>
      <w:r>
        <w:rPr>
          <w:rFonts w:hAnsi="Arial"/>
          <w:rFonts w:ascii="Arial"/>
          <w:sz w:val="24"/>
          <w:color w:val="navy"/>
        </w:rPr>
        <w:t xml:space="preserve">ARTÍCULO 2.2.7.6.4. </w:t>
      </w:r>
      <w:r>
        <w:rPr>
          <w:rFonts w:hAnsi="Arial"/>
          <w:rFonts w:ascii="Arial"/>
          <w:sz w:val="24"/>
          <w:i/>
          <w:color w:val="navy"/>
        </w:rPr>
        <w:t xml:space="preserve">TARIFA DIFERENCIAL EN TELEVISIÓN POR CABLE</w:t>
      </w:r>
      <w:r>
        <w:rPr>
          <w:rFonts w:hAnsi="Arial"/>
          <w:rFonts w:ascii="Arial"/>
          <w:sz w:val="24"/>
          <w:color w:val="navy"/>
        </w:rPr>
        <w:t>.</w:t>
      </w:r>
      <w:bookmarkEnd w:id="601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Conforme al numeral cuarto del artículo </w:t>
      </w:r>
      <w:r>
        <w:fldChar w:fldCharType="begin"/>
      </w:r>
      <w:r>
        <w:instrText>HYPERLINK "http://www.redjurista.com/document.aspx?ajcode=l1699013&amp;arts=9"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1699 de 2013, los beneficiarios tendrán derecho a tarifas diferenciales con descuentos del quince por ciento (15%), única y exclusivamente en un solo plan de televisión por cable por núcleo familiar; el cual tendrá que ser solicitado personalmente por el miembro de la Fuerza Pública con discapacidad o por alguno de los integrantes del núcleo familiar del miembro de la Fuerza Pública fallecido quien deberá estar acreditado y al momento de su solicitud presentará su carnet, junto con su documento de identidad. </w:t>
      </w:r>
    </w:p>
    <w:p>
      <w:pPr>
        <w:jc w:val="both"/>
      </w:pPr>
      <w:rPr>
        <w:color w:val="black"/>
      </w:rPr>
    </w:p>
    <w:p>
      <w:pPr>
        <w:jc w:val="both"/>
        <w:outlineLvl w:val="1"/>
      </w:pPr>
      <w:r>
        <w:rPr>
          <w:rFonts w:hAnsi="Arial"/>
          <w:rFonts w:ascii="Arial"/>
          <w:sz w:val="24"/>
          <w:b/>
          <w:vanish/>
          <w:color w:val="black"/>
        </w:rPr>
        <w:t>&amp;$</w:t>
      </w:r>
      <w:bookmarkStart w:id="60192" w:name="2.2.7.6.5"/>
      <w:r>
        <w:rPr>
          <w:rFonts w:hAnsi="Arial"/>
          <w:rFonts w:ascii="Arial"/>
          <w:sz w:val="24"/>
          <w:color w:val="navy"/>
        </w:rPr>
        <w:t xml:space="preserve">ARTÍCULO 2.2.7.6.5. </w:t>
      </w:r>
      <w:r>
        <w:rPr>
          <w:rFonts w:hAnsi="Arial"/>
          <w:rFonts w:ascii="Arial"/>
          <w:sz w:val="24"/>
          <w:i/>
          <w:color w:val="navy"/>
        </w:rPr>
        <w:t xml:space="preserve">DE LOS PLANES</w:t>
      </w:r>
      <w:r>
        <w:rPr>
          <w:rFonts w:hAnsi="Arial"/>
          <w:rFonts w:ascii="Arial"/>
          <w:sz w:val="24"/>
          <w:color w:val="navy"/>
        </w:rPr>
        <w:t>.</w:t>
      </w:r>
      <w:bookmarkEnd w:id="601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Las tarifas diferenciales con descuentos del quince por ciento (15%) aplican única y exclusivamente, para nuevos planes que se contraten por el miembro de la Fuerza Pública con discapacidad o por alguno de los integrantes del núcleo familiar del miembro de la Fuerza Pública fallecido; es decir que este beneficio no es eficaz para los planes contratados con anterioridad. </w:t>
      </w:r>
    </w:p>
    <w:p>
      <w:pPr>
        <w:jc w:val="both"/>
      </w:pPr>
      <w:rPr>
        <w:color w:val="black"/>
      </w:rPr>
    </w:p>
    <w:p>
      <w:pPr>
        <w:jc w:val="both"/>
        <w:outlineLvl w:val="1"/>
      </w:pPr>
      <w:r>
        <w:rPr>
          <w:rFonts w:hAnsi="Arial"/>
          <w:rFonts w:ascii="Arial"/>
          <w:sz w:val="24"/>
          <w:b/>
          <w:vanish/>
          <w:color w:val="black"/>
        </w:rPr>
        <w:t>&amp;$</w:t>
      </w:r>
      <w:bookmarkStart w:id="60193" w:name="2.2.7.6.6"/>
      <w:r>
        <w:rPr>
          <w:rFonts w:hAnsi="Arial"/>
          <w:rFonts w:ascii="Arial"/>
          <w:sz w:val="24"/>
          <w:color w:val="navy"/>
        </w:rPr>
        <w:t xml:space="preserve">ARTÍCULO 2.2.7.6.6. </w:t>
      </w:r>
      <w:r>
        <w:rPr>
          <w:rFonts w:hAnsi="Arial"/>
          <w:rFonts w:ascii="Arial"/>
          <w:sz w:val="24"/>
          <w:i/>
          <w:color w:val="navy"/>
        </w:rPr>
        <w:t xml:space="preserve">IRRETROACTIVIDAD DE LA TARIFA DIFERENCIAL CON DESCUENTOS</w:t>
      </w:r>
      <w:r>
        <w:rPr>
          <w:rFonts w:hAnsi="Arial"/>
          <w:rFonts w:ascii="Arial"/>
          <w:sz w:val="24"/>
          <w:color w:val="navy"/>
        </w:rPr>
        <w:t>.</w:t>
      </w:r>
      <w:bookmarkEnd w:id="601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La tarifa diferencial con descuentos del quince por ciento (15%) en telefonía fija y móvil celular e internet fijo y móvil, y televisión por cable no es retroactiva. Entiéndase que este solo se aplicará hacia futuro, es decir para el nuevo plan que contrate el miembro de la Fuerza Pública con discapacidad o alguno de los integrantes del núcleo familiar del miembro de la Fuerza Pública fallecido y se hará efectivo a partir del segundo (2) mes de facturación. </w:t>
      </w:r>
    </w:p>
    <w:p>
      <w:pPr>
        <w:jc w:val="both"/>
      </w:pPr>
      <w:rPr>
        <w:color w:val="black"/>
      </w:rPr>
    </w:p>
    <w:p>
      <w:pPr>
        <w:jc w:val="both"/>
        <w:outlineLvl w:val="1"/>
      </w:pPr>
      <w:r>
        <w:rPr>
          <w:rFonts w:hAnsi="Arial"/>
          <w:rFonts w:ascii="Arial"/>
          <w:sz w:val="24"/>
          <w:b/>
          <w:vanish/>
          <w:color w:val="black"/>
        </w:rPr>
        <w:t>&amp;$</w:t>
      </w:r>
      <w:bookmarkStart w:id="60194" w:name="2.2.7.6.7"/>
      <w:r>
        <w:rPr>
          <w:rFonts w:hAnsi="Arial"/>
          <w:rFonts w:ascii="Arial"/>
          <w:sz w:val="24"/>
          <w:color w:val="navy"/>
        </w:rPr>
        <w:t xml:space="preserve">ARTÍCULO 2.2.7.6.7. </w:t>
      </w:r>
      <w:r>
        <w:rPr>
          <w:rFonts w:hAnsi="Arial"/>
          <w:rFonts w:ascii="Arial"/>
          <w:sz w:val="24"/>
          <w:i/>
          <w:color w:val="navy"/>
        </w:rPr>
        <w:t xml:space="preserve">NORMAS, REGULACIONES, CONDICIONES Y RESTRICCIONES DEL SERVICIO PÚBLICO DE TELEFONÍA FIJA Y MÓVIL CELULAR E INTERNET FIJA Y MÓVIL Y TELEVISIÓN POR CABLE</w:t>
      </w:r>
      <w:r>
        <w:rPr>
          <w:rFonts w:hAnsi="Arial"/>
          <w:rFonts w:ascii="Arial"/>
          <w:sz w:val="24"/>
          <w:color w:val="navy"/>
        </w:rPr>
        <w:t>.</w:t>
      </w:r>
      <w:bookmarkEnd w:id="601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miembro de la Fuerza Pública con discapacidad o alguno de los integrantes del núcleo familiar del miembro de la Fuerza Pública fallecido que solicite el beneficio del artículo </w:t>
      </w:r>
      <w:r>
        <w:fldChar w:fldCharType="begin"/>
      </w:r>
      <w:r>
        <w:instrText>HYPERLINK "http://www.redjurista.com/document.aspx?ajcode=l1699013&amp;arts=9"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1699 de 2013, estará sujeto y tendrá que cumplir en igualdad de condiciones como cualquier otro consumidor con la normatividad vigente que regula lo concerniente a la prestación de este tipo de servicios públicos y sus contratos; sin perjuicio además de las condiciones y restricciones de cada operador del servicio que otorgue el beneficio.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Entiéndase que el beneficiario acreditado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y suscriptor de alguno de los servicios a que se refiere este capítulo, no exime ni exonera al miembro de la Fuerza Pública con discapacidad ni al integrante del núcleo familiar del miembro de la Fuerza Pública fallecido de cumplir con las obligaciones propias de estos contratos, como son entre otros, el pago oportuno de la respectiva factura y las demás obligaciones que estén incluidas en estos.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No es viable la acumulación o el uso del beneficio en más de un plan de la misma especie, bien sea con el mismo operador o en algún otro, es decir que, el miembro de la Fuerza Pública con discapacidad o el integrante del núcleo familiar del miembro de la Fuerza Pública fallecido solo tendrá derecho a un descuento en cada uno de los planes de los servicios públicos relacionados en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y con un solo operador.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De llegarse a presentar el uso del beneficio en más de un plan de la misma especie, bien sea con el mismo operador o con algún otro por el miembro de la Fuerza Pública con discapacidad o el integrante del núcleo familiar del miembro de la Fuerza Pública fallecido, le será cancelada la acreditación como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y además, las suscripciones por el operador o los operadores con los cuales contrató el servicio respectivo. </w:t>
      </w:r>
    </w:p>
    <w:p>
      <w:pPr>
        <w:jc w:val="both"/>
      </w:pPr>
      <w:rPr>
        <w:color w:val="black"/>
      </w:rPr>
    </w:p>
    <w:p>
      <w:pPr>
        <w:jc w:val="both"/>
        <w:outlineLvl w:val="1"/>
      </w:pPr>
      <w:r>
        <w:rPr>
          <w:rFonts w:hAnsi="Arial"/>
          <w:rFonts w:ascii="Arial"/>
          <w:sz w:val="24"/>
          <w:b/>
          <w:vanish/>
          <w:color w:val="black"/>
        </w:rPr>
        <w:t>&amp;$</w:t>
      </w:r>
      <w:bookmarkStart w:id="60195" w:name="2.2.7.6.8"/>
      <w:r>
        <w:rPr>
          <w:rFonts w:hAnsi="Arial"/>
          <w:rFonts w:ascii="Arial"/>
          <w:sz w:val="24"/>
          <w:color w:val="navy"/>
        </w:rPr>
        <w:t xml:space="preserve">ARTÍCULO 2.2.7.6.8. </w:t>
      </w:r>
      <w:r>
        <w:rPr>
          <w:rFonts w:hAnsi="Arial"/>
          <w:rFonts w:ascii="Arial"/>
          <w:sz w:val="24"/>
          <w:i/>
          <w:color w:val="navy"/>
        </w:rPr>
        <w:t xml:space="preserve">CONSULTA DE BENEFICIARIOS</w:t>
      </w:r>
      <w:r>
        <w:rPr>
          <w:rFonts w:hAnsi="Arial"/>
          <w:rFonts w:ascii="Arial"/>
          <w:sz w:val="24"/>
          <w:color w:val="navy"/>
        </w:rPr>
        <w:t>.</w:t>
      </w:r>
      <w:bookmarkEnd w:id="601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operadores del servicio público de telefonía fija y móvil celular e internet fija y móvil y televisión por cable, al momento de recibir una solicitud para contratar un nuevo plan con tarifa diferencial con descuento en virtud de este beneficio, podrán consultar y verificar por los medios que defina el Ministerio de Defensa Nacional si el beneficiario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cumple con las condiciones para recibir y mantener el beneficio. </w:t>
      </w:r>
    </w:p>
    <w:p>
      <w:pPr>
        <w:jc w:val="both"/>
      </w:pPr>
      <w:rPr>
        <w:color w:val="black"/>
      </w:rPr>
    </w:p>
    <w:p>
      <w:pPr>
        <w:jc w:val="center"/>
        <w:outlineLvl w:val="1"/>
      </w:pPr>
      <w:r>
        <w:rPr>
          <w:rFonts w:hAnsi="Arial"/>
          <w:rFonts w:ascii="Arial"/>
          <w:sz w:val="24"/>
          <w:vanish/>
          <w:color w:val="black"/>
        </w:rPr>
        <w:t>&amp;$</w:t>
      </w:r>
      <w:bookmarkStart w:id="60196" w:name="CAPÍTULO 2.2.7.7"/>
      <w:r>
        <w:rPr>
          <w:rFonts w:hAnsi="Arial"/>
          <w:rFonts w:ascii="Arial"/>
          <w:sz w:val="24"/>
          <w:color w:val="navy"/>
        </w:rPr>
        <w:t xml:space="preserve">CAPÍTULO VII. </w:t>
      </w:r>
    </w:p>
    <w:p>
      <w:pPr>
        <w:jc w:val="center"/>
        <w:outlineLvl w:val="1"/>
      </w:pPr>
      <w:r>
        <w:rPr>
          <w:rFonts w:hAnsi="Arial"/>
          <w:rFonts w:ascii="Arial"/>
          <w:sz w:val="24"/>
          <w:color w:val="navy"/>
        </w:rPr>
        <w:t xml:space="preserve">OPERADORES DE HOTELERÍA.</w:t>
      </w:r>
      <w:bookmarkEnd w:id="60196"/>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197" w:name="2.2.7.7.1"/>
      <w:r>
        <w:rPr>
          <w:rFonts w:hAnsi="Arial"/>
          <w:rFonts w:ascii="Arial"/>
          <w:sz w:val="24"/>
          <w:color w:val="navy"/>
        </w:rPr>
        <w:t xml:space="preserve">ARTÍCULO 2.2.7.7.1. </w:t>
      </w:r>
      <w:r>
        <w:rPr>
          <w:rFonts w:hAnsi="Arial"/>
          <w:rFonts w:ascii="Arial"/>
          <w:sz w:val="24"/>
          <w:i/>
          <w:color w:val="navy"/>
        </w:rPr>
        <w:t xml:space="preserve">TARIFAS DIFERENCIALES EN BAJA TEMPORADA, CON DESCUENTOS DEL DIEZ POR CIENTO (10%) DEL VALOR DE LA TARIFA RACK</w:t>
      </w:r>
      <w:r>
        <w:rPr>
          <w:rFonts w:hAnsi="Arial"/>
          <w:rFonts w:ascii="Arial"/>
          <w:sz w:val="24"/>
          <w:color w:val="navy"/>
        </w:rPr>
        <w:t>.</w:t>
      </w:r>
      <w:bookmarkEnd w:id="601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Conforme al artículo </w:t>
      </w:r>
      <w:r>
        <w:fldChar w:fldCharType="begin"/>
      </w:r>
      <w:r>
        <w:instrText>HYPERLINK "http://www.redjurista.com/document.aspx?ajcode=l1699013&amp;arts=10"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1699 de 2013, y específicamente su numeral tercero, los descuentos otorgados por las empresas cuyo objeto social sea la actividad hotelera solo se aplicarán en el área o período donde estas se encuentren en baja ocupación o “baja temporada” y sobre el valor de la tarifa rack.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operador hotelero o quien haga sus veces informará a los beneficiarios de esta ley al momento de la reserva los períodos o fechas de baja ocupación o “baja temporada”, de acuerdo a su ubicación geográfica y área comercial de influencia. Adicionalmente, para obtener el descuento el beneficiario deberá: </w:t>
      </w:r>
    </w:p>
    <w:p>
      <w:pPr>
        <w:jc w:val="both"/>
        <w:outlineLvl w:val="1"/>
      </w:pPr>
      <w:rPr>
        <w:sz w:val="24"/>
        <w:color w:val="black"/>
      </w:rPr>
    </w:p>
    <w:p>
      <w:pPr>
        <w:jc w:val="both"/>
        <w:outlineLvl w:val="1"/>
      </w:pPr>
      <w:r>
        <w:rPr>
          <w:rFonts w:hAnsi="Arial"/>
          <w:rFonts w:ascii="Arial"/>
          <w:sz w:val="24"/>
          <w:color w:val="black"/>
        </w:rPr>
        <w:t xml:space="preserve">1. Registrarse en el respectivo hotel o establecimiento de comercio que haga sus veces y solicitar el descuento personalmente al momento de cancelar su factura. </w:t>
      </w:r>
    </w:p>
    <w:p>
      <w:pPr>
        <w:jc w:val="both"/>
        <w:outlineLvl w:val="1"/>
      </w:pPr>
      <w:rPr>
        <w:sz w:val="24"/>
        <w:color w:val="black"/>
      </w:rPr>
    </w:p>
    <w:p>
      <w:pPr>
        <w:jc w:val="both"/>
        <w:outlineLvl w:val="1"/>
      </w:pPr>
      <w:r>
        <w:rPr>
          <w:rFonts w:hAnsi="Arial"/>
          <w:rFonts w:ascii="Arial"/>
          <w:sz w:val="24"/>
          <w:color w:val="black"/>
        </w:rPr>
        <w:t xml:space="preserve">2. Presentar al momento de cancelar su factura en el hotel o establecimiento de comercio que haga sus veces, el carnet junto con su documento de identidad.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beneficiario que solicite el descuento está sujeto a las normas, regulaciones, términos, condiciones y restricciones vigentes propias del sector hotelero y del presente Decreto.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De manera voluntaria, bajo su única y exclusiva responsabilidad los operadores hoteleros podrán otorgar cualquier otro tipo de descuentos o beneficios en sus servicios a los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En dicho caso, tendrán plena y total autonomía para establecer los términos, condiciones y restricciones de los mismos. </w:t>
      </w:r>
    </w:p>
    <w:p>
      <w:pPr>
        <w:jc w:val="both"/>
      </w:pPr>
      <w:rPr>
        <w:color w:val="black"/>
      </w:rPr>
    </w:p>
    <w:p>
      <w:pPr>
        <w:jc w:val="both"/>
        <w:outlineLvl w:val="1"/>
      </w:pPr>
      <w:r>
        <w:rPr>
          <w:rFonts w:hAnsi="Arial"/>
          <w:rFonts w:ascii="Arial"/>
          <w:sz w:val="24"/>
          <w:b/>
          <w:vanish/>
          <w:color w:val="black"/>
        </w:rPr>
        <w:t>&amp;$</w:t>
      </w:r>
      <w:bookmarkStart w:id="60198" w:name="2.2.7.7.2"/>
      <w:r>
        <w:rPr>
          <w:rFonts w:hAnsi="Arial"/>
          <w:rFonts w:ascii="Arial"/>
          <w:sz w:val="24"/>
          <w:color w:val="navy"/>
        </w:rPr>
        <w:t xml:space="preserve">ARTÍCULO 2.2.7.7.2. </w:t>
      </w:r>
      <w:r>
        <w:rPr>
          <w:rFonts w:hAnsi="Arial"/>
          <w:rFonts w:ascii="Arial"/>
          <w:sz w:val="24"/>
          <w:i/>
          <w:color w:val="navy"/>
        </w:rPr>
        <w:t xml:space="preserve">BAJA OCUPACIÓN O “BAJA TEMPORADA”</w:t>
      </w:r>
      <w:r>
        <w:rPr>
          <w:rFonts w:hAnsi="Arial"/>
          <w:rFonts w:ascii="Arial"/>
          <w:sz w:val="24"/>
          <w:color w:val="navy"/>
        </w:rPr>
        <w:t>.</w:t>
      </w:r>
      <w:bookmarkEnd w:id="601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efectos del presente Decreto entiéndase por baja ocupación o “baja temporada”, las épocas de un año en que el movimiento turístico decae a la mínima proporción en determinado lugar de destino. </w:t>
      </w:r>
    </w:p>
    <w:p>
      <w:pPr>
        <w:jc w:val="both"/>
      </w:pPr>
      <w:rPr>
        <w:color w:val="black"/>
      </w:rPr>
    </w:p>
    <w:p>
      <w:pPr>
        <w:jc w:val="both"/>
        <w:outlineLvl w:val="1"/>
      </w:pPr>
      <w:r>
        <w:rPr>
          <w:rFonts w:hAnsi="Arial"/>
          <w:rFonts w:ascii="Arial"/>
          <w:sz w:val="24"/>
          <w:b/>
          <w:vanish/>
          <w:color w:val="black"/>
        </w:rPr>
        <w:t>&amp;$</w:t>
      </w:r>
      <w:bookmarkStart w:id="60199" w:name="2.2.7.7.3"/>
      <w:r>
        <w:rPr>
          <w:rFonts w:hAnsi="Arial"/>
          <w:rFonts w:ascii="Arial"/>
          <w:sz w:val="24"/>
          <w:color w:val="navy"/>
        </w:rPr>
        <w:t xml:space="preserve">ARTÍCULO 2.2.7.7.3. </w:t>
      </w:r>
      <w:r>
        <w:rPr>
          <w:rFonts w:hAnsi="Arial"/>
          <w:rFonts w:ascii="Arial"/>
          <w:sz w:val="24"/>
          <w:i/>
          <w:color w:val="navy"/>
        </w:rPr>
        <w:t xml:space="preserve">TARIFA RACK</w:t>
      </w:r>
      <w:r>
        <w:rPr>
          <w:rFonts w:hAnsi="Arial"/>
          <w:rFonts w:ascii="Arial"/>
          <w:sz w:val="24"/>
          <w:color w:val="navy"/>
        </w:rPr>
        <w:t>.</w:t>
      </w:r>
      <w:bookmarkEnd w:id="601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Entiéndase por tarifa rack: la tarifa más alta de alojamiento sin “otros” descuentos ofrecidos por el operador hotelero. La anterior se basa en la categoría de la habitación, tipo de cama y ocupación. </w:t>
      </w:r>
    </w:p>
    <w:p>
      <w:pPr>
        <w:jc w:val="center"/>
        <w:outlineLvl w:val="1"/>
      </w:pPr>
      <w:rPr>
        <w:sz w:val="24"/>
        <w:color w:val="black"/>
      </w:rPr>
    </w:p>
    <w:p>
      <w:pPr>
        <w:jc w:val="center"/>
        <w:outlineLvl w:val="1"/>
      </w:pPr>
      <w:r>
        <w:rPr>
          <w:rFonts w:hAnsi="Arial"/>
          <w:rFonts w:ascii="Arial"/>
          <w:sz w:val="24"/>
          <w:vanish/>
          <w:color w:val="black"/>
        </w:rPr>
        <w:t>&amp;$</w:t>
      </w:r>
      <w:bookmarkStart w:id="60200" w:name="CAPÍTULO 2.2.7.8"/>
      <w:r>
        <w:rPr>
          <w:rFonts w:hAnsi="Arial"/>
          <w:rFonts w:ascii="Arial"/>
          <w:sz w:val="24"/>
          <w:color w:val="navy"/>
        </w:rPr>
        <w:t xml:space="preserve">CAPÍTULO VIII. </w:t>
      </w:r>
    </w:p>
    <w:p>
      <w:pPr>
        <w:jc w:val="center"/>
        <w:outlineLvl w:val="1"/>
      </w:pPr>
      <w:r>
        <w:rPr>
          <w:rFonts w:hAnsi="Arial"/>
          <w:rFonts w:ascii="Arial"/>
          <w:sz w:val="24"/>
          <w:color w:val="navy"/>
        </w:rPr>
        <w:t xml:space="preserve">SITIOS TURÍSTICOS.</w:t>
      </w:r>
      <w:bookmarkEnd w:id="6020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201" w:name="2.2.7.8.1"/>
      <w:r>
        <w:rPr>
          <w:rFonts w:hAnsi="Arial"/>
          <w:rFonts w:ascii="Arial"/>
          <w:sz w:val="24"/>
          <w:color w:val="navy"/>
        </w:rPr>
        <w:t xml:space="preserve">ARTÍCULO 2.2.7.8.1. </w:t>
      </w:r>
      <w:r>
        <w:rPr>
          <w:rFonts w:hAnsi="Arial"/>
          <w:rFonts w:ascii="Arial"/>
          <w:sz w:val="24"/>
          <w:i/>
          <w:color w:val="navy"/>
        </w:rPr>
        <w:t xml:space="preserve">DEL INGRESO A PARQUES NATURALES ADMINISTRADOS POR EL ESTADO O POR PARTICULARES</w:t>
      </w:r>
      <w:r>
        <w:rPr>
          <w:rFonts w:hAnsi="Arial"/>
          <w:rFonts w:ascii="Arial"/>
          <w:sz w:val="24"/>
          <w:color w:val="navy"/>
        </w:rPr>
        <w:t>.</w:t>
      </w:r>
      <w:bookmarkEnd w:id="602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La tarifa diferencial en baja temporada que otorga el descuento del treinta por ciento (30%) sobre el valor de las tarifas de ingreso a sitios de interés turísticos de acceso permitido a los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se aplicará también al ingreso a las áreas protegidas del Sistema de Parques Nacionales Naturales de Colombia que cuenten con destinación, infraestructura y vocación ecoturística; según, lo establecido en las disposiciones previstas por Parques Nacionales Naturales de Colombia.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Los beneficiarios tendrán que acogerse a lo dispuesto en la normatividad vigente que en materia ambiental y ecoturística regula lo relacionado con las áreas del Sistema de Parques Nacionales Naturales. Así mismo, se someterán al plan de manejo del área protegida que visiten, en cuanto a las actividades ecoturísticas permitidas, los horarios, los accesos y los requisitos de ingreso, entre otros, y a las recomendaciones que se realicen por parte del personal encargado de la administración y logística del lugar.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Los beneficiarios que soliciten el descuento deberán acreditar la calidad de beneficiarios a través del carnet, el cual presentarán personalmente junto con su documento de identidad al momento de cancelar el valor de la entrada.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El riesgo que pueda presentarse durante la permanencia en el área protegida será asumido por el visitante y no compromete la responsabilidad de Parques Nacionales Naturales de Colombia ni del Ministerio de Defensa Nacional. </w:t>
      </w:r>
    </w:p>
    <w:p>
      <w:pPr>
        <w:jc w:val="both"/>
      </w:pPr>
      <w:rPr>
        <w:color w:val="black"/>
      </w:rPr>
    </w:p>
    <w:p>
      <w:pPr>
        <w:jc w:val="both"/>
      </w:pPr>
      <w:r>
        <w:rPr>
          <w:rFonts w:hAnsi="Arial"/>
          <w:rFonts w:ascii="Arial"/>
          <w:sz w:val="24"/>
          <w:b/>
          <w:vanish/>
          <w:color w:val="black"/>
        </w:rPr>
        <w:t>&amp;$</w:t>
      </w:r>
      <w:bookmarkStart w:id="60202" w:name="2.2.7.8.2"/>
      <w:r>
        <w:rPr>
          <w:rFonts w:hAnsi="Arial"/>
          <w:rFonts w:ascii="Arial"/>
          <w:sz w:val="24"/>
          <w:color w:val="navy"/>
        </w:rPr>
        <w:t xml:space="preserve">ARTÍCULO 2.2.7.8.2. </w:t>
      </w:r>
      <w:r>
        <w:rPr>
          <w:rFonts w:hAnsi="Arial"/>
          <w:rFonts w:ascii="Arial"/>
          <w:sz w:val="24"/>
          <w:i/>
          <w:color w:val="navy"/>
        </w:rPr>
        <w:t xml:space="preserve">SITIO TURÍSTICO</w:t>
      </w:r>
      <w:r>
        <w:rPr>
          <w:rFonts w:hAnsi="Arial"/>
          <w:rFonts w:ascii="Arial"/>
          <w:sz w:val="24"/>
          <w:color w:val="navy"/>
        </w:rPr>
        <w:t>.</w:t>
      </w:r>
      <w:bookmarkEnd w:id="602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efectos del presente decreto entiéndase por “sitio turístico”, el espacio, lugar o zona distinta al entorno habitual de la persona, con fines entre otros, de convenciones, culturales, eventos, negocios, ocio y salud.</w:t>
      </w:r>
    </w:p>
    <w:p>
      <w:pPr>
        <w:jc w:val="both"/>
      </w:pPr>
      <w:rPr>
        <w:color w:val="black"/>
      </w:rPr>
    </w:p>
    <w:p>
      <w:pPr>
        <w:jc w:val="center"/>
        <w:outlineLvl w:val="1"/>
      </w:pPr>
      <w:r>
        <w:rPr>
          <w:rFonts w:hAnsi="Arial"/>
          <w:rFonts w:ascii="Arial"/>
          <w:sz w:val="24"/>
          <w:vanish/>
          <w:color w:val="black"/>
        </w:rPr>
        <w:t>&amp;$</w:t>
      </w:r>
      <w:bookmarkStart w:id="60203" w:name="CAPÍTULO 2.2.7.9"/>
      <w:r>
        <w:rPr>
          <w:rFonts w:hAnsi="Arial"/>
          <w:rFonts w:ascii="Arial"/>
          <w:sz w:val="24"/>
          <w:color w:val="navy"/>
        </w:rPr>
        <w:t xml:space="preserve">CAPÍTULO IX. </w:t>
      </w:r>
    </w:p>
    <w:p>
      <w:pPr>
        <w:jc w:val="center"/>
        <w:outlineLvl w:val="1"/>
      </w:pPr>
      <w:r>
        <w:rPr>
          <w:rFonts w:hAnsi="Arial"/>
          <w:rFonts w:ascii="Arial"/>
          <w:sz w:val="24"/>
          <w:color w:val="navy"/>
        </w:rPr>
        <w:t xml:space="preserve">OTROS BENEFICIOS.</w:t>
      </w:r>
      <w:bookmarkEnd w:id="6020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204" w:name="2.2.7.9.1"/>
      <w:r>
        <w:rPr>
          <w:rFonts w:hAnsi="Arial"/>
          <w:rFonts w:ascii="Arial"/>
          <w:sz w:val="24"/>
          <w:color w:val="navy"/>
        </w:rPr>
        <w:t xml:space="preserve">ARTÍCULO 2.2.7.9.1. </w:t>
      </w:r>
      <w:r>
        <w:rPr>
          <w:rFonts w:hAnsi="Arial"/>
          <w:rFonts w:ascii="Arial"/>
          <w:sz w:val="24"/>
          <w:i/>
          <w:color w:val="navy"/>
        </w:rPr>
        <w:t xml:space="preserve">ENTRADA GRATUITA.</w:t>
      </w:r>
      <w:bookmarkEnd w:id="6020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que los beneficiarios puedan ingresar de manera gratuita a los establecimientos a los que hace mención el artículo </w:t>
      </w:r>
      <w:r>
        <w:fldChar w:fldCharType="begin"/>
      </w:r>
      <w:r>
        <w:instrText>HYPERLINK "http://www.redjurista.com/document.aspx?ajcode=l1699013&amp;arts=12"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1699 de 2013, como son, museos, bienes de interés cultural y centros culturales de la Nación, de los Distritos, Municipios y otros de naturaleza privada, deberán presentar personalmente el carnet que los acredita como beneficiarios junto con su documento de identidad. </w:t>
      </w:r>
    </w:p>
    <w:p>
      <w:pPr>
        <w:jc w:val="both"/>
      </w:pPr>
      <w:rPr>
        <w:color w:val="black"/>
      </w:rPr>
    </w:p>
    <w:p>
      <w:pPr>
        <w:jc w:val="both"/>
        <w:outlineLvl w:val="1"/>
      </w:pPr>
      <w:r>
        <w:rPr>
          <w:rFonts w:hAnsi="Arial"/>
          <w:rFonts w:ascii="Arial"/>
          <w:sz w:val="24"/>
          <w:b/>
          <w:vanish/>
          <w:color w:val="black"/>
        </w:rPr>
        <w:t>&amp;$</w:t>
      </w:r>
      <w:bookmarkStart w:id="60205" w:name="2.2.7.9.2"/>
      <w:r>
        <w:rPr>
          <w:rFonts w:hAnsi="Arial"/>
          <w:rFonts w:ascii="Arial"/>
          <w:sz w:val="24"/>
          <w:color w:val="navy"/>
        </w:rPr>
        <w:t xml:space="preserve">ARTÍCULO 2.2.7.9.2. </w:t>
      </w:r>
      <w:r>
        <w:rPr>
          <w:rFonts w:hAnsi="Arial"/>
          <w:rFonts w:ascii="Arial"/>
          <w:sz w:val="24"/>
          <w:i/>
          <w:color w:val="navy"/>
        </w:rPr>
        <w:t xml:space="preserve">VENTANILLA PREFERENCIAL</w:t>
      </w:r>
      <w:r>
        <w:rPr>
          <w:rFonts w:hAnsi="Arial"/>
          <w:rFonts w:ascii="Arial"/>
          <w:sz w:val="24"/>
          <w:color w:val="navy"/>
        </w:rPr>
        <w:t>.</w:t>
      </w:r>
      <w:bookmarkEnd w:id="602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Los beneficiarios –única y exclusivamente– en condición de discapacidad, es decir, los que señala expresa y taxativamente el numeral 2 del artículo </w:t>
      </w:r>
      <w:r>
        <w:fldChar w:fldCharType="begin"/>
      </w:r>
      <w:r>
        <w:instrText>HYPERLINK "http://www.redjurista.com/document.aspx?ajcode=l1699013&amp;arts=2"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1699 de 2013 al acercarse a las ventanillas de atención al ciudadano de las entidades que presten servicios públicos, podrán utilizar bien sea una nueva ventanilla que estas dispongan para ellos, de ser el caso; o las ya existentes y que son de uso preferencial para personas con discapacidad, mujeres embarazadas y personas de la tercera edad (o adultos mayores), en general. </w:t>
      </w:r>
    </w:p>
    <w:p>
      <w:pPr>
        <w:jc w:val="center"/>
        <w:outlineLvl w:val="1"/>
      </w:pPr>
      <w:rPr>
        <w:sz w:val="24"/>
        <w:color w:val="black"/>
      </w:rPr>
    </w:p>
    <w:p>
      <w:pPr>
        <w:jc w:val="center"/>
        <w:outlineLvl w:val="1"/>
      </w:pPr>
      <w:r>
        <w:rPr>
          <w:rFonts w:hAnsi="Arial"/>
          <w:rFonts w:ascii="Arial"/>
          <w:sz w:val="24"/>
          <w:vanish/>
          <w:color w:val="black"/>
        </w:rPr>
        <w:t>&amp;$</w:t>
      </w:r>
      <w:bookmarkStart w:id="60206" w:name="CAPÍTULO 2.2.7.10"/>
      <w:r>
        <w:rPr>
          <w:rFonts w:hAnsi="Arial"/>
          <w:rFonts w:ascii="Arial"/>
          <w:sz w:val="24"/>
          <w:color w:val="navy"/>
        </w:rPr>
        <w:t xml:space="preserve">CAPÍTULO X. </w:t>
      </w:r>
    </w:p>
    <w:p>
      <w:pPr>
        <w:jc w:val="center"/>
        <w:outlineLvl w:val="1"/>
      </w:pPr>
      <w:r>
        <w:rPr>
          <w:rFonts w:hAnsi="Arial"/>
          <w:rFonts w:ascii="Arial"/>
          <w:sz w:val="24"/>
          <w:color w:val="navy"/>
        </w:rPr>
        <w:t xml:space="preserve">OTRAS DISPOSICIONES.</w:t>
      </w:r>
      <w:bookmarkEnd w:id="60206"/>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207" w:name="2.2.7.10.1"/>
      <w:r>
        <w:rPr>
          <w:rFonts w:hAnsi="Arial"/>
          <w:rFonts w:ascii="Arial"/>
          <w:sz w:val="24"/>
          <w:color w:val="navy"/>
        </w:rPr>
        <w:t xml:space="preserve">ARTÍCULO 2.2.7.10.1. </w:t>
      </w:r>
      <w:r>
        <w:rPr>
          <w:rFonts w:hAnsi="Arial"/>
          <w:rFonts w:ascii="Arial"/>
          <w:sz w:val="24"/>
          <w:i/>
          <w:color w:val="navy"/>
        </w:rPr>
        <w:t xml:space="preserve">PLAZO PARA LA IMPLEMENTACIÓN</w:t>
      </w:r>
      <w:r>
        <w:rPr>
          <w:rFonts w:hAnsi="Arial"/>
          <w:rFonts w:ascii="Arial"/>
          <w:sz w:val="24"/>
          <w:color w:val="navy"/>
        </w:rPr>
        <w:t>.</w:t>
      </w:r>
      <w:bookmarkEnd w:id="602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Para la implementación del presente Decreto, con excepción del Capítulo III. Beneficios en los productos básicos de primera necesidad, se contará con un plazo no superior a seis (6) meses contados a partir de la fecha en que finalice la primera sesión de carnetización por parte del Ministerio de Defensa Nacional.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 anterior sin perjuicio de lo dispuesto en cada uno de los convenios u otra modalidad de vinculación jurídica que se suscriban entre el Ministerio de Defensa Nacional y los grandes almacenes de cadena o grandes superficies. </w:t>
      </w:r>
    </w:p>
    <w:p>
      <w:pPr>
        <w:jc w:val="both"/>
      </w:pPr>
      <w:rPr>
        <w:color w:val="black"/>
      </w:rPr>
    </w:p>
    <w:p>
      <w:pPr>
        <w:jc w:val="both"/>
        <w:outlineLvl w:val="1"/>
      </w:pPr>
      <w:r>
        <w:rPr>
          <w:rFonts w:hAnsi="Arial"/>
          <w:rFonts w:ascii="Arial"/>
          <w:sz w:val="24"/>
          <w:b/>
          <w:vanish/>
          <w:color w:val="black"/>
        </w:rPr>
        <w:t>&amp;$</w:t>
      </w:r>
      <w:bookmarkStart w:id="60208" w:name="2.2.7.10.2"/>
      <w:r>
        <w:rPr>
          <w:rFonts w:hAnsi="Arial"/>
          <w:rFonts w:ascii="Arial"/>
          <w:sz w:val="24"/>
          <w:color w:val="navy"/>
        </w:rPr>
        <w:t xml:space="preserve">ARTÍCULO 2.2.7.10.2. </w:t>
      </w:r>
      <w:r>
        <w:rPr>
          <w:rFonts w:hAnsi="Arial"/>
          <w:rFonts w:ascii="Arial"/>
          <w:sz w:val="24"/>
          <w:i/>
          <w:color w:val="navy"/>
        </w:rPr>
        <w:t xml:space="preserve">ESTRUCTURACIÓN, CONSOLIDACIÓN SUMINISTRO Y ACTUALIZACIÓN DE LA BASE DE DATOS DE LOS BENEFICIARIOS DE LA LEY 1699 DE 2013</w:t>
      </w:r>
      <w:r>
        <w:rPr>
          <w:rFonts w:hAnsi="Arial"/>
          <w:rFonts w:ascii="Arial"/>
          <w:sz w:val="24"/>
          <w:color w:val="navy"/>
        </w:rPr>
        <w:t>.</w:t>
      </w:r>
      <w:bookmarkEnd w:id="602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Ministerio de Defensa Nacional será el encargado de administrar y disponer de la base de datos de la población beneficiaria acreditada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Defensa Nacional será el encargado de mantener actualizado el registro de los beneficiarios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así como de cancelar la acreditación de estos, en caso de verificar el uso indebido del carnet. </w:t>
      </w:r>
    </w:p>
    <w:p>
      <w:pPr>
        <w:jc w:val="both"/>
      </w:pPr>
      <w:rPr>
        <w:color w:val="black"/>
      </w:rPr>
    </w:p>
    <w:p>
      <w:pPr>
        <w:jc w:val="both"/>
        <w:outlineLvl w:val="1"/>
      </w:pPr>
      <w:r>
        <w:rPr>
          <w:rFonts w:hAnsi="Arial"/>
          <w:rFonts w:ascii="Arial"/>
          <w:sz w:val="24"/>
          <w:b/>
          <w:vanish/>
          <w:color w:val="black"/>
        </w:rPr>
        <w:t>&amp;$</w:t>
      </w:r>
      <w:bookmarkStart w:id="60209" w:name="2.2.7.10.3"/>
      <w:r>
        <w:rPr>
          <w:rFonts w:hAnsi="Arial"/>
          <w:rFonts w:ascii="Arial"/>
          <w:sz w:val="24"/>
          <w:color w:val="navy"/>
        </w:rPr>
        <w:t xml:space="preserve">ARTÍCULO 2.2.7.10.3. </w:t>
      </w:r>
      <w:r>
        <w:rPr>
          <w:rFonts w:hAnsi="Arial"/>
          <w:rFonts w:ascii="Arial"/>
          <w:sz w:val="24"/>
          <w:i/>
          <w:color w:val="navy"/>
        </w:rPr>
        <w:t>SEGUIMIENTO</w:t>
      </w:r>
      <w:r>
        <w:rPr>
          <w:rFonts w:hAnsi="Arial"/>
          <w:rFonts w:ascii="Arial"/>
          <w:sz w:val="24"/>
          <w:color w:val="navy"/>
        </w:rPr>
        <w:t>.</w:t>
      </w:r>
      <w:bookmarkEnd w:id="602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"http://www.redjurista.com/document.aspx?ajcode=d2092015&amp;arts=1"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2092 de 2015. El nuevo texto es el siguiente:&gt; El Ministerio de Defensa Nacional presentará ante el Congreso de la República un informe anual donde se indicarán los avances en materia de beneficios a la población objeto de la Ley </w:t>
      </w:r>
      <w:r>
        <w:fldChar w:fldCharType="begin"/>
      </w:r>
      <w:r>
        <w:instrText>HYPERLINK "http://www.redjurista.com/document.aspx?ajcode=l1699013&amp;arts=INICIO"</w:instrText>
      </w:r>
      <w:r>
        <w:fldChar w:fldCharType="separate"/>
      </w:r>
      <w:r>
        <w:rPr>
          <w:rFonts w:hAnsi="Arial"/>
          <w:rFonts w:ascii="Arial"/>
          <w:sz w:val="24"/>
          <w:u w:val="single"/>
          <w:color w:val="black"/>
        </w:rPr>
        <w:t>1699</w:t>
      </w:r>
      <w:r>
        <w:fldChar w:fldCharType="end"/>
      </w:r>
      <w:r>
        <w:rPr>
          <w:rFonts w:hAnsi="Arial"/>
          <w:rFonts w:ascii="Arial"/>
          <w:sz w:val="24"/>
          <w:u w:val="none"/>
          <w:color w:val="black"/>
        </w:rPr>
        <w:t xml:space="preserve"> de 2013. Por tal razón, las entidades públicas y privadas, así como los establecimientos de comercio relacionados y quienes otorgarán tales beneficios deberán enviar en el mes de octubre de cada año a partir de la suscripción del presente Decreto, un documento donde informen las estadísticas y situaciones especiales relacionadas con los beneficios otorgados.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Defensa Nacional acordará con cada una de las entidades públicas y privadas, así como con los establecimientos de comercio los términos y condiciones del informe del cual trata este artículo. </w:t>
      </w:r>
    </w:p>
    <w:p>
      <w:pPr>
        <w:jc w:val="both"/>
      </w:pPr>
      <w:rPr>
        <w:color w:val="black"/>
      </w:rPr>
    </w:p>
    <w:p>
      <w:pPr>
        <w:jc w:val="center"/>
      </w:pPr>
      <w:r>
        <w:rPr>
          <w:rFonts w:hAnsi="Arial"/>
          <w:rFonts w:ascii="Arial"/>
          <w:sz w:val="24"/>
          <w:b/>
          <w:vanish/>
          <w:color w:val="black"/>
        </w:rPr>
        <w:t>&amp;$</w:t>
      </w:r>
      <w:bookmarkStart w:id="60210" w:name="TÍTULO 8.2.2"/>
      <w:r>
        <w:rPr>
          <w:rFonts w:hAnsi="Arial"/>
          <w:rFonts w:ascii="Arial"/>
          <w:sz w:val="24"/>
          <w:color w:val="navy"/>
        </w:rPr>
        <w:t xml:space="preserve">TÍTULO 8. </w:t>
      </w:r>
    </w:p>
    <w:p>
      <w:pPr>
        <w:jc w:val="center"/>
      </w:pPr>
      <w:r>
        <w:rPr>
          <w:rFonts w:hAnsi="Arial"/>
          <w:rFonts w:ascii="Arial"/>
          <w:sz w:val="24"/>
          <w:color w:val="navy"/>
        </w:rPr>
        <w:t xml:space="preserve">DE LA CONVIVENCIA Y SEGURIDAD CIUDADANA.</w:t>
      </w:r>
      <w:bookmarkEnd w:id="60210"/>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60211" w:name="2.2.8.1"/>
      <w:r>
        <w:rPr>
          <w:rFonts w:hAnsi="Arial"/>
          <w:rFonts w:ascii="Arial"/>
          <w:sz w:val="24"/>
          <w:color w:val="navy"/>
        </w:rPr>
        <w:t xml:space="preserve">ARTÍCULO 2.2.8.1. </w:t>
      </w:r>
      <w:r>
        <w:rPr>
          <w:rFonts w:hAnsi="Arial"/>
          <w:rFonts w:ascii="Arial"/>
          <w:sz w:val="24"/>
          <w:i/>
          <w:color w:val="navy"/>
        </w:rPr>
        <w:t>OBJETO</w:t>
      </w:r>
      <w:r>
        <w:rPr>
          <w:rFonts w:hAnsi="Arial"/>
          <w:rFonts w:ascii="Arial"/>
          <w:sz w:val="24"/>
          <w:color w:val="navy"/>
        </w:rPr>
        <w:t>.</w:t>
      </w:r>
      <w:bookmarkEnd w:id="602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El presente título tiene por objeto reglamentar parcialmente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a efectos de la cumplida ejecución de las disposiciones atinentes al Código Nacional de Policía y Convivencia.</w:t>
      </w:r>
    </w:p>
    <w:p>
      <w:pPr>
        <w:jc w:val="center"/>
      </w:pPr>
      <w:rPr>
        <w:sz w:val="24"/>
        <w:b/>
        <w:color w:val="black"/>
      </w:rPr>
    </w:p>
    <w:p>
      <w:pPr>
        <w:jc w:val="center"/>
      </w:pPr>
      <w:r>
        <w:rPr>
          <w:rFonts w:hAnsi="Arial"/>
          <w:rFonts w:ascii="Arial"/>
          <w:sz w:val="24"/>
          <w:b/>
          <w:vanish/>
          <w:color w:val="black"/>
        </w:rPr>
        <w:t>&amp;$</w:t>
      </w:r>
      <w:bookmarkStart w:id="60212" w:name="CAPÍTULO I.8.2.2"/>
      <w:r>
        <w:rPr>
          <w:rFonts w:hAnsi="Arial"/>
          <w:rFonts w:ascii="Arial"/>
          <w:sz w:val="24"/>
          <w:color w:val="navy"/>
        </w:rPr>
        <w:t xml:space="preserve">CAPÍTULO I. </w:t>
      </w:r>
    </w:p>
    <w:p>
      <w:pPr>
        <w:jc w:val="center"/>
      </w:pPr>
      <w:r>
        <w:rPr>
          <w:rFonts w:hAnsi="Arial"/>
          <w:rFonts w:ascii="Arial"/>
          <w:sz w:val="24"/>
          <w:color w:val="navy"/>
        </w:rPr>
        <w:t xml:space="preserve">ESPACIOS FÍSICOS PARA RECEPCIÓN, ATENCIÓN Y RESOLUCIÓN DE QUEJAS, PETICIONES Y RECLAMOS.</w:t>
      </w:r>
      <w:bookmarkEnd w:id="60212"/>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13" w:name="2.2.8.1.1"/>
      <w:r>
        <w:rPr>
          <w:rFonts w:hAnsi="Arial"/>
          <w:rFonts w:ascii="Arial"/>
          <w:sz w:val="24"/>
          <w:color w:val="navy"/>
        </w:rPr>
        <w:t xml:space="preserve">ARTÍCULO 2.2.8.1.1. </w:t>
      </w:r>
      <w:r>
        <w:rPr>
          <w:rFonts w:hAnsi="Arial"/>
          <w:rFonts w:ascii="Arial"/>
          <w:sz w:val="24"/>
          <w:i/>
          <w:color w:val="navy"/>
        </w:rPr>
        <w:t>DEFINICIONES.</w:t>
      </w:r>
      <w:bookmarkEnd w:id="6021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Para efectos de la facultad prevista en el parágrafo transitorio del artículo </w:t>
      </w:r>
      <w:r>
        <w:fldChar w:fldCharType="begin"/>
      </w:r>
      <w:r>
        <w:instrText>HYPERLINK "http://www.redjurista.com/document.aspx?ajcode=l1801016&amp;arts=10"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1801 de 2016, se tendrán en cuenta las siguientes definiciones para la aplicación e interpretación del presente capítulo:</w:t>
      </w:r>
    </w:p>
    <w:p>
      <w:pPr>
        <w:jc w:val="both"/>
      </w:pPr>
      <w:rPr>
        <w:sz w:val="24"/>
        <w:color w:val="black"/>
      </w:rPr>
    </w:p>
    <w:p>
      <w:pPr>
        <w:jc w:val="both"/>
      </w:pPr>
      <w:r>
        <w:rPr>
          <w:rFonts w:hAnsi="Arial"/>
          <w:rFonts w:ascii="Arial"/>
          <w:sz w:val="24"/>
          <w:b/>
          <w:color w:val="black"/>
        </w:rPr>
        <w:t xml:space="preserve">1. Oficina de Atención al Ciudadano: </w:t>
      </w:r>
      <w:r>
        <w:rPr>
          <w:rFonts w:hAnsi="Arial"/>
          <w:rFonts w:ascii="Arial"/>
          <w:sz w:val="24"/>
          <w:color w:val="black"/>
        </w:rPr>
        <w:t xml:space="preserve">Es una dependencia de la Policía Nacional encargada de controlar los Puntos de Atención al Ciudadano (PAC) a su cargo y desarrollar las actividades propias de recepción, trámite, gestión e información de peticiones, quejas o reclamos, reconocimientos del servicio policial y sugerencias, así como las demás actividades relacionadas con la atención y orientación al ciudadano.</w:t>
      </w:r>
    </w:p>
    <w:p>
      <w:pPr>
        <w:jc w:val="both"/>
      </w:pPr>
      <w:rPr>
        <w:sz w:val="24"/>
        <w:color w:val="black"/>
      </w:rPr>
    </w:p>
    <w:p>
      <w:pPr>
        <w:jc w:val="both"/>
      </w:pPr>
      <w:r>
        <w:rPr>
          <w:rFonts w:hAnsi="Arial"/>
          <w:rFonts w:ascii="Arial"/>
          <w:sz w:val="24"/>
          <w:b/>
          <w:color w:val="black"/>
        </w:rPr>
        <w:t xml:space="preserve">2. Punto de Atención al Ciudadano: </w:t>
      </w:r>
      <w:r>
        <w:rPr>
          <w:rFonts w:hAnsi="Arial"/>
          <w:rFonts w:ascii="Arial"/>
          <w:sz w:val="24"/>
          <w:color w:val="black"/>
        </w:rPr>
        <w:t xml:space="preserve">Es una dependencia de la Policía Nacional funcionalmente dependiente de las Oficinas de Atención al Ciudadano, donde se desarrollan actividades tales como la recepción, trámite, gestión e información de peticiones, quejas, reclamos, reconocimientos del servicio policial y sugerencias, y demás actividades relacionadas con atención y orientación al ciudadano. </w:t>
      </w:r>
    </w:p>
    <w:p>
      <w:pPr>
        <w:jc w:val="both"/>
      </w:pPr>
      <w:rPr>
        <w:sz w:val="24"/>
        <w:color w:val="black"/>
      </w:rPr>
    </w:p>
    <w:p>
      <w:pPr>
        <w:jc w:val="both"/>
      </w:pPr>
      <w:r>
        <w:rPr>
          <w:rFonts w:hAnsi="Arial"/>
          <w:rFonts w:ascii="Arial"/>
          <w:sz w:val="24"/>
          <w:color w:val="black"/>
        </w:rPr>
        <w:t xml:space="preserve">Dentro de las Regiones de Policía, Clínicas y Establecimientos de Sanidad Policial, Centros Sociales y Vacacionales, Centro Religioso, Colegios de la Dirección de Bienestar Social (DIBIE), Regionales de Incorporación, Seccionales de Protección y Servicios Especiales, Seccionales de Tránsito y Transporte, Seccionales de Investigación Criminal, Distritos y Estaciones de Policía, y demás sitios fijos o móviles que determine la Policía Nacional, podrán instalarse Puntos de Atención al Ciudadano.</w:t>
      </w:r>
    </w:p>
    <w:p>
      <w:pPr>
        <w:jc w:val="both"/>
      </w:pPr>
      <w:rPr>
        <w:sz w:val="24"/>
        <w:color w:val="black"/>
      </w:rPr>
    </w:p>
    <w:p>
      <w:pPr>
        <w:jc w:val="both"/>
      </w:pPr>
      <w:r>
        <w:rPr>
          <w:rFonts w:hAnsi="Arial"/>
          <w:rFonts w:ascii="Arial"/>
          <w:sz w:val="24"/>
          <w:b/>
          <w:color w:val="black"/>
        </w:rPr>
        <w:t xml:space="preserve">3. Dependencias: </w:t>
      </w:r>
      <w:r>
        <w:rPr>
          <w:rFonts w:hAnsi="Arial"/>
          <w:rFonts w:ascii="Arial"/>
          <w:sz w:val="24"/>
          <w:color w:val="black"/>
        </w:rPr>
        <w:t xml:space="preserve">Lugar destinado para la recepción de peticiones, quejas y reclamos de las Oficinas de Atención al Ciudadano y de los Puntos de Atención al Ciudadano de la Policía Nacional.</w:t>
      </w:r>
    </w:p>
    <w:p>
      <w:pPr>
        <w:jc w:val="both"/>
      </w:pPr>
      <w:rPr>
        <w:sz w:val="24"/>
        <w:color w:val="black"/>
      </w:rPr>
    </w:p>
    <w:p>
      <w:pPr>
        <w:jc w:val="both"/>
      </w:pPr>
      <w:r>
        <w:rPr>
          <w:rFonts w:hAnsi="Arial"/>
          <w:rFonts w:ascii="Arial"/>
          <w:sz w:val="24"/>
          <w:b/>
          <w:color w:val="black"/>
        </w:rPr>
        <w:t xml:space="preserve">4. Comunicaciones: </w:t>
      </w:r>
      <w:r>
        <w:rPr>
          <w:rFonts w:hAnsi="Arial"/>
          <w:rFonts w:ascii="Arial"/>
          <w:sz w:val="24"/>
          <w:color w:val="black"/>
        </w:rPr>
        <w:t xml:space="preserve">Señales con diferentes sistemas de lectura e identificación, que brindan información a los usuarios, de lugares y advertencias.</w:t>
      </w:r>
    </w:p>
    <w:p>
      <w:pPr>
        <w:jc w:val="both"/>
      </w:pPr>
      <w:rPr>
        <w:sz w:val="24"/>
        <w:color w:val="black"/>
      </w:rPr>
    </w:p>
    <w:p>
      <w:pPr>
        <w:jc w:val="both"/>
      </w:pPr>
      <w:r>
        <w:rPr>
          <w:rFonts w:hAnsi="Arial"/>
          <w:rFonts w:ascii="Arial"/>
          <w:sz w:val="24"/>
          <w:b/>
          <w:color w:val="black"/>
        </w:rPr>
        <w:t xml:space="preserve">5. Itinerario y circulaciones peatonales: </w:t>
      </w:r>
      <w:r>
        <w:rPr>
          <w:rFonts w:hAnsi="Arial"/>
          <w:rFonts w:ascii="Arial"/>
          <w:sz w:val="24"/>
          <w:color w:val="black"/>
        </w:rPr>
        <w:t xml:space="preserve">Dirección y descripción de un camino con señalización de los lugares, obstáculos, paradas y otros que existan a lo largo de él, para el desplazamiento de los usuarios hacia las Oficinas de Atención al Ciudadano y Puntos de Atención al Ciudadano.</w:t>
      </w:r>
    </w:p>
    <w:p>
      <w:pPr>
        <w:jc w:val="both"/>
      </w:pPr>
      <w:rPr>
        <w:sz w:val="24"/>
        <w:color w:val="black"/>
      </w:rPr>
    </w:p>
    <w:p>
      <w:pPr>
        <w:jc w:val="both"/>
      </w:pPr>
      <w:r>
        <w:rPr>
          <w:rFonts w:hAnsi="Arial"/>
          <w:rFonts w:ascii="Arial"/>
          <w:sz w:val="24"/>
          <w:b/>
          <w:color w:val="black"/>
        </w:rPr>
        <w:t xml:space="preserve">6. Accesibilidad: </w:t>
      </w:r>
      <w:r>
        <w:rPr>
          <w:rFonts w:hAnsi="Arial"/>
          <w:rFonts w:ascii="Arial"/>
          <w:sz w:val="24"/>
          <w:color w:val="black"/>
        </w:rPr>
        <w:t xml:space="preserve">Condición de posibilidad de ingresar, transitar y permanecer en una edificación o parte de esta, que permita hacer uso de un servicio, independientemente de las capacidades físicas o cognitivas de los usuarios.</w:t>
      </w:r>
    </w:p>
    <w:p>
      <w:pPr>
        <w:jc w:val="center"/>
      </w:pPr>
      <w:rPr>
        <w:color w:val="black"/>
      </w:rPr>
    </w:p>
    <w:p>
      <w:pPr>
        <w:jc w:val="both"/>
      </w:pPr>
      <w:r>
        <w:rPr>
          <w:rFonts w:hAnsi="Arial"/>
          <w:rFonts w:ascii="Arial"/>
          <w:sz w:val="24"/>
          <w:b/>
          <w:vanish/>
          <w:color w:val="black"/>
        </w:rPr>
        <w:t>&amp;$</w:t>
      </w:r>
      <w:bookmarkStart w:id="60214" w:name="2.2.8.1.2"/>
      <w:r>
        <w:rPr>
          <w:rFonts w:hAnsi="Arial"/>
          <w:rFonts w:ascii="Arial"/>
          <w:sz w:val="24"/>
          <w:color w:val="navy"/>
        </w:rPr>
        <w:t xml:space="preserve">ARTÍCULO 2.2.8.1.2. </w:t>
      </w:r>
      <w:r>
        <w:rPr>
          <w:rFonts w:hAnsi="Arial"/>
          <w:rFonts w:ascii="Arial"/>
          <w:sz w:val="24"/>
          <w:i/>
          <w:color w:val="navy"/>
        </w:rPr>
        <w:t xml:space="preserve">DISEÑO DE ESPACIOS FÍSICOS.</w:t>
      </w:r>
      <w:bookmarkEnd w:id="6021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espacios físicos de las Oficinas de Atención al Ciudadano de la Policía Nacional y de los Puntos de Atención al Ciudadano, deberán brindar a todas las personas, especialmente aquellas en condición de discapacidad, la posibilidad de hacer uso de cada uno de los espacios de manera fácil, segura, autónoma y desapercibida, debiendo suprimir las barreras de entorno físico presentes en cada una de las Oficinas de Atención al Ciudadano y Puntos de Atención al Ciudadano, con el fin de fomentar su accesibilidad a dichos espacios físicos.</w:t>
      </w:r>
    </w:p>
    <w:p>
      <w:pPr>
        <w:jc w:val="center"/>
      </w:pPr>
      <w:rPr>
        <w:color w:val="black"/>
      </w:rPr>
    </w:p>
    <w:p>
      <w:pPr>
        <w:jc w:val="both"/>
      </w:pPr>
      <w:r>
        <w:rPr>
          <w:rFonts w:hAnsi="Arial"/>
          <w:rFonts w:ascii="Arial"/>
          <w:sz w:val="24"/>
          <w:b/>
          <w:vanish/>
          <w:color w:val="black"/>
        </w:rPr>
        <w:t>&amp;$</w:t>
      </w:r>
      <w:bookmarkStart w:id="60215" w:name="2.2.8.1.3"/>
      <w:r>
        <w:rPr>
          <w:rFonts w:hAnsi="Arial"/>
          <w:rFonts w:ascii="Arial"/>
          <w:sz w:val="24"/>
          <w:color w:val="navy"/>
        </w:rPr>
        <w:t xml:space="preserve">ARTÍCULO 2.2.8.1.3. </w:t>
      </w:r>
      <w:r>
        <w:rPr>
          <w:rFonts w:hAnsi="Arial"/>
          <w:rFonts w:ascii="Arial"/>
          <w:sz w:val="24"/>
          <w:i/>
          <w:color w:val="navy"/>
        </w:rPr>
        <w:t xml:space="preserve">CARACTERÍSTICAS DE LOS ESPACIOS FÍSICOS.</w:t>
      </w:r>
      <w:bookmarkEnd w:id="6021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El diseño de los espacios físicos a los que se refiere el artículo </w:t>
      </w:r>
      <w:r>
        <w:fldChar w:fldCharType="begin"/>
      </w:r>
      <w:r>
        <w:instrText>HYPERLINK "http://www.redjurista.com/document.aspx?ajcode=d1070015&amp;arts=2.2.8.1.2"</w:instrText>
      </w:r>
      <w:r>
        <w:fldChar w:fldCharType="separate"/>
      </w:r>
      <w:r>
        <w:rPr>
          <w:rFonts w:hAnsi="Arial"/>
          <w:rFonts w:ascii="Arial"/>
          <w:sz w:val="24"/>
          <w:u w:val="single"/>
          <w:color w:val="black"/>
        </w:rPr>
        <w:t>2.2.8.1.2</w:t>
      </w:r>
      <w:r>
        <w:fldChar w:fldCharType="end"/>
      </w:r>
      <w:r>
        <w:rPr>
          <w:rFonts w:hAnsi="Arial"/>
          <w:rFonts w:ascii="Arial"/>
          <w:sz w:val="24"/>
          <w:u w:val="none"/>
          <w:color w:val="black"/>
        </w:rPr>
        <w:t xml:space="preserve">., deberán incluir la adecuación de las Oficinas y Puntos de Atención al Ciudadano según su tipo, así:</w:t>
      </w:r>
    </w:p>
    <w:p>
      <w:pPr>
        <w:jc w:val="both"/>
      </w:pPr>
      <w:rPr>
        <w:sz w:val="24"/>
        <w:color w:val="black"/>
      </w:rPr>
    </w:p>
    <w:p>
      <w:pPr>
        <w:jc w:val="both"/>
      </w:pPr>
      <w:r>
        <w:rPr>
          <w:rFonts w:hAnsi="Arial"/>
          <w:rFonts w:ascii="Arial"/>
          <w:sz w:val="24"/>
          <w:b/>
          <w:color w:val="black"/>
        </w:rPr>
        <w:t xml:space="preserve">1. Acceso: </w:t>
      </w:r>
      <w:r>
        <w:rPr>
          <w:rFonts w:hAnsi="Arial"/>
          <w:rFonts w:ascii="Arial"/>
          <w:sz w:val="24"/>
          <w:color w:val="black"/>
        </w:rPr>
        <w:t xml:space="preserve">La Oficina y/o Punto de Atención al Ciudadano, deberá contar con espacios que interactúen entre todos los ambientes de manera fácil, autónoma y segura, permitiendo hacer uso de un servicio, independientemente de las capacidades físicas o cognitivas de los usuarios.</w:t>
      </w:r>
    </w:p>
    <w:p>
      <w:pPr>
        <w:jc w:val="both"/>
      </w:pPr>
      <w:rPr>
        <w:sz w:val="24"/>
        <w:color w:val="black"/>
      </w:rPr>
    </w:p>
    <w:p>
      <w:pPr>
        <w:jc w:val="both"/>
      </w:pPr>
      <w:r>
        <w:rPr>
          <w:rFonts w:hAnsi="Arial"/>
          <w:rFonts w:ascii="Arial"/>
          <w:sz w:val="24"/>
          <w:b/>
          <w:color w:val="black"/>
        </w:rPr>
        <w:t xml:space="preserve">2. Puertas: </w:t>
      </w:r>
      <w:r>
        <w:rPr>
          <w:rFonts w:hAnsi="Arial"/>
          <w:rFonts w:ascii="Arial"/>
          <w:sz w:val="24"/>
          <w:color w:val="black"/>
        </w:rPr>
        <w:t xml:space="preserve">Las puertas de acceso deberán ser fácilmente localizables, y deberán contar con un mecanismo de palanca que permitan su manipulación y fácil apertura, independientemente de las capacidades físicas o cognitivas de los usuarios.</w:t>
      </w:r>
    </w:p>
    <w:p>
      <w:pPr>
        <w:jc w:val="both"/>
      </w:pPr>
      <w:rPr>
        <w:sz w:val="24"/>
        <w:color w:val="black"/>
      </w:rPr>
    </w:p>
    <w:p>
      <w:pPr>
        <w:jc w:val="both"/>
      </w:pPr>
      <w:r>
        <w:rPr>
          <w:rFonts w:hAnsi="Arial"/>
          <w:rFonts w:ascii="Arial"/>
          <w:sz w:val="24"/>
          <w:b/>
          <w:color w:val="black"/>
        </w:rPr>
        <w:t xml:space="preserve">3. Parqueadero: </w:t>
      </w:r>
      <w:r>
        <w:rPr>
          <w:rFonts w:hAnsi="Arial"/>
          <w:rFonts w:ascii="Arial"/>
          <w:sz w:val="24"/>
          <w:color w:val="black"/>
        </w:rPr>
        <w:t xml:space="preserve">El estacionamiento de vehículos, de ser viable y pertinente, debe permitir la accesibilidad de los usuarios a las Oficinas y Puntos de Atención, los cuales estarán debidamente señalizados de manera vertical y horizontal, de acuerdo a las especificaciones requeridas para personas con movilidad reducida o en condición de discapacidad.</w:t>
      </w:r>
    </w:p>
    <w:p>
      <w:pPr>
        <w:jc w:val="both"/>
      </w:pPr>
      <w:rPr>
        <w:sz w:val="24"/>
        <w:color w:val="black"/>
      </w:rPr>
    </w:p>
    <w:p>
      <w:pPr>
        <w:jc w:val="both"/>
      </w:pPr>
      <w:r>
        <w:rPr>
          <w:rFonts w:hAnsi="Arial"/>
          <w:rFonts w:ascii="Arial"/>
          <w:sz w:val="24"/>
          <w:b/>
          <w:color w:val="black"/>
        </w:rPr>
        <w:t xml:space="preserve">4. Itinerario y circulaciones peatonales: </w:t>
      </w:r>
      <w:r>
        <w:rPr>
          <w:rFonts w:hAnsi="Arial"/>
          <w:rFonts w:ascii="Arial"/>
          <w:sz w:val="24"/>
          <w:color w:val="black"/>
        </w:rPr>
        <w:t xml:space="preserve">Los espacios de circulación deben ser adecuados según la intensidad, densidad, capacidad y nivel de servicio y deberán estar libres de obstáculos y barreras, empleándose la infraestructura adecuada para ello.</w:t>
      </w:r>
    </w:p>
    <w:p>
      <w:pPr>
        <w:jc w:val="both"/>
      </w:pPr>
      <w:rPr>
        <w:sz w:val="24"/>
        <w:color w:val="black"/>
      </w:rPr>
    </w:p>
    <w:p>
      <w:pPr>
        <w:jc w:val="both"/>
      </w:pPr>
      <w:r>
        <w:rPr>
          <w:rFonts w:hAnsi="Arial"/>
          <w:rFonts w:ascii="Arial"/>
          <w:sz w:val="24"/>
          <w:b/>
          <w:color w:val="black"/>
        </w:rPr>
        <w:t xml:space="preserve">5. Dependencias: </w:t>
      </w:r>
      <w:r>
        <w:rPr>
          <w:rFonts w:hAnsi="Arial"/>
          <w:rFonts w:ascii="Arial"/>
          <w:sz w:val="24"/>
          <w:color w:val="black"/>
        </w:rPr>
        <w:t xml:space="preserve">El espacio físico de la Oficina y/o Puntos de Atención al Ciudadano, debe estar libre de obstáculos, permitiendo a todos los usuarios efectuar maniobras de movimientos propios, independientemente de las capacidades físicas o cognitivas de los usuarios.</w:t>
      </w:r>
    </w:p>
    <w:p>
      <w:pPr>
        <w:jc w:val="both"/>
      </w:pPr>
      <w:rPr>
        <w:sz w:val="24"/>
        <w:color w:val="black"/>
      </w:rPr>
    </w:p>
    <w:p>
      <w:pPr>
        <w:jc w:val="both"/>
      </w:pPr>
      <w:r>
        <w:rPr>
          <w:rFonts w:hAnsi="Arial"/>
          <w:rFonts w:ascii="Arial"/>
          <w:sz w:val="24"/>
          <w:b/>
          <w:color w:val="black"/>
        </w:rPr>
        <w:t xml:space="preserve">6. Sala de espera: </w:t>
      </w:r>
      <w:r>
        <w:rPr>
          <w:rFonts w:hAnsi="Arial"/>
          <w:rFonts w:ascii="Arial"/>
          <w:sz w:val="24"/>
          <w:color w:val="black"/>
        </w:rPr>
        <w:t xml:space="preserve">Esta deberá contar con sillas individuales y/o tipo tándem, dejando espacios que faciliten la circulación en ambos costados, garantizando el libre desplazamiento de una persona en silla de ruedas o vehículos para transporte de niños tipo coche.</w:t>
      </w:r>
    </w:p>
    <w:p>
      <w:pPr>
        <w:jc w:val="both"/>
      </w:pPr>
      <w:rPr>
        <w:sz w:val="24"/>
        <w:color w:val="black"/>
      </w:rPr>
    </w:p>
    <w:p>
      <w:pPr>
        <w:jc w:val="both"/>
      </w:pPr>
      <w:r>
        <w:rPr>
          <w:rFonts w:hAnsi="Arial"/>
          <w:rFonts w:ascii="Arial"/>
          <w:sz w:val="24"/>
          <w:b/>
          <w:color w:val="black"/>
        </w:rPr>
        <w:t xml:space="preserve">7. Módulos de atención: </w:t>
      </w:r>
      <w:r>
        <w:rPr>
          <w:rFonts w:hAnsi="Arial"/>
          <w:rFonts w:ascii="Arial"/>
          <w:sz w:val="24"/>
          <w:color w:val="black"/>
        </w:rPr>
        <w:t xml:space="preserve">Se deberá contar con un mobiliario especialmente acondicionado a las Oficinas y/o Puntos de Atención al Ciudadano; este tipo de mobiliario deberá permitir una fácil comunicación, al igual que deberá garantizar la privacidad y confidencialidad para el usuario.</w:t>
      </w:r>
    </w:p>
    <w:p>
      <w:pPr>
        <w:jc w:val="both"/>
      </w:pPr>
      <w:rPr>
        <w:sz w:val="24"/>
        <w:color w:val="black"/>
      </w:rPr>
    </w:p>
    <w:p>
      <w:pPr>
        <w:jc w:val="both"/>
      </w:pPr>
      <w:r>
        <w:rPr>
          <w:rFonts w:hAnsi="Arial"/>
          <w:rFonts w:ascii="Arial"/>
          <w:sz w:val="24"/>
          <w:b/>
          <w:color w:val="black"/>
        </w:rPr>
        <w:t xml:space="preserve">8. Baño accesible: </w:t>
      </w:r>
      <w:r>
        <w:rPr>
          <w:rFonts w:hAnsi="Arial"/>
          <w:rFonts w:ascii="Arial"/>
          <w:sz w:val="24"/>
          <w:color w:val="black"/>
        </w:rPr>
        <w:t xml:space="preserve">Cada unidad policial que cuente con una Oficina y/o Punto de Atención al Ciudadano, deberá tener al menos un baño que cuente como mínimo con las siguientes características:</w:t>
      </w:r>
    </w:p>
    <w:p>
      <w:pPr>
        <w:jc w:val="both"/>
      </w:pPr>
      <w:rPr>
        <w:sz w:val="24"/>
        <w:color w:val="black"/>
      </w:rPr>
    </w:p>
    <w:p>
      <w:pPr>
        <w:jc w:val="both"/>
      </w:pPr>
      <w:r>
        <w:rPr>
          <w:rFonts w:hAnsi="Arial"/>
          <w:rFonts w:ascii="Arial"/>
          <w:sz w:val="24"/>
          <w:color w:val="black"/>
        </w:rPr>
        <w:t xml:space="preserve">a) Un lavamanos que no tenga barreras de acceso.</w:t>
      </w:r>
    </w:p>
    <w:p>
      <w:pPr>
        <w:jc w:val="both"/>
      </w:pPr>
      <w:rPr>
        <w:sz w:val="24"/>
        <w:color w:val="black"/>
      </w:rPr>
    </w:p>
    <w:p>
      <w:pPr>
        <w:jc w:val="both"/>
      </w:pPr>
      <w:r>
        <w:rPr>
          <w:rFonts w:hAnsi="Arial"/>
          <w:rFonts w:ascii="Arial"/>
          <w:sz w:val="24"/>
          <w:color w:val="black"/>
        </w:rPr>
        <w:t xml:space="preserve">b) Espejo.</w:t>
      </w:r>
    </w:p>
    <w:p>
      <w:pPr>
        <w:jc w:val="both"/>
      </w:pPr>
      <w:rPr>
        <w:sz w:val="24"/>
        <w:color w:val="black"/>
      </w:rPr>
    </w:p>
    <w:p>
      <w:pPr>
        <w:jc w:val="both"/>
      </w:pPr>
      <w:r>
        <w:rPr>
          <w:rFonts w:hAnsi="Arial"/>
          <w:rFonts w:ascii="Arial"/>
          <w:sz w:val="24"/>
          <w:color w:val="black"/>
        </w:rPr>
        <w:t xml:space="preserve">c) Grifería con mecanismo de apertura o presión de fácil activación.</w:t>
      </w:r>
    </w:p>
    <w:p>
      <w:pPr>
        <w:jc w:val="both"/>
      </w:pPr>
      <w:rPr>
        <w:sz w:val="24"/>
        <w:color w:val="black"/>
      </w:rPr>
    </w:p>
    <w:p>
      <w:pPr>
        <w:jc w:val="both"/>
      </w:pPr>
      <w:r>
        <w:rPr>
          <w:rFonts w:hAnsi="Arial"/>
          <w:rFonts w:ascii="Arial"/>
          <w:sz w:val="24"/>
          <w:color w:val="black"/>
        </w:rPr>
        <w:t xml:space="preserve">d) Dispositivos o mecanismos de transferencia al sanitario.</w:t>
      </w:r>
    </w:p>
    <w:p>
      <w:pPr>
        <w:jc w:val="both"/>
      </w:pPr>
      <w:rPr>
        <w:sz w:val="24"/>
        <w:color w:val="black"/>
      </w:rPr>
    </w:p>
    <w:p>
      <w:pPr>
        <w:jc w:val="both"/>
      </w:pPr>
      <w:r>
        <w:rPr>
          <w:rFonts w:hAnsi="Arial"/>
          <w:rFonts w:ascii="Arial"/>
          <w:sz w:val="24"/>
          <w:b/>
          <w:color w:val="black"/>
        </w:rPr>
        <w:t xml:space="preserve">9. Mobiliario: </w:t>
      </w:r>
      <w:r>
        <w:rPr>
          <w:rFonts w:hAnsi="Arial"/>
          <w:rFonts w:ascii="Arial"/>
          <w:sz w:val="24"/>
          <w:color w:val="black"/>
        </w:rPr>
        <w:t xml:space="preserve">Este no debe interrumpir por ningún motivo el paso libre de desplazamiento, al igual que deberá garantizar la privacidad y confidencialidad de la información suministrada por el usuario, acondicionando el espacio y el mobiliario a personas con discapacidad motora.</w:t>
      </w:r>
    </w:p>
    <w:p>
      <w:pPr>
        <w:jc w:val="both"/>
      </w:pPr>
      <w:rPr>
        <w:sz w:val="24"/>
        <w:color w:val="black"/>
      </w:rPr>
    </w:p>
    <w:p>
      <w:pPr>
        <w:jc w:val="both"/>
      </w:pPr>
      <w:r>
        <w:rPr>
          <w:rFonts w:hAnsi="Arial"/>
          <w:rFonts w:ascii="Arial"/>
          <w:sz w:val="24"/>
          <w:b/>
          <w:color w:val="black"/>
        </w:rPr>
        <w:t xml:space="preserve">10. </w:t>
      </w:r>
      <w:r>
        <w:rPr>
          <w:rFonts w:hAnsi="Arial"/>
          <w:rFonts w:ascii="Arial"/>
          <w:sz w:val="24"/>
          <w:color w:val="black"/>
        </w:rPr>
        <w:t xml:space="preserve">Puestos de trabajo: Deben contar con las conexiones telefónicas, voz y datos y las demás que permitan el normal desarrollo de las actividades.</w:t>
      </w:r>
    </w:p>
    <w:p>
      <w:pPr>
        <w:jc w:val="both"/>
      </w:pPr>
      <w:rPr>
        <w:sz w:val="24"/>
        <w:color w:val="black"/>
      </w:rPr>
    </w:p>
    <w:p>
      <w:pPr>
        <w:jc w:val="both"/>
      </w:pPr>
      <w:r>
        <w:rPr>
          <w:rFonts w:hAnsi="Arial"/>
          <w:rFonts w:ascii="Arial"/>
          <w:sz w:val="24"/>
          <w:b/>
          <w:color w:val="black"/>
        </w:rPr>
        <w:t xml:space="preserve">11. Comunicación: </w:t>
      </w:r>
      <w:r>
        <w:rPr>
          <w:rFonts w:hAnsi="Arial"/>
          <w:rFonts w:ascii="Arial"/>
          <w:sz w:val="24"/>
          <w:color w:val="black"/>
        </w:rPr>
        <w:t xml:space="preserve">La señalética debe ser incluyente, independientemente de las capacidades físicas o cognitivas de los usuarios, de manera que debe permitir y facilitar la ubicación de forma táctil y visual. </w:t>
      </w:r>
    </w:p>
    <w:p>
      <w:pPr>
        <w:jc w:val="both"/>
      </w:pPr>
      <w:rPr>
        <w:sz w:val="24"/>
        <w:color w:val="black"/>
      </w:rPr>
    </w:p>
    <w:p>
      <w:pPr>
        <w:jc w:val="both"/>
      </w:pPr>
      <w:r>
        <w:rPr>
          <w:rFonts w:hAnsi="Arial"/>
          <w:rFonts w:ascii="Arial"/>
          <w:sz w:val="24"/>
          <w:color w:val="black"/>
        </w:rPr>
        <w:t xml:space="preserve">No deberá encontrarse ningún obstáculo que impida la aproximación, donde se ubique la señalización.</w:t>
      </w:r>
    </w:p>
    <w:p>
      <w:pPr>
        <w:jc w:val="both"/>
      </w:pPr>
      <w:rPr>
        <w:sz w:val="24"/>
        <w:color w:val="black"/>
      </w:rPr>
    </w:p>
    <w:p>
      <w:pPr>
        <w:jc w:val="both"/>
      </w:pPr>
      <w:r>
        <w:rPr>
          <w:rFonts w:hAnsi="Arial"/>
          <w:rFonts w:ascii="Arial"/>
          <w:sz w:val="24"/>
          <w:b/>
          <w:color w:val="black"/>
        </w:rPr>
        <w:t xml:space="preserve">12. Kit de ayudas: </w:t>
      </w:r>
      <w:r>
        <w:rPr>
          <w:rFonts w:hAnsi="Arial"/>
          <w:rFonts w:ascii="Arial"/>
          <w:sz w:val="24"/>
          <w:color w:val="black"/>
        </w:rPr>
        <w:t xml:space="preserve">Las Oficinas y Puntos de Atención al Ciudadano deben poseer elementos que sirvan de apoyo, tales como sillas de ruedas, bastones de apoyo, rampas portátiles, información en las pantallas (Televisores).</w:t>
      </w:r>
    </w:p>
    <w:p>
      <w:pPr>
        <w:jc w:val="both"/>
      </w:pPr>
      <w:rPr>
        <w:sz w:val="24"/>
        <w:color w:val="black"/>
      </w:rPr>
    </w:p>
    <w:p>
      <w:pPr>
        <w:jc w:val="both"/>
      </w:pPr>
      <w:r>
        <w:rPr>
          <w:rFonts w:hAnsi="Arial"/>
          <w:rFonts w:ascii="Arial"/>
          <w:sz w:val="24"/>
          <w:b/>
          <w:color w:val="black"/>
        </w:rPr>
        <w:t xml:space="preserve">13. Rampas de ingreso: </w:t>
      </w:r>
      <w:r>
        <w:rPr>
          <w:rFonts w:hAnsi="Arial"/>
          <w:rFonts w:ascii="Arial"/>
          <w:sz w:val="24"/>
          <w:color w:val="black"/>
        </w:rPr>
        <w:t xml:space="preserve">Se deberán localizar dentro de las zonas más accesibles en dirección al flujo peatonal de mayor intensidad, utilizando materiales con textura áspera que genere un acabado rugoso, lo suficientemente adherente para incrementar la tracción de la silla de ruedas o cualquier mecanismo de apoyo. De igual manera, se deberán proyectar apoyos tipo barandas dobles como elementos complementarios a la accesibilidad de la rampa.</w:t>
      </w:r>
    </w:p>
    <w:p>
      <w:pPr>
        <w:jc w:val="both"/>
      </w:pPr>
      <w:rPr>
        <w:sz w:val="24"/>
        <w:color w:val="black"/>
      </w:rPr>
    </w:p>
    <w:p>
      <w:pPr>
        <w:jc w:val="both"/>
      </w:pPr>
      <w:r>
        <w:rPr>
          <w:rFonts w:hAnsi="Arial"/>
          <w:rFonts w:ascii="Arial"/>
          <w:sz w:val="24"/>
          <w:b/>
          <w:color w:val="black"/>
        </w:rPr>
        <w:t xml:space="preserve">14. Escaleras: </w:t>
      </w:r>
      <w:r>
        <w:rPr>
          <w:rFonts w:hAnsi="Arial"/>
          <w:rFonts w:ascii="Arial"/>
          <w:sz w:val="24"/>
          <w:color w:val="black"/>
        </w:rPr>
        <w:t xml:space="preserve">Todas las escaleras deberán tener franjas táctiles, como mínimo al inicio y al final del cada tramo de mínimo 40 centímetros, igualmente emplear colores contrastantes para que las personas con baja visión puedan detectar cuando inicia y cuando termina el recorrido; se deberán utilizar materiales con textura áspera que genere un acabado rugoso, lo suficientemente adherente para mejorar la seguridad en el desplazamiento.</w:t>
      </w:r>
    </w:p>
    <w:p>
      <w:pPr>
        <w:jc w:val="both"/>
      </w:pPr>
      <w:rPr>
        <w:sz w:val="24"/>
        <w:color w:val="black"/>
      </w:rPr>
    </w:p>
    <w:p>
      <w:pPr>
        <w:jc w:val="both"/>
      </w:pPr>
      <w:r>
        <w:rPr>
          <w:rFonts w:hAnsi="Arial"/>
          <w:rFonts w:ascii="Arial"/>
          <w:sz w:val="24"/>
          <w:b/>
          <w:color w:val="black"/>
        </w:rPr>
        <w:t xml:space="preserve">15. Ascensores y/o rampas: </w:t>
      </w:r>
      <w:r>
        <w:rPr>
          <w:rFonts w:hAnsi="Arial"/>
          <w:rFonts w:ascii="Arial"/>
          <w:sz w:val="24"/>
          <w:color w:val="black"/>
        </w:rPr>
        <w:t xml:space="preserve">Se debe garantizar el acceso a todos los niveles mediante rampas o ascensores, garantizando que la ubicación de estas sea la más fácil, cómoda y segura, permitiendo mejorar la movilidad a personas con reducción en su capacidad locomotora. De igual manera, técnicamente la puerta de este debe ser de apertura automática, preferiblemente transparente de forma que permita el contacto visual con el exterior en caso de emergencia.</w:t>
      </w:r>
    </w:p>
    <w:p>
      <w:pPr>
        <w:jc w:val="both"/>
      </w:pPr>
      <w:rPr>
        <w:sz w:val="24"/>
        <w:color w:val="black"/>
      </w:rPr>
    </w:p>
    <w:p>
      <w:pPr>
        <w:jc w:val="both"/>
      </w:pPr>
      <w:r>
        <w:rPr>
          <w:rFonts w:hAnsi="Arial"/>
          <w:rFonts w:ascii="Arial"/>
          <w:sz w:val="24"/>
          <w:b/>
          <w:color w:val="black"/>
        </w:rPr>
        <w:t xml:space="preserve">16. Pasamanos: </w:t>
      </w:r>
      <w:r>
        <w:rPr>
          <w:rFonts w:hAnsi="Arial"/>
          <w:rFonts w:ascii="Arial"/>
          <w:sz w:val="24"/>
          <w:color w:val="black"/>
        </w:rPr>
        <w:t xml:space="preserve">Estos deben contar con barandas de doble altura, siendo el anclaje en forma de “L” o de “J” de modo que no interrumpa el recorrido de la mano.</w:t>
      </w:r>
    </w:p>
    <w:p>
      <w:pPr>
        <w:jc w:val="both"/>
      </w:pPr>
      <w:rPr>
        <w:sz w:val="24"/>
        <w:color w:val="black"/>
      </w:rPr>
    </w:p>
    <w:p>
      <w:pPr>
        <w:jc w:val="both"/>
      </w:pPr>
      <w:r>
        <w:rPr>
          <w:rFonts w:hAnsi="Arial"/>
          <w:rFonts w:ascii="Arial"/>
          <w:sz w:val="24"/>
          <w:b/>
          <w:color w:val="black"/>
        </w:rPr>
        <w:t xml:space="preserve">17. Evacuación: </w:t>
      </w:r>
      <w:r>
        <w:rPr>
          <w:rFonts w:hAnsi="Arial"/>
          <w:rFonts w:ascii="Arial"/>
          <w:sz w:val="24"/>
          <w:color w:val="black"/>
        </w:rPr>
        <w:t xml:space="preserve">Las salidas estarán debidamente señalizadas, permitiendo una fácil visibilidad e identificación desde cualquier punto del recinto.</w:t>
      </w:r>
    </w:p>
    <w:p>
      <w:pPr>
        <w:jc w:val="center"/>
      </w:pPr>
      <w:rPr>
        <w:color w:val="black"/>
      </w:rPr>
    </w:p>
    <w:p>
      <w:pPr>
        <w:jc w:val="both"/>
      </w:pPr>
      <w:r>
        <w:rPr>
          <w:rFonts w:hAnsi="Arial"/>
          <w:rFonts w:ascii="Arial"/>
          <w:sz w:val="24"/>
          <w:b/>
          <w:vanish/>
          <w:color w:val="black"/>
        </w:rPr>
        <w:t>&amp;$</w:t>
      </w:r>
      <w:bookmarkStart w:id="60216" w:name="2.2.8.1.4"/>
      <w:r>
        <w:rPr>
          <w:rFonts w:hAnsi="Arial"/>
          <w:rFonts w:ascii="Arial"/>
          <w:sz w:val="24"/>
          <w:color w:val="navy"/>
        </w:rPr>
        <w:t xml:space="preserve">ARTÍCULO 2.2.8.1.4. </w:t>
      </w:r>
      <w:r>
        <w:rPr>
          <w:rFonts w:hAnsi="Arial"/>
          <w:rFonts w:ascii="Arial"/>
          <w:sz w:val="24"/>
          <w:i/>
          <w:color w:val="navy"/>
        </w:rPr>
        <w:t xml:space="preserve">RECURSOS PARA ADECUACIÓN DE LOS ESPACIOS FÍSICOS.</w:t>
      </w:r>
      <w:bookmarkEnd w:id="6021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Las autoridades departamentales, distritales o municipales, según corresponda, podrán financiar la adecuación de los espacios físicos para la recepción y atención de quejas, peticiones denuncias, reclamos, sugerencias y reconocimientos en las instalaciones de la Policía Nacional, teniendo como base, los términos que sobre infraestructura establezca dicha Institución. Las erogaciones previstas en el presente artículo serán con cargo a la cuenta independiente de que trata el artículo </w:t>
      </w:r>
      <w:r>
        <w:fldChar w:fldCharType="begin"/>
      </w:r>
      <w:r>
        <w:instrText>HYPERLINK "http://www.redjurista.com/document.aspx?ajcode=d1070015&amp;arts=2.2.8.4.1"</w:instrText>
      </w:r>
      <w:r>
        <w:fldChar w:fldCharType="separate"/>
      </w:r>
      <w:r>
        <w:rPr>
          <w:rFonts w:hAnsi="Arial"/>
          <w:rFonts w:ascii="Arial"/>
          <w:sz w:val="24"/>
          <w:u w:val="single"/>
          <w:color w:val="black"/>
        </w:rPr>
        <w:t>2.2.8.4.1</w:t>
      </w:r>
      <w:r>
        <w:fldChar w:fldCharType="end"/>
      </w:r>
      <w:r>
        <w:rPr>
          <w:rFonts w:hAnsi="Arial"/>
          <w:rFonts w:ascii="Arial"/>
          <w:sz w:val="24"/>
          <w:u w:val="none"/>
          <w:color w:val="black"/>
        </w:rPr>
        <w:t xml:space="preserve">, destinada para financiar programas, proyectos de inversión y actividades de cultura ciudadana, pedagogía y prevención en materia de seguridad.</w:t>
      </w:r>
    </w:p>
    <w:p>
      <w:pPr>
        <w:jc w:val="center"/>
      </w:pPr>
      <w:rPr>
        <w:sz w:val="24"/>
        <w:b/>
        <w:color w:val="black"/>
      </w:rPr>
    </w:p>
    <w:p>
      <w:pPr>
        <w:jc w:val="center"/>
      </w:pPr>
      <w:r>
        <w:rPr>
          <w:rFonts w:hAnsi="Arial"/>
          <w:rFonts w:ascii="Arial"/>
          <w:sz w:val="24"/>
          <w:b/>
          <w:vanish/>
          <w:color w:val="black"/>
        </w:rPr>
        <w:t>&amp;$</w:t>
      </w:r>
      <w:bookmarkStart w:id="60217" w:name="CAPÍTULO II.8.2.2"/>
      <w:r>
        <w:rPr>
          <w:rFonts w:hAnsi="Arial"/>
          <w:rFonts w:ascii="Arial"/>
          <w:sz w:val="24"/>
          <w:color w:val="navy"/>
        </w:rPr>
        <w:t xml:space="preserve">CAPÍTULO II. </w:t>
      </w:r>
    </w:p>
    <w:p>
      <w:pPr>
        <w:jc w:val="center"/>
      </w:pPr>
      <w:r>
        <w:rPr>
          <w:rFonts w:hAnsi="Arial"/>
          <w:rFonts w:ascii="Arial"/>
          <w:sz w:val="24"/>
          <w:color w:val="navy"/>
        </w:rPr>
        <w:t xml:space="preserve">OBJETIVOS, FUNCIONES Y DEMÁS ASPECTOS RELACIONADOS CON EL FUNCIONAMIENTO DE LOS CONSEJOS DE SEGURIDAD Y CONVIVENCIA.</w:t>
      </w:r>
      <w:bookmarkEnd w:id="60217"/>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18" w:name="2.2.8.2.1"/>
      <w:r>
        <w:rPr>
          <w:rFonts w:hAnsi="Arial"/>
          <w:rFonts w:ascii="Arial"/>
          <w:sz w:val="24"/>
          <w:color w:val="navy"/>
        </w:rPr>
        <w:t xml:space="preserve">ARTÍCULO 2.2.8.2.1. </w:t>
      </w:r>
      <w:r>
        <w:rPr>
          <w:rFonts w:hAnsi="Arial"/>
          <w:rFonts w:ascii="Arial"/>
          <w:sz w:val="24"/>
          <w:i/>
          <w:color w:val="navy"/>
        </w:rPr>
        <w:t xml:space="preserve">CREACIÓN Y NATURALEZA DE LOS CONSEJOS DE SEGURIDAD Y CONVIVENCIA.</w:t>
      </w:r>
      <w:bookmarkEnd w:id="6021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Para efectos de lo previsto en el artículo </w:t>
      </w:r>
      <w:r>
        <w:fldChar w:fldCharType="begin"/>
      </w:r>
      <w:r>
        <w:instrText>HYPERLINK "http://www.redjurista.com/document.aspx?ajcode=l1801016&amp;arts=19"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1801 de 2016, los Consejos de Seguridad y Convivencia son un cuerpo consultivo y de toma de decisiones en materia de prevención y reacción ante los problemas relacionados con la seguridad y la convivencia ciudadana.</w:t>
      </w:r>
    </w:p>
    <w:p>
      <w:pPr>
        <w:jc w:val="both"/>
      </w:pPr>
      <w:rPr>
        <w:sz w:val="24"/>
        <w:color w:val="black"/>
      </w:rPr>
    </w:p>
    <w:p>
      <w:pPr>
        <w:jc w:val="both"/>
      </w:pPr>
      <w:r>
        <w:rPr>
          <w:rFonts w:hAnsi="Arial"/>
          <w:rFonts w:ascii="Arial"/>
          <w:sz w:val="24"/>
          <w:color w:val="black"/>
        </w:rPr>
        <w:t xml:space="preserve">Constituye la instancia o espacio de coordinación interinstitucional, en los que participan las autoridades político-administrativas territoriales de acuerdo con el tipo de Consejo y las autoridades nacionales a través de las unidades territoriales desconcentradas que tiene cada entidad. Estos espacios de coordinación tienen como finalidad propiciar la materialización de los principios de coordinación, concurrencia, subsidiaridad, solidaridad, planeación, complementariedad, eficiencia y responsabilidad entre las autoridades de diferentes órdenes del gobierno, que tienen competencias directas en materia de convivencia y seguridad ciudadana.</w:t>
      </w:r>
    </w:p>
    <w:p>
      <w:pPr>
        <w:jc w:val="center"/>
      </w:pPr>
      <w:rPr>
        <w:color w:val="black"/>
      </w:rPr>
    </w:p>
    <w:p>
      <w:pPr>
        <w:jc w:val="both"/>
      </w:pPr>
      <w:r>
        <w:rPr>
          <w:rFonts w:hAnsi="Arial"/>
          <w:rFonts w:ascii="Arial"/>
          <w:sz w:val="24"/>
          <w:b/>
          <w:vanish/>
          <w:color w:val="black"/>
        </w:rPr>
        <w:t>&amp;$</w:t>
      </w:r>
      <w:bookmarkStart w:id="60219" w:name="2.2.8.2.2"/>
      <w:r>
        <w:rPr>
          <w:rFonts w:hAnsi="Arial"/>
          <w:rFonts w:ascii="Arial"/>
          <w:sz w:val="24"/>
          <w:color w:val="navy"/>
        </w:rPr>
        <w:t xml:space="preserve">ARTÍCULO 2.2.8.2.2. </w:t>
      </w:r>
      <w:r>
        <w:rPr>
          <w:rFonts w:hAnsi="Arial"/>
          <w:rFonts w:ascii="Arial"/>
          <w:sz w:val="24"/>
          <w:i/>
          <w:color w:val="navy"/>
        </w:rPr>
        <w:t xml:space="preserve">OBJETIVOS DE LOS CONSEJOS DE SEGURIDAD Y CONVIVENCIA.</w:t>
      </w:r>
      <w:bookmarkEnd w:id="6021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Son objetivos de los Consejos de Seguridad y Convivencia Ciudadana, los siguientes:</w:t>
      </w:r>
    </w:p>
    <w:p>
      <w:pPr>
        <w:jc w:val="both"/>
      </w:pPr>
      <w:rPr>
        <w:sz w:val="24"/>
        <w:color w:val="black"/>
      </w:rPr>
    </w:p>
    <w:p>
      <w:pPr>
        <w:jc w:val="both"/>
      </w:pPr>
      <w:r>
        <w:rPr>
          <w:rFonts w:hAnsi="Arial"/>
          <w:rFonts w:ascii="Arial"/>
          <w:sz w:val="24"/>
          <w:color w:val="black"/>
        </w:rPr>
        <w:t xml:space="preserve">1. Generar dinámicas de coordinación interinstitucional, a partir de lo cual se debe lograr un abordaje integral y sostenible para la prevención y reacción ante los problemas relacionados con la seguridad y convivencia en espacios públicos y privados. Se constituye en la principal instancia para la toma de decisiones en estas materias y teniendo como referente las discusiones y decisiones que se den en espacios de coordinación interinstitucional especializados en materia de convivencia y seguridad ciudadana.</w:t>
      </w:r>
    </w:p>
    <w:p>
      <w:pPr>
        <w:jc w:val="both"/>
      </w:pPr>
      <w:rPr>
        <w:sz w:val="24"/>
        <w:color w:val="black"/>
      </w:rPr>
    </w:p>
    <w:p>
      <w:pPr>
        <w:jc w:val="both"/>
      </w:pPr>
      <w:r>
        <w:rPr>
          <w:rFonts w:hAnsi="Arial"/>
          <w:rFonts w:ascii="Arial"/>
          <w:sz w:val="24"/>
          <w:color w:val="black"/>
        </w:rPr>
        <w:t xml:space="preserve">2. Dar cumplimiento al principio de planeación con relación a los asuntos de convivencia y seguridad, mediante el uso de los instrumentos de planeación estratégica, presupuestal y operativa creados para tal fin, en concordancia con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3. Propiciar la implementación conjunta, simultánea y coordinada de las estrategias, programas, proyectos y acciones que se adopten en su seno. Así, como el seguimiento y evaluación de las mismas, por concepto de multas de que trata la Ley 1801 de 2016.</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integrantes de los Consejos de Seguridad y Convivencia, invocando tal calidad, no estarán facultados para solicitar recursos de las cuentas a que hace referencia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salvo expreso mandamiento legal.</w:t>
      </w:r>
    </w:p>
    <w:p>
      <w:pPr>
        <w:jc w:val="center"/>
      </w:pPr>
      <w:rPr>
        <w:color w:val="black"/>
      </w:rPr>
    </w:p>
    <w:p>
      <w:pPr>
        <w:jc w:val="both"/>
      </w:pPr>
      <w:r>
        <w:rPr>
          <w:rFonts w:hAnsi="Arial"/>
          <w:rFonts w:ascii="Arial"/>
          <w:sz w:val="24"/>
          <w:b/>
          <w:vanish/>
          <w:color w:val="black"/>
        </w:rPr>
        <w:t>&amp;$</w:t>
      </w:r>
      <w:bookmarkStart w:id="60220" w:name="2.2.8.2.3"/>
      <w:r>
        <w:rPr>
          <w:rFonts w:hAnsi="Arial"/>
          <w:rFonts w:ascii="Arial"/>
          <w:sz w:val="24"/>
          <w:color w:val="navy"/>
        </w:rPr>
        <w:t xml:space="preserve">ARTÍCULO 2.2.8.2.3. </w:t>
      </w:r>
      <w:r>
        <w:rPr>
          <w:rFonts w:hAnsi="Arial"/>
          <w:rFonts w:ascii="Arial"/>
          <w:sz w:val="24"/>
          <w:i/>
          <w:color w:val="navy"/>
        </w:rPr>
        <w:t xml:space="preserve">TIPOS DE CONSEJOS DE SEGURIDAD Y CONVIVENCIA.</w:t>
      </w:r>
      <w:bookmarkEnd w:id="6022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Se conformarán Consejos de Seguridad y Convivencia a nivel nacional, regional, departamental, distrital, municipal y metropolitano.</w:t>
      </w:r>
    </w:p>
    <w:p>
      <w:pPr>
        <w:jc w:val="center"/>
      </w:pPr>
      <w:rPr>
        <w:color w:val="black"/>
      </w:rPr>
    </w:p>
    <w:p>
      <w:pPr>
        <w:jc w:val="both"/>
      </w:pPr>
      <w:r>
        <w:rPr>
          <w:rFonts w:hAnsi="Arial"/>
          <w:rFonts w:ascii="Arial"/>
          <w:sz w:val="24"/>
          <w:b/>
          <w:vanish/>
          <w:color w:val="black"/>
        </w:rPr>
        <w:t>&amp;$</w:t>
      </w:r>
      <w:bookmarkStart w:id="60221" w:name="2.2.8.2.4"/>
      <w:r>
        <w:rPr>
          <w:rFonts w:hAnsi="Arial"/>
          <w:rFonts w:ascii="Arial"/>
          <w:sz w:val="24"/>
          <w:color w:val="navy"/>
        </w:rPr>
        <w:t xml:space="preserve">ARTÍCULO 2.2.8.2.4. </w:t>
      </w:r>
      <w:r>
        <w:rPr>
          <w:rFonts w:hAnsi="Arial"/>
          <w:rFonts w:ascii="Arial"/>
          <w:sz w:val="24"/>
          <w:i/>
          <w:color w:val="navy"/>
        </w:rPr>
        <w:t>SESIONES</w:t>
      </w:r>
      <w:r>
        <w:rPr>
          <w:rFonts w:hAnsi="Arial"/>
          <w:rFonts w:ascii="Arial"/>
          <w:sz w:val="24"/>
          <w:color w:val="navy"/>
        </w:rPr>
        <w:t>.</w:t>
      </w:r>
      <w:bookmarkEnd w:id="602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sesionarán de manera ordinaria mensualmente y de manera extraordinaria cuando las condiciones de seguridad y convivencia de las diferentes jurisdicciones así lo demanden.</w:t>
      </w:r>
    </w:p>
    <w:p>
      <w:pPr>
        <w:jc w:val="both"/>
      </w:pPr>
      <w:rPr>
        <w:sz w:val="24"/>
        <w:color w:val="black"/>
      </w:rPr>
    </w:p>
    <w:p>
      <w:pPr>
        <w:jc w:val="both"/>
      </w:pPr>
      <w:r>
        <w:rPr>
          <w:rFonts w:hAnsi="Arial"/>
          <w:rFonts w:ascii="Arial"/>
          <w:sz w:val="24"/>
          <w:color w:val="black"/>
        </w:rPr>
        <w:t xml:space="preserve">En caso de que se requiera convocar sesiones extraordinarias, estas solo podrán ser convocadas por los gobernadores y alcaldes que los presiden en cada caso, a sugerencia de los comandantes de las unidades territoriales de la Policía Nacional, tipo departamento y estación de policía.</w:t>
      </w:r>
    </w:p>
    <w:p>
      <w:pPr>
        <w:jc w:val="both"/>
      </w:pPr>
      <w:rPr>
        <w:sz w:val="24"/>
        <w:color w:val="black"/>
      </w:rPr>
    </w:p>
    <w:p>
      <w:pPr>
        <w:jc w:val="both"/>
      </w:pPr>
      <w:r>
        <w:rPr>
          <w:rFonts w:hAnsi="Arial"/>
          <w:rFonts w:ascii="Arial"/>
          <w:sz w:val="24"/>
          <w:color w:val="black"/>
        </w:rPr>
        <w:t xml:space="preserve">Los Consejos de Seguridad y Convivencia regional, departamental, distrital, municipal y metropolitano, podrán sesionar en entidades territoriales diferentes a las dispuestas o en áreas rurales tales como corregimientos y veredas siempre y cuando el cambio de sede se adopte:</w:t>
      </w:r>
    </w:p>
    <w:p>
      <w:pPr>
        <w:jc w:val="both"/>
      </w:pPr>
      <w:rPr>
        <w:sz w:val="24"/>
        <w:color w:val="black"/>
      </w:rPr>
    </w:p>
    <w:p>
      <w:pPr>
        <w:jc w:val="both"/>
      </w:pPr>
      <w:r>
        <w:rPr>
          <w:rFonts w:hAnsi="Arial"/>
          <w:rFonts w:ascii="Arial"/>
          <w:sz w:val="24"/>
          <w:color w:val="black"/>
        </w:rPr>
        <w:t xml:space="preserve">1. Por la mayoría de los miembros del Consejo.</w:t>
      </w:r>
    </w:p>
    <w:p>
      <w:pPr>
        <w:jc w:val="both"/>
      </w:pPr>
      <w:rPr>
        <w:sz w:val="24"/>
        <w:color w:val="black"/>
      </w:rPr>
    </w:p>
    <w:p>
      <w:pPr>
        <w:jc w:val="both"/>
      </w:pPr>
      <w:r>
        <w:rPr>
          <w:rFonts w:hAnsi="Arial"/>
          <w:rFonts w:ascii="Arial"/>
          <w:sz w:val="24"/>
          <w:color w:val="black"/>
        </w:rPr>
        <w:t xml:space="preserve">2. Se informe por escrito a todos los participantes.</w:t>
      </w:r>
    </w:p>
    <w:p>
      <w:pPr>
        <w:jc w:val="both"/>
      </w:pPr>
      <w:rPr>
        <w:sz w:val="24"/>
        <w:color w:val="black"/>
      </w:rPr>
    </w:p>
    <w:p>
      <w:pPr>
        <w:jc w:val="both"/>
      </w:pPr>
      <w:r>
        <w:rPr>
          <w:rFonts w:hAnsi="Arial"/>
          <w:rFonts w:ascii="Arial"/>
          <w:sz w:val="24"/>
          <w:color w:val="black"/>
        </w:rPr>
        <w:t xml:space="preserve">3. Se realice en lugares en los que se pueda garantizar el normal funcionamiento de la reunión, bajo condiciones adecuadas de seguridad para los participantes.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 los Consejos de Seguridad y Convivencia, podrá invitarse a cualquier otra entidad del Estado, personas jurídicas de derecho privado y organizaciones internacionales o nacionales, o a particulares cuya presencia sea necesaria para el cumplimiento de las funciones propias del Consejo de Seguridad y Convivencia. Los invitados tendrán derecho a participar en las deliberaciones del Consejo con voz, pero sin voto. Para tal efecto, la Secretaría hará las correspondientes invitaciones.</w:t>
      </w:r>
    </w:p>
    <w:p>
      <w:pPr>
        <w:jc w:val="center"/>
      </w:pPr>
      <w:rPr>
        <w:color w:val="black"/>
      </w:rPr>
    </w:p>
    <w:p>
      <w:pPr>
        <w:jc w:val="both"/>
      </w:pPr>
      <w:r>
        <w:rPr>
          <w:rFonts w:hAnsi="Arial"/>
          <w:rFonts w:ascii="Arial"/>
          <w:sz w:val="24"/>
          <w:b/>
          <w:vanish/>
          <w:color w:val="black"/>
        </w:rPr>
        <w:t>&amp;$</w:t>
      </w:r>
      <w:bookmarkStart w:id="60222" w:name="2.2.8.2.5"/>
      <w:r>
        <w:rPr>
          <w:rFonts w:hAnsi="Arial"/>
          <w:rFonts w:ascii="Arial"/>
          <w:sz w:val="24"/>
          <w:color w:val="navy"/>
        </w:rPr>
        <w:t xml:space="preserve">ARTÍCULO 2.2.8.2.5. </w:t>
      </w:r>
      <w:r>
        <w:rPr>
          <w:rFonts w:hAnsi="Arial"/>
          <w:rFonts w:ascii="Arial"/>
          <w:sz w:val="24"/>
          <w:i/>
          <w:color w:val="navy"/>
        </w:rPr>
        <w:t xml:space="preserve">CONFORMACIÓN DE LOS CONSEJOS DE SEGURIDAD Y CONVIVENCIA REGIONAL.</w:t>
      </w:r>
      <w:bookmarkEnd w:id="6022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Regional, se conforman por las siguientes autoridades:</w:t>
      </w:r>
    </w:p>
    <w:p>
      <w:pPr>
        <w:jc w:val="both"/>
      </w:pPr>
      <w:rPr>
        <w:sz w:val="24"/>
        <w:color w:val="black"/>
      </w:rPr>
    </w:p>
    <w:p>
      <w:pPr>
        <w:jc w:val="both"/>
      </w:pPr>
      <w:r>
        <w:rPr>
          <w:rFonts w:hAnsi="Arial"/>
          <w:rFonts w:ascii="Arial"/>
          <w:sz w:val="24"/>
          <w:color w:val="black"/>
        </w:rPr>
        <w:t xml:space="preserve">1. Gobernadores.</w:t>
      </w:r>
    </w:p>
    <w:p>
      <w:pPr>
        <w:jc w:val="both"/>
      </w:pPr>
      <w:rPr>
        <w:sz w:val="24"/>
        <w:color w:val="black"/>
      </w:rPr>
    </w:p>
    <w:p>
      <w:pPr>
        <w:jc w:val="both"/>
      </w:pPr>
      <w:r>
        <w:rPr>
          <w:rFonts w:hAnsi="Arial"/>
          <w:rFonts w:ascii="Arial"/>
          <w:sz w:val="24"/>
          <w:color w:val="black"/>
        </w:rPr>
        <w:t xml:space="preserve">2. Alcaldes que hagan parte de la región.</w:t>
      </w:r>
    </w:p>
    <w:p>
      <w:pPr>
        <w:jc w:val="both"/>
      </w:pPr>
      <w:rPr>
        <w:sz w:val="24"/>
        <w:color w:val="black"/>
      </w:rPr>
    </w:p>
    <w:p>
      <w:pPr>
        <w:jc w:val="both"/>
      </w:pPr>
      <w:r>
        <w:rPr>
          <w:rFonts w:hAnsi="Arial"/>
          <w:rFonts w:ascii="Arial"/>
          <w:sz w:val="24"/>
          <w:color w:val="black"/>
        </w:rPr>
        <w:t xml:space="preserve">3. Comandantes de los Departamentos y Unidades Metropolitanas de la Policía Nacional, que tienen jurisdicción en las entidades territoriales.</w:t>
      </w:r>
    </w:p>
    <w:p>
      <w:pPr>
        <w:jc w:val="both"/>
      </w:pPr>
      <w:rPr>
        <w:sz w:val="24"/>
        <w:color w:val="black"/>
      </w:rPr>
    </w:p>
    <w:p>
      <w:pPr>
        <w:jc w:val="both"/>
      </w:pPr>
      <w:r>
        <w:rPr>
          <w:rFonts w:hAnsi="Arial"/>
          <w:rFonts w:ascii="Arial"/>
          <w:sz w:val="24"/>
          <w:color w:val="black"/>
        </w:rPr>
        <w:t xml:space="preserve">4. Comandantes de División y/o Fuerza Naval y de Brigada y/o Unidad de las Fuerzas Militares con jurisdicción en las entidades territoriales.</w:t>
      </w:r>
    </w:p>
    <w:p>
      <w:pPr>
        <w:jc w:val="both"/>
      </w:pPr>
      <w:rPr>
        <w:sz w:val="24"/>
        <w:color w:val="black"/>
      </w:rPr>
    </w:p>
    <w:p>
      <w:pPr>
        <w:jc w:val="both"/>
      </w:pPr>
      <w:r>
        <w:rPr>
          <w:rFonts w:hAnsi="Arial"/>
          <w:rFonts w:ascii="Arial"/>
          <w:sz w:val="24"/>
          <w:color w:val="black"/>
        </w:rPr>
        <w:t xml:space="preserve">5. Comandantes de Unidades de Guardacostas con jurisdicción en los departamentos de las Entidades Territoriales.</w:t>
      </w:r>
    </w:p>
    <w:p>
      <w:pPr>
        <w:jc w:val="both"/>
      </w:pPr>
      <w:rPr>
        <w:sz w:val="24"/>
        <w:color w:val="black"/>
      </w:rPr>
    </w:p>
    <w:p>
      <w:pPr>
        <w:jc w:val="both"/>
      </w:pPr>
      <w:r>
        <w:rPr>
          <w:rFonts w:hAnsi="Arial"/>
          <w:rFonts w:ascii="Arial"/>
          <w:sz w:val="24"/>
          <w:color w:val="black"/>
        </w:rPr>
        <w:t xml:space="preserve">6. Directores Regionales del Instituto Colombiano de Bienestar Familiar (ICBF) de las Entidades Territoriales.</w:t>
      </w:r>
    </w:p>
    <w:p>
      <w:pPr>
        <w:jc w:val="both"/>
      </w:pPr>
      <w:rPr>
        <w:sz w:val="24"/>
        <w:color w:val="black"/>
      </w:rPr>
    </w:p>
    <w:p>
      <w:pPr>
        <w:jc w:val="both"/>
      </w:pPr>
      <w:r>
        <w:rPr>
          <w:rFonts w:hAnsi="Arial"/>
          <w:rFonts w:ascii="Arial"/>
          <w:sz w:val="24"/>
          <w:color w:val="black"/>
        </w:rPr>
        <w:t xml:space="preserve">7. Directores Regionales del Instituto Nacional de Medicina Legal (INML) que atienden las Entidades Territoriales.</w:t>
      </w:r>
    </w:p>
    <w:p>
      <w:pPr>
        <w:jc w:val="both"/>
      </w:pPr>
      <w:rPr>
        <w:sz w:val="24"/>
        <w:color w:val="black"/>
      </w:rPr>
    </w:p>
    <w:p>
      <w:pPr>
        <w:jc w:val="both"/>
      </w:pPr>
      <w:r>
        <w:rPr>
          <w:rFonts w:hAnsi="Arial"/>
          <w:rFonts w:ascii="Arial"/>
          <w:sz w:val="24"/>
          <w:color w:val="black"/>
        </w:rPr>
        <w:t xml:space="preserve">8. Directores Seccionales de la Fiscalía General de la Nación (FGN) de las Entidades Territoriales.</w:t>
      </w:r>
    </w:p>
    <w:p>
      <w:pPr>
        <w:jc w:val="both"/>
      </w:pPr>
      <w:rPr>
        <w:sz w:val="24"/>
        <w:color w:val="black"/>
      </w:rPr>
    </w:p>
    <w:p>
      <w:pPr>
        <w:jc w:val="both"/>
      </w:pPr>
      <w:r>
        <w:rPr>
          <w:rFonts w:hAnsi="Arial"/>
          <w:rFonts w:ascii="Arial"/>
          <w:sz w:val="24"/>
          <w:color w:val="black"/>
        </w:rPr>
        <w:t xml:space="preserve">9. Secretarios de Gobierno o Seguridad de cada una de las gobernaciones, o los que hagan sus veces, que tengan competencias y funciones específicas y directas en materia de convivencia y seguridad.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Consejos de Seguridad y Convivencia Regionales contarán con la participación de los Directores Regionales de Prosperidad Social o quien haga sus veces, Director Regional del Instituto Nacional Penitenciario y Carcelario (Inpec), o su delegado y Directores de los Grupos Regionales de Protección de la Unidad Nacional de Protección (UNP) que atienden las entidades territoriales, como invitados cuando así se requiera, con voz pero sin voto.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Secretario del Consejo Regional de Seguridad, será el Secretario de Gobierno o Seguridad, según sea el caso, del departamento al que pertenece el gobernador que preside el Consejo.</w:t>
      </w:r>
    </w:p>
    <w:p>
      <w:pPr>
        <w:jc w:val="center"/>
      </w:pPr>
      <w:rPr>
        <w:color w:val="black"/>
      </w:rPr>
    </w:p>
    <w:p>
      <w:pPr>
        <w:jc w:val="both"/>
      </w:pPr>
      <w:r>
        <w:rPr>
          <w:rFonts w:hAnsi="Arial"/>
          <w:rFonts w:ascii="Arial"/>
          <w:sz w:val="24"/>
          <w:b/>
          <w:vanish/>
          <w:color w:val="black"/>
        </w:rPr>
        <w:t>&amp;$</w:t>
      </w:r>
      <w:bookmarkStart w:id="60223" w:name="2.2.8.2.6"/>
      <w:r>
        <w:rPr>
          <w:rFonts w:hAnsi="Arial"/>
          <w:rFonts w:ascii="Arial"/>
          <w:sz w:val="24"/>
          <w:color w:val="navy"/>
        </w:rPr>
        <w:t xml:space="preserve">ARTÍCULO 2.2.8.2.6. </w:t>
      </w:r>
      <w:r>
        <w:rPr>
          <w:rFonts w:hAnsi="Arial"/>
          <w:rFonts w:ascii="Arial"/>
          <w:sz w:val="24"/>
          <w:i/>
          <w:color w:val="navy"/>
        </w:rPr>
        <w:t xml:space="preserve">CONFORMACIÓN DE LOS CONSEJOS DE SEGURIDAD Y CONVIVENCIA DEPARTAMENTALES.</w:t>
      </w:r>
      <w:bookmarkEnd w:id="6022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Departamentales, se conforman por las siguientes autoridades:</w:t>
      </w:r>
    </w:p>
    <w:p>
      <w:pPr>
        <w:jc w:val="both"/>
      </w:pPr>
      <w:rPr>
        <w:sz w:val="24"/>
        <w:color w:val="black"/>
      </w:rPr>
    </w:p>
    <w:p>
      <w:pPr>
        <w:jc w:val="both"/>
      </w:pPr>
      <w:r>
        <w:rPr>
          <w:rFonts w:hAnsi="Arial"/>
          <w:rFonts w:ascii="Arial"/>
          <w:sz w:val="24"/>
          <w:color w:val="black"/>
        </w:rPr>
        <w:t xml:space="preserve">1. Gobernador del departamento, quien lo presidirá.</w:t>
      </w:r>
    </w:p>
    <w:p>
      <w:pPr>
        <w:jc w:val="both"/>
      </w:pPr>
      <w:rPr>
        <w:sz w:val="24"/>
        <w:color w:val="black"/>
      </w:rPr>
    </w:p>
    <w:p>
      <w:pPr>
        <w:jc w:val="both"/>
      </w:pPr>
      <w:r>
        <w:rPr>
          <w:rFonts w:hAnsi="Arial"/>
          <w:rFonts w:ascii="Arial"/>
          <w:sz w:val="24"/>
          <w:color w:val="black"/>
        </w:rPr>
        <w:t xml:space="preserve">2. Comandante del departamento y de la Unidad Metropolitana de Policía Nacional que tenga jurisdicción en el municipio capital del departamento.</w:t>
      </w:r>
    </w:p>
    <w:p>
      <w:pPr>
        <w:jc w:val="both"/>
      </w:pPr>
      <w:rPr>
        <w:sz w:val="24"/>
        <w:color w:val="black"/>
      </w:rPr>
    </w:p>
    <w:p>
      <w:pPr>
        <w:jc w:val="both"/>
      </w:pPr>
      <w:r>
        <w:rPr>
          <w:rFonts w:hAnsi="Arial"/>
          <w:rFonts w:ascii="Arial"/>
          <w:sz w:val="24"/>
          <w:color w:val="black"/>
        </w:rPr>
        <w:t xml:space="preserve">3. Comandantes de División y/o Fuerza Naval de las Fuerzas Militares con jurisdicción en el departamento y/o Comandantes de Brigada de las Fuerzas Militares con jurisdicción en el territorio departamental.</w:t>
      </w:r>
    </w:p>
    <w:p>
      <w:pPr>
        <w:jc w:val="both"/>
      </w:pPr>
      <w:rPr>
        <w:sz w:val="24"/>
        <w:color w:val="black"/>
      </w:rPr>
    </w:p>
    <w:p>
      <w:pPr>
        <w:jc w:val="both"/>
      </w:pPr>
      <w:r>
        <w:rPr>
          <w:rFonts w:hAnsi="Arial"/>
          <w:rFonts w:ascii="Arial"/>
          <w:sz w:val="24"/>
          <w:color w:val="black"/>
        </w:rPr>
        <w:t xml:space="preserve">4. Capitanes de Puerto con jurisdicción en el departamento.</w:t>
      </w:r>
    </w:p>
    <w:p>
      <w:pPr>
        <w:jc w:val="both"/>
      </w:pPr>
      <w:rPr>
        <w:sz w:val="24"/>
        <w:color w:val="black"/>
      </w:rPr>
    </w:p>
    <w:p>
      <w:pPr>
        <w:jc w:val="both"/>
      </w:pPr>
      <w:r>
        <w:rPr>
          <w:rFonts w:hAnsi="Arial"/>
          <w:rFonts w:ascii="Arial"/>
          <w:sz w:val="24"/>
          <w:color w:val="black"/>
        </w:rPr>
        <w:t xml:space="preserve">5. Comandantes de Unidades de Guardacostas con jurisdicción en el departamento.</w:t>
      </w:r>
    </w:p>
    <w:p>
      <w:pPr>
        <w:jc w:val="both"/>
      </w:pPr>
      <w:rPr>
        <w:sz w:val="24"/>
        <w:color w:val="black"/>
      </w:rPr>
    </w:p>
    <w:p>
      <w:pPr>
        <w:jc w:val="both"/>
      </w:pPr>
      <w:r>
        <w:rPr>
          <w:rFonts w:hAnsi="Arial"/>
          <w:rFonts w:ascii="Arial"/>
          <w:sz w:val="24"/>
          <w:color w:val="black"/>
        </w:rPr>
        <w:t xml:space="preserve">6. Director Regional del Instituto Colombiano de Bienestar Familiar (ICBF), que tenga jurisdicción sobre el departamento.</w:t>
      </w:r>
    </w:p>
    <w:p>
      <w:pPr>
        <w:jc w:val="both"/>
      </w:pPr>
      <w:rPr>
        <w:sz w:val="24"/>
        <w:color w:val="black"/>
      </w:rPr>
    </w:p>
    <w:p>
      <w:pPr>
        <w:jc w:val="both"/>
      </w:pPr>
      <w:r>
        <w:rPr>
          <w:rFonts w:hAnsi="Arial"/>
          <w:rFonts w:ascii="Arial"/>
          <w:sz w:val="24"/>
          <w:color w:val="black"/>
        </w:rPr>
        <w:t xml:space="preserve">7. Director Seccional del Instituto Nacional de Medicina Legal (INML), que tenga jurisdicción sobre el departamento.</w:t>
      </w:r>
    </w:p>
    <w:p>
      <w:pPr>
        <w:jc w:val="both"/>
      </w:pPr>
      <w:rPr>
        <w:sz w:val="24"/>
        <w:color w:val="black"/>
      </w:rPr>
    </w:p>
    <w:p>
      <w:pPr>
        <w:jc w:val="both"/>
      </w:pPr>
      <w:r>
        <w:rPr>
          <w:rFonts w:hAnsi="Arial"/>
          <w:rFonts w:ascii="Arial"/>
          <w:sz w:val="24"/>
          <w:color w:val="black"/>
        </w:rPr>
        <w:t xml:space="preserve">8. Director Seccional de la Fiscalía General de la Nación (FGN) del departamento.</w:t>
      </w:r>
    </w:p>
    <w:p>
      <w:pPr>
        <w:jc w:val="both"/>
      </w:pPr>
      <w:rPr>
        <w:sz w:val="24"/>
        <w:color w:val="black"/>
      </w:rPr>
    </w:p>
    <w:p>
      <w:pPr>
        <w:jc w:val="both"/>
      </w:pPr>
      <w:r>
        <w:rPr>
          <w:rFonts w:hAnsi="Arial"/>
          <w:rFonts w:ascii="Arial"/>
          <w:sz w:val="24"/>
          <w:color w:val="black"/>
        </w:rPr>
        <w:t xml:space="preserve">9. Secretario de Gobierno o Seguridad del departamento o quien haga sus veces, que tenga competencias y funciones específicas y directas en materia de convivencia y seguridad ciudadana, quien hará las veces de Secretario del Consejo Departamental de Seguridad y Convivencia.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Consejos de Seguridad y Convivencia Departamentales contarán con la participación del Director Regional de Prosperidad Social o quien haga sus veces, el Director Regional del Instituto Nacional Penitenciario y Carcelario (Inpec), o su delegado y el Director del Grupo Regional de Protección de la Unidad Nacional de Protección (UNP) que atiende el departamento, como invitados cuando así se requiera, con voz pero sin voto.</w:t>
      </w:r>
    </w:p>
    <w:p>
      <w:pPr>
        <w:jc w:val="center"/>
      </w:pPr>
      <w:rPr>
        <w:color w:val="black"/>
      </w:rPr>
    </w:p>
    <w:p>
      <w:pPr>
        <w:jc w:val="both"/>
      </w:pPr>
      <w:r>
        <w:rPr>
          <w:rFonts w:hAnsi="Arial"/>
          <w:rFonts w:ascii="Arial"/>
          <w:sz w:val="24"/>
          <w:b/>
          <w:vanish/>
          <w:color w:val="black"/>
        </w:rPr>
        <w:t>&amp;$</w:t>
      </w:r>
      <w:bookmarkStart w:id="60224" w:name="2.2.8.2.7"/>
      <w:r>
        <w:rPr>
          <w:rFonts w:hAnsi="Arial"/>
          <w:rFonts w:ascii="Arial"/>
          <w:sz w:val="24"/>
          <w:color w:val="navy"/>
        </w:rPr>
        <w:t xml:space="preserve">ARTÍCULO 2.2.8.2.7. </w:t>
      </w:r>
      <w:r>
        <w:rPr>
          <w:rFonts w:hAnsi="Arial"/>
          <w:rFonts w:ascii="Arial"/>
          <w:sz w:val="24"/>
          <w:i/>
          <w:color w:val="navy"/>
        </w:rPr>
        <w:t xml:space="preserve">CONFORMACIÓN DE LOS CONSEJOS DE SEGURIDAD Y CONVIVENCIA DE LOS DISTRITOS ESPECIALES.</w:t>
      </w:r>
      <w:bookmarkEnd w:id="6022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de los Distritos Especiales, se conforman por las siguientes autoridades:</w:t>
      </w:r>
    </w:p>
    <w:p>
      <w:pPr>
        <w:jc w:val="both"/>
      </w:pPr>
      <w:rPr>
        <w:sz w:val="24"/>
        <w:color w:val="black"/>
      </w:rPr>
    </w:p>
    <w:p>
      <w:pPr>
        <w:jc w:val="both"/>
      </w:pPr>
      <w:r>
        <w:rPr>
          <w:rFonts w:hAnsi="Arial"/>
          <w:rFonts w:ascii="Arial"/>
          <w:sz w:val="24"/>
          <w:color w:val="black"/>
        </w:rPr>
        <w:t xml:space="preserve">1. Alcalde del distrito especial, quien lo presidirá.</w:t>
      </w:r>
    </w:p>
    <w:p>
      <w:pPr>
        <w:jc w:val="both"/>
      </w:pPr>
      <w:rPr>
        <w:sz w:val="24"/>
        <w:color w:val="black"/>
      </w:rPr>
    </w:p>
    <w:p>
      <w:pPr>
        <w:jc w:val="both"/>
      </w:pPr>
      <w:r>
        <w:rPr>
          <w:rFonts w:hAnsi="Arial"/>
          <w:rFonts w:ascii="Arial"/>
          <w:sz w:val="24"/>
          <w:color w:val="black"/>
        </w:rPr>
        <w:t xml:space="preserve">2. Alcaldes de las localidades que hacen parte de la jurisdicción del distrito especial.</w:t>
      </w:r>
    </w:p>
    <w:p>
      <w:pPr>
        <w:jc w:val="both"/>
      </w:pPr>
      <w:rPr>
        <w:sz w:val="24"/>
        <w:color w:val="black"/>
      </w:rPr>
    </w:p>
    <w:p>
      <w:pPr>
        <w:jc w:val="both"/>
      </w:pPr>
      <w:r>
        <w:rPr>
          <w:rFonts w:hAnsi="Arial"/>
          <w:rFonts w:ascii="Arial"/>
          <w:sz w:val="24"/>
          <w:color w:val="black"/>
        </w:rPr>
        <w:t xml:space="preserve">3. Comandante de la Unidad Metropolitana de la Policía Nacional y Comandantes de Estación de cada una de las localidades que conforman el distrito especial.</w:t>
      </w:r>
    </w:p>
    <w:p>
      <w:pPr>
        <w:jc w:val="both"/>
      </w:pPr>
      <w:rPr>
        <w:sz w:val="24"/>
        <w:color w:val="black"/>
      </w:rPr>
    </w:p>
    <w:p>
      <w:pPr>
        <w:jc w:val="both"/>
      </w:pPr>
      <w:r>
        <w:rPr>
          <w:rFonts w:hAnsi="Arial"/>
          <w:rFonts w:ascii="Arial"/>
          <w:sz w:val="24"/>
          <w:color w:val="black"/>
        </w:rPr>
        <w:t xml:space="preserve">4. Comandantes de las Unidades de las Fuerzas Militares con jurisdicción en el distrito especial.</w:t>
      </w:r>
    </w:p>
    <w:p>
      <w:pPr>
        <w:jc w:val="both"/>
      </w:pPr>
      <w:rPr>
        <w:sz w:val="24"/>
        <w:color w:val="black"/>
      </w:rPr>
    </w:p>
    <w:p>
      <w:pPr>
        <w:jc w:val="both"/>
      </w:pPr>
      <w:r>
        <w:rPr>
          <w:rFonts w:hAnsi="Arial"/>
          <w:rFonts w:ascii="Arial"/>
          <w:sz w:val="24"/>
          <w:color w:val="black"/>
        </w:rPr>
        <w:t xml:space="preserve">5. Capitanes de Puerto con jurisdicción en el distrito especial.</w:t>
      </w:r>
    </w:p>
    <w:p>
      <w:pPr>
        <w:jc w:val="both"/>
      </w:pPr>
      <w:rPr>
        <w:sz w:val="24"/>
        <w:color w:val="black"/>
      </w:rPr>
    </w:p>
    <w:p>
      <w:pPr>
        <w:jc w:val="both"/>
      </w:pPr>
      <w:r>
        <w:rPr>
          <w:rFonts w:hAnsi="Arial"/>
          <w:rFonts w:ascii="Arial"/>
          <w:sz w:val="24"/>
          <w:color w:val="black"/>
        </w:rPr>
        <w:t xml:space="preserve">6. Comandantes de Unidades de Guardacostas con jurisdicción en el distrito especial.</w:t>
      </w:r>
    </w:p>
    <w:p>
      <w:pPr>
        <w:jc w:val="both"/>
      </w:pPr>
      <w:rPr>
        <w:sz w:val="24"/>
        <w:color w:val="black"/>
      </w:rPr>
    </w:p>
    <w:p>
      <w:pPr>
        <w:jc w:val="both"/>
      </w:pPr>
      <w:r>
        <w:rPr>
          <w:rFonts w:hAnsi="Arial"/>
          <w:rFonts w:ascii="Arial"/>
          <w:sz w:val="24"/>
          <w:color w:val="black"/>
        </w:rPr>
        <w:t xml:space="preserve">7. Director Regional del Instituto Colombiano de Bienestar Familiar (ICBF), que tiene jurisdicción en el departamento en el que se encuentra ubicado el distrito especial.</w:t>
      </w:r>
    </w:p>
    <w:p>
      <w:pPr>
        <w:jc w:val="both"/>
      </w:pPr>
      <w:rPr>
        <w:sz w:val="24"/>
        <w:color w:val="black"/>
      </w:rPr>
    </w:p>
    <w:p>
      <w:pPr>
        <w:jc w:val="both"/>
      </w:pPr>
      <w:r>
        <w:rPr>
          <w:rFonts w:hAnsi="Arial"/>
          <w:rFonts w:ascii="Arial"/>
          <w:sz w:val="24"/>
          <w:color w:val="black"/>
        </w:rPr>
        <w:t xml:space="preserve">8. Director Seccional del Instituto Nacional de Medicina Legal (INML), que tiene jurisdicción en el departamento en el que se encuentra ubicado el distrito especial.</w:t>
      </w:r>
    </w:p>
    <w:p>
      <w:pPr>
        <w:jc w:val="both"/>
      </w:pPr>
      <w:rPr>
        <w:sz w:val="24"/>
        <w:color w:val="black"/>
      </w:rPr>
    </w:p>
    <w:p>
      <w:pPr>
        <w:jc w:val="both"/>
      </w:pPr>
      <w:r>
        <w:rPr>
          <w:rFonts w:hAnsi="Arial"/>
          <w:rFonts w:ascii="Arial"/>
          <w:sz w:val="24"/>
          <w:color w:val="black"/>
        </w:rPr>
        <w:t xml:space="preserve">9. Director Seccional de la Fiscalía General de la Nación (FGN) del departamento que tiene cobertura sobre el distrito especial.</w:t>
      </w:r>
    </w:p>
    <w:p>
      <w:pPr>
        <w:jc w:val="both"/>
      </w:pPr>
      <w:rPr>
        <w:sz w:val="24"/>
        <w:color w:val="black"/>
      </w:rPr>
    </w:p>
    <w:p>
      <w:pPr>
        <w:jc w:val="both"/>
      </w:pPr>
      <w:r>
        <w:rPr>
          <w:rFonts w:hAnsi="Arial"/>
          <w:rFonts w:ascii="Arial"/>
          <w:sz w:val="24"/>
          <w:color w:val="black"/>
        </w:rPr>
        <w:t xml:space="preserve">10. Secretario de Gobierno o Seguridad del distrito especial, o quien haga sus veces, que tenga competencias y funciones específicas y directas en materia de convivencia y seguridad ciudadana, quien hará las veces de Secretario del Consejo del Distrital Especial de Seguridad y Convivencia.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Consejos de Seguridad y Convivencia Distritales contarán con la participación del delegado del Instituto Nacional Penitenciario y Carcelario (Inpec), y el Director del Grupo Regional de Protección de la Unidad Nacional de Protección (UNP) que tiene jurisdicción en el departamento en el que se encuentra ubicado el distrito especial, como invitados cuando así se requiera, con voz pero sin voto.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Alcalde Mayor del Distrito Capital de Bogotá, reglamentará la conformación y funcionamiento del Consejo de Seguridad y Convivencia del Distrito y las localidades que lo integran.</w:t>
      </w:r>
    </w:p>
    <w:p>
      <w:pPr>
        <w:jc w:val="center"/>
      </w:pPr>
      <w:rPr>
        <w:color w:val="black"/>
      </w:rPr>
    </w:p>
    <w:p>
      <w:pPr>
        <w:jc w:val="both"/>
      </w:pPr>
      <w:r>
        <w:rPr>
          <w:rFonts w:hAnsi="Arial"/>
          <w:rFonts w:ascii="Arial"/>
          <w:sz w:val="24"/>
          <w:b/>
          <w:vanish/>
          <w:color w:val="black"/>
        </w:rPr>
        <w:t>&amp;$</w:t>
      </w:r>
      <w:bookmarkStart w:id="60225" w:name="2.2.8.2.8"/>
      <w:r>
        <w:rPr>
          <w:rFonts w:hAnsi="Arial"/>
          <w:rFonts w:ascii="Arial"/>
          <w:sz w:val="24"/>
          <w:color w:val="navy"/>
        </w:rPr>
        <w:t xml:space="preserve">ARTÍCULO 2.2.8.2.8. </w:t>
      </w:r>
      <w:r>
        <w:rPr>
          <w:rFonts w:hAnsi="Arial"/>
          <w:rFonts w:ascii="Arial"/>
          <w:sz w:val="24"/>
          <w:i/>
          <w:color w:val="navy"/>
        </w:rPr>
        <w:t xml:space="preserve">CONFORMACIÓN DE LOS CONSEJOS DE SEGURIDAD Y CONVIVENCIA MUNICIPALES.</w:t>
      </w:r>
      <w:bookmarkEnd w:id="6022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Municipales, se conforman por las siguientes autoridades:</w:t>
      </w:r>
    </w:p>
    <w:p>
      <w:pPr>
        <w:jc w:val="both"/>
      </w:pPr>
      <w:rPr>
        <w:sz w:val="24"/>
        <w:color w:val="black"/>
      </w:rPr>
    </w:p>
    <w:p>
      <w:pPr>
        <w:jc w:val="both"/>
      </w:pPr>
      <w:r>
        <w:rPr>
          <w:rFonts w:hAnsi="Arial"/>
          <w:rFonts w:ascii="Arial"/>
          <w:sz w:val="24"/>
          <w:color w:val="black"/>
        </w:rPr>
        <w:t xml:space="preserve">1. Alcalde municipal, quien lo presidirá.</w:t>
      </w:r>
    </w:p>
    <w:p>
      <w:pPr>
        <w:jc w:val="both"/>
      </w:pPr>
      <w:rPr>
        <w:sz w:val="24"/>
        <w:color w:val="black"/>
      </w:rPr>
    </w:p>
    <w:p>
      <w:pPr>
        <w:jc w:val="both"/>
      </w:pPr>
      <w:r>
        <w:rPr>
          <w:rFonts w:hAnsi="Arial"/>
          <w:rFonts w:ascii="Arial"/>
          <w:sz w:val="24"/>
          <w:color w:val="black"/>
        </w:rPr>
        <w:t xml:space="preserve">2. Comandante de la Unidad Metropolitana de la Policía Nacional o de la Estación de Policía Nacional, que tiene jurisdicción sobre el municipio.</w:t>
      </w:r>
    </w:p>
    <w:p>
      <w:pPr>
        <w:jc w:val="both"/>
      </w:pPr>
      <w:rPr>
        <w:sz w:val="24"/>
        <w:color w:val="black"/>
      </w:rPr>
    </w:p>
    <w:p>
      <w:pPr>
        <w:jc w:val="both"/>
      </w:pPr>
      <w:r>
        <w:rPr>
          <w:rFonts w:hAnsi="Arial"/>
          <w:rFonts w:ascii="Arial"/>
          <w:sz w:val="24"/>
          <w:color w:val="black"/>
        </w:rPr>
        <w:t xml:space="preserve">3. Comandantes de las Unidades de las Fuerzas Militares con jurisdicción en el municipio.</w:t>
      </w:r>
    </w:p>
    <w:p>
      <w:pPr>
        <w:jc w:val="both"/>
      </w:pPr>
      <w:rPr>
        <w:sz w:val="24"/>
        <w:color w:val="black"/>
      </w:rPr>
    </w:p>
    <w:p>
      <w:pPr>
        <w:jc w:val="both"/>
      </w:pPr>
      <w:r>
        <w:rPr>
          <w:rFonts w:hAnsi="Arial"/>
          <w:rFonts w:ascii="Arial"/>
          <w:sz w:val="24"/>
          <w:color w:val="black"/>
        </w:rPr>
        <w:t xml:space="preserve">4. Capitanes de Puerto con jurisdicción en el municipio.</w:t>
      </w:r>
    </w:p>
    <w:p>
      <w:pPr>
        <w:jc w:val="both"/>
      </w:pPr>
      <w:rPr>
        <w:sz w:val="24"/>
        <w:color w:val="black"/>
      </w:rPr>
    </w:p>
    <w:p>
      <w:pPr>
        <w:jc w:val="both"/>
      </w:pPr>
      <w:r>
        <w:rPr>
          <w:rFonts w:hAnsi="Arial"/>
          <w:rFonts w:ascii="Arial"/>
          <w:sz w:val="24"/>
          <w:color w:val="black"/>
        </w:rPr>
        <w:t xml:space="preserve">5. Comandantes de Guardacostas con jurisdicción en el municipio.</w:t>
      </w:r>
    </w:p>
    <w:p>
      <w:pPr>
        <w:jc w:val="both"/>
      </w:pPr>
      <w:rPr>
        <w:sz w:val="24"/>
        <w:color w:val="black"/>
      </w:rPr>
    </w:p>
    <w:p>
      <w:pPr>
        <w:jc w:val="both"/>
      </w:pPr>
      <w:r>
        <w:rPr>
          <w:rFonts w:hAnsi="Arial"/>
          <w:rFonts w:ascii="Arial"/>
          <w:sz w:val="24"/>
          <w:color w:val="black"/>
        </w:rPr>
        <w:t xml:space="preserve">6. Director del Centro Zonal del Instituto Colombiano de Bienestar Familiar (ICBF), que tiene presencia material en el municipio.</w:t>
      </w:r>
    </w:p>
    <w:p>
      <w:pPr>
        <w:jc w:val="both"/>
      </w:pPr>
      <w:rPr>
        <w:sz w:val="24"/>
        <w:color w:val="black"/>
      </w:rPr>
    </w:p>
    <w:p>
      <w:pPr>
        <w:jc w:val="both"/>
      </w:pPr>
      <w:r>
        <w:rPr>
          <w:rFonts w:hAnsi="Arial"/>
          <w:rFonts w:ascii="Arial"/>
          <w:sz w:val="24"/>
          <w:color w:val="black"/>
        </w:rPr>
        <w:t xml:space="preserve">7. Director de la Unidad Básica del Instituto Nacional de Medicina Legal (INML), que tiene presencia material en el municipio.</w:t>
      </w:r>
    </w:p>
    <w:p>
      <w:pPr>
        <w:jc w:val="both"/>
      </w:pPr>
      <w:rPr>
        <w:sz w:val="24"/>
        <w:color w:val="black"/>
      </w:rPr>
    </w:p>
    <w:p>
      <w:pPr>
        <w:jc w:val="both"/>
      </w:pPr>
      <w:r>
        <w:rPr>
          <w:rFonts w:hAnsi="Arial"/>
          <w:rFonts w:ascii="Arial"/>
          <w:sz w:val="24"/>
          <w:color w:val="black"/>
        </w:rPr>
        <w:t xml:space="preserve">8. Director Seccional de la Fiscalía General de la Nación (FGN) del departamento que tiene cobertura sobre el municipio.</w:t>
      </w:r>
    </w:p>
    <w:p>
      <w:pPr>
        <w:jc w:val="both"/>
      </w:pPr>
      <w:rPr>
        <w:sz w:val="24"/>
        <w:color w:val="black"/>
      </w:rPr>
    </w:p>
    <w:p>
      <w:pPr>
        <w:jc w:val="both"/>
      </w:pPr>
      <w:r>
        <w:rPr>
          <w:rFonts w:hAnsi="Arial"/>
          <w:rFonts w:ascii="Arial"/>
          <w:sz w:val="24"/>
          <w:color w:val="black"/>
        </w:rPr>
        <w:t xml:space="preserve">9. Secretario de Gobierno o Seguridad del municipio, según sea el caso, que tenga competencias y funciones específicas y directas en materia de convivencia y seguridad, quien hará las veces de Secretario del Consejo Municipal de Seguridad y Convivencia.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Consejos de Seguridad y Convivencia Municipales contarán con la participación del delegado del Instituto Nacional Penitenciario y Carcelario (INPEC), y el Director del Grupo Regional de Protección de la Unidad Nacional de Protección (UNP) que tiene jurisdicción en el departamento en el que se encuentra ubicado el municipio, como invitados cuando así se requiera, con voz pero sin voto.</w:t>
      </w:r>
    </w:p>
    <w:p>
      <w:pPr>
        <w:jc w:val="center"/>
      </w:pPr>
      <w:rPr>
        <w:color w:val="black"/>
      </w:rPr>
    </w:p>
    <w:p>
      <w:pPr>
        <w:jc w:val="both"/>
      </w:pPr>
      <w:r>
        <w:rPr>
          <w:rFonts w:hAnsi="Arial"/>
          <w:rFonts w:ascii="Arial"/>
          <w:sz w:val="24"/>
          <w:b/>
          <w:vanish/>
          <w:color w:val="black"/>
        </w:rPr>
        <w:t>&amp;$</w:t>
      </w:r>
      <w:bookmarkStart w:id="60226" w:name="2.2.8.2.9"/>
      <w:r>
        <w:rPr>
          <w:rFonts w:hAnsi="Arial"/>
          <w:rFonts w:ascii="Arial"/>
          <w:sz w:val="24"/>
          <w:color w:val="navy"/>
        </w:rPr>
        <w:t xml:space="preserve">ARTÍCULO 2.2.8.2.9. </w:t>
      </w:r>
      <w:r>
        <w:rPr>
          <w:rFonts w:hAnsi="Arial"/>
          <w:rFonts w:ascii="Arial"/>
          <w:sz w:val="24"/>
          <w:i/>
          <w:color w:val="navy"/>
        </w:rPr>
        <w:t xml:space="preserve">CONFORMACIÓN DE LOS CONSEJOS DE SEGURIDAD Y CONVIVENCIA DE LAS ÁREAS METROPOLITANAS.</w:t>
      </w:r>
      <w:bookmarkEnd w:id="6022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de las Áreas Metropolitanas, se conforman por las siguientes autoridades:</w:t>
      </w:r>
    </w:p>
    <w:p>
      <w:pPr>
        <w:jc w:val="both"/>
      </w:pPr>
      <w:rPr>
        <w:sz w:val="24"/>
        <w:color w:val="black"/>
      </w:rPr>
    </w:p>
    <w:p>
      <w:pPr>
        <w:jc w:val="both"/>
      </w:pPr>
      <w:r>
        <w:rPr>
          <w:rFonts w:hAnsi="Arial"/>
          <w:rFonts w:ascii="Arial"/>
          <w:sz w:val="24"/>
          <w:color w:val="black"/>
        </w:rPr>
        <w:t xml:space="preserve">1. Alcalde del municipio núcleo, quien lo presidirá.</w:t>
      </w:r>
    </w:p>
    <w:p>
      <w:pPr>
        <w:jc w:val="both"/>
      </w:pPr>
      <w:rPr>
        <w:sz w:val="24"/>
        <w:color w:val="black"/>
      </w:rPr>
    </w:p>
    <w:p>
      <w:pPr>
        <w:jc w:val="both"/>
      </w:pPr>
      <w:r>
        <w:rPr>
          <w:rFonts w:hAnsi="Arial"/>
          <w:rFonts w:ascii="Arial"/>
          <w:sz w:val="24"/>
          <w:color w:val="black"/>
        </w:rPr>
        <w:t xml:space="preserve">2. Alcaldes de los municipios que hacen parte del área metropolitana.</w:t>
      </w:r>
    </w:p>
    <w:p>
      <w:pPr>
        <w:jc w:val="both"/>
      </w:pPr>
      <w:rPr>
        <w:sz w:val="24"/>
        <w:color w:val="black"/>
      </w:rPr>
    </w:p>
    <w:p>
      <w:pPr>
        <w:jc w:val="both"/>
      </w:pPr>
      <w:r>
        <w:rPr>
          <w:rFonts w:hAnsi="Arial"/>
          <w:rFonts w:ascii="Arial"/>
          <w:sz w:val="24"/>
          <w:color w:val="black"/>
        </w:rPr>
        <w:t xml:space="preserve">3. Comandante de la Unidad Metropolitana de la Policía Nacional que atiende los municipios que hacen parte del área metropolitana.</w:t>
      </w:r>
    </w:p>
    <w:p>
      <w:pPr>
        <w:jc w:val="both"/>
      </w:pPr>
      <w:rPr>
        <w:sz w:val="24"/>
        <w:color w:val="black"/>
      </w:rPr>
    </w:p>
    <w:p>
      <w:pPr>
        <w:jc w:val="both"/>
      </w:pPr>
      <w:r>
        <w:rPr>
          <w:rFonts w:hAnsi="Arial"/>
          <w:rFonts w:ascii="Arial"/>
          <w:sz w:val="24"/>
          <w:color w:val="black"/>
        </w:rPr>
        <w:t xml:space="preserve">4. Comandantes de las Fuerzas Militares con jurisdicción en el área metropolitana.</w:t>
      </w:r>
    </w:p>
    <w:p>
      <w:pPr>
        <w:jc w:val="both"/>
      </w:pPr>
      <w:rPr>
        <w:sz w:val="24"/>
        <w:color w:val="black"/>
      </w:rPr>
    </w:p>
    <w:p>
      <w:pPr>
        <w:jc w:val="both"/>
      </w:pPr>
      <w:r>
        <w:rPr>
          <w:rFonts w:hAnsi="Arial"/>
          <w:rFonts w:ascii="Arial"/>
          <w:sz w:val="24"/>
          <w:color w:val="black"/>
        </w:rPr>
        <w:t xml:space="preserve">5. Comandantes de las Estaciones de la Policía Nacional, que tiene jurisdicción en los municipios que hacen parte del área metropolitana.</w:t>
      </w:r>
    </w:p>
    <w:p>
      <w:pPr>
        <w:jc w:val="both"/>
      </w:pPr>
      <w:rPr>
        <w:sz w:val="24"/>
        <w:color w:val="black"/>
      </w:rPr>
    </w:p>
    <w:p>
      <w:pPr>
        <w:jc w:val="both"/>
      </w:pPr>
      <w:r>
        <w:rPr>
          <w:rFonts w:hAnsi="Arial"/>
          <w:rFonts w:ascii="Arial"/>
          <w:sz w:val="24"/>
          <w:color w:val="black"/>
        </w:rPr>
        <w:t xml:space="preserve">6. Director Regional del Instituto Colombiano de Bienestar Familiar (ICBF), que tiene jurisdicción en el departamento en el que se encuentran ubicados los municipios que hacen parte del área metropolitana.</w:t>
      </w:r>
    </w:p>
    <w:p>
      <w:pPr>
        <w:jc w:val="both"/>
      </w:pPr>
      <w:rPr>
        <w:sz w:val="24"/>
        <w:color w:val="black"/>
      </w:rPr>
    </w:p>
    <w:p>
      <w:pPr>
        <w:jc w:val="both"/>
      </w:pPr>
      <w:r>
        <w:rPr>
          <w:rFonts w:hAnsi="Arial"/>
          <w:rFonts w:ascii="Arial"/>
          <w:sz w:val="24"/>
          <w:color w:val="black"/>
        </w:rPr>
        <w:t xml:space="preserve">7. Directores de las Unidades Básicas del Instituto Nacional de Medicina Legal (INML), que tienen presencia en los municipios que hacen parte del área metropolitana.</w:t>
      </w:r>
    </w:p>
    <w:p>
      <w:pPr>
        <w:jc w:val="both"/>
      </w:pPr>
      <w:rPr>
        <w:sz w:val="24"/>
        <w:color w:val="black"/>
      </w:rPr>
    </w:p>
    <w:p>
      <w:pPr>
        <w:jc w:val="both"/>
      </w:pPr>
      <w:r>
        <w:rPr>
          <w:rFonts w:hAnsi="Arial"/>
          <w:rFonts w:ascii="Arial"/>
          <w:sz w:val="24"/>
          <w:color w:val="black"/>
        </w:rPr>
        <w:t xml:space="preserve">8. Director Seccional de la Fiscalía General de la Nación (FGN) del departamento, del que hacen parte los municipios que conforman el área metropolitana.</w:t>
      </w:r>
    </w:p>
    <w:p>
      <w:pPr>
        <w:jc w:val="both"/>
      </w:pPr>
      <w:rPr>
        <w:sz w:val="24"/>
        <w:color w:val="black"/>
      </w:rPr>
    </w:p>
    <w:p>
      <w:pPr>
        <w:jc w:val="both"/>
      </w:pPr>
      <w:r>
        <w:rPr>
          <w:rFonts w:hAnsi="Arial"/>
          <w:rFonts w:ascii="Arial"/>
          <w:sz w:val="24"/>
          <w:color w:val="black"/>
        </w:rPr>
        <w:t xml:space="preserve">9. El Director del Área Metropolitana, quien será el Secretario del Consejo de Seguridad y Convivencia.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Consejos de Seguridad y Convivencia de las Áreas Metropolitanas contarán con la participación del delegado del Instituto Nacional Penitenciario y Carcelario (Inpec), y el Director del Grupo Regional de Protección de la Unidad Nacional de Protección (UNP) que tiene jurisdicción en el departamento en el que se encuentra ubicada el área metropolitana, como invitados cuando así se requiera, con voz pero sin voto.</w:t>
      </w:r>
    </w:p>
    <w:p>
      <w:pPr>
        <w:jc w:val="center"/>
      </w:pPr>
      <w:rPr>
        <w:color w:val="black"/>
      </w:rPr>
    </w:p>
    <w:p>
      <w:pPr>
        <w:jc w:val="both"/>
      </w:pPr>
      <w:r>
        <w:rPr>
          <w:rFonts w:hAnsi="Arial"/>
          <w:rFonts w:ascii="Arial"/>
          <w:sz w:val="24"/>
          <w:b/>
          <w:vanish/>
          <w:color w:val="black"/>
        </w:rPr>
        <w:t>&amp;$</w:t>
      </w:r>
      <w:bookmarkStart w:id="60227" w:name="2.2.8.2.10"/>
      <w:r>
        <w:rPr>
          <w:rFonts w:hAnsi="Arial"/>
          <w:rFonts w:ascii="Arial"/>
          <w:sz w:val="24"/>
          <w:color w:val="navy"/>
        </w:rPr>
        <w:t xml:space="preserve">ARTÍCULO 2.2.8.2.10. </w:t>
      </w:r>
      <w:r>
        <w:rPr>
          <w:rFonts w:hAnsi="Arial"/>
          <w:rFonts w:ascii="Arial"/>
          <w:sz w:val="24"/>
          <w:i/>
          <w:color w:val="navy"/>
        </w:rPr>
        <w:t xml:space="preserve">PARTICIPACIÓN EN LOS CONSEJOS DE SEGURIDAD Y CONVIVENCIA.</w:t>
      </w:r>
      <w:bookmarkEnd w:id="6022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 participación en los diferentes Consejos de Seguridad y Convivencia, se determinará con base en los siguientes criterios:</w:t>
      </w:r>
    </w:p>
    <w:p>
      <w:pPr>
        <w:jc w:val="both"/>
      </w:pPr>
      <w:rPr>
        <w:sz w:val="24"/>
        <w:color w:val="black"/>
      </w:rPr>
    </w:p>
    <w:p>
      <w:pPr>
        <w:jc w:val="both"/>
      </w:pPr>
      <w:r>
        <w:rPr>
          <w:rFonts w:hAnsi="Arial"/>
          <w:rFonts w:ascii="Arial"/>
          <w:sz w:val="24"/>
          <w:color w:val="black"/>
        </w:rPr>
        <w:t xml:space="preserve">1. En los departamentos en los que no existen Directores Seccionales del Instituto Nacional de Medicina Legal (INML), participarán en los Consejos Departamentales, los Directores Regionales o sus delegados.</w:t>
      </w:r>
    </w:p>
    <w:p>
      <w:pPr>
        <w:jc w:val="both"/>
      </w:pPr>
      <w:rPr>
        <w:sz w:val="24"/>
        <w:color w:val="black"/>
      </w:rPr>
    </w:p>
    <w:p>
      <w:pPr>
        <w:jc w:val="both"/>
      </w:pPr>
      <w:r>
        <w:rPr>
          <w:rFonts w:hAnsi="Arial"/>
          <w:rFonts w:ascii="Arial"/>
          <w:sz w:val="24"/>
          <w:color w:val="black"/>
        </w:rPr>
        <w:t xml:space="preserve">2. En el Consejo de Seguridad y Convivencia del Distrito Capital de Bogotá, participará el Director Regional del Instituto Nacional de Medicina Legal (INML), que atiende esta jurisdicción. Además, podrá considerarse la invitación o participación permanente de los directores de las unidades básicas que tienen presencia en este distrito especial.</w:t>
      </w:r>
    </w:p>
    <w:p>
      <w:pPr>
        <w:jc w:val="both"/>
      </w:pPr>
      <w:rPr>
        <w:sz w:val="24"/>
        <w:color w:val="black"/>
      </w:rPr>
    </w:p>
    <w:p>
      <w:pPr>
        <w:jc w:val="both"/>
      </w:pPr>
      <w:r>
        <w:rPr>
          <w:rFonts w:hAnsi="Arial"/>
          <w:rFonts w:ascii="Arial"/>
          <w:sz w:val="24"/>
          <w:color w:val="black"/>
        </w:rPr>
        <w:t xml:space="preserve">3. En los Consejos Municipales en los que no exista presencia material de las Unidades Básicas del Instituto Nacional de Medicina Legal (INML), podrá considerarse la invitación al director de la Unidad Básica del Instituto Nacional de Medicina Legal (INML) que tenga cobertura sobre el municipio por ser parte de su área de influencia, de acuerdo con el acto administrativo expedido por el Director General del Instituto Nacional de Medicina Legal.</w:t>
      </w:r>
    </w:p>
    <w:p>
      <w:pPr>
        <w:jc w:val="both"/>
      </w:pPr>
      <w:rPr>
        <w:sz w:val="24"/>
        <w:color w:val="black"/>
      </w:rPr>
    </w:p>
    <w:p>
      <w:pPr>
        <w:jc w:val="both"/>
      </w:pPr>
      <w:r>
        <w:rPr>
          <w:rFonts w:hAnsi="Arial"/>
          <w:rFonts w:ascii="Arial"/>
          <w:sz w:val="24"/>
          <w:color w:val="black"/>
        </w:rPr>
        <w:t xml:space="preserve">4. Podrá invitarse a las sesiones de los Consejos de Seguridad y Convivencia Regionales, Departamentales, de los Distritos Especiales, Municipales y Metropolitanos, a otros funcionarios de las entidades públicas nacionales o territoriales que tuvieren conocimiento de utilidad para el tratamiento de los temas de seguridad y convivencia que se analizan en estos espacios de coordinación interinstitucional.</w:t>
      </w:r>
    </w:p>
    <w:p>
      <w:pPr>
        <w:jc w:val="both"/>
      </w:pPr>
      <w:rPr>
        <w:sz w:val="24"/>
        <w:color w:val="black"/>
      </w:rPr>
    </w:p>
    <w:p>
      <w:pPr>
        <w:jc w:val="both"/>
      </w:pPr>
      <w:r>
        <w:rPr>
          <w:rFonts w:hAnsi="Arial"/>
          <w:rFonts w:ascii="Arial"/>
          <w:sz w:val="24"/>
          <w:color w:val="black"/>
        </w:rPr>
        <w:t xml:space="preserve">5. Podrá invitarse a las sesiones de los Consejos Regionales, Departamentales y Municipales de Seguridad y Convivencia, a los Comandantes de la Policía Nacional de las unidades tipo: regiones, unidades metropolitanas y distritos de policía que tienen jurisdicción sobre las entidades territoriales, según corresponda y si así lo consideran los miembros permanentes de los espacios de coordinación interinstitucional denominados Consejos de Seguridad y Convivencia.</w:t>
      </w:r>
    </w:p>
    <w:p>
      <w:pPr>
        <w:jc w:val="both"/>
      </w:pPr>
      <w:rPr>
        <w:sz w:val="24"/>
        <w:color w:val="black"/>
      </w:rPr>
    </w:p>
    <w:p>
      <w:pPr>
        <w:jc w:val="both"/>
      </w:pPr>
      <w:r>
        <w:rPr>
          <w:rFonts w:hAnsi="Arial"/>
          <w:rFonts w:ascii="Arial"/>
          <w:sz w:val="24"/>
          <w:color w:val="black"/>
        </w:rPr>
        <w:t xml:space="preserve">6. El Presidente de la República podrá a través del Ministerio del Interior, convocar y presidir los Consejos de Seguridad y Convivencia Nacionales, Regionales, Departamentales, de los Distritos Especiales, Municipales y Metropolitanos, sin perjuicio de sus atribuciones constitucionales.</w:t>
      </w:r>
    </w:p>
    <w:p>
      <w:pPr>
        <w:jc w:val="both"/>
      </w:pPr>
      <w:rPr>
        <w:sz w:val="24"/>
        <w:color w:val="black"/>
      </w:rPr>
    </w:p>
    <w:p>
      <w:pPr>
        <w:jc w:val="both"/>
      </w:pPr>
      <w:r>
        <w:rPr>
          <w:rFonts w:hAnsi="Arial"/>
          <w:rFonts w:ascii="Arial"/>
          <w:sz w:val="24"/>
          <w:color w:val="black"/>
        </w:rPr>
        <w:t xml:space="preserve">7. El Presidente de la República, podrá asistir y presidir los Consejos de Seguridad y Convivencia Regionales, Departamentales, de los Distritos Especiales, Municipales y Metropolitanos, en su calidad de suprema autoridad administrativa y de policía en Colombia.</w:t>
      </w:r>
    </w:p>
    <w:p>
      <w:pPr>
        <w:jc w:val="center"/>
      </w:pPr>
      <w:rPr>
        <w:color w:val="black"/>
      </w:rPr>
    </w:p>
    <w:p>
      <w:pPr>
        <w:jc w:val="both"/>
      </w:pPr>
      <w:r>
        <w:rPr>
          <w:rFonts w:hAnsi="Arial"/>
          <w:rFonts w:ascii="Arial"/>
          <w:sz w:val="24"/>
          <w:b/>
          <w:vanish/>
          <w:color w:val="black"/>
        </w:rPr>
        <w:t>&amp;$</w:t>
      </w:r>
      <w:bookmarkStart w:id="60228" w:name="2.2.8.2.11"/>
      <w:r>
        <w:rPr>
          <w:rFonts w:hAnsi="Arial"/>
          <w:rFonts w:ascii="Arial"/>
          <w:sz w:val="24"/>
          <w:color w:val="navy"/>
        </w:rPr>
        <w:t xml:space="preserve">ARTÍCULO 2.2.8.2.11. </w:t>
      </w:r>
      <w:r>
        <w:rPr>
          <w:rFonts w:hAnsi="Arial"/>
          <w:rFonts w:ascii="Arial"/>
          <w:sz w:val="24"/>
          <w:i/>
          <w:color w:val="navy"/>
        </w:rPr>
        <w:t xml:space="preserve">FUNCIONES DE LOS TIPOS DE CONSEJOS DE SEGURIDAD Y CONVIVENCIA.</w:t>
      </w:r>
      <w:bookmarkEnd w:id="6022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Son funciones de los Consejos de Seguridad y Convivencia, como espacios de coordinación interinstitucional, las siguientes y sin perjuicio del cumplimiento de las funciones constitucionales y legales que le competen a cada una de las distintas autoridades:</w:t>
      </w:r>
    </w:p>
    <w:p>
      <w:pPr>
        <w:jc w:val="both"/>
      </w:pPr>
      <w:rPr>
        <w:sz w:val="24"/>
        <w:color w:val="black"/>
      </w:rPr>
    </w:p>
    <w:p>
      <w:pPr>
        <w:jc w:val="both"/>
      </w:pPr>
      <w:r>
        <w:rPr>
          <w:rFonts w:hAnsi="Arial"/>
          <w:rFonts w:ascii="Arial"/>
          <w:sz w:val="24"/>
          <w:color w:val="black"/>
        </w:rPr>
        <w:t xml:space="preserve">1. Intercambiar información cuantitativa y cualitativa, así como promover el análisis y comprensión integral e interdisciplinaria de los problemas de convivencia y seguridad, que se presentan en la jurisdicción que atiende el Consejo de Seguridad y Convivencia en cada caso.</w:t>
      </w:r>
    </w:p>
    <w:p>
      <w:pPr>
        <w:jc w:val="both"/>
      </w:pPr>
      <w:rPr>
        <w:sz w:val="24"/>
        <w:color w:val="black"/>
      </w:rPr>
    </w:p>
    <w:p>
      <w:pPr>
        <w:jc w:val="both"/>
      </w:pPr>
      <w:r>
        <w:rPr>
          <w:rFonts w:hAnsi="Arial"/>
          <w:rFonts w:ascii="Arial"/>
          <w:sz w:val="24"/>
          <w:color w:val="black"/>
        </w:rPr>
        <w:t xml:space="preserve">2. Apoyar la elaboración del diagnóstico de los problemas en materia de convivencia, de manera participativa y atendiendo a la información cuantitativa, cualitativa, la experiencia y conocimientos, que tienen los integrantes del Consejo de Seguridad y Convivencia en cada caso.</w:t>
      </w:r>
    </w:p>
    <w:p>
      <w:pPr>
        <w:jc w:val="both"/>
      </w:pPr>
      <w:rPr>
        <w:sz w:val="24"/>
        <w:color w:val="black"/>
      </w:rPr>
    </w:p>
    <w:p>
      <w:pPr>
        <w:jc w:val="both"/>
      </w:pPr>
      <w:r>
        <w:rPr>
          <w:rFonts w:hAnsi="Arial"/>
          <w:rFonts w:ascii="Arial"/>
          <w:sz w:val="24"/>
          <w:color w:val="black"/>
        </w:rPr>
        <w:t xml:space="preserve">3. El diagnóstico que se elabore, es una de las bases para la formulación de los programas, planes, proyectos de inversión y actividades que hacen parte del Plan Integral de Seguridad y Convivencia Ciudadana (PISCC), el cual se debe actualizar en cada vigencia, de tal forma que se pueda garantizar la pertinencia de las intervenciones respecto a las problemáticas.</w:t>
      </w:r>
    </w:p>
    <w:p>
      <w:pPr>
        <w:jc w:val="both"/>
      </w:pPr>
      <w:rPr>
        <w:sz w:val="24"/>
        <w:color w:val="black"/>
      </w:rPr>
    </w:p>
    <w:p>
      <w:pPr>
        <w:jc w:val="both"/>
      </w:pPr>
      <w:r>
        <w:rPr>
          <w:rFonts w:hAnsi="Arial"/>
          <w:rFonts w:ascii="Arial"/>
          <w:sz w:val="24"/>
          <w:color w:val="black"/>
        </w:rPr>
        <w:t xml:space="preserve">4. Contribuir, bajo el liderazgo de la primera autoridad en materia de convivencia, a la elaboración del Plan Integral de Seguridad y Convivencia Ciudadana (PISCC) durante los primeros seis meses del primer año de gobierno de las autoridades político-administrativas territoriales, a partir de la presentación de propuestas de programas, planes, proyectos de inversión y actividades que permitan mitigar, controlar o atender los problemas de convivencia. El Plan Integral de Seguridad y Convivencia Ciudadana (PISCC) que se formule, debe ser consecuente con los lineamientos de la política y estrategia nacional de seguridad y convivencia ciudadana y demás lineamientos que sobre estas materias dicte el Gobierno nacional. </w:t>
      </w:r>
    </w:p>
    <w:p>
      <w:pPr>
        <w:jc w:val="both"/>
      </w:pPr>
      <w:rPr>
        <w:sz w:val="24"/>
        <w:color w:val="black"/>
      </w:rPr>
    </w:p>
    <w:p>
      <w:pPr>
        <w:jc w:val="both"/>
      </w:pPr>
      <w:r>
        <w:rPr>
          <w:rFonts w:hAnsi="Arial"/>
          <w:rFonts w:ascii="Arial"/>
          <w:sz w:val="24"/>
          <w:color w:val="black"/>
        </w:rPr>
        <w:t xml:space="preserve">Debe existir una correspondencia entre el PISCC y los lineamientos de política pública que la entidad territorial dispuso en su plan de desarrollo.</w:t>
      </w:r>
    </w:p>
    <w:p>
      <w:pPr>
        <w:jc w:val="both"/>
      </w:pPr>
      <w:rPr>
        <w:sz w:val="24"/>
        <w:color w:val="black"/>
      </w:rPr>
    </w:p>
    <w:p>
      <w:pPr>
        <w:jc w:val="both"/>
      </w:pPr>
      <w:r>
        <w:rPr>
          <w:rFonts w:hAnsi="Arial"/>
          <w:rFonts w:ascii="Arial"/>
          <w:sz w:val="24"/>
          <w:color w:val="black"/>
        </w:rPr>
        <w:t xml:space="preserve">5. Elaborar una propuesta de Plan Operativo Anual de Inversiones en materia de Seguridad (POAI), consistente con lo propuesto en el Plan Integral de Seguridad y Convivencia Ciudadana (PISCC), para adopción por parte del ordenador del gasto que corresponda en la entidad territorial. Esta propuesta debe contener los proyectos de inversión inscritos en el banco de proyectos de la entidad territorial, que pueden ser financiados con los recursos de la cuenta que se destine para el recaudo de las multas de que trata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6. Revisar y verificar la coherencia, correspondencia y complementariedad que existe entre los instrumentos de planeación estratégica en asuntos relacionados con la convivencia, expedidos tanto por las autoridades del orden nacional, como por las autoridades de otros órdenes de gobierno. Así como, la coherencia, correspondencia y complementariedad que existe en las decisiones que se adoptan en otros espacios de coordinación interinstitucional encargados de atender problemáticas específicas relacionadas con la convivencia, tales como: los Comités Seccionales de Estupefacientes, los Comités Municipales de Drogas, las Comisiones Locales de Seguridad, Comodidad y Convivencia en el Fútbol, los Comités Departamentales, Distritales y Municipales de Convivencia Escolar y los demás que se constituyan para estos fines, como promover sinergias entre las decisiones de planeación estratégica que se adoptan.</w:t>
      </w:r>
    </w:p>
    <w:p>
      <w:pPr>
        <w:jc w:val="both"/>
      </w:pPr>
      <w:rPr>
        <w:sz w:val="24"/>
        <w:color w:val="black"/>
      </w:rPr>
    </w:p>
    <w:p>
      <w:pPr>
        <w:jc w:val="both"/>
      </w:pPr>
      <w:r>
        <w:rPr>
          <w:rFonts w:hAnsi="Arial"/>
          <w:rFonts w:ascii="Arial"/>
          <w:sz w:val="24"/>
          <w:color w:val="black"/>
        </w:rPr>
        <w:t xml:space="preserve">7. Presentar propuesta ante la primera autoridad administrativa y de policía de la entidad territorial, del plan de acción que se debe elaborar a partir del segundo año de gobierno, en concordancia con el Plan Integral de Seguridad y Convivencia Ciudadana (PISCC), para garantizar el cumplimiento de los objetivos, metas e indicadores dispuestos para los cuatro años en el (PISCC).</w:t>
      </w:r>
    </w:p>
    <w:p>
      <w:pPr>
        <w:jc w:val="both"/>
      </w:pPr>
      <w:rPr>
        <w:sz w:val="24"/>
        <w:color w:val="black"/>
      </w:rPr>
    </w:p>
    <w:p>
      <w:pPr>
        <w:jc w:val="both"/>
      </w:pPr>
      <w:r>
        <w:rPr>
          <w:rFonts w:hAnsi="Arial"/>
          <w:rFonts w:ascii="Arial"/>
          <w:sz w:val="24"/>
          <w:color w:val="black"/>
        </w:rPr>
        <w:t xml:space="preserve">8. Efectuar el seguimiento a la destinación de los recursos que se reciban por concepto de multas de que trata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y los eventuales recursos que se destinen en materia de prevención.</w:t>
      </w:r>
    </w:p>
    <w:p>
      <w:pPr>
        <w:jc w:val="both"/>
      </w:pPr>
      <w:rPr>
        <w:sz w:val="24"/>
        <w:color w:val="black"/>
      </w:rPr>
    </w:p>
    <w:p>
      <w:pPr>
        <w:jc w:val="both"/>
      </w:pPr>
      <w:r>
        <w:rPr>
          <w:rFonts w:hAnsi="Arial"/>
          <w:rFonts w:ascii="Arial"/>
          <w:sz w:val="24"/>
          <w:color w:val="black"/>
        </w:rPr>
        <w:t xml:space="preserve">9. Contribuir y participar en la elaboración del informe anual de gestión pública territorial de la seguridad y convivencia ciudadana de la jurisdicción, así como en los procesos de rendición de cuentas.</w:t>
      </w:r>
    </w:p>
    <w:p>
      <w:pPr>
        <w:jc w:val="both"/>
      </w:pPr>
      <w:rPr>
        <w:sz w:val="24"/>
        <w:color w:val="black"/>
      </w:rPr>
    </w:p>
    <w:p>
      <w:pPr>
        <w:jc w:val="both"/>
      </w:pPr>
      <w:r>
        <w:rPr>
          <w:rFonts w:hAnsi="Arial"/>
          <w:rFonts w:ascii="Arial"/>
          <w:sz w:val="24"/>
          <w:color w:val="black"/>
        </w:rPr>
        <w:t xml:space="preserve">10. Hacer seguimiento en cada vigencia a la ejecución del Plan Operativo Anual de Inversiones, en materia de Seguridad y Convivencia Ciudadana (POAI- SC), por concepto de multas de que trata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11. Asesorar a la primera autoridad en materia de policía, en las situaciones específicas de alteración de la convivencia, respecto de las medidas que se pueden imponer y los medios que se pueden adoptar en atención:</w:t>
      </w:r>
    </w:p>
    <w:p>
      <w:pPr>
        <w:jc w:val="both"/>
      </w:pPr>
      <w:rPr>
        <w:sz w:val="24"/>
        <w:color w:val="black"/>
      </w:rPr>
    </w:p>
    <w:p>
      <w:pPr>
        <w:jc w:val="both"/>
      </w:pPr>
      <w:r>
        <w:rPr>
          <w:rFonts w:hAnsi="Arial"/>
          <w:rFonts w:ascii="Arial"/>
          <w:sz w:val="24"/>
          <w:color w:val="black"/>
        </w:rPr>
        <w:t xml:space="preserve">a) A las competencias, funciones y atribuciones de las autoridades;</w:t>
      </w:r>
    </w:p>
    <w:p>
      <w:pPr>
        <w:jc w:val="both"/>
      </w:pPr>
      <w:rPr>
        <w:sz w:val="24"/>
        <w:color w:val="black"/>
      </w:rPr>
    </w:p>
    <w:p>
      <w:pPr>
        <w:jc w:val="both"/>
      </w:pPr>
      <w:r>
        <w:rPr>
          <w:rFonts w:hAnsi="Arial"/>
          <w:rFonts w:ascii="Arial"/>
          <w:sz w:val="24"/>
          <w:color w:val="black"/>
        </w:rPr>
        <w:t xml:space="preserve">b) A la magnitud y alcance de las situaciones;</w:t>
      </w:r>
    </w:p>
    <w:p>
      <w:pPr>
        <w:jc w:val="both"/>
      </w:pPr>
      <w:rPr>
        <w:sz w:val="24"/>
        <w:color w:val="black"/>
      </w:rPr>
    </w:p>
    <w:p>
      <w:pPr>
        <w:jc w:val="both"/>
      </w:pPr>
      <w:r>
        <w:rPr>
          <w:rFonts w:hAnsi="Arial"/>
          <w:rFonts w:ascii="Arial"/>
          <w:sz w:val="24"/>
          <w:color w:val="black"/>
        </w:rPr>
        <w:t xml:space="preserve">c) A las coordinaciones que se estén realizando con las autoridades territoriales de los órdenes superiores de gobierno en cumplimiento a los principios de concurrencia y subsidiariedad.</w:t>
      </w:r>
    </w:p>
    <w:p>
      <w:pPr>
        <w:jc w:val="both"/>
      </w:pPr>
      <w:rPr>
        <w:sz w:val="24"/>
        <w:color w:val="black"/>
      </w:rPr>
    </w:p>
    <w:p>
      <w:pPr>
        <w:jc w:val="both"/>
      </w:pPr>
      <w:r>
        <w:rPr>
          <w:rFonts w:hAnsi="Arial"/>
          <w:rFonts w:ascii="Arial"/>
          <w:sz w:val="24"/>
          <w:color w:val="black"/>
        </w:rPr>
        <w:t xml:space="preserve">d) A la protección y recuperación de los bienes de uso público.</w:t>
      </w:r>
    </w:p>
    <w:p>
      <w:pPr>
        <w:jc w:val="both"/>
      </w:pPr>
      <w:rPr>
        <w:sz w:val="24"/>
        <w:color w:val="black"/>
      </w:rPr>
    </w:p>
    <w:p>
      <w:pPr>
        <w:jc w:val="both"/>
      </w:pPr>
      <w:r>
        <w:rPr>
          <w:rFonts w:hAnsi="Arial"/>
          <w:rFonts w:ascii="Arial"/>
          <w:sz w:val="24"/>
          <w:color w:val="black"/>
        </w:rPr>
        <w:t xml:space="preserve">12. Verificar que las medidas que se adopten en pro de la convivencia de la jurisdicción, contribuyan a la garantía de los derechos humanos y el respeto por las libertades públicas consagradas en la Constitución Política. Así como por la coherencia y cumplimiento de las disposiciones normativas en esta materia.</w:t>
      </w:r>
    </w:p>
    <w:p>
      <w:pPr>
        <w:jc w:val="both"/>
      </w:pPr>
      <w:rPr>
        <w:sz w:val="24"/>
        <w:color w:val="black"/>
      </w:rPr>
    </w:p>
    <w:p>
      <w:pPr>
        <w:jc w:val="both"/>
      </w:pPr>
      <w:r>
        <w:rPr>
          <w:rFonts w:hAnsi="Arial"/>
          <w:rFonts w:ascii="Arial"/>
          <w:sz w:val="24"/>
          <w:color w:val="black"/>
        </w:rPr>
        <w:t xml:space="preserve">13. Asesorar sobre la implementación de planes, programas o proyectos, que permi tan prevenir la configuración de situaciones de alteración de la seguridad y convivencia.</w:t>
      </w:r>
    </w:p>
    <w:p>
      <w:pPr>
        <w:jc w:val="both"/>
      </w:pPr>
      <w:rPr>
        <w:sz w:val="24"/>
        <w:color w:val="black"/>
      </w:rPr>
    </w:p>
    <w:p>
      <w:pPr>
        <w:jc w:val="both"/>
      </w:pPr>
      <w:r>
        <w:rPr>
          <w:rFonts w:hAnsi="Arial"/>
          <w:rFonts w:ascii="Arial"/>
          <w:sz w:val="24"/>
          <w:color w:val="black"/>
        </w:rPr>
        <w:t xml:space="preserve">14. Formular recomendaciones para la preservación de los derechos humanos y el cumplimiento de los deberes ciudadanos para lograr la convivencia pacífica.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Consejos de Seguridad y Convivencia podrán constituir grupos de trabajo que se encarguen de realizar análisis o propuestas específicas, con el fin de profundizar en la comprensión y análisis de algunos problemas públicos de convivencia y seguridad, así como de las posibles intervenciones, sin que se genere erogaciones con cargo a los recursos del Fonset o de alguna de sus cuentas.</w:t>
      </w:r>
    </w:p>
    <w:p>
      <w:pPr>
        <w:jc w:val="center"/>
      </w:pPr>
      <w:rPr>
        <w:color w:val="black"/>
      </w:rPr>
    </w:p>
    <w:p>
      <w:pPr>
        <w:jc w:val="both"/>
      </w:pPr>
      <w:r>
        <w:rPr>
          <w:rFonts w:hAnsi="Arial"/>
          <w:rFonts w:ascii="Arial"/>
          <w:sz w:val="24"/>
          <w:b/>
          <w:vanish/>
          <w:color w:val="black"/>
        </w:rPr>
        <w:t>&amp;$</w:t>
      </w:r>
      <w:bookmarkStart w:id="60229" w:name="2.2.8.2.12"/>
      <w:r>
        <w:rPr>
          <w:rFonts w:hAnsi="Arial"/>
          <w:rFonts w:ascii="Arial"/>
          <w:sz w:val="24"/>
          <w:color w:val="navy"/>
        </w:rPr>
        <w:t xml:space="preserve">ARTÍCULO 2.2.8.2.12. </w:t>
      </w:r>
      <w:r>
        <w:rPr>
          <w:rFonts w:hAnsi="Arial"/>
          <w:rFonts w:ascii="Arial"/>
          <w:sz w:val="24"/>
          <w:i/>
          <w:color w:val="navy"/>
        </w:rPr>
        <w:t xml:space="preserve">PLANES DE SEGURIDAD Y CONVIVENCIA REGIONALES Y METROPOLITANOS</w:t>
      </w:r>
      <w:r>
        <w:rPr>
          <w:rFonts w:hAnsi="Arial"/>
          <w:rFonts w:ascii="Arial"/>
          <w:sz w:val="24"/>
          <w:color w:val="navy"/>
        </w:rPr>
        <w:t>.</w:t>
      </w:r>
      <w:bookmarkEnd w:id="60229"/>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En el caso de las regiones y las áreas metropolitanas, se podrán diseñar, implementar, hacer seguimiento y evaluar planes integrales de seguridad y convivencia (PISCC), según sea el caso.</w:t>
      </w:r>
    </w:p>
    <w:p>
      <w:pPr>
        <w:jc w:val="center"/>
      </w:pPr>
      <w:rPr>
        <w:color w:val="black"/>
      </w:rPr>
    </w:p>
    <w:p>
      <w:pPr>
        <w:jc w:val="both"/>
      </w:pPr>
      <w:r>
        <w:rPr>
          <w:rFonts w:hAnsi="Arial"/>
          <w:rFonts w:ascii="Arial"/>
          <w:sz w:val="24"/>
          <w:b/>
          <w:vanish/>
          <w:color w:val="black"/>
        </w:rPr>
        <w:t>&amp;$</w:t>
      </w:r>
      <w:bookmarkStart w:id="60230" w:name="2.2.8.2.13"/>
      <w:r>
        <w:rPr>
          <w:rFonts w:hAnsi="Arial"/>
          <w:rFonts w:ascii="Arial"/>
          <w:sz w:val="24"/>
          <w:color w:val="navy"/>
        </w:rPr>
        <w:t xml:space="preserve">ARTÍCULO 2.2.8.2.13. </w:t>
      </w:r>
      <w:r>
        <w:rPr>
          <w:rFonts w:hAnsi="Arial"/>
          <w:rFonts w:ascii="Arial"/>
          <w:sz w:val="24"/>
          <w:i/>
          <w:color w:val="navy"/>
        </w:rPr>
        <w:t>INFORMES</w:t>
      </w:r>
      <w:r>
        <w:rPr>
          <w:rFonts w:hAnsi="Arial"/>
          <w:rFonts w:ascii="Arial"/>
          <w:sz w:val="24"/>
          <w:color w:val="navy"/>
        </w:rPr>
        <w:t>.</w:t>
      </w:r>
      <w:bookmarkEnd w:id="60230"/>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informes que deben entregar semestralmente los representantes legales de las entidades territoriales, gobernadores y alcaldes, a la Secretaría Técnica del Consejo Superior de Política Criminal sobre las actividades delincuenciales, modalidades de delitos y factores que influyen en el aumento o disminución de la criminalidad, deben ser comunicados en el seno de los Consejos de Seguridad y Convivencia.</w:t>
      </w:r>
    </w:p>
    <w:p>
      <w:pPr>
        <w:jc w:val="center"/>
      </w:pPr>
      <w:rPr>
        <w:color w:val="black"/>
      </w:rPr>
    </w:p>
    <w:p>
      <w:pPr>
        <w:jc w:val="both"/>
      </w:pPr>
      <w:r>
        <w:rPr>
          <w:rFonts w:hAnsi="Arial"/>
          <w:rFonts w:ascii="Arial"/>
          <w:sz w:val="24"/>
          <w:b/>
          <w:vanish/>
          <w:color w:val="black"/>
        </w:rPr>
        <w:t>&amp;$</w:t>
      </w:r>
      <w:bookmarkStart w:id="60231" w:name="2.2.8.2.14"/>
      <w:r>
        <w:rPr>
          <w:rFonts w:hAnsi="Arial"/>
          <w:rFonts w:ascii="Arial"/>
          <w:sz w:val="24"/>
          <w:color w:val="navy"/>
        </w:rPr>
        <w:t xml:space="preserve">ARTÍCULO 2.2.8.2.14. </w:t>
      </w:r>
      <w:r>
        <w:rPr>
          <w:rFonts w:hAnsi="Arial"/>
          <w:rFonts w:ascii="Arial"/>
          <w:sz w:val="24"/>
          <w:i/>
          <w:color w:val="navy"/>
        </w:rPr>
        <w:t xml:space="preserve">ARTICULACIÓN CON OTROS ESPACIOS DE COORDINACIÓN INTERINSTITUCIONAL ESPECÍFICOS PARA LOS ASUNTOS DE CONVIVENCIA Y SEGURIDAD</w:t>
      </w:r>
      <w:r>
        <w:rPr>
          <w:rFonts w:hAnsi="Arial"/>
          <w:rFonts w:ascii="Arial"/>
          <w:sz w:val="24"/>
          <w:color w:val="navy"/>
        </w:rPr>
        <w:t>.</w:t>
      </w:r>
      <w:bookmarkEnd w:id="60231"/>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Consejos de Seguridad y Convivencia de cada tipo, son la instancia central de coordinación interinstitucional en estas materias, motivo por el cual requieren conocer de manera sistematizada y organizada, las discusiones y decisiones que se toman en otros espacios de coordinación interinstitucional especializados en temas de convivencia y seguridad ciudadana, como se dispone a continuación:</w:t>
      </w:r>
    </w:p>
    <w:p>
      <w:pPr>
        <w:jc w:val="both"/>
      </w:pPr>
      <w:rPr>
        <w:sz w:val="24"/>
        <w:color w:val="black"/>
      </w:rPr>
    </w:p>
    <w:p>
      <w:rPr>
        <w:sz w:val="24"/>
        <w:color w:val="black"/>
      </w:rPr>
    </w:p>
    <w:p>
      <w:pPr>
        <w:jc w:val="both"/>
      </w:pPr>
      <w:r>
        <w:rPr>
          <w:rFonts w:hAnsi="Arial"/>
          <w:rFonts w:ascii="Arial"/>
          <w:sz w:val="24"/>
          <w:color w:val="navy"/>
        </w:rPr>
        <w:t>PARÁGRAFO.</w:t>
      </w:r>
      <w:r>
        <w:rPr>
          <w:rFonts w:hAnsi="Arial"/>
          <w:rFonts w:ascii="Arial"/>
          <w:sz w:val="24"/>
          <w:color w:val="black"/>
        </w:rPr>
        <w:t xml:space="preserve"> Se procurará el acceso y la interoperabilidad de la información a la que se refiere el presente artículo, con el fin de facilitar su consulta.</w:t>
      </w:r>
    </w:p>
    <w:p>
      <w:pPr>
        <w:jc w:val="center"/>
      </w:pPr>
      <w:rPr>
        <w:color w:val="black"/>
      </w:rPr>
    </w:p>
    <w:p>
      <w:pPr>
        <w:jc w:val="both"/>
      </w:pPr>
      <w:r>
        <w:rPr>
          <w:rFonts w:hAnsi="Arial"/>
          <w:rFonts w:ascii="Arial"/>
          <w:sz w:val="24"/>
          <w:b/>
          <w:vanish/>
          <w:color w:val="black"/>
        </w:rPr>
        <w:t>&amp;$</w:t>
      </w:r>
      <w:bookmarkStart w:id="60232" w:name="2.2.8.2.15"/>
      <w:r>
        <w:rPr>
          <w:rFonts w:hAnsi="Arial"/>
          <w:rFonts w:ascii="Arial"/>
          <w:sz w:val="24"/>
          <w:color w:val="navy"/>
        </w:rPr>
        <w:t xml:space="preserve">ARTÍCULO 2.2.8.2.15. </w:t>
      </w:r>
      <w:r>
        <w:rPr>
          <w:rFonts w:hAnsi="Arial"/>
          <w:rFonts w:ascii="Arial"/>
          <w:sz w:val="24"/>
          <w:i/>
          <w:color w:val="navy"/>
        </w:rPr>
        <w:t xml:space="preserve">DE LAS INSTANCIAS DE PARTICIPACIÓN CIUDADANA EN EL MARCO DE LOS DIFERENTES TIPOS DE CONSEJOS DE SEGURIDAD Y CONVIVENCIA</w:t>
      </w:r>
      <w:r>
        <w:rPr>
          <w:rFonts w:hAnsi="Arial"/>
          <w:rFonts w:ascii="Arial"/>
          <w:sz w:val="24"/>
          <w:color w:val="navy"/>
        </w:rPr>
        <w:t>.</w:t>
      </w:r>
      <w:bookmarkEnd w:id="60232"/>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De manera previa o posterior a la realización de sesiones ordinarias o extraordinarias de los diferentes tipos de Consejos de Seguridad y Convivencia, todos los miembros podrán convocar audiencias de participación ciudadana que permitan:</w:t>
      </w:r>
    </w:p>
    <w:p>
      <w:pPr>
        <w:jc w:val="both"/>
      </w:pPr>
      <w:rPr>
        <w:sz w:val="24"/>
        <w:color w:val="black"/>
      </w:rPr>
    </w:p>
    <w:p>
      <w:pPr>
        <w:jc w:val="both"/>
      </w:pPr>
      <w:r>
        <w:rPr>
          <w:rFonts w:hAnsi="Arial"/>
          <w:rFonts w:ascii="Arial"/>
          <w:sz w:val="24"/>
          <w:color w:val="black"/>
        </w:rPr>
        <w:t xml:space="preserve">1. Recolectar y analizar información a partir de la cual se logre una mayor comprensión de los problemas públicos de indisciplina y desorden social, violencia interpersonal en espacios públicos y privados y delincuencia.</w:t>
      </w:r>
    </w:p>
    <w:p>
      <w:pPr>
        <w:jc w:val="both"/>
      </w:pPr>
      <w:rPr>
        <w:sz w:val="24"/>
        <w:color w:val="black"/>
      </w:rPr>
    </w:p>
    <w:p>
      <w:pPr>
        <w:jc w:val="both"/>
      </w:pPr>
      <w:r>
        <w:rPr>
          <w:rFonts w:hAnsi="Arial"/>
          <w:rFonts w:ascii="Arial"/>
          <w:sz w:val="24"/>
          <w:color w:val="black"/>
        </w:rPr>
        <w:t xml:space="preserve">2. Promover la construcción de propuestas de intervención e iniciativas frente a los problemas públicos identificados en estas materias.</w:t>
      </w:r>
    </w:p>
    <w:p>
      <w:pPr>
        <w:jc w:val="both"/>
      </w:pPr>
      <w:rPr>
        <w:sz w:val="24"/>
        <w:color w:val="black"/>
      </w:rPr>
    </w:p>
    <w:p>
      <w:pPr>
        <w:jc w:val="both"/>
      </w:pPr>
      <w:r>
        <w:rPr>
          <w:rFonts w:hAnsi="Arial"/>
          <w:rFonts w:ascii="Arial"/>
          <w:sz w:val="24"/>
          <w:color w:val="black"/>
        </w:rPr>
        <w:t xml:space="preserve">3. Motivar la participación de los ciudadanos en las estrategias, programas, proyectos de inversión y actividades que se están desarrollando en materia de convivencia y seguridad.</w:t>
      </w:r>
    </w:p>
    <w:p>
      <w:pPr>
        <w:jc w:val="both"/>
      </w:pPr>
      <w:rPr>
        <w:sz w:val="24"/>
        <w:color w:val="black"/>
      </w:rPr>
    </w:p>
    <w:p>
      <w:pPr>
        <w:jc w:val="both"/>
      </w:pPr>
      <w:r>
        <w:rPr>
          <w:rFonts w:hAnsi="Arial"/>
          <w:rFonts w:ascii="Arial"/>
          <w:sz w:val="24"/>
          <w:color w:val="black"/>
        </w:rPr>
        <w:t xml:space="preserve">4. Dar a conocer y difundir decisiones tomadas por las autoridades en materia de orden público y policía, entre otras, cuyo fin último sea promover la participación de los ciudadanos.</w:t>
      </w:r>
    </w:p>
    <w:p>
      <w:pPr>
        <w:jc w:val="both"/>
      </w:pPr>
      <w:rPr>
        <w:sz w:val="24"/>
        <w:color w:val="black"/>
      </w:rPr>
    </w:p>
    <w:p>
      <w:pPr>
        <w:jc w:val="both"/>
      </w:pPr>
      <w:r>
        <w:rPr>
          <w:rFonts w:hAnsi="Arial"/>
          <w:rFonts w:ascii="Arial"/>
          <w:sz w:val="24"/>
          <w:color w:val="black"/>
        </w:rPr>
        <w:t xml:space="preserve">5. Articular con los Comités Civiles de Convivencia.</w:t>
      </w:r>
    </w:p>
    <w:p>
      <w:pPr>
        <w:jc w:val="center"/>
      </w:pPr>
      <w:rPr>
        <w:color w:val="black"/>
      </w:rPr>
    </w:p>
    <w:p>
      <w:pPr>
        <w:jc w:val="center"/>
        <w:outlineLvl w:val="1"/>
        <w:tabs>
          <w:tab w:val="left" w:leader="none" w:pos="8840"/>
        </w:tabs>
      </w:pPr>
      <w:r>
        <w:rPr>
          <w:rFonts w:hAnsi="Arial"/>
          <w:rFonts w:ascii="Arial"/>
          <w:sz w:val="24"/>
          <w:b/>
          <w:vanish/>
          <w:color w:val="black"/>
        </w:rPr>
        <w:t>&amp;$</w:t>
      </w:r>
      <w:bookmarkStart w:id="60233" w:name="SECCIÓN 2.2.8.2.1"/>
      <w:r>
        <w:rPr>
          <w:rFonts w:hAnsi="Arial"/>
          <w:rFonts w:ascii="Arial"/>
          <w:sz w:val="24"/>
          <w:color w:val="navy"/>
        </w:rPr>
        <w:t xml:space="preserve">CONSEJO NACIONAL DE SEGURIDAD Y CONVIVENCIA CIUDADANA.</w:t>
      </w:r>
      <w:bookmarkEnd w:id="60233"/>
      <w:r>
        <w:rPr>
          <w:rFonts w:hAnsi="Arial"/>
          <w:rFonts w:ascii="Arial"/>
          <w:sz w:val="24"/>
          <w:b/>
          <w:color w:val="black"/>
        </w:rPr>
        <w:t xml:space="preserve"> </w:t>
      </w:r>
    </w:p>
    <w:p>
      <w:pPr>
        <w:jc w:val="both"/>
        <w:keepNext/>
      </w:pPr>
      <w:rPr>
        <w:color w:val="black"/>
      </w:rPr>
    </w:p>
    <w:p>
      <w:pPr>
        <w:jc w:val="both"/>
        <w:keepNext/>
        <w:tabs>
          <w:tab w:val="left" w:leader="none" w:pos="8840"/>
        </w:tabs>
      </w:pPr>
      <w:r>
        <w:rPr>
          <w:rFonts w:hAnsi="Arial"/>
          <w:rFonts w:ascii="Arial"/>
          <w:sz w:val="24"/>
          <w:b/>
          <w:vanish/>
          <w:color w:val="black"/>
        </w:rPr>
        <w:t>&amp;$</w:t>
      </w:r>
      <w:bookmarkStart w:id="60234" w:name="2.2.8.2.16"/>
      <w:r>
        <w:rPr>
          <w:rFonts w:hAnsi="Arial"/>
          <w:rFonts w:ascii="Arial"/>
          <w:sz w:val="24"/>
          <w:color w:val="navy"/>
        </w:rPr>
        <w:t xml:space="preserve">ARTÍCULO 2.2.8.2.16. OBJETO.</w:t>
      </w:r>
      <w:bookmarkEnd w:id="602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Reglamentar el Consejo Nacional de Seguridad y Convivencia Ciudadana, como un cuerpo consultivo y de decisión para la prevención y reacción ante los problemas relacionados con la seguridad y la convivencia en el nivel nacional, así como para la coordinación, implementación, evaluación y seguimiento de la Política Marco de Convivencia y Seguridad Ciudadana.</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60235" w:name="2.2.8.2.17"/>
      <w:r>
        <w:rPr>
          <w:rFonts w:hAnsi="Arial"/>
          <w:rFonts w:ascii="Arial"/>
          <w:sz w:val="24"/>
          <w:color w:val="navy"/>
        </w:rPr>
        <w:t xml:space="preserve">ARTÍCULO 2.2.8.2.17. INTEGRACIÓN DEL CONSEJO NACIONAL DE SEGURIDAD Y CONVIVENCIA CIUDADANA.</w:t>
      </w:r>
      <w:bookmarkEnd w:id="6023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"http://www.redjurista.com/document.aspx?ajcode=d0842023&amp;arts=1"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842 de 2023. El nuevo texto es el siguiente:&gt; El Consejo Nacional de Seguridad y Convivencia Ciudadana estará integrado por: </w:t>
      </w:r>
    </w:p>
    <w:p>
      <w:pPr>
        <w:jc w:val="both"/>
      </w:pPr>
      <w:rPr>
        <w:sz w:val="24"/>
        <w:color w:val="black"/>
      </w:rPr>
    </w:p>
    <w:p>
      <w:pPr>
        <w:jc w:val="both"/>
      </w:pPr>
      <w:r>
        <w:rPr>
          <w:rFonts w:hAnsi="Arial"/>
          <w:rFonts w:ascii="Arial"/>
          <w:sz w:val="24"/>
          <w:color w:val="black"/>
        </w:rPr>
        <w:t xml:space="preserve">1. El Presidente de la República, quien lo presidirá. </w:t>
      </w:r>
    </w:p>
    <w:p>
      <w:pPr>
        <w:jc w:val="both"/>
      </w:pPr>
      <w:r>
        <w:rPr>
          <w:rFonts w:hAnsi="Arial"/>
          <w:rFonts w:ascii="Arial"/>
          <w:sz w:val="24"/>
          <w:color w:val="black"/>
        </w:rPr>
        <w:t xml:space="preserve">2. El Ministro del Interior. </w:t>
      </w:r>
    </w:p>
    <w:p>
      <w:pPr>
        <w:jc w:val="both"/>
      </w:pPr>
      <w:r>
        <w:rPr>
          <w:rFonts w:hAnsi="Arial"/>
          <w:rFonts w:ascii="Arial"/>
          <w:sz w:val="24"/>
          <w:color w:val="black"/>
        </w:rPr>
        <w:t xml:space="preserve">3. El Ministro de Justicia y del Derecho. </w:t>
      </w:r>
    </w:p>
    <w:p>
      <w:pPr>
        <w:jc w:val="both"/>
      </w:pPr>
      <w:r>
        <w:rPr>
          <w:rFonts w:hAnsi="Arial"/>
          <w:rFonts w:ascii="Arial"/>
          <w:sz w:val="24"/>
          <w:color w:val="black"/>
        </w:rPr>
        <w:t xml:space="preserve">4. El Ministro de Defensa Nacional. </w:t>
      </w:r>
    </w:p>
    <w:p>
      <w:pPr>
        <w:jc w:val="both"/>
      </w:pPr>
      <w:r>
        <w:rPr>
          <w:rFonts w:hAnsi="Arial"/>
          <w:rFonts w:ascii="Arial"/>
          <w:sz w:val="24"/>
          <w:color w:val="black"/>
        </w:rPr>
        <w:t xml:space="preserve">5. El Ministro de Salud y Protección Social. </w:t>
      </w:r>
    </w:p>
    <w:p>
      <w:pPr>
        <w:jc w:val="both"/>
      </w:pPr>
      <w:r>
        <w:rPr>
          <w:rFonts w:hAnsi="Arial"/>
          <w:rFonts w:ascii="Arial"/>
          <w:sz w:val="24"/>
          <w:color w:val="black"/>
        </w:rPr>
        <w:t xml:space="preserve">6. El Ministro de Educación Nacional. </w:t>
      </w:r>
    </w:p>
    <w:p>
      <w:pPr>
        <w:jc w:val="both"/>
      </w:pPr>
      <w:r>
        <w:rPr>
          <w:rFonts w:hAnsi="Arial"/>
          <w:rFonts w:ascii="Arial"/>
          <w:sz w:val="24"/>
          <w:color w:val="black"/>
        </w:rPr>
        <w:t xml:space="preserve">7. El Ministro de Ambiente y Desarrollo Sostenible. </w:t>
      </w:r>
    </w:p>
    <w:p>
      <w:pPr>
        <w:jc w:val="both"/>
      </w:pPr>
      <w:r>
        <w:rPr>
          <w:rFonts w:hAnsi="Arial"/>
          <w:rFonts w:ascii="Arial"/>
          <w:sz w:val="24"/>
          <w:color w:val="black"/>
        </w:rPr>
        <w:t xml:space="preserve">8. El Director del Departamento Nacional de Planeación. </w:t>
      </w:r>
    </w:p>
    <w:p>
      <w:pPr>
        <w:jc w:val="both"/>
      </w:pPr>
      <w:r>
        <w:rPr>
          <w:rFonts w:hAnsi="Arial"/>
          <w:rFonts w:ascii="Arial"/>
          <w:sz w:val="24"/>
          <w:color w:val="black"/>
        </w:rPr>
        <w:t xml:space="preserve">9. El Consejero Presidencial para la Reconciliación Nacional. </w:t>
      </w:r>
    </w:p>
    <w:p>
      <w:pPr>
        <w:jc w:val="both"/>
      </w:pPr>
      <w:r>
        <w:rPr>
          <w:rFonts w:hAnsi="Arial"/>
          <w:rFonts w:ascii="Arial"/>
          <w:sz w:val="24"/>
          <w:color w:val="black"/>
        </w:rPr>
        <w:t xml:space="preserve">10. El Director General del Instituto Colombiano de Bienestar Familiar. </w:t>
      </w:r>
    </w:p>
    <w:p>
      <w:pPr>
        <w:jc w:val="both"/>
      </w:pPr>
      <w:r>
        <w:rPr>
          <w:rFonts w:hAnsi="Arial"/>
          <w:rFonts w:ascii="Arial"/>
          <w:sz w:val="24"/>
          <w:color w:val="black"/>
        </w:rPr>
        <w:t xml:space="preserve">11. El Director General de la Policía Nacional.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el caso de los ministros. la representación en las sesiones del Consejo Nacional de Seguridad y Convivencia Ciudadana solo podrá ser delegada en los viceministros, y en el caso de los directores de Departamento Administrativo y demás entidades, en los subdirectores. </w:t>
      </w:r>
    </w:p>
    <w:p>
      <w:pPr>
        <w:jc w:val="both"/>
      </w:pPr>
      <w:rPr>
        <w:sz w:val="24"/>
        <w:color w:val="black"/>
      </w:rPr>
    </w:p>
    <w:p>
      <w:pPr>
        <w:jc w:val="both"/>
      </w:pPr>
      <w:r>
        <w:rPr>
          <w:rFonts w:hAnsi="Arial"/>
          <w:rFonts w:ascii="Arial"/>
          <w:sz w:val="24"/>
          <w:color w:val="black"/>
        </w:rPr>
        <w:t xml:space="preserve">El Presidente de la República podrá delegar su asistencia a la sesión del Consejo Nacional de Seguridad y Convivencia Ciudadana. El funcionario delegado, presidirá la sesión.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Fiscalía General de la Nación, la Procuraduría General de la Nación y el Defensor del Pueblo tendrán el carácter de invitados permanentes.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A las sesiones del Consejo Nacional de Seguridad y Convivencia Ciudadana podrán asistir, previa invitación de su presidente, otros ministros o directores de Departamento Administrativo. funcionarios del Estado, y demás personas que por su conocimiento y experiencia el Consejo Nacional de Seguridad y Convivencia Ciudadana considere pertinentes para el desarrollo de sus funciones, o asuntos a tratar. </w:t>
      </w:r>
    </w:p>
    <w:p>
      <w:pPr>
        <w:jc w:val="both"/>
      </w:pPr>
      <w:rPr>
        <w:sz w:val="24"/>
        <w:b/>
        <w:color w:val="black"/>
      </w:rPr>
    </w:p>
    <w:p>
      <w:pPr>
        <w:jc w:val="both"/>
      </w:pPr>
      <w:r>
        <w:rPr>
          <w:rFonts w:hAnsi="Arial"/>
          <w:rFonts w:ascii="Arial"/>
          <w:sz w:val="24"/>
          <w:color w:val="black"/>
        </w:rPr>
        <w:t xml:space="preserve">Los ministros y directores que sean invitados solo podrán delegar su asistencia en los viceministros o subdirectores, respectivamente. </w:t>
      </w:r>
    </w:p>
    <w:p>
      <w:pPr>
        <w:jc w:val="both"/>
      </w:pPr>
      <w:rPr>
        <w:sz w:val="24"/>
        <w:b/>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Los invitados a las sesiones del Consejo Nacional de Seguridad y Convivencia Ciudadana tendrán derecho a voz, pero no a voto.</w:t>
      </w:r>
    </w:p>
    <w:p>
      <w:pPr>
        <w:jc w:val="both"/>
        <w:keepNext/>
        <w:tabs>
          <w:tab w:val="left" w:leader="none" w:pos="8840"/>
        </w:tabs>
      </w:pPr>
      <w:rPr>
        <w:sz w:val="24"/>
        <w:color w:val="black"/>
      </w:rPr>
    </w:p>
    <w:p>
      <w:pPr>
        <w:jc w:val="both"/>
        <w:keepNext/>
        <w:tabs>
          <w:tab w:val="left" w:leader="none" w:pos="8840"/>
        </w:tabs>
      </w:pPr>
      <w:r>
        <w:rPr>
          <w:rFonts w:hAnsi="Arial"/>
          <w:rFonts w:ascii="Arial"/>
          <w:sz w:val="24"/>
          <w:b/>
          <w:vanish/>
          <w:color w:val="black"/>
        </w:rPr>
        <w:t>&amp;$</w:t>
      </w:r>
      <w:bookmarkStart w:id="60236" w:name="2.2.8.2.18"/>
      <w:r>
        <w:rPr>
          <w:rFonts w:hAnsi="Arial"/>
          <w:rFonts w:ascii="Arial"/>
          <w:sz w:val="24"/>
          <w:color w:val="navy"/>
        </w:rPr>
        <w:t xml:space="preserve">ARTÍCULO 2.2.8.2.18. FUNCIONES DEL CONSEJO NACIONAL DE SEGURIDAD Y CONVIVENCIA CIUDADANA.</w:t>
      </w:r>
      <w:bookmarkEnd w:id="602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Son funciones del Consejo, las siguientes: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 Actuar como cuerpo consultivo del Presidente de la República en materia de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2. Asesorar al Presidente de la República en situaciones específicas de alteración de la convivencia para la toma de decisiones en la formulación, implementación, evaluación y estrategias que pueda adoptar para el restablecimiento de la misma, dentro de la Política Marco de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3. Articular con las diferentes instituciones del Estado, el intercambio de información cualitativa y cuantitativa que permita un análisis y compresión integral de los problemas de convivencia y seguridad ciudadana en ejecución de la Política Marco de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4. Asesorar al Presidente de la República en relación con la estrategia de convivencia para garantizar la protección del agua, la biodiversidad y medio ambiente como interés nacional, principal y prevalente de Colombia.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5. Analizar y asesorar en los temas relacionados exclusivamente con la convivencia y seguridad ciudadana por afectación de organizaciones criminales y economías ilícitas.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6. Realizar, en el mes de enero de cada año, una audiencia pública de rendición de cuentas de la Implementación y ejecución de la Política Marco de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7. Evaluar, en conjunto con las instancias territoriales, de forma permanente en sus sesiones, los informes sobre posibles problemas en la ejecución de la Política, respecto a las autoridades político administrativas y en la prestación del servicio de Policía.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8. Proponer la creación y el desarrollo de un sistema nacional de convivencia y seguridad ciudadana, para articular y fortalecer las instancias de coordinación territorial y nacional.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9. Presentar propuestas para reconocer la mejor gestión territorial de las autoridades administrativas en los territorios. Para reconocimiento de esta gestión se creará un incentivo escrito por medio de una mención de honor o distinción al Mejor Alcalde y/o Gobernador, el cual será otorgado por la definición de un ranking de gestión en convivencia y seguridad ciudadana. El reconocimiento será creado y evaluando previa definición de metodología y requisitos por el Ministerio del Interior y presentada al Consejo Nacional Seguridad y Convivencia Ciudadana para que esta instancia defina y seleccione el ganador, con criterios técnicos.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10. Promover acciones coordinadas para la difusión e implementación del Código Nacional de Seguridad y Convivencia Ciudadana, orientadas a la prevención de comportamientos contrarios a la convivencia.</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11. Promover la prevención, la participación cívica y la cultura de la legalidad en la ciudadanía, en el marco de la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12. Realizar seguimiento y evaluación a la implementación de las líneas de política y acciones de la Política Marco de Convivencia y Seguridad Ciudadana.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13. Darse su propio reglamento. </w:t>
      </w:r>
    </w:p>
    <w:p>
      <w:pPr>
        <w:jc w:val="both"/>
        <w:keepNext/>
        <w:tabs>
          <w:tab w:val="left" w:leader="none" w:pos="8840"/>
        </w:tabs>
      </w:pPr>
      <w:rPr>
        <w:sz w:val="24"/>
        <w:b/>
        <w:color w:val="black"/>
      </w:rPr>
    </w:p>
    <w:p>
      <w:pPr>
        <w:jc w:val="both"/>
        <w:keepNext/>
        <w:tabs>
          <w:tab w:val="left" w:leader="none" w:pos="8840"/>
        </w:tabs>
      </w:pPr>
      <w:r>
        <w:rPr>
          <w:rFonts w:hAnsi="Arial"/>
          <w:rFonts w:ascii="Arial"/>
          <w:sz w:val="24"/>
          <w:color w:val="black"/>
        </w:rPr>
        <w:t xml:space="preserve">14. Las demás que el Presidente de la República determine y que guarden relación con la naturaleza y objeto del Consejo.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60237" w:name="2.2.8.2.19"/>
      <w:r>
        <w:rPr>
          <w:rFonts w:hAnsi="Arial"/>
          <w:rFonts w:ascii="Arial"/>
          <w:sz w:val="24"/>
          <w:color w:val="navy"/>
        </w:rPr>
        <w:t xml:space="preserve">ARTÍCULO 2.2.8.2.19. SESIONES DEL CONSEJO NACIONAL DE SEGURIDAD Y CONVIVENCIA CIUDADANA.</w:t>
      </w:r>
      <w:bookmarkEnd w:id="602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Consejo Nacional de Seguridad y Convivencia Ciudadana sesionará de manera ordinaria cada seis (6) meses, y de manera extraordinaria, cuando las circunstancias lo ameriten, previa convocatoria realizada por la Secretaría Técnica, a solicitud del Presidente de la República, o del Ministerio del Interior, del Ministerio de Defensa Nacional, y/o del Consejero Presidencial para la Seguridad Nacional.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60238" w:name="2.2.8.2.20"/>
      <w:r>
        <w:rPr>
          <w:rFonts w:hAnsi="Arial"/>
          <w:rFonts w:ascii="Arial"/>
          <w:sz w:val="24"/>
          <w:color w:val="navy"/>
        </w:rPr>
        <w:t xml:space="preserve">ARTÍCULO 2.2.8.2.20. SECRETARÍA TÉCNICA DEL CONSEJO NACIONAL DE SEGURIDAD Y CONVIVENCIA CIUDADANA.</w:t>
      </w:r>
      <w:bookmarkEnd w:id="602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La Secretaría Técnica del Consejo estará a cargo de los Ministerios de Interior y de Defensa Nacional. Contará con el soporte técnico de la Policía Nacional, a través de las dependencias competentes.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60239" w:name="2.2.8.2.21"/>
      <w:r>
        <w:rPr>
          <w:rFonts w:hAnsi="Arial"/>
          <w:rFonts w:ascii="Arial"/>
          <w:sz w:val="24"/>
          <w:color w:val="navy"/>
        </w:rPr>
        <w:t xml:space="preserve">ARTÍCULO 2.2.8.2.21. FUNCIONES DE LA SECRETARÍA TÉCNICA.</w:t>
      </w:r>
      <w:bookmarkEnd w:id="602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La Secretaría Técnica será la encargada de: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1. Convocar y preparar la agenda de las sesiones del Consejo.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2. Proponer al Consejo las líneas de política y temáticas.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3. Preparar los documentos necesarios para el funcionamiento del Consejo.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4. Realizar junto con el Departamento Nacional de Planeación, seguimiento, evaluación y control de las líneas de política, así como de las decisiones, medidas y compromisos que en el marco de las sesiones del Consejo se adopten, de lo que deberán presentar un informe semestral a esa instancia.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5. Coordinar la consecución de los insumos necesarios de la mesa técnica de apoyo.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6. Levantar, documentar y custodiar las actas de las sesiones del Consejo.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7. Las demás que le asigne el Presidente de la República o el Consejo. </w:t>
      </w:r>
    </w:p>
    <w:p>
      <w:pPr>
        <w:jc w:val="both"/>
        <w:tabs>
          <w:tab w:val="left" w:leader="none" w:pos="8840"/>
        </w:tabs>
      </w:pPr>
      <w:rPr>
        <w:color w:val="black"/>
      </w:rPr>
    </w:p>
    <w:p>
      <w:pPr>
        <w:jc w:val="both"/>
        <w:tabs>
          <w:tab w:val="left" w:leader="none" w:pos="8840"/>
        </w:tabs>
      </w:pPr>
      <w:r>
        <w:rPr>
          <w:rFonts w:hAnsi="Arial"/>
          <w:rFonts w:ascii="Arial"/>
          <w:sz w:val="24"/>
          <w:b/>
          <w:vanish/>
          <w:color w:val="black"/>
        </w:rPr>
        <w:t>&amp;$</w:t>
      </w:r>
      <w:bookmarkStart w:id="60240" w:name="2.2.8.2.22"/>
      <w:r>
        <w:rPr>
          <w:rFonts w:hAnsi="Arial"/>
          <w:rFonts w:ascii="Arial"/>
          <w:sz w:val="24"/>
          <w:color w:val="navy"/>
        </w:rPr>
        <w:t xml:space="preserve">ARTÍCULO 2.2.8.2.22. MESA TÉCNICA DE APOYO.</w:t>
      </w:r>
      <w:bookmarkEnd w:id="602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Créase la Mesa Técnica de Apoyo como una instancia del Consejo Nacional de Seguridad y Convivencia Ciudadana, que se encargará de hacer recomendaciones técnicas, en el marco de la ejecución de la Política, así como de apoyar a este cuerpo con estudios, e informes que se le soliciten a través de la secretaría del mismo. </w:t>
      </w:r>
    </w:p>
    <w:p>
      <w:pPr>
        <w:jc w:val="both"/>
        <w:tabs>
          <w:tab w:val="left" w:leader="none" w:pos="8840"/>
        </w:tabs>
      </w:pPr>
      <w:rPr>
        <w:sz w:val="24"/>
        <w:b/>
        <w:color w:val="black"/>
      </w:rPr>
    </w:p>
    <w:p>
      <w:pPr>
        <w:jc w:val="both"/>
        <w:tabs>
          <w:tab w:val="left" w:leader="none" w:pos="8840"/>
        </w:tabs>
      </w:pPr>
      <w:r>
        <w:rPr>
          <w:rFonts w:hAnsi="Arial"/>
          <w:rFonts w:ascii="Arial"/>
          <w:sz w:val="24"/>
          <w:color w:val="black"/>
        </w:rPr>
        <w:t xml:space="preserve">La Mesa Técnica con un carácter interdisciplinario, prestará apoyo permanente al Consejo Nacional de Seguridad y Convivencia Ciudadana, y estará integrada por un gobernador delegado por la Federación Nacional de Departamentos; un alcalde delegado por la Asociación de Ciudades Capitales; un alcalde delegado por la Federación Colombiana de Municipios. </w:t>
      </w:r>
    </w:p>
    <w:p>
      <w:pPr>
        <w:jc w:val="both"/>
        <w:tabs>
          <w:tab w:val="left" w:leader="none" w:pos="8840"/>
        </w:tabs>
      </w:pPr>
      <w:rPr>
        <w:sz w:val="24"/>
        <w:b/>
        <w:color w:val="black"/>
      </w:rPr>
    </w:p>
    <w:p>
      <w:pPr>
        <w:jc w:val="both"/>
        <w:tabs>
          <w:tab w:val="left" w:leader="none" w:pos="8840"/>
        </w:tabs>
      </w:pPr>
      <w:r>
        <w:rPr>
          <w:rFonts w:hAnsi="Arial"/>
          <w:rFonts w:ascii="Arial"/>
          <w:sz w:val="24"/>
          <w:color w:val="navy"/>
        </w:rPr>
        <w:t>PARÁGRAFO.</w:t>
      </w:r>
      <w:r>
        <w:rPr>
          <w:rFonts w:hAnsi="Arial"/>
          <w:rFonts w:ascii="Arial"/>
          <w:sz w:val="24"/>
          <w:color w:val="black"/>
        </w:rPr>
        <w:t xml:space="preserve"> Las funciones, sesiones y actividades a realizar, serán dispuestas en el reglamento del Consejo Nacional de Seguridad y Convivencia Ciudadana. </w:t>
      </w:r>
    </w:p>
    <w:p>
      <w:pPr>
        <w:jc w:val="both"/>
        <w:tabs>
          <w:tab w:val="left" w:leader="none" w:pos="8840"/>
        </w:tabs>
      </w:pPr>
      <w:rPr>
        <w:color w:val="black"/>
      </w:rPr>
    </w:p>
    <w:p>
      <w:pPr>
        <w:jc w:val="both"/>
      </w:pPr>
      <w:r>
        <w:rPr>
          <w:rFonts w:hAnsi="Arial"/>
          <w:rFonts w:ascii="Arial"/>
          <w:sz w:val="24"/>
          <w:b/>
          <w:vanish/>
          <w:color w:val="black"/>
        </w:rPr>
        <w:t>&amp;$</w:t>
      </w:r>
      <w:bookmarkStart w:id="60241" w:name="2.2.8.2.23"/>
      <w:r>
        <w:rPr>
          <w:rFonts w:hAnsi="Arial"/>
          <w:rFonts w:ascii="Arial"/>
          <w:sz w:val="24"/>
          <w:color w:val="navy"/>
        </w:rPr>
        <w:t xml:space="preserve">ARTÍCULO 2.2.8.2.23. ÁMBITOS DE COORDINACIÓN Y COMPLEMENTARIEDAD.</w:t>
      </w:r>
      <w:bookmarkEnd w:id="602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647 de 2021. El nuevo texto es el siguiente:&gt; El Consejo Nacional de Seguridad y Convivencia Ciudadana actuará de forma coordinada y complementaria con las demás instancias, consejos y comités relacionados con el desarrollo de la Política Marco de Convivencia y Seguridad Ciudadana. </w:t>
      </w:r>
    </w:p>
    <w:p>
      <w:pPr>
        <w:jc w:val="center"/>
      </w:pPr>
      <w:rPr>
        <w:sz w:val="24"/>
        <w:b/>
        <w:color w:val="black"/>
      </w:rPr>
    </w:p>
    <w:p>
      <w:pPr>
        <w:jc w:val="center"/>
      </w:pPr>
      <w:r>
        <w:rPr>
          <w:rFonts w:hAnsi="Arial"/>
          <w:rFonts w:ascii="Arial"/>
          <w:sz w:val="24"/>
          <w:b/>
          <w:vanish/>
          <w:color w:val="black"/>
        </w:rPr>
        <w:t>&amp;$</w:t>
      </w:r>
      <w:bookmarkStart w:id="60242" w:name="CAPÍTULO III.8.2.2"/>
      <w:r>
        <w:rPr>
          <w:rFonts w:hAnsi="Arial"/>
          <w:rFonts w:ascii="Arial"/>
          <w:sz w:val="24"/>
          <w:color w:val="navy"/>
        </w:rPr>
        <w:t xml:space="preserve">CAPÍTULO III. </w:t>
      </w:r>
    </w:p>
    <w:p>
      <w:pPr>
        <w:jc w:val="center"/>
      </w:pPr>
      <w:r>
        <w:rPr>
          <w:rFonts w:hAnsi="Arial"/>
          <w:rFonts w:ascii="Arial"/>
          <w:sz w:val="24"/>
          <w:color w:val="navy"/>
        </w:rPr>
        <w:t xml:space="preserve">REGISTRO NACIONAL DE MEDIDAS CORRECTIVAS.</w:t>
      </w:r>
      <w:bookmarkEnd w:id="60242"/>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43" w:name="2.2.8.3.1"/>
      <w:r>
        <w:rPr>
          <w:rFonts w:hAnsi="Arial"/>
          <w:rFonts w:ascii="Arial"/>
          <w:sz w:val="24"/>
          <w:color w:val="navy"/>
        </w:rPr>
        <w:t xml:space="preserve">ARTÍCULO 2.2.8.3.1. </w:t>
      </w:r>
      <w:r>
        <w:rPr>
          <w:rFonts w:hAnsi="Arial"/>
          <w:rFonts w:ascii="Arial"/>
          <w:sz w:val="24"/>
          <w:i/>
          <w:color w:val="navy"/>
        </w:rPr>
        <w:t xml:space="preserve">REGISTRO NACIONAL DE MEDIDAS CORRECTIVAS</w:t>
      </w:r>
      <w:r>
        <w:rPr>
          <w:rFonts w:hAnsi="Arial"/>
          <w:rFonts w:ascii="Arial"/>
          <w:sz w:val="24"/>
          <w:color w:val="navy"/>
        </w:rPr>
        <w:t>.</w:t>
      </w:r>
      <w:bookmarkEnd w:id="60243"/>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Registro Nacional de Medidas Correctivas. Entiéndase por Registro Nacional de Medidas Correctivas, el sistema a cargo de la Policía Nacional, que contiene los datos concernientes a la identificación de la persona infractora de un comportamiento contrario a la convivencia, el tipo de medida correctiva, el estado de pago de la multa o cumplimiento de la medida correctiva, cuya información detallada y georreferenciada de forma cualitativa y cuantitativa en tiempo real, permite el diseño de políticas públicas para la prevención, conservación, fortalecimiento y restablecimiento de la convivencia y seguridad.</w:t>
      </w:r>
    </w:p>
    <w:p>
      <w:pPr>
        <w:jc w:val="both"/>
      </w:pPr>
      <w:rPr>
        <w:sz w:val="24"/>
        <w:color w:val="black"/>
      </w:rPr>
    </w:p>
    <w:p>
      <w:pPr>
        <w:jc w:val="both"/>
      </w:pPr>
      <w:r>
        <w:rPr>
          <w:rFonts w:hAnsi="Arial"/>
          <w:rFonts w:ascii="Arial"/>
          <w:sz w:val="24"/>
          <w:color w:val="black"/>
        </w:rPr>
        <w:t xml:space="preserve">Corresponde a las autoridades departamentales, distritales y municipales inscribir en el Registro Nacional de Medidas Correctivas, aquellas aplicadas a las personas naturales y jurídicas, dentro de las veinticuatro (24) horas siguientes a su imposición o del comparendo según sea el caso, así como los respectivos cumplimientos.</w:t>
      </w:r>
    </w:p>
    <w:p>
      <w:pPr>
        <w:jc w:val="both"/>
      </w:pPr>
      <w:rPr>
        <w:sz w:val="24"/>
        <w:color w:val="black"/>
      </w:rPr>
    </w:p>
    <w:p>
      <w:pPr>
        <w:jc w:val="both"/>
      </w:pPr>
      <w:r>
        <w:rPr>
          <w:rFonts w:hAnsi="Arial"/>
          <w:rFonts w:ascii="Arial"/>
          <w:sz w:val="24"/>
          <w:color w:val="black"/>
        </w:rPr>
        <w:t xml:space="preserve">Este registro deberá permitir la interoperabilidad automática con las bases de datos de las autoridades responsables de verificar el estado del trámite, para efectos de la revisión e identificación de las personas que se encuentren en las condiciones de mora en el pago de las multas o cumplimiento de la medida correctiva, para lo cual se hará uso de los certificados expedidos por el sistema de conformidad con el manual y reglamento de que trata el artículo </w:t>
      </w:r>
      <w:r>
        <w:fldChar w:fldCharType="begin"/>
      </w:r>
      <w:r>
        <w:instrText>HYPERLINK "http://www.redjurista.com/document.aspx?ajcode=d1070015&amp;arts=2.2.8.3.2"</w:instrText>
      </w:r>
      <w:r>
        <w:fldChar w:fldCharType="separate"/>
      </w:r>
      <w:r>
        <w:rPr>
          <w:rFonts w:hAnsi="Arial"/>
          <w:rFonts w:ascii="Arial"/>
          <w:sz w:val="24"/>
          <w:u w:val="single"/>
          <w:color w:val="black"/>
        </w:rPr>
        <w:t>2.2.8.3.2</w:t>
      </w:r>
      <w:r>
        <w:fldChar w:fldCharType="end"/>
      </w:r>
      <w:r>
        <w:rPr>
          <w:rFonts w:hAnsi="Arial"/>
          <w:rFonts w:ascii="Arial"/>
          <w:sz w:val="24"/>
          <w:u w:val="none"/>
          <w:color w:val="black"/>
        </w:rPr>
        <w:t xml:space="preserve"> del presente capítulo, donde se especifique la fecha y hora de la consulta.</w:t>
      </w:r>
    </w:p>
    <w:p>
      <w:pPr>
        <w:jc w:val="both"/>
      </w:pPr>
      <w:rPr>
        <w:sz w:val="24"/>
        <w:color w:val="black"/>
      </w:rPr>
    </w:p>
    <w:p>
      <w:pPr>
        <w:jc w:val="both"/>
      </w:pPr>
      <w:r>
        <w:rPr>
          <w:rFonts w:hAnsi="Arial"/>
          <w:rFonts w:ascii="Arial"/>
          <w:sz w:val="24"/>
          <w:color w:val="black"/>
        </w:rPr>
        <w:t xml:space="preserve">La Policía Nacional podrá contratar la creación, manejo, operatividad, actualización, control, y sistemas de seguridad informática, física y conectividad del Registro Nacional de Medidas Correctivas. En todo caso, la Policía Nacional tendrá los derechos sobre el diseño, manejo, datos, software, licencias y demás aspectos técnicos y tecnológicos que permitan el funcionamiento del Registro Nacional de Medidas Correctivas.</w:t>
      </w:r>
    </w:p>
    <w:p>
      <w:pPr>
        <w:jc w:val="both"/>
      </w:pPr>
      <w:rPr>
        <w:sz w:val="24"/>
        <w:color w:val="black"/>
      </w:rPr>
    </w:p>
    <w:p>
      <w:pPr>
        <w:jc w:val="both"/>
      </w:pPr>
      <w:r>
        <w:rPr>
          <w:rFonts w:hAnsi="Arial"/>
          <w:rFonts w:ascii="Arial"/>
          <w:sz w:val="24"/>
          <w:color w:val="black"/>
        </w:rPr>
        <w:t xml:space="preserve">La entidad pública o privada, encargada del Registro Nacional de Medidas Correctivas, será responsable por la creación y administración, adquisición de licencias y su actualización, operatividad, actualización del sistema y del sistema operativo, control de los sistemas de seguridad informática y física, la conectividad y actualización del cumplimiento de las medidas correctivas, lo cual implica alimentar el sistema en tiempo real.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departamentos, distritos y municipios deberán implementar los medios tecnológicos requeridos para la conexión con el sistema, de conformidad con las especificaciones técnicas señaladas por la Policía Nacional, para asegurar y garantizar el adecuado funcionamiento y actualización en tiempo real.</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 lo establecido en el artículo </w:t>
      </w:r>
      <w:r>
        <w:fldChar w:fldCharType="begin"/>
      </w:r>
      <w:r>
        <w:instrText>HYPERLINK "http://www.redjurista.com/document.aspx?ajcode=l1801016&amp;arts=183"</w:instrText>
      </w:r>
      <w:r>
        <w:fldChar w:fldCharType="separate"/>
      </w:r>
      <w:r>
        <w:rPr>
          <w:rFonts w:hAnsi="Arial"/>
          <w:rFonts w:ascii="Arial"/>
          <w:sz w:val="24"/>
          <w:u w:val="single"/>
          <w:color w:val="black"/>
        </w:rPr>
        <w:t>183</w:t>
      </w:r>
      <w:r>
        <w:fldChar w:fldCharType="end"/>
      </w:r>
      <w:r>
        <w:rPr>
          <w:rFonts w:hAnsi="Arial"/>
          <w:rFonts w:ascii="Arial"/>
          <w:sz w:val="24"/>
          <w:u w:val="none"/>
          <w:color w:val="black"/>
        </w:rPr>
        <w:t xml:space="preserve"> de la Ley 1801 de 2016, el interesado deberá estar al día en los pagos de las multas del Código de Policía y Convivencia, lo cual se podrá verificar a través del sistema Registro Nacional de Medidas Correctivas o cualquier otro medio que demuestre el pago.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municipios que no cuenten con infraestructura tecnológica que permita la interconectividad con otros sistemas de gestión para el seguimiento, actualización y recaudo, deberán registrar y actualizar la información relacionada con la aplicación y cumplimiento de las medidas correctivas a través del sistema Registro Nacional de Medidas Correctivas (RNMC), publicado por la Policía Nacional.</w:t>
      </w:r>
    </w:p>
    <w:p>
      <w:pPr>
        <w:jc w:val="center"/>
      </w:pPr>
      <w:rPr>
        <w:color w:val="black"/>
      </w:rPr>
    </w:p>
    <w:p>
      <w:pPr>
        <w:jc w:val="both"/>
      </w:pPr>
      <w:r>
        <w:rPr>
          <w:rFonts w:hAnsi="Arial"/>
          <w:rFonts w:ascii="Arial"/>
          <w:sz w:val="24"/>
          <w:b/>
          <w:vanish/>
          <w:color w:val="black"/>
        </w:rPr>
        <w:t>&amp;$</w:t>
      </w:r>
      <w:bookmarkStart w:id="60244" w:name="2.2.8.3.2"/>
      <w:r>
        <w:rPr>
          <w:rFonts w:hAnsi="Arial"/>
          <w:rFonts w:ascii="Arial"/>
          <w:sz w:val="24"/>
          <w:color w:val="navy"/>
        </w:rPr>
        <w:t xml:space="preserve">ARTÍCULO 2.2.8.3.2. </w:t>
      </w:r>
      <w:r>
        <w:rPr>
          <w:rFonts w:hAnsi="Arial"/>
          <w:rFonts w:ascii="Arial"/>
          <w:sz w:val="24"/>
          <w:i/>
          <w:color w:val="navy"/>
        </w:rPr>
        <w:t xml:space="preserve">MANUAL Y REGLAMENTO DEL REGISTRO NACIONAL DE MEDIDAS CORRECTIVAS</w:t>
      </w:r>
      <w:r>
        <w:rPr>
          <w:rFonts w:hAnsi="Arial"/>
          <w:rFonts w:ascii="Arial"/>
          <w:sz w:val="24"/>
          <w:color w:val="navy"/>
        </w:rPr>
        <w:t>.</w:t>
      </w:r>
      <w:bookmarkEnd w:id="60244"/>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 Policía Nacional como responsable del Registro Nacional de Medidas Correctivas, en coordinación con la entidad pública o privada contratada para el manejo, operatividad, actualización, control, conectividad, sistematización y seguridad informática del mencionado Registro, deberá expedir, al momento de poner en funcionamiento el sistema, un manual con las guías, protocolos y reglamento de funcionamiento del mismo.</w:t>
      </w:r>
    </w:p>
    <w:p>
      <w:pPr>
        <w:jc w:val="center"/>
      </w:pPr>
      <w:rPr>
        <w:color w:val="black"/>
      </w:rPr>
    </w:p>
    <w:p>
      <w:pPr>
        <w:jc w:val="both"/>
      </w:pPr>
      <w:r>
        <w:rPr>
          <w:rFonts w:hAnsi="Arial"/>
          <w:rFonts w:ascii="Arial"/>
          <w:sz w:val="24"/>
          <w:b/>
          <w:vanish/>
          <w:color w:val="black"/>
        </w:rPr>
        <w:t>&amp;$</w:t>
      </w:r>
      <w:bookmarkStart w:id="60245" w:name="2.2.8.3.3"/>
      <w:r>
        <w:rPr>
          <w:rFonts w:hAnsi="Arial"/>
          <w:rFonts w:ascii="Arial"/>
          <w:sz w:val="24"/>
          <w:color w:val="navy"/>
        </w:rPr>
        <w:t xml:space="preserve">ARTÍCULO 2.2.8.3.3. </w:t>
      </w:r>
      <w:r>
        <w:rPr>
          <w:rFonts w:hAnsi="Arial"/>
          <w:rFonts w:ascii="Arial"/>
          <w:sz w:val="24"/>
          <w:i/>
          <w:color w:val="navy"/>
        </w:rPr>
        <w:t xml:space="preserve">PERMANENCIA DEL REGISTRO</w:t>
      </w:r>
      <w:r>
        <w:rPr>
          <w:rFonts w:hAnsi="Arial"/>
          <w:rFonts w:ascii="Arial"/>
          <w:sz w:val="24"/>
          <w:color w:val="navy"/>
        </w:rPr>
        <w:t>.</w:t>
      </w:r>
      <w:bookmarkEnd w:id="60245"/>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Únicamente podrá observarse por parte del interesado, la información del Registro que reporta la medida correctiva impuesta que se encuentre en firme. El reporte de la medida correctiva impuesta, permanecerá para la consulta por parte de las autoridades de policía y entidades del Estado, por un lapso de un (1) año, después de su cumplimiento, tiempo durante el cual se verificará la reincidencia con las correspondientes consecuencias contempladas en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w:t>
      </w:r>
    </w:p>
    <w:p>
      <w:pPr>
        <w:jc w:val="both"/>
      </w:pPr>
      <w:rPr>
        <w:sz w:val="24"/>
        <w:color w:val="black"/>
      </w:rPr>
    </w:p>
    <w:p>
      <w:pPr>
        <w:jc w:val="both"/>
      </w:pPr>
      <w:r>
        <w:rPr>
          <w:rFonts w:hAnsi="Arial"/>
          <w:rFonts w:ascii="Arial"/>
          <w:sz w:val="24"/>
          <w:color w:val="black"/>
        </w:rPr>
        <w:t xml:space="preserve">Es deber de la autoridad de policía que impuso la medida correctiva, o quien la hizo cumplir, actualizar el Registro Nacional de Medidas Correctivas, al momento de la imposición de la misma, y la constatación de su cumplimiento.</w:t>
      </w:r>
    </w:p>
    <w:p>
      <w:pPr>
        <w:jc w:val="center"/>
      </w:pPr>
      <w:rPr>
        <w:color w:val="black"/>
      </w:rPr>
    </w:p>
    <w:p>
      <w:pPr>
        <w:jc w:val="both"/>
      </w:pPr>
      <w:r>
        <w:rPr>
          <w:rFonts w:hAnsi="Arial"/>
          <w:rFonts w:ascii="Arial"/>
          <w:sz w:val="24"/>
          <w:b/>
          <w:vanish/>
          <w:color w:val="black"/>
        </w:rPr>
        <w:t>&amp;$</w:t>
      </w:r>
      <w:bookmarkStart w:id="60246" w:name="2.2.8.3.4"/>
      <w:r>
        <w:rPr>
          <w:rFonts w:hAnsi="Arial"/>
          <w:rFonts w:ascii="Arial"/>
          <w:sz w:val="24"/>
          <w:color w:val="navy"/>
        </w:rPr>
        <w:t xml:space="preserve">ARTÍCULO 2.2.8.3.4. </w:t>
      </w:r>
      <w:r>
        <w:rPr>
          <w:rFonts w:hAnsi="Arial"/>
          <w:rFonts w:ascii="Arial"/>
          <w:sz w:val="24"/>
          <w:i/>
          <w:color w:val="navy"/>
        </w:rPr>
        <w:t xml:space="preserve">DISEÑO, AJUSTE, IMPRESIÓN Y DOTACIÓN PARA LA ORDEN DE COMPARENDO</w:t>
      </w:r>
      <w:r>
        <w:rPr>
          <w:rFonts w:hAnsi="Arial"/>
          <w:rFonts w:ascii="Arial"/>
          <w:sz w:val="24"/>
          <w:color w:val="navy"/>
        </w:rPr>
        <w:t>.</w:t>
      </w:r>
      <w:bookmarkEnd w:id="60246"/>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 Policía Nacional diseñará y ajustará los formatos requeridos para documentar la orden de comparendo de acuerdo con la reglamentación que para el efecto expida.</w:t>
      </w:r>
    </w:p>
    <w:p>
      <w:pPr>
        <w:jc w:val="both"/>
      </w:pPr>
      <w:rPr>
        <w:sz w:val="24"/>
        <w:color w:val="black"/>
      </w:rPr>
    </w:p>
    <w:p>
      <w:pPr>
        <w:jc w:val="both"/>
      </w:pPr>
      <w:r>
        <w:rPr>
          <w:rFonts w:hAnsi="Arial"/>
          <w:rFonts w:ascii="Arial"/>
          <w:sz w:val="24"/>
          <w:color w:val="black"/>
        </w:rPr>
        <w:t xml:space="preserve">Las administraciones distritales o municipales imprimirán y dotarán al personal uniformado de la Policía Nacional con los formatos y medios tecnológicos requeridos para la expedición e inserción de la orden de comparendo en el Registro Nacional de Medidas Correctivas.</w:t>
      </w:r>
    </w:p>
    <w:p>
      <w:pPr>
        <w:jc w:val="center"/>
      </w:pPr>
      <w:rPr>
        <w:sz w:val="24"/>
        <w:b/>
        <w:color w:val="black"/>
      </w:rPr>
    </w:p>
    <w:p>
      <w:pPr>
        <w:jc w:val="center"/>
      </w:pPr>
      <w:r>
        <w:rPr>
          <w:rFonts w:hAnsi="Arial"/>
          <w:rFonts w:ascii="Arial"/>
          <w:sz w:val="24"/>
          <w:b/>
          <w:vanish/>
          <w:color w:val="black"/>
        </w:rPr>
        <w:t>&amp;$</w:t>
      </w:r>
      <w:bookmarkStart w:id="60247" w:name="CAPÍTULO IV.8.2.2"/>
      <w:r>
        <w:rPr>
          <w:rFonts w:hAnsi="Arial"/>
          <w:rFonts w:ascii="Arial"/>
          <w:sz w:val="24"/>
          <w:color w:val="navy"/>
        </w:rPr>
        <w:t xml:space="preserve">CAPÍTULO IV. </w:t>
      </w:r>
    </w:p>
    <w:p>
      <w:pPr>
        <w:jc w:val="center"/>
      </w:pPr>
      <w:r>
        <w:rPr>
          <w:rFonts w:hAnsi="Arial"/>
          <w:rFonts w:ascii="Arial"/>
          <w:sz w:val="24"/>
          <w:color w:val="navy"/>
        </w:rPr>
        <w:t xml:space="preserve">DISPOSICIONES SOBRE LA ADMINISTRACIÓN PARA EL COBRO Y RECAUDO DE DINEROS POR CONCEPTO DE MULTAS.</w:t>
      </w:r>
      <w:bookmarkEnd w:id="60247"/>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48" w:name="2.2.8.4.1"/>
      <w:r>
        <w:rPr>
          <w:rFonts w:hAnsi="Arial"/>
          <w:rFonts w:ascii="Arial"/>
          <w:sz w:val="24"/>
          <w:color w:val="navy"/>
        </w:rPr>
        <w:t xml:space="preserve">ARTÍCULO 2.2.8.4.1. </w:t>
      </w:r>
      <w:r>
        <w:rPr>
          <w:rFonts w:hAnsi="Arial"/>
          <w:rFonts w:ascii="Arial"/>
          <w:sz w:val="24"/>
          <w:i/>
          <w:color w:val="navy"/>
        </w:rPr>
        <w:t xml:space="preserve">RECAUDO Y ADMINISTRACIÓN DEL DINERO POR CONCEPTO DE MULTAS</w:t>
      </w:r>
      <w:r>
        <w:rPr>
          <w:rFonts w:hAnsi="Arial"/>
          <w:rFonts w:ascii="Arial"/>
          <w:sz w:val="24"/>
          <w:color w:val="navy"/>
        </w:rPr>
        <w:t>.</w:t>
      </w:r>
      <w:bookmarkEnd w:id="60248"/>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Los recursos provenientes de las multas del Código Nacional de Policía y Convivencia ingresarán al Fondo Territorial de Seguridad y Convivencia Ciudadana (Fonset), en cuenta independiente dispuesta por las administraciones distritales y municipales, distinta de aquella a la que ingresan los recursos a que se refiere la Ley </w:t>
      </w:r>
      <w:r>
        <w:fldChar w:fldCharType="begin"/>
      </w:r>
      <w:r>
        <w:instrText>HYPERLINK "http://www.redjurista.com/document.aspx?ajcode=l0418_97&amp;arts=INICIO"</w:instrText>
      </w:r>
      <w:r>
        <w:fldChar w:fldCharType="separate"/>
      </w:r>
      <w:r>
        <w:rPr>
          <w:rFonts w:hAnsi="Arial"/>
          <w:rFonts w:ascii="Arial"/>
          <w:sz w:val="24"/>
          <w:u w:val="single"/>
          <w:color w:val="black"/>
        </w:rPr>
        <w:t>418</w:t>
      </w:r>
      <w:r>
        <w:fldChar w:fldCharType="end"/>
      </w:r>
      <w:r>
        <w:rPr>
          <w:rFonts w:hAnsi="Arial"/>
          <w:rFonts w:ascii="Arial"/>
          <w:sz w:val="24"/>
          <w:u w:val="none"/>
          <w:color w:val="black"/>
        </w:rPr>
        <w:t xml:space="preserve"> de 1997, modificada y prorrogada por las Leyes </w:t>
      </w:r>
      <w:r>
        <w:fldChar w:fldCharType="begin"/>
      </w:r>
      <w:r>
        <w:instrText>HYPERLINK "http://www.redjurista.com/document.aspx?ajcode=l0548_99&amp;arts=INICIO"</w:instrText>
      </w:r>
      <w:r>
        <w:fldChar w:fldCharType="separate"/>
      </w:r>
      <w:r>
        <w:rPr>
          <w:rFonts w:hAnsi="Arial"/>
          <w:rFonts w:ascii="Arial"/>
          <w:sz w:val="24"/>
          <w:u w:val="single"/>
          <w:color w:val="black"/>
        </w:rPr>
        <w:t>548</w:t>
      </w:r>
      <w:r>
        <w:fldChar w:fldCharType="end"/>
      </w:r>
      <w:r>
        <w:rPr>
          <w:rFonts w:hAnsi="Arial"/>
          <w:rFonts w:ascii="Arial"/>
          <w:sz w:val="24"/>
          <w:u w:val="none"/>
          <w:color w:val="black"/>
        </w:rPr>
        <w:t xml:space="preserve"> de 1999, </w:t>
      </w:r>
      <w:r>
        <w:fldChar w:fldCharType="begin"/>
      </w:r>
      <w:r>
        <w:instrText>HYPERLINK "http://www.redjurista.com/document.aspx?ajcode=l0782002&amp;arts=INICIO"</w:instrText>
      </w:r>
      <w:r>
        <w:fldChar w:fldCharType="separate"/>
      </w:r>
      <w:r>
        <w:rPr>
          <w:rFonts w:hAnsi="Arial"/>
          <w:rFonts w:ascii="Arial"/>
          <w:sz w:val="24"/>
          <w:u w:val="single"/>
          <w:color w:val="black"/>
        </w:rPr>
        <w:t>782</w:t>
      </w:r>
      <w:r>
        <w:fldChar w:fldCharType="end"/>
      </w:r>
      <w:r>
        <w:rPr>
          <w:rFonts w:hAnsi="Arial"/>
          <w:rFonts w:ascii="Arial"/>
          <w:sz w:val="24"/>
          <w:u w:val="none"/>
          <w:color w:val="black"/>
        </w:rPr>
        <w:t xml:space="preserve"> de 2002, </w:t>
      </w:r>
      <w:r>
        <w:fldChar w:fldCharType="begin"/>
      </w:r>
      <w:r>
        <w:instrText>HYPERLINK "http://www.redjurista.com/document.aspx?ajcode=l1106006&amp;arts=INICIO"</w:instrText>
      </w:r>
      <w:r>
        <w:fldChar w:fldCharType="separate"/>
      </w:r>
      <w:r>
        <w:rPr>
          <w:rFonts w:hAnsi="Arial"/>
          <w:rFonts w:ascii="Arial"/>
          <w:sz w:val="24"/>
          <w:u w:val="single"/>
          <w:color w:val="black"/>
        </w:rPr>
        <w:t>1106</w:t>
      </w:r>
      <w:r>
        <w:fldChar w:fldCharType="end"/>
      </w:r>
      <w:r>
        <w:rPr>
          <w:rFonts w:hAnsi="Arial"/>
          <w:rFonts w:ascii="Arial"/>
          <w:sz w:val="24"/>
          <w:u w:val="none"/>
          <w:color w:val="black"/>
        </w:rPr>
        <w:t xml:space="preserve"> de 2006, </w:t>
      </w:r>
      <w:r>
        <w:fldChar w:fldCharType="begin"/>
      </w:r>
      <w:r>
        <w:instrText>HYPERLINK "http://www.redjurista.com/document.aspx?ajcode=l1421010&amp;arts=INICIO"</w:instrText>
      </w:r>
      <w:r>
        <w:fldChar w:fldCharType="separate"/>
      </w:r>
      <w:r>
        <w:rPr>
          <w:rFonts w:hAnsi="Arial"/>
          <w:rFonts w:ascii="Arial"/>
          <w:sz w:val="24"/>
          <w:u w:val="single"/>
          <w:color w:val="black"/>
        </w:rPr>
        <w:t>1421</w:t>
      </w:r>
      <w:r>
        <w:fldChar w:fldCharType="end"/>
      </w:r>
      <w:r>
        <w:rPr>
          <w:rFonts w:hAnsi="Arial"/>
          <w:rFonts w:ascii="Arial"/>
          <w:sz w:val="24"/>
          <w:u w:val="none"/>
          <w:color w:val="black"/>
        </w:rPr>
        <w:t xml:space="preserve"> y </w:t>
      </w:r>
      <w:r>
        <w:fldChar w:fldCharType="begin"/>
      </w:r>
      <w:r>
        <w:instrText>HYPERLINK "http://www.redjurista.com/document.aspx?ajcode=l1430010&amp;arts=INICIO"</w:instrText>
      </w:r>
      <w:r>
        <w:fldChar w:fldCharType="separate"/>
      </w:r>
      <w:r>
        <w:rPr>
          <w:rFonts w:hAnsi="Arial"/>
          <w:rFonts w:ascii="Arial"/>
          <w:sz w:val="24"/>
          <w:u w:val="single"/>
          <w:color w:val="black"/>
        </w:rPr>
        <w:t>1430</w:t>
      </w:r>
      <w:r>
        <w:fldChar w:fldCharType="end"/>
      </w:r>
      <w:r>
        <w:rPr>
          <w:rFonts w:hAnsi="Arial"/>
          <w:rFonts w:ascii="Arial"/>
          <w:sz w:val="24"/>
          <w:u w:val="none"/>
          <w:color w:val="black"/>
        </w:rPr>
        <w:t xml:space="preserve"> de 2010 y </w:t>
      </w:r>
      <w:r>
        <w:fldChar w:fldCharType="begin"/>
      </w:r>
      <w:r>
        <w:instrText>HYPERLINK "http://www.redjurista.com/document.aspx?ajcode=l1738014&amp;arts=INICIO"</w:instrText>
      </w:r>
      <w:r>
        <w:fldChar w:fldCharType="separate"/>
      </w:r>
      <w:r>
        <w:rPr>
          <w:rFonts w:hAnsi="Arial"/>
          <w:rFonts w:ascii="Arial"/>
          <w:sz w:val="24"/>
          <w:u w:val="single"/>
          <w:color w:val="black"/>
        </w:rPr>
        <w:t>1738</w:t>
      </w:r>
      <w:r>
        <w:fldChar w:fldCharType="end"/>
      </w:r>
      <w:r>
        <w:rPr>
          <w:rFonts w:hAnsi="Arial"/>
          <w:rFonts w:ascii="Arial"/>
          <w:sz w:val="24"/>
          <w:u w:val="none"/>
          <w:color w:val="black"/>
        </w:rPr>
        <w:t xml:space="preserve"> de 2014.</w:t>
      </w:r>
    </w:p>
    <w:p>
      <w:pPr>
        <w:jc w:val="both"/>
      </w:pPr>
      <w:rPr>
        <w:sz w:val="24"/>
        <w:color w:val="black"/>
      </w:rPr>
    </w:p>
    <w:p>
      <w:pPr>
        <w:jc w:val="both"/>
      </w:pPr>
      <w:r>
        <w:rPr>
          <w:rFonts w:hAnsi="Arial"/>
          <w:rFonts w:ascii="Arial"/>
          <w:sz w:val="24"/>
          <w:color w:val="black"/>
        </w:rPr>
        <w:t xml:space="preserve">En cumplimiento del parágrafo del artículo </w:t>
      </w:r>
      <w:r>
        <w:fldChar w:fldCharType="begin"/>
      </w:r>
      <w:r>
        <w:instrText>HYPERLINK "http://www.redjurista.com/document.aspx?ajcode=l1801016&amp;arts=180"</w:instrText>
      </w:r>
      <w:r>
        <w:fldChar w:fldCharType="separate"/>
      </w:r>
      <w:r>
        <w:rPr>
          <w:rFonts w:hAnsi="Arial"/>
          <w:rFonts w:ascii="Arial"/>
          <w:sz w:val="24"/>
          <w:u w:val="single"/>
          <w:color w:val="black"/>
        </w:rPr>
        <w:t>180</w:t>
      </w:r>
      <w:r>
        <w:fldChar w:fldCharType="end"/>
      </w:r>
      <w:r>
        <w:rPr>
          <w:rFonts w:hAnsi="Arial"/>
          <w:rFonts w:ascii="Arial"/>
          <w:sz w:val="24"/>
          <w:u w:val="none"/>
          <w:color w:val="black"/>
        </w:rPr>
        <w:t xml:space="preserve"> de la Ley 1801 de 2016, el sesenta por ciento (60%) de los recursos provenientes del recaudo por concepto de multas se destinará a la cultura ciudadana, pedagogía y prevención en materia de seguridad, de los cuales un cuarenta y cinco por ciento (45%) será para financiar programas, proyectos de inversión y actividades de cultura ciudadana, y un quince por ciento (15%) a la administración, funcionamiento e infraestructura del Registro Nacional de Medidas Correctivas, como elemento necesario para garantizar la prevención a través del recaudo y almacenamiento de información detallada, georreferenciada y en tiempo real del estado de las multas en todo el territorio nacional, lo cual constituye un instrumento imprescindible para el cumplimiento de su función legal. El cuarenta por ciento (40%) restante se utilizará en la materialización de las medidas correctivas impuestas por las autoridades de Policía.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Departamento Nacional de Planeación, la Contaduría General de la Nación y la Contraloría General de la República, tendrán un semestre a partir de la entrada en vigencia del presente decreto para modificar el Formularlo Único Territorial (FUT), con el fin de incluir un aparte en el que los alcaldes reporten el valor total del recaudo anual por concepto de multas que dispone el Código Nacional de Policía y Convivencia y de la trasferencia a la Policía Nacional de las sumas a que se refiere el inciso 2o del presente artículo, así como los proyectos de inversión y gastos en los que se ejecutaron dichos recursos.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administraciones distritales y/o municipales deberán trasferir mensualmente el quince por ciento (15%) destinado a la administración, funcionamiento e infraestructura del Registro Nacional de Medidas Correctivas de que trata el presente artículo, dentro de los primeros diez (10) días de cada mes a la cuenta que para tal fin establezca la Policía Nacional.</w:t>
      </w:r>
    </w:p>
    <w:p>
      <w:pPr>
        <w:jc w:val="center"/>
      </w:pPr>
      <w:rPr>
        <w:sz w:val="24"/>
        <w:b/>
        <w:color w:val="black"/>
      </w:rPr>
    </w:p>
    <w:p>
      <w:pPr>
        <w:jc w:val="center"/>
      </w:pPr>
      <w:r>
        <w:rPr>
          <w:rFonts w:hAnsi="Arial"/>
          <w:rFonts w:ascii="Arial"/>
          <w:sz w:val="24"/>
          <w:b/>
          <w:vanish/>
          <w:color w:val="black"/>
        </w:rPr>
        <w:t>&amp;$</w:t>
      </w:r>
      <w:bookmarkStart w:id="60249" w:name="CAPÍTULO V.8.2.2"/>
      <w:r>
        <w:rPr>
          <w:rFonts w:hAnsi="Arial"/>
          <w:rFonts w:ascii="Arial"/>
          <w:sz w:val="24"/>
          <w:color w:val="navy"/>
        </w:rPr>
        <w:t xml:space="preserve">CAPÍTULO V. </w:t>
      </w:r>
    </w:p>
    <w:p>
      <w:pPr>
        <w:jc w:val="center"/>
      </w:pPr>
      <w:r>
        <w:rPr>
          <w:rFonts w:hAnsi="Arial"/>
          <w:rFonts w:ascii="Arial"/>
          <w:sz w:val="24"/>
          <w:color w:val="navy"/>
        </w:rPr>
        <w:t xml:space="preserve">SITIOS PARA EL TRASLADO POR PROTECCIÓN.</w:t>
      </w:r>
      <w:bookmarkEnd w:id="60249"/>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50" w:name="2.2.8.5.1"/>
      <w:r>
        <w:rPr>
          <w:rFonts w:hAnsi="Arial"/>
          <w:rFonts w:ascii="Arial"/>
          <w:sz w:val="24"/>
          <w:color w:val="navy"/>
        </w:rPr>
        <w:t xml:space="preserve">ARTÍCULO 2.2.8.5.1. </w:t>
      </w:r>
      <w:r>
        <w:rPr>
          <w:rFonts w:hAnsi="Arial"/>
          <w:rFonts w:ascii="Arial"/>
          <w:sz w:val="24"/>
          <w:i/>
          <w:color w:val="navy"/>
        </w:rPr>
        <w:t xml:space="preserve">CENTROS PARA EL TRASLADO POR PROTECCIÓN O ASISTENCIAL</w:t>
      </w:r>
      <w:r>
        <w:rPr>
          <w:rFonts w:hAnsi="Arial"/>
          <w:rFonts w:ascii="Arial"/>
          <w:sz w:val="24"/>
          <w:color w:val="navy"/>
        </w:rPr>
        <w:t>.</w:t>
      </w:r>
      <w:bookmarkEnd w:id="602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Entiéndase por centros para el traslado por protección o asistenciales, los espacios físicos dispuestos por la administración distrital o municipal, para hacer efectivo el medio de policía establecido en el artículo </w:t>
      </w:r>
      <w:r>
        <w:fldChar w:fldCharType="begin"/>
      </w:r>
      <w:r>
        <w:instrText>HYPERLINK "http://www.redjurista.com/document.aspx?ajcode=l1801016&amp;arts=155"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la Ley 1801 de 2016, cuya implementación, adecuación y funcionamiento, deberán ser garantizados por cada alcalde distrital o municipal.</w:t>
      </w:r>
    </w:p>
    <w:p>
      <w:rPr>
        <w:color w:val="black"/>
      </w:rPr>
    </w:p>
    <w:p>
      <w:pPr>
        <w:jc w:val="both"/>
      </w:pPr>
      <w:r>
        <w:rPr>
          <w:rFonts w:hAnsi="Arial"/>
          <w:rFonts w:ascii="Arial"/>
          <w:sz w:val="24"/>
          <w:b/>
          <w:vanish/>
          <w:color w:val="black"/>
        </w:rPr>
        <w:t>&amp;$</w:t>
      </w:r>
      <w:bookmarkStart w:id="60251" w:name="2.2.8.5.2"/>
      <w:r>
        <w:rPr>
          <w:rFonts w:hAnsi="Arial"/>
          <w:rFonts w:ascii="Arial"/>
          <w:sz w:val="24"/>
          <w:color w:val="navy"/>
        </w:rPr>
        <w:t xml:space="preserve">ARTÍCULO 2.2.8.5.2. </w:t>
      </w:r>
      <w:r>
        <w:rPr>
          <w:rFonts w:hAnsi="Arial"/>
          <w:rFonts w:ascii="Arial"/>
          <w:sz w:val="24"/>
          <w:i/>
          <w:color w:val="navy"/>
        </w:rPr>
        <w:t xml:space="preserve">CENTROS ASISTENCIALES</w:t>
      </w:r>
      <w:r>
        <w:rPr>
          <w:rFonts w:hAnsi="Arial"/>
          <w:rFonts w:ascii="Arial"/>
          <w:sz w:val="24"/>
          <w:color w:val="navy"/>
        </w:rPr>
        <w:t>.</w:t>
      </w:r>
      <w:bookmarkEnd w:id="60251"/>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Entiéndase como centros asistenciales las Instituciones Prestadoras de Servicios de Salud, Hospitales, Clínicas, Centros de Salud, Puestos de Salud, Establecimientos Sanitarios, Hospicios, Unidades Móviles de Salud, Ambulancias, Centros de Delegaciones Nacionales o Internacionales de Salud, Centros de Comités Nacionales o Internacionales de Salud y las demás donde se presten servicios de salud ubicados en la jurisdicción correspondiente a cada distrito o municipio.</w:t>
      </w:r>
    </w:p>
    <w:p>
      <w:pPr>
        <w:jc w:val="both"/>
      </w:pPr>
      <w:rPr>
        <w:sz w:val="24"/>
        <w:color w:val="black"/>
      </w:rPr>
    </w:p>
    <w:p>
      <w:pPr>
        <w:jc w:val="both"/>
      </w:pPr>
      <w:r>
        <w:rPr>
          <w:rFonts w:hAnsi="Arial"/>
          <w:rFonts w:ascii="Arial"/>
          <w:sz w:val="24"/>
          <w:color w:val="black"/>
        </w:rPr>
        <w:t xml:space="preserve">Dichos centros asistenciales, independientemente de ser públicos o privados deberán prestar la atención inmediata a las personas trasladadas por protección en procedimiento de policía cuando se trate de ciudadanos en grave estado de alteración de la conciencia por aspectos mentales, por estar bajo el efecto del consumo de bebidas alcohólicas o sustancias psicoactivas o tóxicas o que presente lesiones o afecciones en su integridad psicofísica, en los términos establecidos en la Ley Estatutaria </w:t>
      </w:r>
      <w:r>
        <w:fldChar w:fldCharType="begin"/>
      </w:r>
      <w:r>
        <w:instrText>HYPERLINK "http://www.redjurista.com/document.aspx?ajcode=l1751015&amp;arts=INICIO"</w:instrText>
      </w:r>
      <w:r>
        <w:fldChar w:fldCharType="separate"/>
      </w:r>
      <w:r>
        <w:rPr>
          <w:rFonts w:hAnsi="Arial"/>
          <w:rFonts w:ascii="Arial"/>
          <w:sz w:val="24"/>
          <w:u w:val="single"/>
          <w:color w:val="black"/>
        </w:rPr>
        <w:t>1751</w:t>
      </w:r>
      <w:r>
        <w:fldChar w:fldCharType="end"/>
      </w:r>
      <w:r>
        <w:rPr>
          <w:rFonts w:hAnsi="Arial"/>
          <w:rFonts w:ascii="Arial"/>
          <w:sz w:val="24"/>
          <w:u w:val="none"/>
          <w:color w:val="black"/>
        </w:rPr>
        <w:t xml:space="preserve"> de 2015 y sus normas reglamentarias.</w:t>
      </w:r>
    </w:p>
    <w:p>
      <w:pPr>
        <w:jc w:val="both"/>
      </w:pPr>
      <w:rPr>
        <w:sz w:val="24"/>
        <w:color w:val="black"/>
      </w:rPr>
    </w:p>
    <w:p>
      <w:pPr>
        <w:jc w:val="both"/>
      </w:pPr>
      <w:r>
        <w:rPr>
          <w:rFonts w:hAnsi="Arial"/>
          <w:rFonts w:ascii="Arial"/>
          <w:sz w:val="24"/>
          <w:color w:val="black"/>
        </w:rPr>
        <w:t xml:space="preserve">En caso que una de las instituciones mencionadas en el inciso primero del presente artículo, se niegue a prestar la atención necesaria para proteger la vida e Integridad del trasladado por protección en procedimiento de policía, la autoridad de policía lo informará por escrito dentro de las cuarenta y ocho (48) horas siguientes al Ministerio Público, a efectos de que se adopten las medidas necesarias para prevenir hechos que atenten contra la salud de las personas en el desarrollo del traslado por protección en procedimiento policivo y para lo cual la Superintendencia de Salud, el Ministerio de Salud y Protección Social, los Tribunales Seccionales y Nacionales de Ética Médica deberán adelantar acciones en contra de quienes nieguen el servicio de salud en el marco del presente capítulo.</w:t>
      </w:r>
    </w:p>
    <w:p>
      <w:pPr>
        <w:jc w:val="center"/>
      </w:pPr>
      <w:rPr>
        <w:color w:val="black"/>
      </w:rPr>
    </w:p>
    <w:p>
      <w:pPr>
        <w:jc w:val="both"/>
      </w:pPr>
      <w:r>
        <w:rPr>
          <w:rFonts w:hAnsi="Arial"/>
          <w:rFonts w:ascii="Arial"/>
          <w:sz w:val="24"/>
          <w:b/>
          <w:vanish/>
          <w:color w:val="black"/>
        </w:rPr>
        <w:t>&amp;$</w:t>
      </w:r>
      <w:bookmarkStart w:id="60252" w:name="2.2.8.5.3"/>
      <w:r>
        <w:rPr>
          <w:rFonts w:hAnsi="Arial"/>
          <w:rFonts w:ascii="Arial"/>
          <w:sz w:val="24"/>
          <w:color w:val="navy"/>
        </w:rPr>
        <w:t xml:space="preserve">ARTÍCULO 2.2.8.5.3. </w:t>
      </w:r>
      <w:r>
        <w:rPr>
          <w:rFonts w:hAnsi="Arial"/>
          <w:rFonts w:ascii="Arial"/>
          <w:sz w:val="24"/>
          <w:i/>
          <w:color w:val="navy"/>
        </w:rPr>
        <w:t xml:space="preserve">CENTROS DE PROTECCIÓN</w:t>
      </w:r>
      <w:r>
        <w:rPr>
          <w:rFonts w:hAnsi="Arial"/>
          <w:rFonts w:ascii="Arial"/>
          <w:sz w:val="24"/>
          <w:color w:val="navy"/>
        </w:rPr>
        <w:t>.</w:t>
      </w:r>
      <w:bookmarkEnd w:id="60252"/>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Es el espacio físico destinado por la administración distrital o municipal, para recibir a las personas que sean trasladadas por protección en procedimiento de policía, por incurrir en alguna de los comportamientos descritos en el artículo </w:t>
      </w:r>
      <w:r>
        <w:fldChar w:fldCharType="begin"/>
      </w:r>
      <w:r>
        <w:instrText>HYPERLINK "http://www.redjurista.com/document.aspx?ajcode=l1801016&amp;arts=155"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la Ley 1801 de 2016.</w:t>
      </w:r>
    </w:p>
    <w:p>
      <w:pPr>
        <w:jc w:val="both"/>
      </w:pPr>
      <w:rPr>
        <w:sz w:val="24"/>
        <w:color w:val="black"/>
      </w:rPr>
    </w:p>
    <w:p>
      <w:pPr>
        <w:jc w:val="both"/>
      </w:pPr>
      <w:r>
        <w:rPr>
          <w:rFonts w:hAnsi="Arial"/>
          <w:rFonts w:ascii="Arial"/>
          <w:sz w:val="24"/>
          <w:color w:val="black"/>
        </w:rPr>
        <w:t xml:space="preserve">Estos espacios deberán tener mínimo las siguientes condiciones:</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Espacio físico diferenciado: </w:t>
      </w:r>
      <w:r>
        <w:rPr>
          <w:rFonts w:hAnsi="Arial"/>
          <w:rFonts w:ascii="Arial"/>
          <w:sz w:val="24"/>
          <w:color w:val="black"/>
        </w:rPr>
        <w:t xml:space="preserve">Los centros de protección deberán contar con lugares separados en razón del sexo de las personas, donde se dejará a cada ciudadano según sea su sexo, es decir, un espacio en el que estarán separadas las personas del sexo masculino de las del sexo femenino, una vez realizado el correspondiente procedimiento de registro a persona así como de identificación e individualización.</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Condiciones sanitarias y de servicios públicos: </w:t>
      </w:r>
      <w:r>
        <w:rPr>
          <w:rFonts w:hAnsi="Arial"/>
          <w:rFonts w:ascii="Arial"/>
          <w:sz w:val="24"/>
          <w:color w:val="black"/>
        </w:rPr>
        <w:t xml:space="preserve">Los centros de protección a los que se refiere el presente artículo, deberán contar con servicios de acueducto, alcantarillado, energía eléctrica, ventilación, acceso a servicio de baño, teléfono público y demás condiciones mínimas de dignidad para la estancia de los ciudadanos en tales centros; en todo caso, dichos centros deberán contar con unas condiciones sanitarias y de aseo que dignifiquen a los ciudadanos que de manera transitoria estén en estos sitios.</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Condiciones de seguridad: </w:t>
      </w:r>
      <w:r>
        <w:rPr>
          <w:rFonts w:hAnsi="Arial"/>
          <w:rFonts w:ascii="Arial"/>
          <w:sz w:val="24"/>
          <w:color w:val="black"/>
        </w:rPr>
        <w:t xml:space="preserve">Deben contar con mecanismos tecnológicos que permitan ejercer vigilancia y control sobre las personas para garantizar sus derechos. Para el efecto, se deberán instalar sistemas de video y audio permanente, conectado a una central de monitoreo y con capacidad de almacenamiento. </w:t>
      </w:r>
    </w:p>
    <w:p>
      <w:pPr>
        <w:jc w:val="both"/>
      </w:pPr>
      <w:rPr>
        <w:sz w:val="24"/>
        <w:color w:val="black"/>
      </w:rPr>
    </w:p>
    <w:p>
      <w:pPr>
        <w:jc w:val="both"/>
      </w:pPr>
      <w:r>
        <w:rPr>
          <w:rFonts w:hAnsi="Arial"/>
          <w:rFonts w:ascii="Arial"/>
          <w:sz w:val="24"/>
          <w:color w:val="black"/>
        </w:rPr>
        <w:t xml:space="preserve">Las personas trasladadas deberán ser identificadas mediante un sistema biométrico que permita establecer la hora, día, mes y año, de ingreso y salida. </w:t>
      </w:r>
    </w:p>
    <w:p>
      <w:pPr>
        <w:jc w:val="both"/>
      </w:pPr>
      <w:rPr>
        <w:sz w:val="24"/>
        <w:color w:val="black"/>
      </w:rPr>
    </w:p>
    <w:p>
      <w:pPr>
        <w:jc w:val="both"/>
      </w:pPr>
      <w:r>
        <w:rPr>
          <w:rFonts w:hAnsi="Arial"/>
          <w:rFonts w:ascii="Arial"/>
          <w:sz w:val="24"/>
          <w:color w:val="black"/>
        </w:rPr>
        <w:t xml:space="preserve">Se seguirán estrictos protocolos de registro a las personas y sus pertenencias, en lugares que protejan su intimidad, además de resguardar los bienes que porten los trasladados.</w:t>
      </w:r>
    </w:p>
    <w:p>
      <w:pPr>
        <w:jc w:val="both"/>
      </w:pPr>
      <w:rPr>
        <w:sz w:val="24"/>
        <w:color w:val="black"/>
      </w:rPr>
    </w:p>
    <w:p>
      <w:pPr>
        <w:jc w:val="both"/>
      </w:pPr>
      <w:r>
        <w:rPr>
          <w:rFonts w:hAnsi="Arial"/>
          <w:rFonts w:ascii="Arial"/>
          <w:sz w:val="24"/>
          <w:b/>
          <w:color w:val="black"/>
        </w:rPr>
        <w:t xml:space="preserve">4. Infraestructura: </w:t>
      </w:r>
      <w:r>
        <w:rPr>
          <w:rFonts w:hAnsi="Arial"/>
          <w:rFonts w:ascii="Arial"/>
          <w:sz w:val="24"/>
          <w:color w:val="black"/>
        </w:rPr>
        <w:t xml:space="preserve">Los sitios destinados para el traslado por protección deben garantizar las condiciones de infraestructura mínimas que ofrezcan seguridad en términos de sismorresistencia, accesibilidad y evacuación de conformidad con la normatividad vigente. </w:t>
      </w:r>
    </w:p>
    <w:p>
      <w:pPr>
        <w:jc w:val="both"/>
      </w:pPr>
      <w:rPr>
        <w:sz w:val="24"/>
        <w:color w:val="black"/>
      </w:rPr>
    </w:p>
    <w:p>
      <w:pPr>
        <w:jc w:val="both"/>
      </w:pPr>
      <w:r>
        <w:rPr>
          <w:rFonts w:hAnsi="Arial"/>
          <w:rFonts w:ascii="Arial"/>
          <w:sz w:val="24"/>
          <w:color w:val="black"/>
        </w:rPr>
        <w:t xml:space="preserve">Como mínimo, los sitios deberán tener la suficiente ventilación, iluminación y condiciones físicas que ofrezcan seguridad a quienes permanezcan en ellos, garantizando que a quienes se les aplique el traslado por protección no evadan el medio de policía o tengan posibilidades de retiro fácil del lugar.</w:t>
      </w:r>
    </w:p>
    <w:p>
      <w:pPr>
        <w:jc w:val="both"/>
      </w:pPr>
      <w:rPr>
        <w:sz w:val="24"/>
        <w:color w:val="black"/>
      </w:rPr>
    </w:p>
    <w:p>
      <w:pPr>
        <w:jc w:val="both"/>
      </w:pPr>
      <w:r>
        <w:rPr>
          <w:rFonts w:hAnsi="Arial"/>
          <w:rFonts w:ascii="Arial"/>
          <w:sz w:val="24"/>
          <w:b/>
          <w:color w:val="black"/>
        </w:rPr>
        <w:t xml:space="preserve">5. Vigilancia y seguridad física: </w:t>
      </w:r>
      <w:r>
        <w:rPr>
          <w:rFonts w:hAnsi="Arial"/>
          <w:rFonts w:ascii="Arial"/>
          <w:sz w:val="24"/>
          <w:color w:val="black"/>
        </w:rPr>
        <w:t xml:space="preserve">Conforme a la misionalidad constitucional y legal, le corresponde a la Policía Nacional brindar seguridad interna en los centros de traslado por protección para efectos de registro a personas, de conformidad con lo establecido en los artículos </w:t>
      </w:r>
      <w:r>
        <w:fldChar w:fldCharType="begin"/>
      </w:r>
      <w:r>
        <w:instrText>HYPERLINK "http://www.redjurista.com/document.aspx?ajcode=l1801016&amp;arts=155"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y </w:t>
      </w:r>
      <w:r>
        <w:fldChar w:fldCharType="begin"/>
      </w:r>
      <w:r>
        <w:instrText>HYPERLINK "http://www.redjurista.com/document.aspx?ajcode=l1801016&amp;arts=159"</w:instrText>
      </w:r>
      <w:r>
        <w:fldChar w:fldCharType="separate"/>
      </w:r>
      <w:r>
        <w:rPr>
          <w:rFonts w:hAnsi="Arial"/>
          <w:rFonts w:ascii="Arial"/>
          <w:sz w:val="24"/>
          <w:u w:val="single"/>
          <w:color w:val="black"/>
        </w:rPr>
        <w:t>159</w:t>
      </w:r>
      <w:r>
        <w:fldChar w:fldCharType="end"/>
      </w:r>
      <w:r>
        <w:rPr>
          <w:rFonts w:hAnsi="Arial"/>
          <w:rFonts w:ascii="Arial"/>
          <w:sz w:val="24"/>
          <w:u w:val="none"/>
          <w:color w:val="black"/>
        </w:rPr>
        <w:t xml:space="preserve"> de la Ley 1801 de 2016. </w:t>
      </w:r>
    </w:p>
    <w:p>
      <w:pPr>
        <w:jc w:val="both"/>
      </w:pPr>
      <w:rPr>
        <w:sz w:val="24"/>
        <w:color w:val="black"/>
      </w:rPr>
    </w:p>
    <w:p>
      <w:pPr>
        <w:jc w:val="both"/>
      </w:pPr>
      <w:r>
        <w:rPr>
          <w:rFonts w:hAnsi="Arial"/>
          <w:rFonts w:ascii="Arial"/>
          <w:sz w:val="24"/>
          <w:color w:val="black"/>
        </w:rPr>
        <w:t xml:space="preserve">La vigilancia y seguridad externa de los sitios destinados para el traslado por protección, estará a cargo de las administraciones municipales, para cuyos efectos podrán contratar con empresas de vigilancia y seguridad privada legalmente constituidas.</w:t>
      </w:r>
    </w:p>
    <w:p>
      <w:pPr>
        <w:jc w:val="both"/>
      </w:pPr>
      <w:rPr>
        <w:sz w:val="24"/>
        <w:color w:val="black"/>
      </w:rPr>
    </w:p>
    <w:p>
      <w:pPr>
        <w:jc w:val="both"/>
      </w:pPr>
      <w:r>
        <w:rPr>
          <w:rFonts w:hAnsi="Arial"/>
          <w:rFonts w:ascii="Arial"/>
          <w:sz w:val="24"/>
          <w:b/>
          <w:color w:val="black"/>
        </w:rPr>
        <w:t xml:space="preserve">6. Ingreso y salida del traslado por protección: </w:t>
      </w:r>
      <w:r>
        <w:rPr>
          <w:rFonts w:hAnsi="Arial"/>
          <w:rFonts w:ascii="Arial"/>
          <w:sz w:val="24"/>
          <w:color w:val="black"/>
        </w:rPr>
        <w:t xml:space="preserve">De conformidad con el artículo </w:t>
      </w:r>
      <w:r>
        <w:fldChar w:fldCharType="begin"/>
      </w:r>
      <w:r>
        <w:instrText>HYPERLINK "http://www.redjurista.com/document.aspx?ajcode=l1801016&amp;arts=155"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la Ley 1801 de 2016, toda persona que sea trasladada por protección a los sitios destinados para tal fin, no podrá permanecer en ellos por un espacio de tiempo mayor a doce (12) horas, entendiendo que el término se cuenta desde el momento en el que inicia el procedimiento de policía, hasta la salida del sitio. </w:t>
      </w:r>
    </w:p>
    <w:p>
      <w:pPr>
        <w:jc w:val="both"/>
      </w:pPr>
      <w:rPr>
        <w:sz w:val="24"/>
        <w:color w:val="black"/>
      </w:rPr>
    </w:p>
    <w:p>
      <w:pPr>
        <w:jc w:val="both"/>
      </w:pPr>
      <w:r>
        <w:rPr>
          <w:rFonts w:hAnsi="Arial"/>
          <w:rFonts w:ascii="Arial"/>
          <w:sz w:val="24"/>
          <w:color w:val="black"/>
        </w:rPr>
        <w:t xml:space="preserve">Teniendo en cuenta que el parágrafo segundo del artículo </w:t>
      </w:r>
      <w:r>
        <w:fldChar w:fldCharType="begin"/>
      </w:r>
      <w:r>
        <w:instrText>HYPERLINK "http://www.redjurista.com/document.aspx?ajcode=l1801016&amp;arts=155"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la Ley 1801 de 2016 establece, que en el centro asistencial o de protección debe hacer presencia un representante del Ministerio Público, dicho funcionario deberá verificar el ingreso y salida del sitio, garantizando que a las personas a quienes se les aplique el medio de policía, les sea respetado el debido proceso, permitiéndoles la salida en el término establecido en la ley.</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medio de policía de traslado por protección, una vez aplicado, deberá ser proporcional, razonable y necesario, conforme a los principios señalados en los numerales 12 y 13 del artículo </w:t>
      </w:r>
      <w:r>
        <w:fldChar w:fldCharType="begin"/>
      </w:r>
      <w:r>
        <w:instrText>HYPERLINK "http://www.redjurista.com/document.aspx?ajcode=l1801016&amp;arts=8"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1801 de 2016, procurando en todo caso la menor afectación posible a derechos y libertades, evitando los excesos en la materialización del medio de policía, salvaguardando en todo momento la dignidad humana, los derechos humanos, el debido proceso, el trato igualitario, el derecho a la libertad y en general las garantías constitucionales y legales.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personas objeto del traslado por protección, no podrán ser habitantes de calle o en calle, teniendo como consideración esta única circunstancia. No se podrán trasladar a estos centros, personas involucradas en conductas punibles.</w:t>
      </w:r>
    </w:p>
    <w:p>
      <w:pPr>
        <w:jc w:val="center"/>
      </w:pPr>
      <w:rPr>
        <w:sz w:val="24"/>
        <w:b/>
        <w:color w:val="black"/>
      </w:rPr>
    </w:p>
    <w:p>
      <w:pPr>
        <w:jc w:val="center"/>
      </w:pPr>
      <w:r>
        <w:rPr>
          <w:rFonts w:hAnsi="Arial"/>
          <w:rFonts w:ascii="Arial"/>
          <w:sz w:val="24"/>
          <w:b/>
          <w:vanish/>
          <w:color w:val="black"/>
        </w:rPr>
        <w:t>&amp;$</w:t>
      </w:r>
      <w:bookmarkStart w:id="60253" w:name="CAPÍTULO VI.8.2.2"/>
      <w:r>
        <w:rPr>
          <w:rFonts w:hAnsi="Arial"/>
          <w:rFonts w:ascii="Arial"/>
          <w:sz w:val="24"/>
          <w:color w:val="navy"/>
        </w:rPr>
        <w:t xml:space="preserve">CAPÍTULO VI. </w:t>
      </w:r>
    </w:p>
    <w:p>
      <w:pPr>
        <w:jc w:val="center"/>
      </w:pPr>
      <w:r>
        <w:rPr>
          <w:rFonts w:hAnsi="Arial"/>
          <w:rFonts w:ascii="Arial"/>
          <w:sz w:val="24"/>
          <w:color w:val="navy"/>
        </w:rPr>
        <w:t xml:space="preserve">PARTICIPACIÓN EN PROGRAMAS COMUNITARIOS O ACTIVIDADES PEDAGÓGICAS DE CONVIVENCIA Y DIFUSIÓN DE LA LEY 1801 DE 2016.</w:t>
      </w:r>
      <w:bookmarkEnd w:id="60253"/>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54" w:name="2.2.8.6.1"/>
      <w:r>
        <w:rPr>
          <w:rFonts w:hAnsi="Arial"/>
          <w:rFonts w:ascii="Arial"/>
          <w:sz w:val="24"/>
          <w:color w:val="navy"/>
        </w:rPr>
        <w:t xml:space="preserve">ARTÍCULO 2.2.8.6.1. </w:t>
      </w:r>
      <w:r>
        <w:rPr>
          <w:rFonts w:hAnsi="Arial"/>
          <w:rFonts w:ascii="Arial"/>
          <w:sz w:val="24"/>
          <w:i/>
          <w:color w:val="navy"/>
        </w:rPr>
        <w:t xml:space="preserve">PROGRAMA COMUNITARIO</w:t>
      </w:r>
      <w:r>
        <w:rPr>
          <w:rFonts w:hAnsi="Arial"/>
          <w:rFonts w:ascii="Arial"/>
          <w:sz w:val="24"/>
          <w:color w:val="navy"/>
        </w:rPr>
        <w:t>.</w:t>
      </w:r>
      <w:bookmarkEnd w:id="60254"/>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Entiéndase por programa comunitario, la actividad obligatoria orientada a mejorar las condiciones de seguridad, ambiente y tranquilidad en todo el territorio nacional que propenden por el interés general.</w:t>
      </w:r>
    </w:p>
    <w:p>
      <w:pPr>
        <w:jc w:val="center"/>
      </w:pPr>
      <w:rPr>
        <w:color w:val="black"/>
      </w:rPr>
    </w:p>
    <w:p>
      <w:pPr>
        <w:jc w:val="both"/>
      </w:pPr>
      <w:r>
        <w:rPr>
          <w:rFonts w:hAnsi="Arial"/>
          <w:rFonts w:ascii="Arial"/>
          <w:sz w:val="24"/>
          <w:b/>
          <w:vanish/>
          <w:color w:val="black"/>
        </w:rPr>
        <w:t>&amp;$</w:t>
      </w:r>
      <w:bookmarkStart w:id="60255" w:name="2.2.8.6.2"/>
      <w:r>
        <w:rPr>
          <w:rFonts w:hAnsi="Arial"/>
          <w:rFonts w:ascii="Arial"/>
          <w:sz w:val="24"/>
          <w:color w:val="navy"/>
        </w:rPr>
        <w:t xml:space="preserve">ARTÍCULO 2.2.8.6.2. </w:t>
      </w:r>
      <w:r>
        <w:rPr>
          <w:rFonts w:hAnsi="Arial"/>
          <w:rFonts w:ascii="Arial"/>
          <w:sz w:val="24"/>
          <w:i/>
          <w:color w:val="navy"/>
        </w:rPr>
        <w:t>CLASIFICACIÓN</w:t>
      </w:r>
      <w:r>
        <w:rPr>
          <w:rFonts w:hAnsi="Arial"/>
          <w:rFonts w:ascii="Arial"/>
          <w:sz w:val="24"/>
          <w:color w:val="navy"/>
        </w:rPr>
        <w:t>.</w:t>
      </w:r>
      <w:bookmarkEnd w:id="60255"/>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El programa comunitario se clasifica en las siguientes acciones:</w:t>
      </w:r>
    </w:p>
    <w:p>
      <w:pPr>
        <w:jc w:val="both"/>
      </w:pPr>
      <w:rPr>
        <w:sz w:val="24"/>
        <w:color w:val="black"/>
      </w:rPr>
    </w:p>
    <w:p>
      <w:pPr>
        <w:jc w:val="both"/>
      </w:pPr>
      <w:r>
        <w:rPr>
          <w:rFonts w:hAnsi="Arial"/>
          <w:rFonts w:ascii="Arial"/>
          <w:sz w:val="24"/>
          <w:color w:val="black"/>
        </w:rPr>
        <w:t xml:space="preserve">1. Jornadas de ornato y embellecimiento.</w:t>
      </w:r>
    </w:p>
    <w:p>
      <w:pPr>
        <w:jc w:val="both"/>
      </w:pPr>
      <w:rPr>
        <w:sz w:val="24"/>
        <w:color w:val="black"/>
      </w:rPr>
    </w:p>
    <w:p>
      <w:pPr>
        <w:jc w:val="both"/>
      </w:pPr>
      <w:r>
        <w:rPr>
          <w:rFonts w:hAnsi="Arial"/>
          <w:rFonts w:ascii="Arial"/>
          <w:sz w:val="24"/>
          <w:color w:val="black"/>
        </w:rPr>
        <w:t xml:space="preserve">2. Preservación del ambiente y el patrimonio cultural, tales como siembra de árboles y brigadas de recuperación de espacios ecológicos.</w:t>
      </w:r>
    </w:p>
    <w:p>
      <w:pPr>
        <w:jc w:val="both"/>
      </w:pPr>
      <w:rPr>
        <w:sz w:val="24"/>
        <w:color w:val="black"/>
      </w:rPr>
    </w:p>
    <w:p>
      <w:pPr>
        <w:jc w:val="both"/>
      </w:pPr>
      <w:r>
        <w:rPr>
          <w:rFonts w:hAnsi="Arial"/>
          <w:rFonts w:ascii="Arial"/>
          <w:sz w:val="24"/>
          <w:color w:val="black"/>
        </w:rPr>
        <w:t xml:space="preserve">3. Cultura ciudadana, consiste en brindar charlas, participar en actividades lúdico recreativas o de fomento de cultura ciudadana en colegios, ancianatos, hospitales y sistema de transporte masivo.</w:t>
      </w:r>
    </w:p>
    <w:p>
      <w:pPr>
        <w:jc w:val="both"/>
      </w:pPr>
      <w:rPr>
        <w:sz w:val="24"/>
        <w:color w:val="black"/>
      </w:rPr>
    </w:p>
    <w:p>
      <w:pPr>
        <w:jc w:val="both"/>
      </w:pPr>
      <w:r>
        <w:rPr>
          <w:rFonts w:hAnsi="Arial"/>
          <w:rFonts w:ascii="Arial"/>
          <w:sz w:val="24"/>
          <w:color w:val="black"/>
        </w:rPr>
        <w:t xml:space="preserve">4. Las demás que la administración distrital o municipal establezca para tal fin.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Aplica para los comportamientos contrarios a la convivencia que tengan como medida correctiva la participación en programa comunitario, al igual que para aquel ciudadano que conmute dentro del plazo establecido, la multa general tipo 1 o 2 por la participación en programa comunitario.</w:t>
      </w:r>
    </w:p>
    <w:p>
      <w:pPr>
        <w:jc w:val="center"/>
      </w:pPr>
      <w:rPr>
        <w:color w:val="black"/>
      </w:rPr>
    </w:p>
    <w:p>
      <w:pPr>
        <w:jc w:val="both"/>
      </w:pPr>
      <w:r>
        <w:rPr>
          <w:rFonts w:hAnsi="Arial"/>
          <w:rFonts w:ascii="Arial"/>
          <w:sz w:val="24"/>
          <w:b/>
          <w:vanish/>
          <w:color w:val="black"/>
        </w:rPr>
        <w:t>&amp;$</w:t>
      </w:r>
      <w:bookmarkStart w:id="60256" w:name="2.2.8.6.3"/>
      <w:r>
        <w:rPr>
          <w:rFonts w:hAnsi="Arial"/>
          <w:rFonts w:ascii="Arial"/>
          <w:sz w:val="24"/>
          <w:color w:val="navy"/>
        </w:rPr>
        <w:t xml:space="preserve">ARTÍCULO 2.2.8.6.3. </w:t>
      </w:r>
      <w:r>
        <w:rPr>
          <w:rFonts w:hAnsi="Arial"/>
          <w:rFonts w:ascii="Arial"/>
          <w:sz w:val="24"/>
          <w:i/>
          <w:color w:val="navy"/>
        </w:rPr>
        <w:t xml:space="preserve">ACTIVIDAD PEDAGÓGICA</w:t>
      </w:r>
      <w:r>
        <w:rPr>
          <w:rFonts w:hAnsi="Arial"/>
          <w:rFonts w:ascii="Arial"/>
          <w:sz w:val="24"/>
          <w:color w:val="navy"/>
        </w:rPr>
        <w:t>.</w:t>
      </w:r>
      <w:bookmarkEnd w:id="60256"/>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Se entenderá por actividad pedagógica, aquella participación en programas educativos determinados y desarrollados por las alcaldías distritales o municipales, como medida correctiva impuesta de conformidad con lo establecido en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y cuyo enfoque será el fortalecimiento de los principios, fines y objeto de la convivencia, práctica de derechos y deberes aceptados por la sociedad, así como las responsabilidades que implica vivir en sociedad otorgando un reconocimiento al valor de lo público y la tranquilidad de la comunidad en general.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el desarrollo de las actividades pedagógicas la alcaldía distrital o municipal, podrá destinar un lugar específico que cuente con las condiciones necesarias para la capacitación de las personas que incurran en comportamientos contrarios a la convivencia, con base en los siguientes componentes:</w:t>
      </w:r>
    </w:p>
    <w:p>
      <w:pPr>
        <w:jc w:val="center"/>
      </w:pPr>
      <w:rPr>
        <w:color w:val="black"/>
      </w:rPr>
    </w:p>
    <w:p>
      <w:pPr>
        <w:jc w:val="both"/>
      </w:pPr>
      <w:r>
        <w:rPr>
          <w:rFonts w:hAnsi="Arial"/>
          <w:rFonts w:ascii="Arial"/>
          <w:sz w:val="24"/>
          <w:b/>
          <w:vanish/>
          <w:color w:val="black"/>
        </w:rPr>
        <w:t>&amp;$</w:t>
      </w:r>
      <w:bookmarkStart w:id="60257" w:name="2.2.8.6.4"/>
      <w:r>
        <w:rPr>
          <w:rFonts w:hAnsi="Arial"/>
          <w:rFonts w:ascii="Arial"/>
          <w:sz w:val="24"/>
          <w:color w:val="navy"/>
        </w:rPr>
        <w:t xml:space="preserve">ARTÍCULO 2.2.8.6.4. </w:t>
      </w:r>
      <w:r>
        <w:rPr>
          <w:rFonts w:hAnsi="Arial"/>
          <w:rFonts w:ascii="Arial"/>
          <w:sz w:val="24"/>
          <w:i/>
          <w:color w:val="navy"/>
        </w:rPr>
        <w:t xml:space="preserve">COMPONENTES PEDAGÓGICOS.</w:t>
      </w:r>
      <w:bookmarkEnd w:id="6025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Son las diferentes temáticas que permiten una interacción comunicativa entre el interlocutor y los participantes en contextos específicos; en ella se busca crear un ambiente de aprendizaje que facilite la comprensión de conceptos relacionados a la convivencia, estableciéndose las siguientes:</w:t>
      </w:r>
    </w:p>
    <w:p>
      <w:pPr>
        <w:jc w:val="both"/>
      </w:pPr>
      <w:rPr>
        <w:sz w:val="24"/>
        <w:color w:val="black"/>
      </w:rPr>
    </w:p>
    <w:p>
      <w:pPr>
        <w:jc w:val="both"/>
      </w:pPr>
      <w:r>
        <w:rPr>
          <w:rFonts w:hAnsi="Arial"/>
          <w:rFonts w:ascii="Arial"/>
          <w:sz w:val="24"/>
          <w:color w:val="black"/>
        </w:rPr>
        <w:t xml:space="preserve">1. Ciudadanía, deberes y derechos.</w:t>
      </w:r>
    </w:p>
    <w:p>
      <w:pPr>
        <w:jc w:val="both"/>
      </w:pPr>
      <w:rPr>
        <w:sz w:val="24"/>
        <w:color w:val="black"/>
      </w:rPr>
    </w:p>
    <w:p>
      <w:pPr>
        <w:jc w:val="both"/>
      </w:pPr>
      <w:r>
        <w:rPr>
          <w:rFonts w:hAnsi="Arial"/>
          <w:rFonts w:ascii="Arial"/>
          <w:sz w:val="24"/>
          <w:color w:val="black"/>
        </w:rPr>
        <w:t xml:space="preserve">2. Identidad, pluralidad y diferencias.</w:t>
      </w:r>
    </w:p>
    <w:p>
      <w:pPr>
        <w:jc w:val="both"/>
      </w:pPr>
      <w:rPr>
        <w:sz w:val="24"/>
        <w:color w:val="black"/>
      </w:rPr>
    </w:p>
    <w:p>
      <w:pPr>
        <w:jc w:val="both"/>
      </w:pPr>
      <w:r>
        <w:rPr>
          <w:rFonts w:hAnsi="Arial"/>
          <w:rFonts w:ascii="Arial"/>
          <w:sz w:val="24"/>
          <w:color w:val="black"/>
        </w:rPr>
        <w:t xml:space="preserve">3. Cuidado del ambiente.</w:t>
      </w:r>
    </w:p>
    <w:p>
      <w:pPr>
        <w:jc w:val="both"/>
      </w:pPr>
      <w:rPr>
        <w:sz w:val="24"/>
        <w:color w:val="black"/>
      </w:rPr>
    </w:p>
    <w:p>
      <w:pPr>
        <w:jc w:val="both"/>
      </w:pPr>
      <w:r>
        <w:rPr>
          <w:rFonts w:hAnsi="Arial"/>
          <w:rFonts w:ascii="Arial"/>
          <w:sz w:val="24"/>
          <w:color w:val="black"/>
        </w:rPr>
        <w:t xml:space="preserve">4. Prácticas de Convivencia, negociar, respetar, afrontar los conflictos, diálogo, comunicación-lenguaje, colaboración, construcción de confianza, moral-ética.</w:t>
      </w:r>
    </w:p>
    <w:p>
      <w:pPr>
        <w:jc w:val="both"/>
      </w:pPr>
      <w:rPr>
        <w:sz w:val="24"/>
        <w:color w:val="black"/>
      </w:rPr>
    </w:p>
    <w:p>
      <w:pPr>
        <w:jc w:val="both"/>
      </w:pPr>
      <w:r>
        <w:rPr>
          <w:rFonts w:hAnsi="Arial"/>
          <w:rFonts w:ascii="Arial"/>
          <w:sz w:val="24"/>
          <w:color w:val="black"/>
        </w:rPr>
        <w:t xml:space="preserve">5. Normatividad.</w:t>
      </w:r>
    </w:p>
    <w:p>
      <w:pPr>
        <w:jc w:val="both"/>
      </w:pPr>
      <w:rPr>
        <w:sz w:val="24"/>
        <w:color w:val="black"/>
      </w:rPr>
    </w:p>
    <w:p>
      <w:pPr>
        <w:jc w:val="both"/>
      </w:pPr>
      <w:r>
        <w:rPr>
          <w:rFonts w:hAnsi="Arial"/>
          <w:rFonts w:ascii="Arial"/>
          <w:sz w:val="24"/>
          <w:color w:val="black"/>
        </w:rPr>
        <w:t xml:space="preserve">6. Y aquellas que por el contexto de la población o la comunidad o su idiosincrasia sean pertinentes para generar comportamientos favorables a la convivencia.</w:t>
      </w:r>
    </w:p>
    <w:p>
      <w:pPr>
        <w:jc w:val="center"/>
      </w:pPr>
      <w:rPr>
        <w:color w:val="black"/>
      </w:rPr>
    </w:p>
    <w:p>
      <w:pPr>
        <w:jc w:val="both"/>
      </w:pPr>
      <w:r>
        <w:rPr>
          <w:rFonts w:hAnsi="Arial"/>
          <w:rFonts w:ascii="Arial"/>
          <w:sz w:val="24"/>
          <w:b/>
          <w:vanish/>
          <w:color w:val="black"/>
        </w:rPr>
        <w:t>&amp;$</w:t>
      </w:r>
      <w:bookmarkStart w:id="60258" w:name="2.2.8.6.5"/>
      <w:r>
        <w:rPr>
          <w:rFonts w:hAnsi="Arial"/>
          <w:rFonts w:ascii="Arial"/>
          <w:sz w:val="24"/>
          <w:color w:val="navy"/>
        </w:rPr>
        <w:t xml:space="preserve">ARTÍCULO 2.2.8.6.5. </w:t>
      </w:r>
      <w:r>
        <w:rPr>
          <w:rFonts w:hAnsi="Arial"/>
          <w:rFonts w:ascii="Arial"/>
          <w:sz w:val="24"/>
          <w:i/>
          <w:color w:val="navy"/>
        </w:rPr>
        <w:t xml:space="preserve">OBJETIVOS DEL PROGRAMA DE PEDAGOGÍA</w:t>
      </w:r>
      <w:r>
        <w:rPr>
          <w:rFonts w:hAnsi="Arial"/>
          <w:rFonts w:ascii="Arial"/>
          <w:sz w:val="24"/>
          <w:color w:val="navy"/>
        </w:rPr>
        <w:t>.</w:t>
      </w:r>
      <w:bookmarkEnd w:id="60258"/>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El programa de pedagogía como medida correctiva, debe lograr:</w:t>
      </w:r>
    </w:p>
    <w:p>
      <w:pPr>
        <w:jc w:val="both"/>
      </w:pPr>
      <w:rPr>
        <w:sz w:val="24"/>
        <w:color w:val="black"/>
      </w:rPr>
    </w:p>
    <w:p>
      <w:pPr>
        <w:jc w:val="both"/>
      </w:pPr>
      <w:r>
        <w:rPr>
          <w:rFonts w:hAnsi="Arial"/>
          <w:rFonts w:ascii="Arial"/>
          <w:sz w:val="24"/>
          <w:color w:val="black"/>
        </w:rPr>
        <w:t xml:space="preserve">1. Educar en materia de convivencia a la comunidad.</w:t>
      </w:r>
    </w:p>
    <w:p>
      <w:pPr>
        <w:jc w:val="both"/>
      </w:pPr>
      <w:rPr>
        <w:sz w:val="24"/>
        <w:color w:val="black"/>
      </w:rPr>
    </w:p>
    <w:p>
      <w:pPr>
        <w:jc w:val="both"/>
      </w:pPr>
      <w:r>
        <w:rPr>
          <w:rFonts w:hAnsi="Arial"/>
          <w:rFonts w:ascii="Arial"/>
          <w:sz w:val="24"/>
          <w:color w:val="black"/>
        </w:rPr>
        <w:t xml:space="preserve">2. Construcción personal en el mejoramiento progresivo del comportamiento en convivencia.</w:t>
      </w:r>
    </w:p>
    <w:p>
      <w:pPr>
        <w:jc w:val="both"/>
      </w:pPr>
      <w:rPr>
        <w:sz w:val="24"/>
        <w:color w:val="black"/>
      </w:rPr>
    </w:p>
    <w:p>
      <w:pPr>
        <w:jc w:val="both"/>
      </w:pPr>
      <w:r>
        <w:rPr>
          <w:rFonts w:hAnsi="Arial"/>
          <w:rFonts w:ascii="Arial"/>
          <w:sz w:val="24"/>
          <w:color w:val="black"/>
        </w:rPr>
        <w:t xml:space="preserve">3. Respetar los derechos y deberes de las personas.</w:t>
      </w:r>
    </w:p>
    <w:p>
      <w:pPr>
        <w:jc w:val="center"/>
      </w:pPr>
      <w:rPr>
        <w:color w:val="black"/>
      </w:rPr>
    </w:p>
    <w:p>
      <w:pPr>
        <w:jc w:val="both"/>
      </w:pPr>
      <w:r>
        <w:rPr>
          <w:rFonts w:hAnsi="Arial"/>
          <w:rFonts w:ascii="Arial"/>
          <w:sz w:val="24"/>
          <w:b/>
          <w:vanish/>
          <w:color w:val="black"/>
        </w:rPr>
        <w:t>&amp;$</w:t>
      </w:r>
      <w:bookmarkStart w:id="60259" w:name="2.2.8.6.6"/>
      <w:r>
        <w:rPr>
          <w:rFonts w:hAnsi="Arial"/>
          <w:rFonts w:ascii="Arial"/>
          <w:sz w:val="24"/>
          <w:color w:val="navy"/>
        </w:rPr>
        <w:t xml:space="preserve">ARTÍCULO 2.2.8.6.6. </w:t>
      </w:r>
      <w:r>
        <w:rPr>
          <w:rFonts w:hAnsi="Arial"/>
          <w:rFonts w:ascii="Arial"/>
          <w:sz w:val="24"/>
          <w:i/>
          <w:color w:val="navy"/>
        </w:rPr>
        <w:t xml:space="preserve">ADECUACIÓN DE LAS INSTALACIONES</w:t>
      </w:r>
      <w:r>
        <w:rPr>
          <w:rFonts w:hAnsi="Arial"/>
          <w:rFonts w:ascii="Arial"/>
          <w:sz w:val="24"/>
          <w:color w:val="navy"/>
        </w:rPr>
        <w:t>.</w:t>
      </w:r>
      <w:bookmarkEnd w:id="60259"/>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Las alcaldías adecuarán las instalaciones, recursos logísticos y talento humano necesarios para el desarrollo de las actividades que componen el programa comunitario.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gobernaciones, distritos y alcaldías podrán realizar convenios con la Policía Nacional e instituciones públicas o privadas para el desarrollo de los programas comunitarios y componentes pedagógicos.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estas actividades se realicen por medio de convenios, las gobernaciones, distritos y alcaldías garantizarán los recursos que sean necesarios para su desarrollo.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 duración de la actividad en ningún caso puede superar las seis (6) horas, según lo establecido en el artículo </w:t>
      </w:r>
      <w:r>
        <w:fldChar w:fldCharType="begin"/>
      </w:r>
      <w:r>
        <w:instrText>HYPERLINK "http://www.redjurista.com/document.aspx?ajcode=l1801016&amp;arts=175"</w:instrText>
      </w:r>
      <w:r>
        <w:fldChar w:fldCharType="separate"/>
      </w:r>
      <w:r>
        <w:rPr>
          <w:rFonts w:hAnsi="Arial"/>
          <w:rFonts w:ascii="Arial"/>
          <w:sz w:val="24"/>
          <w:u w:val="single"/>
          <w:color w:val="black"/>
        </w:rPr>
        <w:t>175</w:t>
      </w:r>
      <w:r>
        <w:fldChar w:fldCharType="end"/>
      </w:r>
      <w:r>
        <w:rPr>
          <w:rFonts w:hAnsi="Arial"/>
          <w:rFonts w:ascii="Arial"/>
          <w:sz w:val="24"/>
          <w:u w:val="none"/>
          <w:color w:val="black"/>
        </w:rPr>
        <w:t xml:space="preserve"> de la Ley 1801 de 2016.</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Aplica para los comportamientos contrarios a la convivencia que tengan como medida correctiva la participación en actividad pedagógica, al igual que para aquel ciudadano que conmute dentro del plazo establecido, la multa general tipo 1 o 2 por la participación en actividad pedagógica, siempre y cuando se compagine con los temas acá enunciados.</w:t>
      </w:r>
    </w:p>
    <w:p>
      <w:pPr>
        <w:jc w:val="center"/>
      </w:pPr>
      <w:rPr>
        <w:sz w:val="24"/>
        <w:b/>
        <w:color w:val="black"/>
      </w:rPr>
    </w:p>
    <w:p>
      <w:pPr>
        <w:jc w:val="center"/>
      </w:pPr>
      <w:r>
        <w:rPr>
          <w:rFonts w:hAnsi="Arial"/>
          <w:rFonts w:ascii="Arial"/>
          <w:sz w:val="24"/>
          <w:b/>
          <w:vanish/>
          <w:color w:val="black"/>
        </w:rPr>
        <w:t>&amp;$</w:t>
      </w:r>
      <w:bookmarkStart w:id="60260" w:name="CAPÍTULO VII.8.2.2"/>
      <w:r>
        <w:rPr>
          <w:rFonts w:hAnsi="Arial"/>
          <w:rFonts w:ascii="Arial"/>
          <w:sz w:val="24"/>
          <w:color w:val="navy"/>
        </w:rPr>
        <w:t xml:space="preserve">CAPÍTULO VII. </w:t>
      </w:r>
    </w:p>
    <w:p>
      <w:pPr>
        <w:jc w:val="center"/>
      </w:pPr>
      <w:r>
        <w:rPr>
          <w:rFonts w:hAnsi="Arial"/>
          <w:rFonts w:ascii="Arial"/>
          <w:sz w:val="24"/>
          <w:color w:val="navy"/>
        </w:rPr>
        <w:t xml:space="preserve">DISPOSICIÓN SOBRE EL ACCESO A LA INFORMACIÓN A TRAVÉS DEL REGISTRO ÚNICO SOCIAL Y EMPRESARIAL DEL ESTADO (RUES).</w:t>
      </w:r>
      <w:bookmarkEnd w:id="60260"/>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61" w:name="2.2.8.7.1"/>
      <w:r>
        <w:rPr>
          <w:rFonts w:hAnsi="Arial"/>
          <w:rFonts w:ascii="Arial"/>
          <w:sz w:val="24"/>
          <w:color w:val="navy"/>
        </w:rPr>
        <w:t xml:space="preserve">ARTÍCULO 2.2.8.7.1. </w:t>
      </w:r>
      <w:r>
        <w:rPr>
          <w:rFonts w:hAnsi="Arial"/>
          <w:rFonts w:ascii="Arial"/>
          <w:sz w:val="24"/>
          <w:i/>
          <w:color w:val="navy"/>
        </w:rPr>
        <w:t xml:space="preserve">INFORME DE REGISTRO EN CÁMARAS DE COMERCIO</w:t>
      </w:r>
      <w:r>
        <w:rPr>
          <w:rFonts w:hAnsi="Arial"/>
          <w:rFonts w:ascii="Arial"/>
          <w:sz w:val="24"/>
          <w:color w:val="navy"/>
        </w:rPr>
        <w:t>.</w:t>
      </w:r>
      <w:bookmarkEnd w:id="60261"/>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Las Cámaras de Comercio garantizarán el acceso a la información, a través del Registro Único Social y Empresarial del Estado (RUES), a las administraciones distritales y municipales y la Policía Nacional, para el ejercicio de las funciones propias de inspección y vigilancia de las actividades mercantiles y de las empresas que se creen o modifiquen su actividad económica y/o su domicilio en la respectiva jurisdicción.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administraciones distritales o municipales y la Policía Nacional, deberán garantizar las condiciones de conectividad y seguridad requeridas para el acceso a la información del Registro Único Social y Empresarial del Estado (RUES) y deberán disponer de la capacidad tecnológica necesaria para la interoperabilidad en tiempo real.</w:t>
      </w:r>
    </w:p>
    <w:p>
      <w:pPr>
        <w:jc w:val="center"/>
      </w:pPr>
      <w:rPr>
        <w:sz w:val="24"/>
        <w:b/>
        <w:color w:val="black"/>
      </w:rPr>
    </w:p>
    <w:p>
      <w:pPr>
        <w:jc w:val="center"/>
      </w:pPr>
      <w:r>
        <w:rPr>
          <w:rFonts w:hAnsi="Arial"/>
          <w:rFonts w:ascii="Arial"/>
          <w:sz w:val="24"/>
          <w:b/>
          <w:vanish/>
          <w:color w:val="black"/>
        </w:rPr>
        <w:t>&amp;$</w:t>
      </w:r>
      <w:bookmarkStart w:id="60262" w:name="CAPÍTULO VIII.8.2.2"/>
      <w:r>
        <w:rPr>
          <w:rFonts w:hAnsi="Arial"/>
          <w:rFonts w:ascii="Arial"/>
          <w:sz w:val="24"/>
          <w:color w:val="navy"/>
        </w:rPr>
        <w:t xml:space="preserve">CAPÍTULO VIII. </w:t>
      </w:r>
    </w:p>
    <w:p>
      <w:pPr>
        <w:jc w:val="center"/>
      </w:pPr>
      <w:r>
        <w:rPr>
          <w:rFonts w:hAnsi="Arial"/>
          <w:rFonts w:ascii="Arial"/>
          <w:sz w:val="24"/>
          <w:color w:val="navy"/>
        </w:rPr>
        <w:t xml:space="preserve">ACTIVIDAD DE POLICÍA EN AGUAS JURISDICCIONALES COLOMBIANAS.</w:t>
      </w:r>
      <w:bookmarkEnd w:id="60262"/>
      <w:r>
        <w:rPr>
          <w:rFonts w:hAnsi="Arial"/>
          <w:rFonts w:ascii="Arial"/>
          <w:sz w:val="24"/>
          <w:b/>
          <w:color w:val="black"/>
        </w:rPr>
        <w:t xml:space="preserve"> </w:t>
      </w:r>
    </w:p>
    <w:p>
      <w:pPr>
        <w:jc w:val="center"/>
      </w:pPr>
      <w:rPr>
        <w:sz w:val="24"/>
        <w:color w:val="black"/>
      </w:rPr>
    </w:p>
    <w:p>
      <w:pPr>
        <w:jc w:val="both"/>
      </w:pPr>
      <w:r>
        <w:rPr>
          <w:rFonts w:hAnsi="Arial"/>
          <w:rFonts w:ascii="Arial"/>
          <w:sz w:val="24"/>
          <w:b/>
          <w:vanish/>
          <w:color w:val="black"/>
        </w:rPr>
        <w:t>&amp;$</w:t>
      </w:r>
      <w:bookmarkStart w:id="60263" w:name="2.2.8.8.1"/>
      <w:r>
        <w:rPr>
          <w:rFonts w:hAnsi="Arial"/>
          <w:rFonts w:ascii="Arial"/>
          <w:sz w:val="24"/>
          <w:color w:val="navy"/>
        </w:rPr>
        <w:t xml:space="preserve">ARTÍCULO 2.2.8.8.1. </w:t>
      </w:r>
      <w:r>
        <w:rPr>
          <w:rFonts w:hAnsi="Arial"/>
          <w:rFonts w:ascii="Arial"/>
          <w:sz w:val="24"/>
          <w:i/>
          <w:color w:val="navy"/>
        </w:rPr>
        <w:t xml:space="preserve">ACTIVIDAD DE POLICÍA EN AGUAS JURISDICCIONALES COLOMBIANAS</w:t>
      </w:r>
      <w:r>
        <w:rPr>
          <w:rFonts w:hAnsi="Arial"/>
          <w:rFonts w:ascii="Arial"/>
          <w:sz w:val="24"/>
          <w:color w:val="navy"/>
        </w:rPr>
        <w:t>.</w:t>
      </w:r>
      <w:bookmarkEnd w:id="60263"/>
      <w:r>
        <w:rPr>
          <w:rFonts w:hAnsi="Arial"/>
          <w:rFonts w:ascii="Arial"/>
          <w:sz w:val="24"/>
          <w:color w:val="black"/>
        </w:rPr>
        <w:t xml:space="preserve"> &lt;Artículo adicionado por el artículo </w:t>
      </w:r>
      <w:r>
        <w:fldChar w:fldCharType="begin"/>
      </w:r>
      <w:r>
        <w:instrText>HYPERLINK "http://www.redjurista.com/document.aspx?ajcode=d1284017&amp;arts=1"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1284 de 2017. El nuevo texto es el siguiente:&gt; El ejercicio de la actividad de policía por el Cuerpo de Guardacostas de la Armada Nacional en las áreas bajo su responsabilidad y competencia, se desarrollará de conformidad con el Libro Tercero, Título Primero, Capítulo I de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y del presente capítulo, lo anterior sin perjuicio de las normas especiales que regulan la navegación y las actividades marítimas.</w:t>
      </w:r>
    </w:p>
    <w:p>
      <w:pPr>
        <w:jc w:val="center"/>
      </w:pPr>
      <w:rPr>
        <w:sz w:val="24"/>
        <w:color w:val="black"/>
      </w:rPr>
    </w:p>
    <w:p>
      <w:pPr>
        <w:jc w:val="center"/>
      </w:pPr>
      <w:r>
        <w:rPr>
          <w:rFonts w:hAnsi="Arial"/>
          <w:rFonts w:ascii="Arial"/>
          <w:sz w:val="24"/>
          <w:vanish/>
          <w:color w:val="black"/>
        </w:rPr>
        <w:t>&amp;$</w:t>
      </w:r>
      <w:bookmarkStart w:id="60264" w:name="CAPÍTULO 2.2.8.9"/>
      <w:r>
        <w:rPr>
          <w:rFonts w:hAnsi="Arial"/>
          <w:rFonts w:ascii="Arial"/>
          <w:sz w:val="24"/>
          <w:color w:val="navy"/>
        </w:rPr>
        <w:t xml:space="preserve">CAPÍTULO IX. </w:t>
      </w:r>
    </w:p>
    <w:p>
      <w:pPr>
        <w:jc w:val="center"/>
      </w:pPr>
      <w:r>
        <w:rPr>
          <w:rFonts w:hAnsi="Arial"/>
          <w:rFonts w:ascii="Arial"/>
          <w:sz w:val="24"/>
          <w:color w:val="navy"/>
        </w:rPr>
        <w:t xml:space="preserve">COMPORTAMIENTOS CONTRARIOS A LA CONVIVENCIA RELACIONADOS CON EL PORTE DE SUSTANCIAS ESTUPEFACIENTES O SICOTRÓPICAS.</w:t>
      </w:r>
      <w:bookmarkEnd w:id="60264"/>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265" w:name="2.2.8.9.1"/>
      <w:r>
        <w:rPr>
          <w:rFonts w:hAnsi="Arial"/>
          <w:rFonts w:ascii="Arial"/>
          <w:sz w:val="24"/>
          <w:color w:val="navy"/>
        </w:rPr>
        <w:t xml:space="preserve">ARTÍCULO 2.2.8.9.1. VERIFICACIÓN DE LA INFRACCIÓN.</w:t>
      </w:r>
      <w:bookmarkEnd w:id="60265"/>
      <w:r>
        <w:rPr>
          <w:rFonts w:hAnsi="Arial"/>
          <w:rFonts w:ascii="Arial"/>
          <w:sz w:val="24"/>
          <w:color w:val="black"/>
        </w:rPr>
        <w:t xml:space="preserve"> &lt;Capítulo derogado por el artículo </w:t>
      </w:r>
      <w:r>
        <w:fldChar w:fldCharType="begin"/>
      </w:r>
      <w:r>
        <w:instrText>HYPERLINK "http://www.redjurista.com/document.aspx?ajcode=d2114023&amp;arts=1"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2114 de 2023&gt; </w:t>
      </w:r>
    </w:p>
    <w:p>
      <w:rPr>
        <w:sz w:val="24"/>
        <w:color w:val="black"/>
      </w:rPr>
    </w:p>
    <w:p>
      <w:pPr>
        <w:jc w:val="both"/>
      </w:pPr>
      <w:r>
        <w:rPr>
          <w:rFonts w:hAnsi="Arial"/>
          <w:rFonts w:ascii="Arial"/>
          <w:sz w:val="24"/>
          <w:b/>
          <w:vanish/>
          <w:color w:val="black"/>
        </w:rPr>
        <w:t>&amp;$</w:t>
      </w:r>
      <w:bookmarkStart w:id="60266" w:name="2.2.8.9.2"/>
      <w:r>
        <w:rPr>
          <w:rFonts w:hAnsi="Arial"/>
          <w:rFonts w:ascii="Arial"/>
          <w:sz w:val="24"/>
          <w:color w:val="navy"/>
        </w:rPr>
        <w:t xml:space="preserve">ARTÍCULO 2.2.8.9.2. DESCARGOS.</w:t>
      </w:r>
      <w:bookmarkEnd w:id="60266"/>
      <w:r>
        <w:rPr>
          <w:rFonts w:hAnsi="Arial"/>
          <w:rFonts w:ascii="Arial"/>
          <w:sz w:val="24"/>
          <w:b/>
          <w:color w:val="black"/>
        </w:rPr>
        <w:t xml:space="preserve"> </w:t>
      </w:r>
      <w:r>
        <w:rPr>
          <w:rFonts w:hAnsi="Arial"/>
          <w:rFonts w:ascii="Arial"/>
          <w:sz w:val="24"/>
          <w:color w:val="black"/>
        </w:rPr>
        <w:t xml:space="preserve">&lt;Capítulo derogado por el artículo </w:t>
      </w:r>
      <w:r>
        <w:fldChar w:fldCharType="begin"/>
      </w:r>
      <w:r>
        <w:instrText>HYPERLINK "http://www.redjurista.com/document.aspx?ajcode=d2114023&amp;arts=1"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2114 de 2023&gt; </w:t>
      </w:r>
    </w:p>
    <w:p/>
    <w:p>
      <w:pPr>
        <w:jc w:val="both"/>
      </w:pPr>
      <w:r>
        <w:rPr>
          <w:rFonts w:hAnsi="Arial"/>
          <w:rFonts w:ascii="Arial"/>
          <w:sz w:val="24"/>
          <w:b/>
          <w:vanish/>
          <w:color w:val="black"/>
        </w:rPr>
        <w:t>&amp;$</w:t>
      </w:r>
      <w:bookmarkStart w:id="60267" w:name="2.2.8.9.3"/>
      <w:r>
        <w:rPr>
          <w:rFonts w:hAnsi="Arial"/>
          <w:rFonts w:ascii="Arial"/>
          <w:sz w:val="24"/>
          <w:color w:val="navy"/>
        </w:rPr>
        <w:t xml:space="preserve">ARTÍCULO 2.2.8.9.3. CONSECUENCIA DE LA INFRACCIÓN.</w:t>
      </w:r>
      <w:bookmarkEnd w:id="60267"/>
      <w:r>
        <w:rPr>
          <w:rFonts w:hAnsi="Arial"/>
          <w:rFonts w:ascii="Arial"/>
          <w:sz w:val="24"/>
          <w:color w:val="black"/>
        </w:rPr>
        <w:t xml:space="preserve"> &lt;Capítulo derogado por el artículo </w:t>
      </w:r>
      <w:r>
        <w:fldChar w:fldCharType="begin"/>
      </w:r>
      <w:r>
        <w:instrText>HYPERLINK "http://www.redjurista.com/document.aspx?ajcode=d2114023&amp;arts=1"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2114 de 2023&gt; </w:t>
      </w:r>
    </w:p>
    <w:p/>
    <w:p>
      <w:pPr>
        <w:jc w:val="both"/>
      </w:pPr>
      <w:r>
        <w:rPr>
          <w:rFonts w:hAnsi="Arial"/>
          <w:rFonts w:ascii="Arial"/>
          <w:sz w:val="24"/>
          <w:b/>
          <w:vanish/>
          <w:color w:val="black"/>
        </w:rPr>
        <w:t>&amp;$</w:t>
      </w:r>
      <w:bookmarkStart w:id="60268" w:name="2.2.8.9.4"/>
      <w:r>
        <w:rPr>
          <w:rFonts w:hAnsi="Arial"/>
          <w:rFonts w:ascii="Arial"/>
          <w:sz w:val="24"/>
          <w:color w:val="navy"/>
        </w:rPr>
        <w:t xml:space="preserve">ARTÍCULO 2.2.8.9.4. PROTOCOLO DEL MEDIO DE POLICÍA DE INCAUTACIÓN Y DE LA MEDIDA CORRECTIVA DE DESTRUCCIÓN DEL BIEN.</w:t>
      </w:r>
      <w:bookmarkEnd w:id="60268"/>
      <w:r>
        <w:rPr>
          <w:rFonts w:hAnsi="Arial"/>
          <w:rFonts w:ascii="Arial"/>
          <w:sz w:val="24"/>
          <w:color w:val="black"/>
        </w:rPr>
        <w:t xml:space="preserve"> &lt;Capítulo derogado por el artículo </w:t>
      </w:r>
      <w:r>
        <w:fldChar w:fldCharType="begin"/>
      </w:r>
      <w:r>
        <w:instrText>HYPERLINK "http://www.redjurista.com/document.aspx?ajcode=d2114023&amp;arts=1"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2114 de 2023&gt; </w:t>
      </w:r>
    </w:p>
    <w:p>
      <w:pPr>
        <w:jc w:val="center"/>
      </w:pPr>
      <w:rPr>
        <w:sz w:val="24"/>
        <w:b/>
        <w:color w:val="black"/>
      </w:rPr>
    </w:p>
    <w:p>
      <w:pPr>
        <w:jc w:val="center"/>
      </w:pPr>
      <w:r>
        <w:rPr>
          <w:rFonts w:hAnsi="Arial"/>
          <w:rFonts w:ascii="Arial"/>
          <w:sz w:val="24"/>
          <w:b/>
          <w:vanish/>
          <w:color w:val="black"/>
        </w:rPr>
        <w:t>&amp;$</w:t>
      </w:r>
      <w:bookmarkStart w:id="60269" w:name="CAPÍTULO 2.2.8.10"/>
      <w:r>
        <w:rPr>
          <w:rFonts w:hAnsi="Arial"/>
          <w:rFonts w:ascii="Arial"/>
          <w:sz w:val="24"/>
          <w:color w:val="navy"/>
        </w:rPr>
        <w:t xml:space="preserve">CAPÍTULO X. </w:t>
      </w:r>
    </w:p>
    <w:p>
      <w:pPr>
        <w:jc w:val="center"/>
      </w:pPr>
      <w:r>
        <w:rPr>
          <w:rFonts w:hAnsi="Arial"/>
          <w:rFonts w:ascii="Arial"/>
          <w:sz w:val="24"/>
          <w:color w:val="navy"/>
        </w:rPr>
        <w:t xml:space="preserve">PÓLIZAS DE RESPONSABILIDAD CIVIL EXTRACONTRACTUAL PARA PROPIETARIOS Y TENEDORES DE CANINOS DE MANEJO ESPECIAL.</w:t>
      </w:r>
      <w:bookmarkEnd w:id="6026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270" w:name="2.2.8.10.1"/>
      <w:r>
        <w:rPr>
          <w:rFonts w:hAnsi="Arial"/>
          <w:rFonts w:ascii="Arial"/>
          <w:sz w:val="24"/>
          <w:color w:val="navy"/>
        </w:rPr>
        <w:t xml:space="preserve">ARTÍCULO 2.2.8.10.1. CONSTITUCIÓN DE PÓLIZAS.</w:t>
      </w:r>
      <w:bookmarkEnd w:id="602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Los propietarios de caninos considerados de manejo especial deberán contar con una póliza de responsabilidad civil extracontractual, la cual debe tomarse con una compañía de seguros legalmente autorizada para operar en el país. </w:t>
      </w:r>
    </w:p>
    <w:p>
      <w:pPr>
        <w:jc w:val="both"/>
      </w:pPr>
      <w:rPr>
        <w:sz w:val="24"/>
        <w:b/>
        <w:color w:val="black"/>
      </w:rPr>
    </w:p>
    <w:p>
      <w:pPr>
        <w:jc w:val="both"/>
      </w:pPr>
      <w:r>
        <w:rPr>
          <w:rFonts w:hAnsi="Arial"/>
          <w:rFonts w:ascii="Arial"/>
          <w:sz w:val="24"/>
          <w:color w:val="black"/>
        </w:rPr>
        <w:t xml:space="preserve">El seguro debe amparar la responsabilidad civil extracontractual del propietario o tenedor del canino, por los perjuicios patrimoniales y extra patrimoniales que cause a terceros, como consecuencia de la propiedad y/o tenencia de un canino de manejo especial, y que se concreten en lesión, muerte de personas o animales, o daños a los bienes de terceros.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 dispuesto en el presente artículo, no aplica para los caninos utilizados en la prestación del servicio de vigilancia privada mientras se encuentren en servicio, los cuales se regirán por la normatividad especial sobre la materia.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el propietario del canino sea un menor de edad, el tomador del seguro deberá ser su representante legal. </w:t>
      </w:r>
    </w:p>
    <w:p>
      <w:pPr>
        <w:jc w:val="both"/>
      </w:pPr>
      <w:rPr>
        <w:color w:val="black"/>
      </w:rPr>
    </w:p>
    <w:p>
      <w:pPr>
        <w:jc w:val="both"/>
      </w:pPr>
      <w:r>
        <w:rPr>
          <w:rFonts w:hAnsi="Arial"/>
          <w:rFonts w:ascii="Arial"/>
          <w:sz w:val="24"/>
          <w:b/>
          <w:vanish/>
          <w:color w:val="black"/>
        </w:rPr>
        <w:t>&amp;$</w:t>
      </w:r>
      <w:bookmarkStart w:id="60271" w:name="2.2.8.10.2"/>
      <w:r>
        <w:rPr>
          <w:rFonts w:hAnsi="Arial"/>
          <w:rFonts w:ascii="Arial"/>
          <w:sz w:val="24"/>
          <w:color w:val="navy"/>
        </w:rPr>
        <w:t xml:space="preserve">ARTÍCULO 2.2.8.10.2. VALOR MÍNIMO ASEGURADO Y VIGENCIA DE LA PÓLIZA.</w:t>
      </w:r>
      <w:bookmarkEnd w:id="602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El valor asegurado de la póliza no podrá ser inferior a cincuenta (50) salarios mínimos legales mensuales vigentes (SMLMV) por canino. El valor asegurado de la póliza será la máxima responsabilidad del asegurador, que se puede agotar en uno o más eventos que ocurran durante la vigencia del seguro. </w:t>
      </w:r>
    </w:p>
    <w:p>
      <w:pPr>
        <w:jc w:val="both"/>
      </w:pPr>
      <w:rPr>
        <w:sz w:val="24"/>
        <w:b/>
        <w:color w:val="black"/>
      </w:rPr>
    </w:p>
    <w:p>
      <w:pPr>
        <w:jc w:val="both"/>
      </w:pPr>
      <w:r>
        <w:rPr>
          <w:rFonts w:hAnsi="Arial"/>
          <w:rFonts w:ascii="Arial"/>
          <w:sz w:val="24"/>
          <w:color w:val="black"/>
        </w:rPr>
        <w:t xml:space="preserve">El asegurado deberá mantener vigente la póliza durante la vida del ejemplar, sin perjuicio de que esta se expida anualmente.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Las compañías aseguradoras deberán permitir la adquisición de pólizas de responsabilidad civil extracontractual colectivas, para aquellas entidades, fundaciones sin ánimo de lucro o albergues, legalmente constituidas, destinados a la protección, custodia y cuidado de caninos en estado de maltrato, indefensión o abandono, que deseen adquirirla. Cuando el canino de manejo especial vaya a ser entregado en donación, deberá contar con la respectiva póliza de responsabilidad civil extracontractual. </w:t>
      </w:r>
    </w:p>
    <w:p>
      <w:pPr>
        <w:jc w:val="both"/>
      </w:pPr>
      <w:rPr>
        <w:sz w:val="24"/>
        <w:b/>
        <w:color w:val="black"/>
      </w:rPr>
    </w:p>
    <w:p>
      <w:pPr>
        <w:jc w:val="both"/>
      </w:pPr>
      <w:r>
        <w:rPr>
          <w:rFonts w:hAnsi="Arial"/>
          <w:rFonts w:ascii="Arial"/>
          <w:sz w:val="24"/>
          <w:color w:val="black"/>
        </w:rPr>
        <w:t xml:space="preserve">En todo caso el valor asegurado de la póliza será la máxima responsabilidad del asegurador, que se puede agotar en uno o más eventos que ocurran durante la vigencia del seguro por uno o varios caninos. </w:t>
      </w:r>
    </w:p>
    <w:p>
      <w:pPr>
        <w:jc w:val="both"/>
      </w:pPr>
      <w:rPr>
        <w:color w:val="black"/>
      </w:rPr>
    </w:p>
    <w:p>
      <w:pPr>
        <w:jc w:val="both"/>
      </w:pPr>
      <w:r>
        <w:rPr>
          <w:rFonts w:hAnsi="Arial"/>
          <w:rFonts w:ascii="Arial"/>
          <w:sz w:val="24"/>
          <w:b/>
          <w:vanish/>
          <w:color w:val="black"/>
        </w:rPr>
        <w:t>&amp;$</w:t>
      </w:r>
      <w:bookmarkStart w:id="60272" w:name="2.2.8.10.3"/>
      <w:r>
        <w:rPr>
          <w:rFonts w:hAnsi="Arial"/>
          <w:rFonts w:ascii="Arial"/>
          <w:sz w:val="24"/>
          <w:color w:val="navy"/>
        </w:rPr>
        <w:t xml:space="preserve">ARTÍCULO 2.2.8.10.3. NOTIFICACIÓN DE LA CESIÓN DE LA PROPIEDAD DE CANINOS DE MANEJO ESPECIAL.</w:t>
      </w:r>
      <w:bookmarkEnd w:id="602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Toda compra. venta, traspaso, donación o cualquier cesión del derecho de propiedad, sobre el ejemplar canino clasificado como de manejo especial, se deberá notificar a la alcaldía distrital o municipal y a la compañía de seguros que haya expedido la póliza para efectos de lo contemplado en el artículo </w:t>
      </w:r>
      <w:r>
        <w:fldChar w:fldCharType="begin"/>
      </w:r>
      <w:r>
        <w:instrText>HYPERLINK "http://www.redjurista.com/document.aspx?ajcode=c_comerc&amp;arts=1107"</w:instrText>
      </w:r>
      <w:r>
        <w:fldChar w:fldCharType="separate"/>
      </w:r>
      <w:r>
        <w:rPr>
          <w:rFonts w:hAnsi="Arial"/>
          <w:rFonts w:ascii="Arial"/>
          <w:sz w:val="24"/>
          <w:u w:val="single"/>
          <w:color w:val="black"/>
        </w:rPr>
        <w:t>1107</w:t>
      </w:r>
      <w:r>
        <w:fldChar w:fldCharType="end"/>
      </w:r>
      <w:r>
        <w:rPr>
          <w:rFonts w:hAnsi="Arial"/>
          <w:rFonts w:ascii="Arial"/>
          <w:sz w:val="24"/>
          <w:u w:val="none"/>
          <w:color w:val="black"/>
        </w:rPr>
        <w:t xml:space="preserve"> del Código de Comercio. Para lo cual el nuevo propietario y/o tenedor deberá proceder de forma inmediata a realizar los trámites necesarios para dar cumplimiento a lo dispuesto en el artículo </w:t>
      </w:r>
      <w:r>
        <w:fldChar w:fldCharType="begin"/>
      </w:r>
      <w:r>
        <w:instrText>HYPERLINK "http://www.redjurista.com/document.aspx?ajcode=d1070015&amp;arts=2.2.8.10.1"</w:instrText>
      </w:r>
      <w:r>
        <w:fldChar w:fldCharType="separate"/>
      </w:r>
      <w:r>
        <w:rPr>
          <w:rFonts w:hAnsi="Arial"/>
          <w:rFonts w:ascii="Arial"/>
          <w:sz w:val="24"/>
          <w:u w:val="single"/>
          <w:color w:val="black"/>
        </w:rPr>
        <w:t>2.2.8.10.1</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60273" w:name="2.2.8.10.4"/>
      <w:r>
        <w:rPr>
          <w:rFonts w:hAnsi="Arial"/>
          <w:rFonts w:ascii="Arial"/>
          <w:sz w:val="24"/>
          <w:color w:val="navy"/>
        </w:rPr>
        <w:t xml:space="preserve">ARTÍCULO 2.2.8.10.4. MICROCHIP DE IDENTIFICACIÓN.</w:t>
      </w:r>
      <w:bookmarkEnd w:id="602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Los propietarios y/o tenedores de los caninos de manejo especial deberán implantar un microchip subcutáneo e hipoalergénico de conformidad con la norma ISO 11784 -11785 o la que haga sus veces, el cual debe contener un Código numérico único de identificación, que estará constituido por el número DANE del departamento y municipio en donde nació el canino o fue implantado y cinco dígitos consecutivos asignados en el sitio donde fue implantado por un veterinario con Matricula Profesional y certificado vigente del Consejo Profesional de Medicina Veterinaria y de Zootecnia (COMVEZCOL) o la que haga sus veces. </w:t>
      </w:r>
    </w:p>
    <w:p>
      <w:pPr>
        <w:jc w:val="both"/>
      </w:pPr>
      <w:rPr>
        <w:sz w:val="24"/>
        <w:b/>
        <w:color w:val="black"/>
      </w:rPr>
    </w:p>
    <w:p>
      <w:pPr>
        <w:jc w:val="both"/>
      </w:pPr>
      <w:r>
        <w:rPr>
          <w:rFonts w:hAnsi="Arial"/>
          <w:rFonts w:ascii="Arial"/>
          <w:sz w:val="24"/>
          <w:color w:val="black"/>
        </w:rPr>
        <w:t xml:space="preserve">Para la expedición del seguro, el tomador o asegurado debe proveer a la compañía de seguros, el número único de identificación del canino de manejo especial, para que sea incluido en la respectiva póliza.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efectos de lo señalado en el artículo </w:t>
      </w:r>
      <w:r>
        <w:fldChar w:fldCharType="begin"/>
      </w:r>
      <w:r>
        <w:instrText>HYPERLINK "http://www.redjurista.com/document.aspx?ajcode=l1801016&amp;arts=121"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de la Ley 1801 de 2016, los alcaldes permitirán el registro de caninos que no sean de manejo especial. </w:t>
      </w:r>
    </w:p>
    <w:p>
      <w:pPr>
        <w:jc w:val="both"/>
      </w:pPr>
      <w:rPr>
        <w:sz w:val="24"/>
        <w:b/>
        <w:color w:val="black"/>
      </w:rPr>
    </w:p>
    <w:p>
      <w:pPr>
        <w:jc w:val="both"/>
      </w:pPr>
      <w:r>
        <w:rPr>
          <w:rFonts w:hAnsi="Arial"/>
          <w:rFonts w:ascii="Arial"/>
          <w:sz w:val="24"/>
          <w:color w:val="black"/>
        </w:rPr>
        <w:t xml:space="preserve">La administración distrital o municipal deberá proveer a las autoridades encargadas del control y registro de los caninos. el equipo necesario para la lectura del microchip implantado.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compañía aseguradora deberá enviar mensualmente un reporte a través del Registro Único de Seguros (RUS), informando las pólizas vigentes de que trata la presente reglamentación. En todo caso, la Policía Nacional, a través del RUS podrá tener acceso a la información de las pólizas de responsabilidad civil extracontractual de caninos de manejo especial emitidas por cada compañía de seguros. </w:t>
      </w:r>
    </w:p>
    <w:p>
      <w:pPr>
        <w:jc w:val="both"/>
        <w:outlineLvl w:val="1"/>
      </w:pPr>
      <w:rPr>
        <w:sz w:val="24"/>
        <w:b/>
        <w:color w:val="black"/>
      </w:rPr>
    </w:p>
    <w:p>
      <w:pPr>
        <w:jc w:val="both"/>
        <w:outlineLvl w:val="1"/>
      </w:pPr>
      <w:r>
        <w:rPr>
          <w:rFonts w:hAnsi="Arial"/>
          <w:rFonts w:ascii="Arial"/>
          <w:sz w:val="24"/>
          <w:color w:val="black"/>
        </w:rPr>
        <w:t xml:space="preserve">Al realizarse cualquiera de las acciones de que trata el artículo </w:t>
      </w:r>
      <w:r>
        <w:fldChar w:fldCharType="begin"/>
      </w:r>
      <w:r>
        <w:instrText>HYPERLINK "http://www.redjurista.com/document.aspx?ajcode=l1801016&amp;arts=131"</w:instrText>
      </w:r>
      <w:r>
        <w:fldChar w:fldCharType="separate"/>
      </w:r>
      <w:r>
        <w:rPr>
          <w:rFonts w:hAnsi="Arial"/>
          <w:rFonts w:ascii="Arial"/>
          <w:sz w:val="24"/>
          <w:u w:val="single"/>
          <w:color w:val="black"/>
        </w:rPr>
        <w:t>131</w:t>
      </w:r>
      <w:r>
        <w:fldChar w:fldCharType="end"/>
      </w:r>
      <w:r>
        <w:rPr>
          <w:rFonts w:hAnsi="Arial"/>
          <w:rFonts w:ascii="Arial"/>
          <w:sz w:val="24"/>
          <w:u w:val="none"/>
          <w:color w:val="black"/>
        </w:rPr>
        <w:t xml:space="preserve"> de la Ley 1801 de 2016, se deberá indicar el Código numérico único de identificación del ejemplar y la identidad del médico veterinario que lo implantó, así como el lugar donde se hizo el procedimiento. Esa misma identificación podrá utilizarse para los controles de vacunas, los incidentes de ataques y demás aspectos relacionados con el animal. </w:t>
      </w:r>
    </w:p>
    <w:p>
      <w:pPr>
        <w:jc w:val="both"/>
      </w:pPr>
      <w:rPr>
        <w:color w:val="black"/>
      </w:rPr>
    </w:p>
    <w:p>
      <w:pPr>
        <w:jc w:val="both"/>
      </w:pPr>
      <w:r>
        <w:rPr>
          <w:rFonts w:hAnsi="Arial"/>
          <w:rFonts w:ascii="Arial"/>
          <w:sz w:val="24"/>
          <w:b/>
          <w:vanish/>
          <w:color w:val="black"/>
        </w:rPr>
        <w:t>&amp;$</w:t>
      </w:r>
      <w:bookmarkStart w:id="60274" w:name="2.2.8.10.5"/>
      <w:r>
        <w:rPr>
          <w:rFonts w:hAnsi="Arial"/>
          <w:rFonts w:ascii="Arial"/>
          <w:sz w:val="24"/>
          <w:color w:val="navy"/>
        </w:rPr>
        <w:t xml:space="preserve">ARTÍCULO 2.2.8.10.5. TÉRMINO PARA LA IMPLANTACIÓN DEL MICROCHIP DE IDENTIFICACIÓN Y PARA LA ADQUISICIÓN DEL SEGURO DE RESPONSABILIDAD CIVIL EXTRACONTRACTUAL.</w:t>
      </w:r>
      <w:bookmarkEnd w:id="602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Los propietarios y/o tenedores de caninos de manejo especial, tendrán seis (6) meses a partir de la entrada en vigencia del presente decreto, para implantar el microchip de identificación en el canino y contar con la póliza de responsabilidad civil extracontractual de que trata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w:t>
      </w:r>
    </w:p>
    <w:p>
      <w:pPr>
        <w:jc w:val="both"/>
      </w:pPr>
      <w:rPr>
        <w:color w:val="black"/>
      </w:rPr>
    </w:p>
    <w:p>
      <w:pPr>
        <w:jc w:val="both"/>
      </w:pPr>
      <w:r>
        <w:rPr>
          <w:rFonts w:hAnsi="Arial"/>
          <w:rFonts w:ascii="Arial"/>
          <w:sz w:val="24"/>
          <w:b/>
          <w:vanish/>
          <w:color w:val="black"/>
        </w:rPr>
        <w:t>&amp;$</w:t>
      </w:r>
      <w:bookmarkStart w:id="60275" w:name="2.2.8.10.6"/>
      <w:r>
        <w:rPr>
          <w:rFonts w:hAnsi="Arial"/>
          <w:rFonts w:ascii="Arial"/>
          <w:sz w:val="24"/>
          <w:color w:val="navy"/>
        </w:rPr>
        <w:t xml:space="preserve">ARTÍCULO 2.2.8.10.6. REPORTE DE LOS CENTROS VETERINARIOS.</w:t>
      </w:r>
      <w:bookmarkEnd w:id="602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Los centros veterinarios que lleven a cabo la implantación del microchip de identificación, deberán reportar ante la alcaldía distrital o municipal mensualmente, los datos de cada microchip implantado, para que las Alcaldías puedan verificar que la información contenida en el mismo. corresponda con la información de la póliza reportada en él registro del canino de manejo especial, respetando lo referente a la Ley de Protección de Datos Personales. </w:t>
      </w:r>
    </w:p>
    <w:p>
      <w:pPr>
        <w:jc w:val="both"/>
      </w:pPr>
      <w:rPr>
        <w:sz w:val="24"/>
        <w:b/>
        <w:color w:val="black"/>
      </w:rPr>
    </w:p>
    <w:p>
      <w:pPr>
        <w:jc w:val="both"/>
      </w:pPr>
      <w:r>
        <w:rPr>
          <w:rFonts w:hAnsi="Arial"/>
          <w:rFonts w:ascii="Arial"/>
          <w:sz w:val="24"/>
          <w:color w:val="black"/>
        </w:rPr>
        <w:t xml:space="preserve">El reporte tendrá como mínimo los datos de identificación del microchip, el nombre del canino que lo porta, la raza, el propietario o tenedor. </w:t>
      </w:r>
    </w:p>
    <w:p>
      <w:pPr>
        <w:jc w:val="both"/>
      </w:pPr>
      <w:rPr>
        <w:color w:val="black"/>
      </w:rPr>
    </w:p>
    <w:p>
      <w:pPr>
        <w:jc w:val="both"/>
      </w:pPr>
      <w:r>
        <w:rPr>
          <w:rFonts w:hAnsi="Arial"/>
          <w:rFonts w:ascii="Arial"/>
          <w:sz w:val="24"/>
          <w:b/>
          <w:vanish/>
          <w:color w:val="black"/>
        </w:rPr>
        <w:t>&amp;$</w:t>
      </w:r>
      <w:bookmarkStart w:id="60276" w:name="2.2.8.10.7"/>
      <w:r>
        <w:rPr>
          <w:rFonts w:hAnsi="Arial"/>
          <w:rFonts w:ascii="Arial"/>
          <w:sz w:val="24"/>
          <w:color w:val="navy"/>
        </w:rPr>
        <w:t xml:space="preserve">ARTÍCULO 2.2.8.10.7. ACCESO A LA INFORMACIÓN POR PARTE DE LAS ASEGURADORAS.</w:t>
      </w:r>
      <w:bookmarkEnd w:id="602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"http://www.redjurista.com/document.aspx?ajcode=d0380022&amp;arts=1"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380 de 2022. El nuevo texto es el siguiente:&gt; Para efectos de la expedición de las Pólizas de Responsabilidad Civil Extracontractual de ejemplares caninos de manejo especial, las aseguradoras podrán tener acceso a la información contenida en el registro de caninos de manejo especial de que trata el artículo </w:t>
      </w:r>
      <w:r>
        <w:fldChar w:fldCharType="begin"/>
      </w:r>
      <w:r>
        <w:instrText>HYPERLINK "http://www.redjurista.com/document.aspx?ajcode=l1801016&amp;arts=128"</w:instrText>
      </w:r>
      <w:r>
        <w:fldChar w:fldCharType="separate"/>
      </w:r>
      <w:r>
        <w:rPr>
          <w:rFonts w:hAnsi="Arial"/>
          <w:rFonts w:ascii="Arial"/>
          <w:sz w:val="24"/>
          <w:u w:val="single"/>
          <w:color w:val="black"/>
        </w:rPr>
        <w:t>128</w:t>
      </w:r>
      <w:r>
        <w:fldChar w:fldCharType="end"/>
      </w:r>
      <w:r>
        <w:rPr>
          <w:rFonts w:hAnsi="Arial"/>
          <w:rFonts w:ascii="Arial"/>
          <w:sz w:val="24"/>
          <w:u w:val="none"/>
          <w:color w:val="black"/>
        </w:rPr>
        <w:t xml:space="preserve"> de la Ley 1801 de 2016, respetando lo referente a la Ley de Protección de Datos Personales. </w:t>
      </w:r>
    </w:p>
    <w:p>
      <w:pPr>
        <w:jc w:val="both"/>
      </w:pPr>
      <w:rPr>
        <w:color w:val="black"/>
      </w:rPr>
    </w:p>
    <w:p>
      <w:pPr>
        <w:jc w:val="center"/>
      </w:pPr>
      <w:r>
        <w:rPr>
          <w:rFonts w:hAnsi="Arial"/>
          <w:rFonts w:ascii="Arial"/>
          <w:sz w:val="24"/>
          <w:vanish/>
          <w:color w:val="black"/>
        </w:rPr>
        <w:t>&amp;$</w:t>
      </w:r>
      <w:bookmarkStart w:id="60277" w:name="CAPÍTULO 2.2.8.11"/>
      <w:r>
        <w:rPr>
          <w:rFonts w:hAnsi="Arial"/>
          <w:rFonts w:ascii="Arial"/>
          <w:sz w:val="24"/>
          <w:color w:val="navy"/>
        </w:rPr>
        <w:t xml:space="preserve">CAPÍTULO XI. </w:t>
      </w:r>
    </w:p>
    <w:p>
      <w:pPr>
        <w:jc w:val="center"/>
      </w:pPr>
      <w:r>
        <w:rPr>
          <w:rFonts w:hAnsi="Arial"/>
          <w:rFonts w:ascii="Arial"/>
          <w:sz w:val="24"/>
          <w:color w:val="navy"/>
        </w:rPr>
        <w:t xml:space="preserve">EXHIBICIÓN Y DISFRUTE DE BIENES O PATRIMONIO CULTURAL.</w:t>
      </w:r>
      <w:bookmarkEnd w:id="6027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278" w:name="2.2.8.11.1"/>
      <w:r>
        <w:rPr>
          <w:rFonts w:hAnsi="Arial"/>
          <w:rFonts w:ascii="Arial"/>
          <w:sz w:val="24"/>
          <w:color w:val="navy"/>
        </w:rPr>
        <w:t xml:space="preserve">ARTÍCULO 2.2.8.11.1. EXHIBICIÓN DE BIENES DE INTERÉS CULTURAL, MUEBLES, DE CARÁCTER ARCHIVÍSTICO Y ARQUEOLÓGICO, CUYA TENENCIA SEA EJERCIDA POR LAS IGLESIAS O CONFESIONES RELIGIOSAS.</w:t>
      </w:r>
      <w:bookmarkEnd w:id="602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1007 de 2022. El nuevo texto es el siguiente:&gt; Las iglesias o confesiones religiosas que poseen bienes de interés cultural muebles, bienes de carácter archivístico y bienes arqueológicos (debidamente registrados ante el Instituto Colombiano de Antropología e Historia), para facilitar su exhibición y disfrute por parte de la ciudadanía deberán garantizar condiciones físicas y ambientales de iluminación, temperatura, montaje y seguridad que garanticen su adecuada protección y conservación, en los términos que en cada caso en particular exija la ley y la entidad rectora de la actividad. </w:t>
      </w:r>
    </w:p>
    <w:p>
      <w:pPr>
        <w:jc w:val="both"/>
      </w:pPr>
      <w:rPr>
        <w:sz w:val="24"/>
        <w:color w:val="black"/>
      </w:rPr>
    </w:p>
    <w:p>
      <w:pPr>
        <w:jc w:val="both"/>
      </w:pPr>
      <w:r>
        <w:rPr>
          <w:rFonts w:hAnsi="Arial"/>
          <w:rFonts w:ascii="Arial"/>
          <w:sz w:val="24"/>
          <w:color w:val="black"/>
        </w:rPr>
        <w:t xml:space="preserve">Para bienes de interés cultural de carácter archivístico, deberán garantizar la protección de datos personales y sensibles, propendiendo por su reserva legal cuando esté ordenada de conformidad con los lineamientos del Archivo General de la Nación. </w:t>
      </w:r>
    </w:p>
    <w:p>
      <w:pPr>
        <w:jc w:val="both"/>
      </w:pPr>
      <w:rPr>
        <w:sz w:val="24"/>
        <w:color w:val="black"/>
      </w:rPr>
    </w:p>
    <w:p>
      <w:pPr>
        <w:jc w:val="both"/>
      </w:pPr>
      <w:r>
        <w:rPr>
          <w:rFonts w:hAnsi="Arial"/>
          <w:rFonts w:ascii="Arial"/>
          <w:sz w:val="24"/>
          <w:color w:val="black"/>
        </w:rPr>
        <w:t xml:space="preserve">Cuando deban exhibirse copias de estos documentos, tal aspecto se les informará a los interesados. La exhibición se hará en un lugar visible al público, se informarán los derechos, obligaciones y restricciones. </w:t>
      </w:r>
    </w:p>
    <w:p>
      <w:pPr>
        <w:jc w:val="center"/>
      </w:pPr>
      <w:rPr>
        <w:sz w:val="24"/>
        <w:color w:val="black"/>
      </w:rPr>
    </w:p>
    <w:p>
      <w:pPr>
        <w:jc w:val="center"/>
      </w:pPr>
      <w:r>
        <w:rPr>
          <w:rFonts w:hAnsi="Arial"/>
          <w:rFonts w:ascii="Arial"/>
          <w:sz w:val="24"/>
          <w:vanish/>
          <w:color w:val="black"/>
        </w:rPr>
        <w:t>&amp;$</w:t>
      </w:r>
      <w:bookmarkStart w:id="60279" w:name="CAPÍTULO 2.2.8.12"/>
      <w:r>
        <w:rPr>
          <w:rFonts w:hAnsi="Arial"/>
          <w:rFonts w:ascii="Arial"/>
          <w:sz w:val="24"/>
          <w:color w:val="navy"/>
        </w:rPr>
        <w:t xml:space="preserve">CAPÍTULO XII. </w:t>
      </w:r>
    </w:p>
    <w:p>
      <w:pPr>
        <w:jc w:val="center"/>
      </w:pPr>
      <w:r>
        <w:rPr>
          <w:rFonts w:hAnsi="Arial"/>
          <w:rFonts w:ascii="Arial"/>
          <w:sz w:val="24"/>
          <w:color w:val="navy"/>
        </w:rPr>
        <w:t xml:space="preserve">GESTIÓN DE INCAUTACIÓN O DECOMISO.</w:t>
      </w:r>
      <w:bookmarkEnd w:id="6027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280" w:name="2.2.8.12.1"/>
      <w:r>
        <w:rPr>
          <w:rFonts w:hAnsi="Arial"/>
          <w:rFonts w:ascii="Arial"/>
          <w:sz w:val="24"/>
          <w:color w:val="navy"/>
        </w:rPr>
        <w:t xml:space="preserve">ARTÍCULO 2.2.8.12.1. DE LAS ENTIDADES RESPONSABLES DEL TRASLADO, ALMACENAMIENTO, CONSERVACIÓN, PRESERVACIÓN, DEPÓSITO, CUIDADO Y ADMINISTRACIÓN DE BIENES INCAUTADOS O DECOMISADOS.</w:t>
      </w:r>
      <w:bookmarkEnd w:id="602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La administración distrital o municipal asumirá directamente o a través de terceros, los servicios de logística integral necesarios para la conservación y preservación de los elementos, animales, productos y subproductos derivados de los mismos incautados, decomisados y/o abandonados, exceptuando los especímenes, de especies silvestres de la diversidad biológica. </w:t>
      </w:r>
    </w:p>
    <w:p>
      <w:pPr>
        <w:jc w:val="both"/>
      </w:pPr>
      <w:rPr>
        <w:sz w:val="24"/>
        <w:color w:val="black"/>
      </w:rPr>
    </w:p>
    <w:p>
      <w:pPr>
        <w:jc w:val="both"/>
      </w:pPr>
      <w:r>
        <w:rPr>
          <w:rFonts w:hAnsi="Arial"/>
          <w:rFonts w:ascii="Arial"/>
          <w:sz w:val="24"/>
          <w:color w:val="black"/>
        </w:rPr>
        <w:t xml:space="preserve">La administración distrital o municipal será responsable por los procedimientos de almacenamiento, guarda, custodia, conservación, preservación, control de inventarios, entrega y demás servicios complementarios asociados a la administración de los bienes objeto de las medidas señaladas en el Código Nacional de Seguridad y Convivencia Ciudadana. Así como también, de informar al Ministerio de Cultura e Instituto Colombiano de Antropología e Historia (ICANH), con el fin de coordinar las acciones y lugares de almacenamiento de los Bienes señalados en el artículo </w:t>
      </w:r>
      <w:r>
        <w:fldChar w:fldCharType="begin"/>
      </w:r>
      <w:r>
        <w:instrText>HYPERLINK "http://www.redjurista.com/document.aspx?ajcode=d1070015&amp;arts=2.2.8.12.6"</w:instrText>
      </w:r>
      <w:r>
        <w:fldChar w:fldCharType="separate"/>
      </w:r>
      <w:r>
        <w:rPr>
          <w:rFonts w:hAnsi="Arial"/>
          <w:rFonts w:ascii="Arial"/>
          <w:sz w:val="24"/>
          <w:u w:val="single"/>
          <w:color w:val="black"/>
        </w:rPr>
        <w:t>2.2.8.12.6</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En el evento en que por las características de la mercancía o por no existir recintos de almacenamiento contratados en la jurisdicción de la respectiva administración, no se puedan guardar, almacenar, custodiar los elementos incautados o decomisados, el alcalde requerirá del operador logístico integral contratado o, de ser necesario, celebrará un contrato para la recepción, depósito, almacenamiento, guarda, custodia, conservación y operación logística integral, en el sitio donde se encuentre el elemento. </w:t>
      </w:r>
    </w:p>
    <w:p>
      <w:pPr>
        <w:jc w:val="both"/>
      </w:pPr>
      <w:rPr>
        <w:sz w:val="24"/>
        <w:color w:val="black"/>
      </w:rPr>
    </w:p>
    <w:p>
      <w:pPr>
        <w:jc w:val="both"/>
      </w:pPr>
      <w:r>
        <w:rPr>
          <w:rFonts w:hAnsi="Arial"/>
          <w:rFonts w:ascii="Arial"/>
          <w:sz w:val="24"/>
          <w:color w:val="black"/>
        </w:rPr>
        <w:t xml:space="preserve">Las actividades logísticas previstas en el presente artículo, se podrán financiar, entre otros, con los recursos de que trata el parágrafo del artículo </w:t>
      </w:r>
      <w:r>
        <w:fldChar w:fldCharType="begin"/>
      </w:r>
      <w:r>
        <w:instrText>HYPERLINK "http://www.redjurista.com/document.aspx?ajcode=l1801016&amp;arts=180"</w:instrText>
      </w:r>
      <w:r>
        <w:fldChar w:fldCharType="separate"/>
      </w:r>
      <w:r>
        <w:rPr>
          <w:rFonts w:hAnsi="Arial"/>
          <w:rFonts w:ascii="Arial"/>
          <w:sz w:val="24"/>
          <w:u w:val="single"/>
          <w:color w:val="black"/>
        </w:rPr>
        <w:t>180</w:t>
      </w:r>
      <w:r>
        <w:fldChar w:fldCharType="end"/>
      </w:r>
      <w:r>
        <w:rPr>
          <w:rFonts w:hAnsi="Arial"/>
          <w:rFonts w:ascii="Arial"/>
          <w:sz w:val="24"/>
          <w:u w:val="none"/>
          <w:color w:val="black"/>
        </w:rPr>
        <w:t xml:space="preserve"> de la Ley 1801 de 2016, en concordancia con lo señalado en el artículo </w:t>
      </w:r>
      <w:r>
        <w:fldChar w:fldCharType="begin"/>
      </w:r>
      <w:r>
        <w:instrText>HYPERLINK "http://www.redjurista.com/document.aspx?ajcode=d1284017&amp;arts=2.2.8.4.1"</w:instrText>
      </w:r>
      <w:r>
        <w:fldChar w:fldCharType="separate"/>
      </w:r>
      <w:r>
        <w:rPr>
          <w:rFonts w:hAnsi="Arial"/>
          <w:rFonts w:ascii="Arial"/>
          <w:sz w:val="24"/>
          <w:u w:val="single"/>
          <w:color w:val="black"/>
        </w:rPr>
        <w:t>2.2.8.4.1</w:t>
      </w:r>
      <w:r>
        <w:fldChar w:fldCharType="end"/>
      </w:r>
      <w:r>
        <w:rPr>
          <w:rFonts w:hAnsi="Arial"/>
          <w:rFonts w:ascii="Arial"/>
          <w:sz w:val="24"/>
          <w:u w:val="none"/>
          <w:color w:val="black"/>
        </w:rPr>
        <w:t xml:space="preserve">., del Decreto 1284 de 2017, destinado para la materialización de las medidas correctivas impuestas por las autoridades de Policía.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Policía Nacional deberá estructurar el protocolo para la incautación de las sustancias psicoactivas o prohibidas y armas blancas que incaute en la aplicación del Código Nacional de Seguridad y Convivencia Ciudadana, que garantice un control sobre la misma hasta su destrucción o devolución, cuando aplique. </w:t>
      </w:r>
    </w:p>
    <w:p>
      <w:pPr>
        <w:jc w:val="both"/>
      </w:pPr>
      <w:rPr>
        <w:color w:val="black"/>
      </w:rPr>
    </w:p>
    <w:p>
      <w:pPr>
        <w:jc w:val="both"/>
      </w:pPr>
      <w:r>
        <w:rPr>
          <w:rFonts w:hAnsi="Arial"/>
          <w:rFonts w:ascii="Arial"/>
          <w:sz w:val="24"/>
          <w:b/>
          <w:vanish/>
          <w:color w:val="black"/>
        </w:rPr>
        <w:t>&amp;$</w:t>
      </w:r>
      <w:bookmarkStart w:id="60281" w:name="2.2.8.12.2"/>
      <w:r>
        <w:rPr>
          <w:rFonts w:hAnsi="Arial"/>
          <w:rFonts w:ascii="Arial"/>
          <w:sz w:val="24"/>
          <w:color w:val="navy"/>
        </w:rPr>
        <w:t xml:space="preserve">ARTÍCULO 2.2.8.12.2. UBICACIÓN PROVISIONAL.</w:t>
      </w:r>
      <w:bookmarkEnd w:id="602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Cuando por razones de grave alteración a la convivencia y en forma excepcional los bienes muebles objeto de incautación y decomiso no puedan trasladarse para su almacenamiento ante la alcaldía o tercero contratado, la autoridad de policía competente de ejecutar la orden de policía, lo dejará en custodia de forma provisional en las instalaciones de la Policía Nacional, informando de inmediato a la administración distrital o municipal, para que se tomen las medidas pertinentes dentro del término de la distancia, a efectos que se disponga el traslado del elemento, una vez cese la grave alteración a la convivencia. </w:t>
      </w:r>
    </w:p>
    <w:p>
      <w:pPr>
        <w:jc w:val="both"/>
      </w:pPr>
      <w:rPr>
        <w:sz w:val="24"/>
        <w:b/>
        <w:color w:val="black"/>
      </w:rPr>
    </w:p>
    <w:p>
      <w:pPr>
        <w:jc w:val="both"/>
      </w:pPr>
      <w:r>
        <w:rPr>
          <w:rFonts w:hAnsi="Arial"/>
          <w:rFonts w:ascii="Arial"/>
          <w:sz w:val="24"/>
          <w:color w:val="black"/>
        </w:rPr>
        <w:t xml:space="preserve">En ningún caso el bien objeto de incautación o decomiso, podrá permanecer en dependencias de la Policía Nacional por un tiempo superior a dos (2) meses. Después del tiempo señalado y de mantenerse la grave alteración de la convivencia, la administración distrital o municipal deberá velar por su almacenamiento, conservación, preservación, guarda y custodia. </w:t>
      </w:r>
    </w:p>
    <w:p>
      <w:pPr>
        <w:jc w:val="both"/>
      </w:pPr>
      <w:rPr>
        <w:sz w:val="24"/>
        <w:b/>
        <w:color w:val="black"/>
      </w:rPr>
    </w:p>
    <w:p>
      <w:pPr>
        <w:jc w:val="both"/>
      </w:pPr>
      <w:r>
        <w:rPr>
          <w:rFonts w:hAnsi="Arial"/>
          <w:rFonts w:ascii="Arial"/>
          <w:sz w:val="24"/>
          <w:color w:val="black"/>
        </w:rPr>
        <w:t xml:space="preserve">En estos casos, los gastos que demande el traslado, almacenamiento, preservación, depósito, cuidado y administración de los bienes incautados o decomisados, estarán a cargo de la administración distrital o municipal. </w:t>
      </w:r>
    </w:p>
    <w:p>
      <w:pPr>
        <w:jc w:val="both"/>
      </w:pPr>
      <w:rPr>
        <w:sz w:val="24"/>
        <w:b/>
        <w:color w:val="black"/>
      </w:rPr>
    </w:p>
    <w:p>
      <w:pPr>
        <w:jc w:val="both"/>
      </w:pPr>
      <w:r>
        <w:rPr>
          <w:rFonts w:hAnsi="Arial"/>
          <w:rFonts w:ascii="Arial"/>
          <w:sz w:val="24"/>
          <w:color w:val="black"/>
        </w:rPr>
        <w:t xml:space="preserve">En los eventos de incautación de elementos perecederos, se deberá llevar a cabo el procedimiento establecido en el artículo </w:t>
      </w:r>
      <w:r>
        <w:fldChar w:fldCharType="begin"/>
      </w:r>
      <w:r>
        <w:instrText>HYPERLINK "http://www.redjurista.com/document.aspx?ajcode=d1070015&amp;arts=2.2.8.12.11"</w:instrText>
      </w:r>
      <w:r>
        <w:fldChar w:fldCharType="separate"/>
      </w:r>
      <w:r>
        <w:rPr>
          <w:rFonts w:hAnsi="Arial"/>
          <w:rFonts w:ascii="Arial"/>
          <w:sz w:val="24"/>
          <w:u w:val="single"/>
          <w:color w:val="black"/>
        </w:rPr>
        <w:t>2.2.8.12.11</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60282" w:name="2.2.8.12.3"/>
      <w:r>
        <w:rPr>
          <w:rFonts w:hAnsi="Arial"/>
          <w:rFonts w:ascii="Arial"/>
          <w:sz w:val="24"/>
          <w:color w:val="navy"/>
        </w:rPr>
        <w:t xml:space="preserve">ARTÍCULO 2.2.8.12.3. DEL ALMACENAMIENTO DE ELEMENTOS INCAUTADOS, DECOMISADOS O ABANDONADOS.</w:t>
      </w:r>
      <w:bookmarkEnd w:id="602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Las funciones de administración y custodia de los elementos incautados, decomisados o abandonados de características especiales que se detallan en este artículo, sin perjuicio del procedimiento establecido en el Código Nacional de Seguridad y Convivencia Ciudadana, y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serán de las entidades que se señalan a continuación: </w:t>
      </w:r>
    </w:p>
    <w:p>
      <w:pPr>
        <w:jc w:val="both"/>
        <w:outlineLvl w:val="1"/>
      </w:pPr>
      <w:rPr>
        <w:sz w:val="24"/>
        <w:b/>
        <w:color w:val="black"/>
      </w:rPr>
    </w:p>
    <w:p>
      <w:pPr>
        <w:jc w:val="both"/>
        <w:outlineLvl w:val="1"/>
      </w:pPr>
      <w:r>
        <w:rPr>
          <w:rFonts w:hAnsi="Arial"/>
          <w:rFonts w:ascii="Arial"/>
          <w:sz w:val="24"/>
          <w:b/>
          <w:color w:val="black"/>
        </w:rPr>
        <w:t xml:space="preserve">1. Las sustancias químicas de uso agropecuario y medicamentos de uso animal: </w:t>
      </w:r>
      <w:r>
        <w:rPr>
          <w:rFonts w:hAnsi="Arial"/>
          <w:rFonts w:ascii="Arial"/>
          <w:sz w:val="24"/>
          <w:color w:val="black"/>
        </w:rPr>
        <w:t xml:space="preserve">Instituto Colombiano Agropecuario. </w:t>
      </w:r>
    </w:p>
    <w:p>
      <w:pPr>
        <w:jc w:val="both"/>
        <w:outlineLvl w:val="1"/>
      </w:pPr>
      <w:rPr>
        <w:sz w:val="24"/>
        <w:b/>
        <w:color w:val="black"/>
      </w:rPr>
    </w:p>
    <w:p>
      <w:pPr>
        <w:jc w:val="both"/>
        <w:outlineLvl w:val="1"/>
      </w:pPr>
      <w:r>
        <w:rPr>
          <w:rFonts w:hAnsi="Arial"/>
          <w:rFonts w:ascii="Arial"/>
          <w:sz w:val="24"/>
          <w:b/>
          <w:color w:val="black"/>
        </w:rPr>
        <w:t xml:space="preserve">2. Videogramas, fonogramas, soportes lógicos, obras cinematográficas y libros que violen los derechos de autor: </w:t>
      </w:r>
      <w:r>
        <w:rPr>
          <w:rFonts w:hAnsi="Arial"/>
          <w:rFonts w:ascii="Arial"/>
          <w:sz w:val="24"/>
          <w:color w:val="black"/>
        </w:rPr>
        <w:t xml:space="preserve">Fiscalía General de la Nación. </w:t>
      </w:r>
    </w:p>
    <w:p>
      <w:pPr>
        <w:jc w:val="both"/>
        <w:outlineLvl w:val="1"/>
      </w:pPr>
      <w:rPr>
        <w:sz w:val="24"/>
        <w:b/>
        <w:color w:val="black"/>
      </w:rPr>
    </w:p>
    <w:p>
      <w:pPr>
        <w:jc w:val="both"/>
        <w:outlineLvl w:val="1"/>
      </w:pPr>
      <w:r>
        <w:rPr>
          <w:rFonts w:hAnsi="Arial"/>
          <w:rFonts w:ascii="Arial"/>
          <w:sz w:val="24"/>
          <w:b/>
          <w:color w:val="black"/>
        </w:rPr>
        <w:t xml:space="preserve">3. Sustancias precursoras: </w:t>
      </w:r>
      <w:r>
        <w:rPr>
          <w:rFonts w:hAnsi="Arial"/>
          <w:rFonts w:ascii="Arial"/>
          <w:sz w:val="24"/>
          <w:color w:val="black"/>
        </w:rPr>
        <w:t xml:space="preserve">Sociedad Activos Especiales S.A.S (SAE), o la entidad que se designe para el efecto. </w:t>
      </w:r>
    </w:p>
    <w:p>
      <w:pPr>
        <w:jc w:val="both"/>
        <w:outlineLvl w:val="1"/>
      </w:pPr>
      <w:rPr>
        <w:sz w:val="24"/>
        <w:b/>
        <w:color w:val="black"/>
      </w:rPr>
    </w:p>
    <w:p>
      <w:pPr>
        <w:jc w:val="both"/>
        <w:outlineLvl w:val="1"/>
      </w:pPr>
      <w:r>
        <w:rPr>
          <w:rFonts w:hAnsi="Arial"/>
          <w:rFonts w:ascii="Arial"/>
          <w:sz w:val="24"/>
          <w:b/>
          <w:color w:val="black"/>
        </w:rPr>
        <w:t xml:space="preserve">4. Armas y municiones: </w:t>
      </w:r>
      <w:r>
        <w:rPr>
          <w:rFonts w:hAnsi="Arial"/>
          <w:rFonts w:ascii="Arial"/>
          <w:sz w:val="24"/>
          <w:color w:val="black"/>
        </w:rPr>
        <w:t xml:space="preserve">La Policía Nacional será la competente de almacenar las armas incautadas, decomisadas o halladas, cuando con las mismas se haya afectado la convivencia o así lo disponga la autoridad judicial. </w:t>
      </w:r>
    </w:p>
    <w:p>
      <w:pPr>
        <w:jc w:val="both"/>
        <w:outlineLvl w:val="1"/>
      </w:pPr>
      <w:rPr>
        <w:sz w:val="24"/>
        <w:b/>
        <w:color w:val="black"/>
      </w:rPr>
    </w:p>
    <w:p>
      <w:pPr>
        <w:jc w:val="both"/>
        <w:outlineLvl w:val="1"/>
      </w:pPr>
      <w:r>
        <w:rPr>
          <w:rFonts w:hAnsi="Arial"/>
          <w:rFonts w:ascii="Arial"/>
          <w:sz w:val="24"/>
          <w:b/>
          <w:color w:val="black"/>
        </w:rPr>
        <w:t xml:space="preserve">5. Los bienes de interés cultural y que constituyen patrimonio arqueológico: </w:t>
      </w:r>
      <w:r>
        <w:rPr>
          <w:rFonts w:hAnsi="Arial"/>
          <w:rFonts w:ascii="Arial"/>
          <w:sz w:val="24"/>
          <w:color w:val="black"/>
        </w:rPr>
        <w:t xml:space="preserve">Se almacenarán en los depósitos culturales o artísticos que designen el Ministerio de Cultura e Instituto Colombiano de Antropología e Historia (ICANH), en coordinación con los gobernadores y alcaldes. </w:t>
      </w:r>
    </w:p>
    <w:p>
      <w:pPr>
        <w:jc w:val="both"/>
        <w:outlineLvl w:val="1"/>
      </w:pPr>
      <w:rPr>
        <w:sz w:val="24"/>
        <w:b/>
        <w:color w:val="black"/>
      </w:rPr>
    </w:p>
    <w:p>
      <w:pPr>
        <w:jc w:val="both"/>
        <w:outlineLvl w:val="1"/>
      </w:pPr>
      <w:r>
        <w:rPr>
          <w:rFonts w:hAnsi="Arial"/>
          <w:rFonts w:ascii="Arial"/>
          <w:sz w:val="24"/>
          <w:b/>
          <w:color w:val="black"/>
        </w:rPr>
        <w:t xml:space="preserve">6. Los insumos, sustancias químicas utilizados en la actividad minera y demás minerales incautados o decomisados como consecuencia del incumplimiento de los requisitos establecidos en la ley: </w:t>
      </w:r>
      <w:r>
        <w:rPr>
          <w:rFonts w:hAnsi="Arial"/>
          <w:rFonts w:ascii="Arial"/>
          <w:sz w:val="24"/>
          <w:color w:val="black"/>
        </w:rPr>
        <w:t xml:space="preserve">Serán puestos a disposición de la Sociedad de Activos Especiales S.A.S. (SAE), para lo de su competencia. </w:t>
      </w:r>
    </w:p>
    <w:p>
      <w:pPr>
        <w:jc w:val="both"/>
        <w:outlineLvl w:val="1"/>
      </w:pPr>
      <w:rPr>
        <w:sz w:val="24"/>
        <w:b/>
        <w:color w:val="black"/>
      </w:rPr>
    </w:p>
    <w:p>
      <w:pPr>
        <w:jc w:val="both"/>
        <w:outlineLvl w:val="1"/>
      </w:pPr>
      <w:r>
        <w:rPr>
          <w:rFonts w:hAnsi="Arial"/>
          <w:rFonts w:ascii="Arial"/>
          <w:sz w:val="24"/>
          <w:b/>
          <w:color w:val="black"/>
        </w:rPr>
        <w:t xml:space="preserve">7. El oro, plata y platino: </w:t>
      </w:r>
      <w:r>
        <w:rPr>
          <w:rFonts w:hAnsi="Arial"/>
          <w:rFonts w:ascii="Arial"/>
          <w:sz w:val="24"/>
          <w:color w:val="black"/>
        </w:rPr>
        <w:t xml:space="preserve">Sociedad Activos Especiales S.A.S (SAE), o la entidad que se designe para el efecto, y la custodia en cabeza del Banco de la República. </w:t>
      </w:r>
    </w:p>
    <w:p>
      <w:pPr>
        <w:jc w:val="both"/>
        <w:outlineLvl w:val="1"/>
      </w:pPr>
      <w:rPr>
        <w:sz w:val="24"/>
        <w:b/>
        <w:color w:val="black"/>
      </w:rPr>
    </w:p>
    <w:p>
      <w:pPr>
        <w:jc w:val="both"/>
        <w:outlineLvl w:val="1"/>
      </w:pPr>
      <w:r>
        <w:rPr>
          <w:rFonts w:hAnsi="Arial"/>
          <w:rFonts w:ascii="Arial"/>
          <w:sz w:val="24"/>
          <w:b/>
          <w:color w:val="black"/>
        </w:rPr>
        <w:t xml:space="preserve">8. Los especímenes de especies silvestres de la diversidad biológica: </w:t>
      </w:r>
      <w:r>
        <w:rPr>
          <w:rFonts w:hAnsi="Arial"/>
          <w:rFonts w:ascii="Arial"/>
          <w:sz w:val="24"/>
          <w:color w:val="black"/>
        </w:rPr>
        <w:t xml:space="preserve">Los especímenes de especies silvestres de la diversidad biológica, así como de los productos, elementos, medios o implementos utilizados para cometer la infracción ambiental, se deberán poner a disposición de la autoridad ambiental competente, en el marco de lo establecido en la Ley </w:t>
      </w:r>
      <w:r>
        <w:fldChar w:fldCharType="begin"/>
      </w:r>
      <w:r>
        <w:instrText>HYPERLINK "http://www.redjurista.com/document.aspx?ajcode=l1333009&amp;arts=INICIO"</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o de la norma que la modifique o sustituya, así como lo señalado en sus normas reglamentarias vigentes. </w:t>
      </w:r>
    </w:p>
    <w:p>
      <w:pPr>
        <w:jc w:val="both"/>
      </w:pPr>
      <w:rPr>
        <w:color w:val="black"/>
      </w:rPr>
    </w:p>
    <w:p>
      <w:pPr>
        <w:jc w:val="both"/>
      </w:pPr>
      <w:r>
        <w:rPr>
          <w:rFonts w:hAnsi="Arial"/>
          <w:rFonts w:ascii="Arial"/>
          <w:sz w:val="24"/>
          <w:b/>
          <w:vanish/>
          <w:color w:val="black"/>
        </w:rPr>
        <w:t>&amp;$</w:t>
      </w:r>
      <w:bookmarkStart w:id="60283" w:name="2.2.8.12.4"/>
      <w:r>
        <w:rPr>
          <w:rFonts w:hAnsi="Arial"/>
          <w:rFonts w:ascii="Arial"/>
          <w:sz w:val="24"/>
          <w:color w:val="navy"/>
        </w:rPr>
        <w:t xml:space="preserve">ARTÍCULO 2.2.8.12.4. ANIMALES DE PRODUCCIÓN PARA CONSUMO HUMANO.</w:t>
      </w:r>
      <w:bookmarkEnd w:id="602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La Policía Nacional en coordinación conjunta con el Instituto Colombiano Agropecuario para determinar la procedencia de la incautación o decomiso de animales de producción, así como la disposición final de los animales de producción efectivamente decomisados o incautados, atendiendo la normatividad en materia de bienestar animal. </w:t>
      </w:r>
    </w:p>
    <w:p>
      <w:pPr>
        <w:jc w:val="both"/>
      </w:pPr>
      <w:rPr>
        <w:sz w:val="24"/>
        <w:b/>
        <w:color w:val="black"/>
      </w:rPr>
    </w:p>
    <w:p>
      <w:pPr>
        <w:jc w:val="both"/>
      </w:pPr>
      <w:r>
        <w:rPr>
          <w:rFonts w:hAnsi="Arial"/>
          <w:rFonts w:ascii="Arial"/>
          <w:sz w:val="24"/>
          <w:color w:val="black"/>
        </w:rPr>
        <w:t xml:space="preserve">Para este efecto el Instituto Colombiano Agropecuario emitirá concepto zoosanitario de los animales de producción en cuestión, en el cual revisará la condición sanitaria y la validez de la Guía Sanitaria de Movilización Interna.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Entiéndase como animal de producción para consumo humano, los que estén regulados en la normatividad sanitaria vigente. </w:t>
      </w:r>
    </w:p>
    <w:p>
      <w:pPr>
        <w:jc w:val="both"/>
      </w:pPr>
      <w:rPr>
        <w:color w:val="black"/>
      </w:rPr>
    </w:p>
    <w:p>
      <w:pPr>
        <w:jc w:val="both"/>
      </w:pPr>
      <w:r>
        <w:rPr>
          <w:rFonts w:hAnsi="Arial"/>
          <w:rFonts w:ascii="Arial"/>
          <w:sz w:val="24"/>
          <w:b/>
          <w:vanish/>
          <w:color w:val="black"/>
        </w:rPr>
        <w:t>&amp;$</w:t>
      </w:r>
      <w:bookmarkStart w:id="60284" w:name="2.2.8.12.5"/>
      <w:r>
        <w:rPr>
          <w:rFonts w:hAnsi="Arial"/>
          <w:rFonts w:ascii="Arial"/>
          <w:sz w:val="24"/>
          <w:color w:val="navy"/>
        </w:rPr>
        <w:t xml:space="preserve">ARTÍCULO 2.2.8.12.5. RESPONSABILIDAD POR EL PAGO DE ALMACENAMIENTO.</w:t>
      </w:r>
      <w:bookmarkEnd w:id="602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Cuando se trate de elementos incautados o decomisados que deban ser objeto de devolución ordenada mediante acto administrativo por improcedencia de dicha medida, la administración asumirá únicamente los costos causados por concepto de almacenamiento, desde la fecha en que esta ingresó al recinto de almacenamiento y hasta el vencimiento del plazo concedido para su salida.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administración podrá tercerizar o contratar los servicios de almacenamiento, guarda, custodia, conservación y preservación de elementos incautados o decomisados.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el evento que la administración requiera una nueva tercerización o contratación de dicho servicio, se deberá incluir el término necesario para el retiro definitivo de las mercancías de los recintos de almacenamiento del nuevo operador. </w:t>
      </w:r>
    </w:p>
    <w:p>
      <w:pPr>
        <w:jc w:val="both"/>
      </w:pPr>
      <w:rPr>
        <w:color w:val="black"/>
      </w:rPr>
    </w:p>
    <w:p>
      <w:pPr>
        <w:jc w:val="both"/>
      </w:pPr>
      <w:r>
        <w:rPr>
          <w:rFonts w:hAnsi="Arial"/>
          <w:rFonts w:ascii="Arial"/>
          <w:sz w:val="24"/>
          <w:b/>
          <w:vanish/>
          <w:color w:val="black"/>
        </w:rPr>
        <w:t>&amp;$</w:t>
      </w:r>
      <w:bookmarkStart w:id="60285" w:name="2.2.8.12.6"/>
      <w:r>
        <w:rPr>
          <w:rFonts w:hAnsi="Arial"/>
          <w:rFonts w:ascii="Arial"/>
          <w:sz w:val="24"/>
          <w:color w:val="navy"/>
        </w:rPr>
        <w:t xml:space="preserve">ARTÍCULO 2.2.8.12.6. DISPOSICIÓN FINAL DE LOS ELEMENTOS.</w:t>
      </w:r>
      <w:bookmarkEnd w:id="602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En caso de abandono, decomiso o incautación del elemento, con excepción de los Especímenes de especies silvestres de la diversidad biológica, la disposición final de estos podrá ser: </w:t>
      </w:r>
    </w:p>
    <w:p>
      <w:pPr>
        <w:jc w:val="both"/>
      </w:pPr>
      <w:rPr>
        <w:sz w:val="24"/>
        <w:b/>
        <w:color w:val="black"/>
      </w:rPr>
    </w:p>
    <w:p>
      <w:pPr>
        <w:jc w:val="both"/>
      </w:pPr>
      <w:r>
        <w:rPr>
          <w:rFonts w:hAnsi="Arial"/>
          <w:rFonts w:ascii="Arial"/>
          <w:sz w:val="24"/>
          <w:b/>
          <w:color w:val="black"/>
        </w:rPr>
        <w:t xml:space="preserve">Remate: </w:t>
      </w:r>
      <w:r>
        <w:rPr>
          <w:rFonts w:hAnsi="Arial"/>
          <w:rFonts w:ascii="Arial"/>
          <w:sz w:val="24"/>
          <w:color w:val="black"/>
        </w:rPr>
        <w:t xml:space="preserve">Cuando mediante decisión policiva el elemento es decomisado, queda en condiciones de ser subastado en público remate por haberse comprobado que afectó la convivencia. </w:t>
      </w:r>
    </w:p>
    <w:p>
      <w:pPr>
        <w:jc w:val="both"/>
      </w:pPr>
      <w:rPr>
        <w:sz w:val="24"/>
        <w:b/>
        <w:color w:val="black"/>
      </w:rPr>
    </w:p>
    <w:p>
      <w:pPr>
        <w:jc w:val="both"/>
      </w:pPr>
      <w:r>
        <w:rPr>
          <w:rFonts w:hAnsi="Arial"/>
          <w:rFonts w:ascii="Arial"/>
          <w:sz w:val="24"/>
          <w:color w:val="black"/>
        </w:rPr>
        <w:t xml:space="preserve">Igual situación se presenta cuando el elemento fue declarado en abandono por la autoridad distrital o municipal. </w:t>
      </w:r>
    </w:p>
    <w:p>
      <w:pPr>
        <w:jc w:val="both"/>
      </w:pPr>
      <w:rPr>
        <w:sz w:val="24"/>
        <w:b/>
        <w:color w:val="black"/>
      </w:rPr>
    </w:p>
    <w:p>
      <w:pPr>
        <w:jc w:val="both"/>
      </w:pPr>
      <w:r>
        <w:rPr>
          <w:rFonts w:hAnsi="Arial"/>
          <w:rFonts w:ascii="Arial"/>
          <w:sz w:val="24"/>
          <w:b/>
          <w:color w:val="black"/>
        </w:rPr>
        <w:t xml:space="preserve">Inutilización: </w:t>
      </w:r>
      <w:r>
        <w:rPr>
          <w:rFonts w:hAnsi="Arial"/>
          <w:rFonts w:ascii="Arial"/>
          <w:sz w:val="24"/>
          <w:color w:val="black"/>
        </w:rPr>
        <w:t xml:space="preserve">Actividad que lleva a cabo la administración distrital o municipal frente a bienes incautados o decomisados que por sus características especiales no pueden ser donados ni rematados. </w:t>
      </w:r>
    </w:p>
    <w:p>
      <w:pPr>
        <w:jc w:val="both"/>
      </w:pPr>
      <w:rPr>
        <w:sz w:val="24"/>
        <w:b/>
        <w:color w:val="black"/>
      </w:rPr>
    </w:p>
    <w:p>
      <w:pPr>
        <w:jc w:val="both"/>
      </w:pPr>
      <w:r>
        <w:rPr>
          <w:rFonts w:hAnsi="Arial"/>
          <w:rFonts w:ascii="Arial"/>
          <w:sz w:val="24"/>
          <w:b/>
          <w:color w:val="black"/>
        </w:rPr>
        <w:t xml:space="preserve">Donación: </w:t>
      </w:r>
      <w:r>
        <w:rPr>
          <w:rFonts w:hAnsi="Arial"/>
          <w:rFonts w:ascii="Arial"/>
          <w:sz w:val="24"/>
          <w:color w:val="black"/>
        </w:rPr>
        <w:t xml:space="preserve">Acto a través del cual la administración distrital o municipal, procede a entregar a título gratuito a otra entidad del Estado, los bienes que fueron incautados y sobre ellos surgió el abandono o una decisión policiva de decomiso.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los Bienes de Interés Cultural (BIC), no se aplica lo señalado en el presente artículo.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Para las armas de fuego decomisadas, no se aplica lo señalado en este artículo. Una vez ordenado el decomiso definitivo deberán ser destruidas de conformidad con lo señalado en la normatividad vigente. </w:t>
      </w:r>
    </w:p>
    <w:p>
      <w:pPr>
        <w:jc w:val="both"/>
        <w:outlineLvl w:val="1"/>
      </w:pPr>
      <w:rPr>
        <w:color w:val="black"/>
      </w:rPr>
    </w:p>
    <w:p>
      <w:pPr>
        <w:jc w:val="both"/>
        <w:outlineLvl w:val="1"/>
      </w:pPr>
      <w:r>
        <w:rPr>
          <w:rFonts w:hAnsi="Arial"/>
          <w:rFonts w:ascii="Arial"/>
          <w:sz w:val="24"/>
          <w:b/>
          <w:vanish/>
          <w:color w:val="black"/>
        </w:rPr>
        <w:t>&amp;$</w:t>
      </w:r>
      <w:bookmarkStart w:id="60286" w:name="2.2.8.12.7"/>
      <w:r>
        <w:rPr>
          <w:rFonts w:hAnsi="Arial"/>
          <w:rFonts w:ascii="Arial"/>
          <w:sz w:val="24"/>
          <w:color w:val="navy"/>
        </w:rPr>
        <w:t xml:space="preserve">ARTÍCULO 2.2.8.12.7. CRITERIOS GENERALES PARA LA PROCEDENCIA DE LA DONACIÓN.</w:t>
      </w:r>
      <w:bookmarkEnd w:id="602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Cuando el elemento incautado, o decomisado, haya sido abandonado, excepto equipos terminales móviles (ETM), se procederá a realizar la donación, previo cumplimiento de los siguientes requisitos: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Acreditar la necesidad de utilizar este bien para el cumplimiento de su objeto misional.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Que el bien no cuenta con un alto potencial de venta.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Que el bien no se encuentra dentro de un acuerdo de comercialización en curso para su enajenación. </w:t>
      </w:r>
    </w:p>
    <w:p>
      <w:pPr>
        <w:jc w:val="both"/>
        <w:outlineLvl w:val="1"/>
      </w:pPr>
      <w:rPr>
        <w:sz w:val="24"/>
        <w:b/>
        <w:color w:val="black"/>
      </w:rPr>
    </w:p>
    <w:p>
      <w:pPr>
        <w:jc w:val="both"/>
        <w:outlineLvl w:val="1"/>
      </w:pPr>
      <w:r>
        <w:rPr>
          <w:rFonts w:hAnsi="Arial"/>
          <w:rFonts w:ascii="Arial"/>
          <w:sz w:val="24"/>
          <w:color w:val="black"/>
        </w:rPr>
        <w:t xml:space="preserve">Además de los criterios aquí previstos, se tendrán en cuenta las normas generales vigentes que regulan la donación.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todo caso, en primera instancia se deberá ofrecer la donación, a la Fuerza Pública.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personas receptoras de las donaciones de alimentos decomisados, solamente podrán utilizarlos para el fin para el cual fueron solicitados.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Las partes que intervienen en el proceso de donación, deberán precisar en el mismo acto cuál de ellas asume los gastos de transporte, almacenamiento y demás que haya lugar. </w:t>
      </w:r>
    </w:p>
    <w:p>
      <w:pPr>
        <w:jc w:val="both"/>
        <w:outlineLvl w:val="1"/>
      </w:pPr>
      <w:rPr>
        <w:color w:val="black"/>
      </w:rPr>
    </w:p>
    <w:p>
      <w:pPr>
        <w:jc w:val="both"/>
        <w:outlineLvl w:val="1"/>
      </w:pPr>
      <w:r>
        <w:rPr>
          <w:rFonts w:hAnsi="Arial"/>
          <w:rFonts w:ascii="Arial"/>
          <w:sz w:val="24"/>
          <w:b/>
          <w:vanish/>
          <w:color w:val="black"/>
        </w:rPr>
        <w:t>&amp;$</w:t>
      </w:r>
      <w:bookmarkStart w:id="60287" w:name="2.2.8.12.8"/>
      <w:r>
        <w:rPr>
          <w:rFonts w:hAnsi="Arial"/>
          <w:rFonts w:ascii="Arial"/>
          <w:sz w:val="24"/>
          <w:color w:val="navy"/>
        </w:rPr>
        <w:t xml:space="preserve">ARTÍCULO 2.2.8.12.8. CRITERIO PARA LA PROCEDENCIA DEL REMATE.</w:t>
      </w:r>
      <w:bookmarkEnd w:id="602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Cuando el elemento incautado, haya sido abandonado o decomisado, excepto equipos móviles, la autoridad distrital o municipal, lo rematará si lo estima conveniente. </w:t>
      </w:r>
    </w:p>
    <w:p>
      <w:pPr>
        <w:jc w:val="both"/>
        <w:outlineLvl w:val="1"/>
      </w:pPr>
      <w:rPr>
        <w:color w:val="black"/>
      </w:rPr>
    </w:p>
    <w:p>
      <w:pPr>
        <w:jc w:val="both"/>
        <w:outlineLvl w:val="1"/>
      </w:pPr>
      <w:r>
        <w:rPr>
          <w:rFonts w:hAnsi="Arial"/>
          <w:rFonts w:ascii="Arial"/>
          <w:sz w:val="24"/>
          <w:b/>
          <w:vanish/>
          <w:color w:val="black"/>
        </w:rPr>
        <w:t>&amp;$</w:t>
      </w:r>
      <w:bookmarkStart w:id="60288" w:name="2.2.8.12.9"/>
      <w:r>
        <w:rPr>
          <w:rFonts w:hAnsi="Arial"/>
          <w:rFonts w:ascii="Arial"/>
          <w:sz w:val="24"/>
          <w:color w:val="navy"/>
        </w:rPr>
        <w:t xml:space="preserve">ARTÍCULO 2.2.8.12.9. PRECIO BASE MÍNIMO DE VENTA EN EVENTOS DE REMATE.</w:t>
      </w:r>
      <w:bookmarkEnd w:id="602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Los Alcaldes distritales o municipales podrán adelantar la venta en subasta pública de los bienes, la cual se realizará, por un precio base mínimo determinado mediante la metodología de administración que resulte de aplicar el avalúo comercial vigente, y las variables que se describen a continuación: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Los gastos y obligaciones asociados al mantenimiento, custodia, conservación, guarda y administración del bien, incluidos sus impuestos y seguros.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El tiempo y los costos requeridos para la enajenación del bien.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Estado y costos del saneamiento de los activos. </w:t>
      </w:r>
    </w:p>
    <w:p>
      <w:pPr>
        <w:jc w:val="both"/>
        <w:outlineLvl w:val="1"/>
      </w:pPr>
      <w:rPr>
        <w:color w:val="black"/>
      </w:rPr>
    </w:p>
    <w:p>
      <w:pPr>
        <w:jc w:val="both"/>
        <w:outlineLvl w:val="1"/>
      </w:pPr>
      <w:r>
        <w:rPr>
          <w:rFonts w:hAnsi="Arial"/>
          <w:rFonts w:ascii="Arial"/>
          <w:sz w:val="24"/>
          <w:b/>
          <w:vanish/>
          <w:color w:val="black"/>
        </w:rPr>
        <w:t>&amp;$</w:t>
      </w:r>
      <w:bookmarkStart w:id="60289" w:name="2.2.8.12.10"/>
      <w:r>
        <w:rPr>
          <w:rFonts w:hAnsi="Arial"/>
          <w:rFonts w:ascii="Arial"/>
          <w:sz w:val="24"/>
          <w:color w:val="navy"/>
        </w:rPr>
        <w:t xml:space="preserve">ARTÍCULO 2.2.8.12.10. CONDICIONES PARA PRESENTAR OFERTAS.</w:t>
      </w:r>
      <w:bookmarkEnd w:id="602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Para presentar ofertas de compra se deberá realizar en sobre cerrado o participar en subasta pública, el oferente debe consignar el veinte por ciento (20%) del precio base mínimo de venta a favor de la administración distrital o municipal, en la cuenta que esta determine. Dicha suma es imputable al precio para el mejor postor aprobado, y se perderá a título de sanción en caso de incumplimiento de las obligaciones adquiridas con la presentación de la oferta. </w:t>
      </w:r>
    </w:p>
    <w:p>
      <w:pPr>
        <w:jc w:val="both"/>
        <w:outlineLvl w:val="1"/>
      </w:pPr>
      <w:rPr>
        <w:sz w:val="24"/>
        <w:b/>
        <w:color w:val="black"/>
      </w:rPr>
    </w:p>
    <w:p>
      <w:pPr>
        <w:jc w:val="both"/>
        <w:outlineLvl w:val="1"/>
      </w:pPr>
      <w:r>
        <w:rPr>
          <w:rFonts w:hAnsi="Arial"/>
          <w:rFonts w:ascii="Arial"/>
          <w:sz w:val="24"/>
          <w:color w:val="black"/>
        </w:rPr>
        <w:t xml:space="preserve">Al oferente cuya oferta no fuere seleccionada se le devolverá el valor consignado dentro de los quince (15) días calendario siguientes a la aprobación definitiva de la oferta, sin que haya lugar al reconocimiento de intereses, rendimientos e indemnizaciones, ni reconocimiento del impuesto a las transacciones financieras. </w:t>
      </w:r>
    </w:p>
    <w:p>
      <w:pPr>
        <w:jc w:val="both"/>
        <w:outlineLvl w:val="1"/>
      </w:pPr>
      <w:rPr>
        <w:sz w:val="24"/>
        <w:b/>
        <w:color w:val="black"/>
      </w:rPr>
    </w:p>
    <w:p>
      <w:pPr>
        <w:jc w:val="both"/>
        <w:outlineLvl w:val="1"/>
      </w:pPr>
      <w:r>
        <w:rPr>
          <w:rFonts w:hAnsi="Arial"/>
          <w:rFonts w:ascii="Arial"/>
          <w:sz w:val="24"/>
          <w:color w:val="black"/>
        </w:rPr>
        <w:t xml:space="preserve">Un oferente podrá mantener la consignación previa para participar en la oferta de otros bienes cuando así lo manifieste por escrito, y siempre y cuando dicho valor corresponda por lo menos al veinte por ciento (20%) del precio mínimo de venta del bien en el cual esté interesado o adicione recursos que representen tal porcentaje. </w:t>
      </w:r>
    </w:p>
    <w:p>
      <w:pPr>
        <w:jc w:val="both"/>
        <w:outlineLvl w:val="1"/>
      </w:pPr>
      <w:rPr>
        <w:color w:val="black"/>
      </w:rPr>
    </w:p>
    <w:p>
      <w:pPr>
        <w:jc w:val="both"/>
        <w:outlineLvl w:val="1"/>
      </w:pPr>
      <w:r>
        <w:rPr>
          <w:rFonts w:hAnsi="Arial"/>
          <w:rFonts w:ascii="Arial"/>
          <w:sz w:val="24"/>
          <w:b/>
          <w:vanish/>
          <w:color w:val="black"/>
        </w:rPr>
        <w:t>&amp;$</w:t>
      </w:r>
      <w:bookmarkStart w:id="60290" w:name="2.2.8.12.11"/>
      <w:r>
        <w:rPr>
          <w:rFonts w:hAnsi="Arial"/>
          <w:rFonts w:ascii="Arial"/>
          <w:sz w:val="24"/>
          <w:color w:val="navy"/>
        </w:rPr>
        <w:t xml:space="preserve">ARTÍCULO 2.2.8.12.11. INUTILIZACIÓN O DESTRUCCIÓN.</w:t>
      </w:r>
      <w:bookmarkEnd w:id="602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La autoridad administrativa distrital o municipal procederá a la inutilización o destrucción de los bienes que no se puedan donar o rematar, previo concepto técnico, según corresponda a la naturaleza del mismo, dejando constancia de ello en un archivo fotográfico y/o fílmico. No se aplicará cuando se trate de equipos terminales móviles (ETM). </w:t>
      </w:r>
    </w:p>
    <w:p>
      <w:pPr>
        <w:jc w:val="both"/>
        <w:outlineLvl w:val="1"/>
      </w:pPr>
      <w:rPr>
        <w:sz w:val="24"/>
        <w:b/>
        <w:color w:val="black"/>
      </w:rPr>
    </w:p>
    <w:p>
      <w:pPr>
        <w:jc w:val="both"/>
        <w:outlineLvl w:val="1"/>
      </w:pPr>
      <w:r>
        <w:rPr>
          <w:rFonts w:hAnsi="Arial"/>
          <w:rFonts w:ascii="Arial"/>
          <w:sz w:val="24"/>
          <w:color w:val="black"/>
        </w:rPr>
        <w:t xml:space="preserve">Para lo establecido en el presente artículo, la autoridad administrativa distrital o municipal, podrá celebrar los convenios o contratos a que haya lugar, para la disposición final de los bienes. </w:t>
      </w:r>
    </w:p>
    <w:p>
      <w:pPr>
        <w:jc w:val="both"/>
        <w:outlineLvl w:val="1"/>
      </w:pPr>
      <w:rPr>
        <w:sz w:val="24"/>
        <w:b/>
        <w:color w:val="black"/>
      </w:rPr>
    </w:p>
    <w:p>
      <w:pPr>
        <w:jc w:val="both"/>
        <w:outlineLvl w:val="1"/>
      </w:pPr>
      <w:r>
        <w:rPr>
          <w:rFonts w:hAnsi="Arial"/>
          <w:rFonts w:ascii="Arial"/>
          <w:sz w:val="24"/>
          <w:color w:val="black"/>
        </w:rPr>
        <w:t xml:space="preserve">Esta disposición también se aplicará cuando el decomiso proceda de la autoridad sanitaria Distrital y Municipal.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lo referente a fuegos artificiales y pirotécnicos, sólo procederá la destrucción, la cual se efectuará a través de la Policía Nacional en coordinación con las autoridades idóneas en el tema, de conformidad con las normas legales vigentes.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se trate de ETM, la dependencia que determine el Ministerio de Tecnologías de la Información y las Comunicaciones, de conformidad con lo previsto en parágrafo transitorio del artículo </w:t>
      </w:r>
      <w:r>
        <w:fldChar w:fldCharType="begin"/>
      </w:r>
      <w:r>
        <w:instrText>HYPERLINK "http://www.redjurista.com/document.aspx?ajcode=l1801016&amp;arts=164"</w:instrText>
      </w:r>
      <w:r>
        <w:fldChar w:fldCharType="separate"/>
      </w:r>
      <w:r>
        <w:rPr>
          <w:rFonts w:hAnsi="Arial"/>
          <w:rFonts w:ascii="Arial"/>
          <w:sz w:val="24"/>
          <w:u w:val="single"/>
          <w:color w:val="black"/>
        </w:rPr>
        <w:t>164</w:t>
      </w:r>
      <w:r>
        <w:fldChar w:fldCharType="end"/>
      </w:r>
      <w:r>
        <w:rPr>
          <w:rFonts w:hAnsi="Arial"/>
          <w:rFonts w:ascii="Arial"/>
          <w:sz w:val="24"/>
          <w:u w:val="none"/>
          <w:color w:val="black"/>
        </w:rPr>
        <w:t xml:space="preserve"> del Código Nacional de Seguridad y Convivencia Ciudadana, los recibirá una vez la situación jurídica de la incautación de los mismos se encuentre definida y certificada la decisión de destrucción a través de la autoridad de policía o judicial competente. Para el efecto, la dependencia que determine el Ministerio de Tecnologías de la Información definirá el protocolo de recepción de los ETM incautados y procederá a su destrucción, con base en la normativa ambiental aplicable, sin que ninguna de sus partes pueda ser utilizada o comercializada en Colombia, de acuerdo con lo previsto en el artículo </w:t>
      </w:r>
      <w:r>
        <w:fldChar w:fldCharType="begin"/>
      </w:r>
      <w:r>
        <w:instrText>HYPERLINK "http://www.redjurista.com/document.aspx?ajcode=r_crc_4584_2014&amp;arts=16"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Resolución 4584 de 2014 expedida por la Comisión de Regulación de Comunicaciones o la que haga sus veces. De lo actuado se remitirá constancia a la Policía Nacional. </w:t>
      </w:r>
    </w:p>
    <w:p>
      <w:pPr>
        <w:jc w:val="both"/>
        <w:outlineLvl w:val="1"/>
      </w:pPr>
      <w:rPr>
        <w:sz w:val="24"/>
        <w:b/>
        <w:color w:val="black"/>
      </w:rPr>
    </w:p>
    <w:p>
      <w:pPr>
        <w:jc w:val="both"/>
        <w:outlineLvl w:val="1"/>
      </w:pPr>
      <w:r>
        <w:rPr>
          <w:rFonts w:hAnsi="Arial"/>
          <w:rFonts w:ascii="Arial"/>
          <w:sz w:val="24"/>
          <w:color w:val="black"/>
        </w:rPr>
        <w:t xml:space="preserve">La dependencia que determine el Ministerio de Tecnologías de la Información y las Comunicaciones asumirá sus funciones una vez el Ministerio de Defensa Nacional, a través de la Policía Nacional y el Ministerio de Tecnologías de la Información, a través de la dependencia determinada para el efecto, hayan aprobado el protocolo de recepción de los ETM incautados a que se refiere este parágrafo. En todo caso, tal dependencia podrá ejecutar directamente las funciones de destrucción o podrá hacerlo a través de un tercero especializado atendiendo al régimen de contratación que la rija. </w:t>
      </w:r>
    </w:p>
    <w:p>
      <w:pPr>
        <w:jc w:val="both"/>
        <w:outlineLvl w:val="1"/>
      </w:pPr>
      <w:rPr>
        <w:sz w:val="24"/>
        <w:b/>
        <w:color w:val="black"/>
      </w:rPr>
    </w:p>
    <w:p>
      <w:pPr>
        <w:jc w:val="both"/>
        <w:outlineLvl w:val="1"/>
      </w:pPr>
      <w:r>
        <w:rPr>
          <w:rFonts w:hAnsi="Arial"/>
          <w:rFonts w:ascii="Arial"/>
          <w:sz w:val="24"/>
          <w:color w:val="black"/>
        </w:rPr>
        <w:t xml:space="preserve">El Ministerio de Tecnologías de la Información y Comunicaciones gestionará el proyecto de inversión para garantizar los recursos necesarios para que la dependencia que se determine pueda ejecutar las funciones asignadas por la ley y el presente Decreto.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Para el caso de los alimentos y, en especial, los decomisos e incautaciones relacionados con la cadena de la carne, su inutilización o destrucción, el Instituto Nacional de Vigilancia de Medicamentos y Alimentos - Invima, como autoridad sanitaria nacional, en conjunto con el Instituto Colombiano Agropecuario – ICA, y la Policía Nacional, establecerán el protocolo aplicable que se deberá cumplir por parte de las entidades responsables de las actividades descritas en este Capítulo. </w:t>
      </w:r>
    </w:p>
    <w:p>
      <w:pPr>
        <w:jc w:val="both"/>
        <w:outlineLvl w:val="1"/>
      </w:pPr>
      <w:rPr>
        <w:color w:val="black"/>
      </w:rPr>
    </w:p>
    <w:p>
      <w:pPr>
        <w:jc w:val="both"/>
        <w:outlineLvl w:val="1"/>
      </w:pPr>
      <w:r>
        <w:rPr>
          <w:rFonts w:hAnsi="Arial"/>
          <w:rFonts w:ascii="Arial"/>
          <w:sz w:val="24"/>
          <w:b/>
          <w:vanish/>
          <w:color w:val="black"/>
        </w:rPr>
        <w:t>&amp;$</w:t>
      </w:r>
      <w:bookmarkStart w:id="60291" w:name="2.2.8.12.12"/>
      <w:r>
        <w:rPr>
          <w:rFonts w:hAnsi="Arial"/>
          <w:rFonts w:ascii="Arial"/>
          <w:sz w:val="24"/>
          <w:color w:val="navy"/>
        </w:rPr>
        <w:t xml:space="preserve">ARTÍCULO 2.2.8.12.12. LUGARES HABILITADOS PARA CONSERVAR, PRESERVAR, GUARDAR Y CUSTODIAR LOS ELEMENTOS INCAUTADOS O DECOMISADOS.</w:t>
      </w:r>
      <w:bookmarkEnd w:id="602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Son aquellos de carácter público o privado, habilitados por la administración distrital o municipal, para conservar, preservar, guardar y custodiar los elementos incautados o decomisados, bajo las condiciones necesarias de conservación, preservación y seguridad. </w:t>
      </w:r>
    </w:p>
    <w:p>
      <w:pPr>
        <w:jc w:val="both"/>
        <w:outlineLvl w:val="1"/>
      </w:pPr>
      <w:rPr>
        <w:color w:val="black"/>
      </w:rPr>
    </w:p>
    <w:p>
      <w:pPr>
        <w:jc w:val="both"/>
        <w:outlineLvl w:val="1"/>
      </w:pPr>
      <w:r>
        <w:rPr>
          <w:rFonts w:hAnsi="Arial"/>
          <w:rFonts w:ascii="Arial"/>
          <w:sz w:val="24"/>
          <w:b/>
          <w:vanish/>
          <w:color w:val="black"/>
        </w:rPr>
        <w:t>&amp;$</w:t>
      </w:r>
      <w:bookmarkStart w:id="60292" w:name="2.2.8.12.13"/>
      <w:r>
        <w:rPr>
          <w:rFonts w:hAnsi="Arial"/>
          <w:rFonts w:ascii="Arial"/>
          <w:sz w:val="24"/>
          <w:color w:val="navy"/>
        </w:rPr>
        <w:t xml:space="preserve">ARTÍCULO 2.2.8.12.13. OBLIGACIONES ESPECIALES DE LAS PERSONAS TITULARES DE LOS LUGARES HABILITADOS.</w:t>
      </w:r>
      <w:bookmarkEnd w:id="602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Son obligaciones de la persona titular de los lugares habilitados en el presente Capítulo, las siguientes: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Tener disponibilidad para la prestación del servicio veinticuatro (24) horas, los siete (7) días de la semana, incluidos festivos, cuando la operación lo requiera.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Adoptar las medidas de seguridad necesarias para que los elementos que se encuentren bajo su responsabilidad, no sean sustraídos, extraviados, cambiados o alterados.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Disponer de las áreas, los equipos y elementos logísticos que necesita la administración distrital o municipal, en el desarrollo de las labores de reconocimiento, conforme lo determine la autoridad de policía.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Recibir, custodiar y almacenar los elementos objeto de incautación o decomiso, que de acuerdo con su habilitación, pueden permanecer en este lugar, incluida la custodia de elementos abandonados, aprehendidos, o inmovilizados.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Elaborar la planilla de recepción a través de servicios informáticos electrónicos, donde se especifique en forma detallada, el inventario, características del elemento, estado en que se recibe, peso, medida, volumen, cantidad y cualquier otro dato que coadyuve a la identificación plena de los elementos incautados y decomisados que entran bajo su custodia y responsabilidad; igualmente de contar con medios tecnológicos, lo anterior podrá acompañarse de registro fotográfico y/o fílmico. </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Llevar los registros de los elementos incautados o decomisados en archivos electrónicos, conforme a los requerimientos y condiciones señalados por la administración distrital o municipal. </w:t>
      </w:r>
    </w:p>
    <w:p>
      <w:pPr>
        <w:jc w:val="both"/>
        <w:outlineLvl w:val="1"/>
      </w:pPr>
      <w:rPr>
        <w:sz w:val="24"/>
        <w:b/>
        <w:color w:val="black"/>
      </w:rPr>
    </w:p>
    <w:p>
      <w:pPr>
        <w:jc w:val="both"/>
        <w:outlineLvl w:val="1"/>
      </w:pPr>
      <w:r>
        <w:rPr>
          <w:rFonts w:hAnsi="Arial"/>
          <w:rFonts w:ascii="Arial"/>
          <w:sz w:val="24"/>
          <w:b/>
          <w:color w:val="black"/>
        </w:rPr>
        <w:t xml:space="preserve">7. </w:t>
      </w:r>
      <w:r>
        <w:rPr>
          <w:rFonts w:hAnsi="Arial"/>
          <w:rFonts w:ascii="Arial"/>
          <w:sz w:val="24"/>
          <w:color w:val="black"/>
        </w:rPr>
        <w:t xml:space="preserve">Cumplir con la normatividad ambiental vigente de acuerdo a los elementos o materiales a custodiar y si es el caso contar con Licencia Ambiental o los permisos que determine la autoridad ambiental y que se encuentren vigentes durante el tiempo de ejecución del contrato. </w:t>
      </w:r>
    </w:p>
    <w:p>
      <w:pPr>
        <w:jc w:val="both"/>
        <w:outlineLvl w:val="1"/>
      </w:pPr>
      <w:rPr>
        <w:color w:val="black"/>
      </w:rPr>
    </w:p>
    <w:p>
      <w:pPr>
        <w:jc w:val="both"/>
        <w:outlineLvl w:val="1"/>
      </w:pPr>
      <w:r>
        <w:rPr>
          <w:rFonts w:hAnsi="Arial"/>
          <w:rFonts w:ascii="Arial"/>
          <w:sz w:val="24"/>
          <w:b/>
          <w:vanish/>
          <w:color w:val="black"/>
        </w:rPr>
        <w:t>&amp;$</w:t>
      </w:r>
      <w:bookmarkStart w:id="60293" w:name="2.2.8.12.14"/>
      <w:r>
        <w:rPr>
          <w:rFonts w:hAnsi="Arial"/>
          <w:rFonts w:ascii="Arial"/>
          <w:sz w:val="24"/>
          <w:color w:val="navy"/>
        </w:rPr>
        <w:t xml:space="preserve">ARTÍCULO 2.2.8.12.14. RESPONSABILIDAD DE LAS PERSONAS TITULARES DE LOS LUGARES HABILITADOS.</w:t>
      </w:r>
      <w:bookmarkEnd w:id="602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Sin perjuicio de las obligaciones y responsabilidades frente a terceros, de conformidad con las normas del Código de Comercio y del Código Civil, las personas titulares de los lugares habilitados serán responsables ante la administración distrital o municipal, por la correcta ejecución de sus obligaciones de conformidad con lo establecido en este Capítulo. </w:t>
      </w:r>
    </w:p>
    <w:p>
      <w:pPr>
        <w:jc w:val="both"/>
        <w:outlineLvl w:val="1"/>
      </w:pPr>
      <w:rPr>
        <w:color w:val="black"/>
      </w:rPr>
    </w:p>
    <w:p>
      <w:pPr>
        <w:jc w:val="both"/>
        <w:outlineLvl w:val="1"/>
      </w:pPr>
      <w:r>
        <w:rPr>
          <w:rFonts w:hAnsi="Arial"/>
          <w:rFonts w:ascii="Arial"/>
          <w:sz w:val="24"/>
          <w:b/>
          <w:vanish/>
          <w:color w:val="black"/>
        </w:rPr>
        <w:t>&amp;$</w:t>
      </w:r>
      <w:bookmarkStart w:id="60294" w:name="2.2.8.12.15"/>
      <w:r>
        <w:rPr>
          <w:rFonts w:hAnsi="Arial"/>
          <w:rFonts w:ascii="Arial"/>
          <w:sz w:val="24"/>
          <w:color w:val="navy"/>
        </w:rPr>
        <w:t xml:space="preserve">ARTÍCULO 2.2.8.12.15. REQUISITOS GENERALES PARA LA HABILITACIÓN DE LOS OPERADORES LOGÍSTICOS.</w:t>
      </w:r>
      <w:bookmarkEnd w:id="602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Los requisitos generales para la habilitación de los operadores logísticos que se deberán acreditar ante las autoridades distritales o municipales, son los siguientes: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Estar domiciliados o representados legalmente en el país e inscritos en el Registro Único Tributario - RUT, o registro que haga sus veces.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Contar con matrícula mercantil vigente, entendida como aquella obtenida en el año de la habilitación para nuevos comerciantes o renovarla al año de la habilitación para comerciantes ya existente.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Si el operador logístico es una persona jurídica, debe tener dentro de su objeto social la actividad para la cual solicita la habilitación. Si es persona natural, la actividad económica debe figurar en el respectivo Certificado de Registro Mercantil.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Contar con la infraestructura física, administrativa, financiera, tecnológica, de comunicaciones y de seguridad exigida por la administración distrital o municipal.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Presentar, junto con la solicitud de habilitación, la disponibilidad de: </w:t>
      </w:r>
    </w:p>
    <w:p>
      <w:pPr>
        <w:jc w:val="both"/>
        <w:outlineLvl w:val="1"/>
      </w:pPr>
      <w:rPr>
        <w:sz w:val="24"/>
        <w:b/>
        <w:color w:val="black"/>
      </w:rPr>
    </w:p>
    <w:p>
      <w:pPr>
        <w:jc w:val="both"/>
        <w:outlineLvl w:val="1"/>
      </w:pPr>
      <w:r>
        <w:rPr>
          <w:rFonts w:hAnsi="Arial"/>
          <w:rFonts w:ascii="Arial"/>
          <w:sz w:val="24"/>
          <w:b/>
          <w:color w:val="black"/>
        </w:rPr>
        <w:t xml:space="preserve">5.1. </w:t>
      </w:r>
      <w:r>
        <w:rPr>
          <w:rFonts w:hAnsi="Arial"/>
          <w:rFonts w:ascii="Arial"/>
          <w:sz w:val="24"/>
          <w:color w:val="black"/>
        </w:rPr>
        <w:t xml:space="preserve">Los equipos necesarios para el cargue, descargue y manejo de los elementos incautados, decomisados o abandonados. </w:t>
      </w:r>
    </w:p>
    <w:p>
      <w:pPr>
        <w:jc w:val="both"/>
        <w:outlineLvl w:val="1"/>
      </w:pPr>
      <w:rPr>
        <w:sz w:val="24"/>
        <w:b/>
        <w:color w:val="black"/>
      </w:rPr>
    </w:p>
    <w:p>
      <w:pPr>
        <w:jc w:val="both"/>
        <w:outlineLvl w:val="1"/>
      </w:pPr>
      <w:r>
        <w:rPr>
          <w:rFonts w:hAnsi="Arial"/>
          <w:rFonts w:ascii="Arial"/>
          <w:sz w:val="24"/>
          <w:b/>
          <w:color w:val="black"/>
        </w:rPr>
        <w:t xml:space="preserve">5.2. </w:t>
      </w:r>
      <w:r>
        <w:rPr>
          <w:rFonts w:hAnsi="Arial"/>
          <w:rFonts w:ascii="Arial"/>
          <w:sz w:val="24"/>
          <w:color w:val="black"/>
        </w:rPr>
        <w:t xml:space="preserve">Los equipos de medición de peso y de seguridad, necesarios para el desarrollo de su actividad.</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Demostrar un área útil plana de almacenamiento de acuerdo a lo establecido por la administración distrital o municipal. </w:t>
      </w:r>
    </w:p>
    <w:p>
      <w:pPr>
        <w:jc w:val="both"/>
        <w:outlineLvl w:val="1"/>
      </w:pPr>
      <w:rPr>
        <w:sz w:val="24"/>
        <w:b/>
        <w:color w:val="black"/>
      </w:rPr>
    </w:p>
    <w:p>
      <w:pPr>
        <w:jc w:val="both"/>
        <w:outlineLvl w:val="1"/>
      </w:pPr>
      <w:r>
        <w:rPr>
          <w:rFonts w:hAnsi="Arial"/>
          <w:rFonts w:ascii="Arial"/>
          <w:sz w:val="24"/>
          <w:b/>
          <w:color w:val="black"/>
        </w:rPr>
        <w:t xml:space="preserve">7. </w:t>
      </w:r>
      <w:r>
        <w:rPr>
          <w:rFonts w:hAnsi="Arial"/>
          <w:rFonts w:ascii="Arial"/>
          <w:sz w:val="24"/>
          <w:color w:val="black"/>
        </w:rPr>
        <w:t xml:space="preserve">Acreditar que las características técnicas de construcción de las bodegas, tanques, patios, oficinas, silos y las vías de acceso, son adecuados para el tipo, naturaleza, características, volumen y peso de los elementos incautados, decomisados o abandonados. </w:t>
      </w:r>
    </w:p>
    <w:p>
      <w:pPr>
        <w:jc w:val="both"/>
        <w:outlineLvl w:val="1"/>
      </w:pPr>
      <w:rPr>
        <w:sz w:val="24"/>
        <w:b/>
        <w:color w:val="black"/>
      </w:rPr>
    </w:p>
    <w:p>
      <w:pPr>
        <w:jc w:val="both"/>
        <w:outlineLvl w:val="1"/>
      </w:pPr>
      <w:r>
        <w:rPr>
          <w:rFonts w:hAnsi="Arial"/>
          <w:rFonts w:ascii="Arial"/>
          <w:sz w:val="24"/>
          <w:b/>
          <w:color w:val="black"/>
        </w:rPr>
        <w:t xml:space="preserve">8. </w:t>
      </w:r>
      <w:r>
        <w:rPr>
          <w:rFonts w:hAnsi="Arial"/>
          <w:rFonts w:ascii="Arial"/>
          <w:sz w:val="24"/>
          <w:color w:val="black"/>
        </w:rPr>
        <w:t xml:space="preserve">No tener deudas en el pago de multas por medidas correctivas. </w:t>
      </w:r>
    </w:p>
    <w:p>
      <w:pPr>
        <w:jc w:val="both"/>
        <w:outlineLvl w:val="1"/>
      </w:pPr>
      <w:rPr>
        <w:sz w:val="24"/>
        <w:b/>
        <w:color w:val="black"/>
      </w:rPr>
    </w:p>
    <w:p>
      <w:pPr>
        <w:jc w:val="both"/>
        <w:outlineLvl w:val="1"/>
      </w:pPr>
      <w:r>
        <w:rPr>
          <w:rFonts w:hAnsi="Arial"/>
          <w:rFonts w:ascii="Arial"/>
          <w:sz w:val="24"/>
          <w:b/>
          <w:color w:val="black"/>
        </w:rPr>
        <w:t xml:space="preserve">9. </w:t>
      </w:r>
      <w:r>
        <w:rPr>
          <w:rFonts w:hAnsi="Arial"/>
          <w:rFonts w:ascii="Arial"/>
          <w:sz w:val="24"/>
          <w:color w:val="black"/>
        </w:rPr>
        <w:t xml:space="preserve">Contar, de acuerdo con los materiales a gestionar, con Licencia Ambiental o los permisos que correspondan para la ejecución de las actividades, expedidos por autoridades ambientales y que se encuentren vigentes durante el tiempo de ejecución del contrato.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administración distrital o municipal podrá aceptar un área útil diferente de almacenamiento, de acuerdo a las características geográficas. </w:t>
      </w:r>
    </w:p>
    <w:p>
      <w:pPr>
        <w:jc w:val="both"/>
        <w:outlineLvl w:val="1"/>
      </w:pPr>
      <w:rPr>
        <w:color w:val="black"/>
      </w:rPr>
    </w:p>
    <w:p>
      <w:pPr>
        <w:jc w:val="both"/>
        <w:outlineLvl w:val="1"/>
      </w:pPr>
      <w:r>
        <w:rPr>
          <w:rFonts w:hAnsi="Arial"/>
          <w:rFonts w:ascii="Arial"/>
          <w:sz w:val="24"/>
          <w:b/>
          <w:vanish/>
          <w:color w:val="black"/>
        </w:rPr>
        <w:t>&amp;$</w:t>
      </w:r>
      <w:bookmarkStart w:id="60295" w:name="2.2.8.12.16"/>
      <w:r>
        <w:rPr>
          <w:rFonts w:hAnsi="Arial"/>
          <w:rFonts w:ascii="Arial"/>
          <w:sz w:val="24"/>
          <w:color w:val="navy"/>
        </w:rPr>
        <w:t xml:space="preserve">ARTÍCULO 2.2.8.12.16. DE LOS LUGARES DE ALMACENAMIENTO DE ARMAS, MUNICIONES, ARMAS NEUMÁTICAS, DE AIRE, DE FOGUEO, NO LETALES O LETALIDAD REDUCIDA.</w:t>
      </w:r>
      <w:bookmarkEnd w:id="602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Para efectos del almacenamiento, guarda, custodia, conservación y seguridad de las armas de fuego, municiones, armas neumáticas, de aire, de fogueo o menos letales, la administración distrital o municipal, podrá celebrar convenios con la Policía Nacional, para adecuar las instalaciones al interior de la misma, con las medidas de seguridad industrial conforme lo señale la Institución, donde en forma separada conserve las armas incautadas y decomisadas en virtud de los comportamientos contrarios a la convivencia. </w:t>
      </w:r>
    </w:p>
    <w:p>
      <w:pPr>
        <w:jc w:val="both"/>
        <w:outlineLvl w:val="1"/>
      </w:pPr>
      <w:rPr>
        <w:color w:val="black"/>
      </w:rPr>
    </w:p>
    <w:p>
      <w:pPr>
        <w:jc w:val="both"/>
        <w:outlineLvl w:val="1"/>
      </w:pPr>
      <w:r>
        <w:rPr>
          <w:rFonts w:hAnsi="Arial"/>
          <w:rFonts w:ascii="Arial"/>
          <w:sz w:val="24"/>
          <w:b/>
          <w:vanish/>
          <w:color w:val="black"/>
        </w:rPr>
        <w:t>&amp;$</w:t>
      </w:r>
      <w:bookmarkStart w:id="60296" w:name="2.2.8.12.17"/>
      <w:r>
        <w:rPr>
          <w:rFonts w:hAnsi="Arial"/>
          <w:rFonts w:ascii="Arial"/>
          <w:sz w:val="24"/>
          <w:color w:val="navy"/>
        </w:rPr>
        <w:t xml:space="preserve">ARTÍCULO 2.2.8.12.17. TIEMPO DE DURACIÓN DEL ARMA EN LOS LUGARES DE ALMACENAMIENTO EN LAS INSTALACIONES DE LA POLICÍA NACIONAL.</w:t>
      </w:r>
      <w:bookmarkEnd w:id="602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1007 de 2022. El nuevo texto es el siguiente:&gt; Los elementos incautados o decomisados a los que se hace alusión en el artículo anterior, permanecerán en los lugares destinados, hasta la culminación del proceso único de policía. </w:t>
      </w:r>
    </w:p>
    <w:p>
      <w:pPr>
        <w:jc w:val="center"/>
        <w:outlineLvl w:val="1"/>
      </w:pPr>
      <w:rPr>
        <w:sz w:val="24"/>
        <w:color w:val="black"/>
      </w:rPr>
    </w:p>
    <w:p>
      <w:pPr>
        <w:jc w:val="center"/>
        <w:outlineLvl w:val="1"/>
      </w:pPr>
      <w:r>
        <w:rPr>
          <w:rFonts w:hAnsi="Arial"/>
          <w:rFonts w:ascii="Arial"/>
          <w:sz w:val="24"/>
          <w:vanish/>
          <w:color w:val="black"/>
        </w:rPr>
        <w:t>&amp;$</w:t>
      </w:r>
      <w:bookmarkStart w:id="60297" w:name="CAPÍTULO 2.2.8.13"/>
      <w:r>
        <w:rPr>
          <w:rFonts w:hAnsi="Arial"/>
          <w:rFonts w:ascii="Arial"/>
          <w:sz w:val="24"/>
          <w:color w:val="navy"/>
        </w:rPr>
        <w:t xml:space="preserve">CAPÍTULO XIII. </w:t>
      </w:r>
    </w:p>
    <w:p>
      <w:pPr>
        <w:jc w:val="center"/>
        <w:outlineLvl w:val="1"/>
      </w:pPr>
      <w:r>
        <w:rPr>
          <w:rFonts w:hAnsi="Arial"/>
          <w:rFonts w:ascii="Arial"/>
          <w:sz w:val="24"/>
          <w:color w:val="navy"/>
        </w:rPr>
        <w:t xml:space="preserve">REGULACIÓN DEL SISTEMA ÚNICO PARA EL MEJORAMIENTO Y PREVENCIÓN DE LOS ABUSOS EN LA ACTIVIDAD DE POLICÍA.</w:t>
      </w:r>
      <w:bookmarkEnd w:id="60297"/>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298" w:name="2.2.8.13.1"/>
      <w:r>
        <w:rPr>
          <w:rFonts w:hAnsi="Arial"/>
          <w:rFonts w:ascii="Arial"/>
          <w:sz w:val="24"/>
          <w:color w:val="navy"/>
        </w:rPr>
        <w:t xml:space="preserve">ARTÍCULO 2.2.8.13.1. SISTEMA ÚNICO PARA EL MEJORAMIENTO Y PREVENCIÓN DE LOS ABUSOS EN LA ACTIVIDAD DE POLICÍA.</w:t>
      </w:r>
      <w:bookmarkEnd w:id="602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El Sistema Único para el Mejoramiento y Prevención de los abusos en la actividad de Policía debe entenderse, como la herramienta tecnológica a través de la cual se registran todas las Peticiones, Quejas, Reclamos, Reconocimiento del Servicio Policial y/o Sugerencia (PQR2S), aplicativo que permite verificar en tiempo real las actividades que realicen las autoridades de policía y el resultado de las mismas, en materia de seguridad y convivencia ciudadana, siempre que no afecten operaciones policiales en desarrollo ni se contravenga la ley. </w:t>
      </w:r>
    </w:p>
    <w:p>
      <w:pPr>
        <w:jc w:val="both"/>
        <w:outlineLvl w:val="1"/>
      </w:pPr>
      <w:rPr>
        <w:color w:val="black"/>
      </w:rPr>
    </w:p>
    <w:p>
      <w:pPr>
        <w:jc w:val="both"/>
        <w:outlineLvl w:val="1"/>
      </w:pPr>
      <w:r>
        <w:rPr>
          <w:rFonts w:hAnsi="Arial"/>
          <w:rFonts w:ascii="Arial"/>
          <w:sz w:val="24"/>
          <w:b/>
          <w:vanish/>
          <w:color w:val="black"/>
        </w:rPr>
        <w:t>&amp;$</w:t>
      </w:r>
      <w:bookmarkStart w:id="60299" w:name="2.2.8.13.2"/>
      <w:r>
        <w:rPr>
          <w:rFonts w:hAnsi="Arial"/>
          <w:rFonts w:ascii="Arial"/>
          <w:sz w:val="24"/>
          <w:color w:val="navy"/>
        </w:rPr>
        <w:t xml:space="preserve">ARTÍCULO 2.2.8.13.2. ADMINISTRACIÓN DEL SISTEMA ÚNICO PARA EL MEJORAMIENTO Y PREVENCIÓN DE LOS ABUSOS EN LA ACTIVIDAD DE POLICÍA.</w:t>
      </w:r>
      <w:bookmarkEnd w:id="602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El Sistema Único para el Mejoramiento y Prevención de los abusos en la actividad de Policía será administrado por la Policía Nacional con el fin de reportar en tiempo real las actividades que realicen las autoridades de policía y el resultado de las mismas, en materia de seguridad y convivencia ciudadana.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Policía Nacional como administrador del Sistema Único para el Mejoramiento y Prevención de los abusos en la actividad de Policía, habilitará a la Procuraduría General de la Nación y la dotará de mecanismos (usuario de ingreso a la herramienta tecnológica) para verificar en tiempo real los registros y gestiones adelantadas para la atención de Peticiones, Quejas, Reclamos, Reconocimiento del Servicio Policial y/o Sugerencia (PQR2S). </w:t>
      </w:r>
    </w:p>
    <w:p>
      <w:pPr>
        <w:jc w:val="both"/>
        <w:outlineLvl w:val="1"/>
      </w:pPr>
      <w:rPr>
        <w:color w:val="black"/>
      </w:rPr>
    </w:p>
    <w:p>
      <w:pPr>
        <w:jc w:val="both"/>
        <w:outlineLvl w:val="1"/>
      </w:pPr>
      <w:r>
        <w:rPr>
          <w:rFonts w:hAnsi="Arial"/>
          <w:rFonts w:ascii="Arial"/>
          <w:sz w:val="24"/>
          <w:b/>
          <w:vanish/>
          <w:color w:val="black"/>
        </w:rPr>
        <w:t>&amp;$</w:t>
      </w:r>
      <w:bookmarkStart w:id="60300" w:name="2.2.8.13.3"/>
      <w:r>
        <w:rPr>
          <w:rFonts w:hAnsi="Arial"/>
          <w:rFonts w:ascii="Arial"/>
          <w:sz w:val="24"/>
          <w:color w:val="navy"/>
        </w:rPr>
        <w:t xml:space="preserve">ARTÍCULO 2.2.8.13.3. MECANISMO DE PRESENTACIÓN Y RECEPCIÓN DE PETICIONES, QUEJAS, RECLAMOS, RECONOCIMIENTOS DEL SERVICIO POLICIAL Y SUGERENCIAS (PQR2S).</w:t>
      </w:r>
      <w:bookmarkEnd w:id="603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Los ciudadanos podrán interponer las Peticiones, Quejas, Reclamos, Reconocimientos del Servicio Policial y/o Sugerencia (PQR2S), a través de la página web de la Policía Nacional o de las Oficinas de Atención al Ciudadano (OAC), que se encuentran ubicadas en las diferentes unidades policiales, direcciones, comandos de metropolitanas, departamentos de policía y escuelas de formación policial. </w:t>
      </w:r>
    </w:p>
    <w:p>
      <w:pPr>
        <w:jc w:val="both"/>
        <w:outlineLvl w:val="1"/>
      </w:pPr>
      <w:rPr>
        <w:sz w:val="24"/>
        <w:b/>
        <w:color w:val="black"/>
      </w:rPr>
    </w:p>
    <w:p>
      <w:pPr>
        <w:jc w:val="both"/>
        <w:outlineLvl w:val="1"/>
      </w:pPr>
      <w:r>
        <w:rPr>
          <w:rFonts w:hAnsi="Arial"/>
          <w:rFonts w:ascii="Arial"/>
          <w:sz w:val="24"/>
          <w:color w:val="black"/>
        </w:rPr>
        <w:t xml:space="preserve">Las autoridades una vez recepcionen alguna Petición, Queja, Reclamo, Reconocimiento del Servicio Policial y/o Sugerencia (PQR2S) relativas a la actividad de policía, deberán enviarla vía correo electrónico a la Oficina de Atención al Ciudadano de la Policía Nacional, según su jurisdicción. Para el caso de autoridades de orden nacional la remitirán por el mismo medio a la Línea Directa de la Policía Nacional. </w:t>
      </w:r>
    </w:p>
    <w:p>
      <w:pPr>
        <w:jc w:val="both"/>
        <w:outlineLvl w:val="1"/>
      </w:pPr>
      <w:rPr>
        <w:color w:val="black"/>
      </w:rPr>
    </w:p>
    <w:p>
      <w:pPr>
        <w:jc w:val="both"/>
        <w:outlineLvl w:val="1"/>
      </w:pPr>
      <w:r>
        <w:rPr>
          <w:rFonts w:hAnsi="Arial"/>
          <w:rFonts w:ascii="Arial"/>
          <w:sz w:val="24"/>
          <w:b/>
          <w:vanish/>
          <w:color w:val="black"/>
        </w:rPr>
        <w:t>&amp;$</w:t>
      </w:r>
      <w:bookmarkStart w:id="60301" w:name="2.2.8.13.4"/>
      <w:r>
        <w:rPr>
          <w:rFonts w:hAnsi="Arial"/>
          <w:rFonts w:ascii="Arial"/>
          <w:sz w:val="24"/>
          <w:color w:val="navy"/>
        </w:rPr>
        <w:t xml:space="preserve">ARTÍCULO 2.2.8.13.4. COMUNICACIÓN Y DIVULGACIÓN.</w:t>
      </w:r>
      <w:bookmarkEnd w:id="603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Las Oficinas y Puntos de Atención al ciudadano de la Policía Nacional y de las alcaldías distritales y municipales, propenderán porque la comunidad en general conozca la funcionalidad del Sistema Único para el Mejoramiento y Prevención de los abusos en la actividad de Policía, siendo el canal de comunicación directo entre la ciudadanía y la Policía Nacional en lo que a Peticiones, Quejas, Reclamos, Reconocimientos del Servicio Policial y/o Sugerencias (PQR2S) respecta.</w:t>
      </w:r>
    </w:p>
    <w:p>
      <w:pPr>
        <w:jc w:val="both"/>
        <w:outlineLvl w:val="1"/>
      </w:pPr>
      <w:rPr>
        <w:color w:val="black"/>
      </w:rPr>
    </w:p>
    <w:p>
      <w:pPr>
        <w:jc w:val="both"/>
        <w:outlineLvl w:val="1"/>
      </w:pPr>
      <w:r>
        <w:rPr>
          <w:rFonts w:hAnsi="Arial"/>
          <w:rFonts w:ascii="Arial"/>
          <w:sz w:val="24"/>
          <w:b/>
          <w:vanish/>
          <w:color w:val="black"/>
        </w:rPr>
        <w:t>&amp;$</w:t>
      </w:r>
      <w:bookmarkStart w:id="60302" w:name="2.2.8.13.5"/>
      <w:r>
        <w:rPr>
          <w:rFonts w:hAnsi="Arial"/>
          <w:rFonts w:ascii="Arial"/>
          <w:sz w:val="24"/>
          <w:color w:val="navy"/>
        </w:rPr>
        <w:t xml:space="preserve">ARTÍCULO 2.2.8.13.5. TRABAJO ARMÓNICO ENTRE AUTORIDADES.</w:t>
      </w:r>
      <w:bookmarkEnd w:id="603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La Policía Nacional afianzará canales de comunicación con las distintas autoridades de policía de cada jurisdicción, orientado a armonizar las relaciones y trabajo entre distintas entidades, procurando la atención oportuna y con calidad de las Peticiones, Quejas, Reclamos, Reconocimientos del Servicio Policial y/o Sugerencia (PQR2S), relativas a la actividad de policía, permitiendo integrar, centralizar y estandarizar la información disponible. </w:t>
      </w:r>
    </w:p>
    <w:p>
      <w:pPr>
        <w:jc w:val="both"/>
        <w:outlineLvl w:val="1"/>
      </w:pPr>
      <w:rPr>
        <w:color w:val="black"/>
      </w:rPr>
    </w:p>
    <w:p>
      <w:pPr>
        <w:jc w:val="both"/>
        <w:outlineLvl w:val="1"/>
      </w:pPr>
      <w:r>
        <w:rPr>
          <w:rFonts w:hAnsi="Arial"/>
          <w:rFonts w:ascii="Arial"/>
          <w:sz w:val="24"/>
          <w:b/>
          <w:vanish/>
          <w:color w:val="black"/>
        </w:rPr>
        <w:t>&amp;$</w:t>
      </w:r>
      <w:bookmarkStart w:id="60303" w:name="2.2.8.13.6"/>
      <w:r>
        <w:rPr>
          <w:rFonts w:hAnsi="Arial"/>
          <w:rFonts w:ascii="Arial"/>
          <w:sz w:val="24"/>
          <w:color w:val="navy"/>
        </w:rPr>
        <w:t xml:space="preserve">ARTÍCULO 2.2.8.13.6. SOPORTE TÉCNICO DE LA HERRAMIENTA TECNOLÓGICA.</w:t>
      </w:r>
      <w:bookmarkEnd w:id="603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El Ministerio de Tecnologías de la Información y las Comunicaciones o quien haga sus veces acompañará a la Oficina de Tecnologías de la Información y las Comunicaciones de la Policía Nacional, quien prestará el soporte técnico que garantice la interoperabilidad, seguridad, accesibilidad, usabilidad, datos abiertos, funcionalidad del Sistema, cobertura nacional, el acceso fácil y oportuno a la ciudadanía, reporte en tiempo real de las actividades y resultados que efectúen las autoridades de policía, además que esta herramienta permita la obtención de resultados estadísticos sobre la actividad de policía. La administración de la herramienta tecnológica estará en cabeza de la Policía Nacional, actividad que podrá ser verificada por la Procuraduría General de la Nación. </w:t>
      </w:r>
    </w:p>
    <w:p>
      <w:pPr>
        <w:jc w:val="both"/>
        <w:outlineLvl w:val="1"/>
      </w:pPr>
      <w:rPr>
        <w:color w:val="black"/>
      </w:rPr>
    </w:p>
    <w:p>
      <w:pPr>
        <w:jc w:val="both"/>
        <w:outlineLvl w:val="1"/>
      </w:pPr>
      <w:r>
        <w:rPr>
          <w:rFonts w:hAnsi="Arial"/>
          <w:rFonts w:ascii="Arial"/>
          <w:sz w:val="24"/>
          <w:b/>
          <w:vanish/>
          <w:color w:val="black"/>
        </w:rPr>
        <w:t>&amp;$</w:t>
      </w:r>
      <w:bookmarkStart w:id="60304" w:name="2.2.8.13.7"/>
      <w:r>
        <w:rPr>
          <w:rFonts w:hAnsi="Arial"/>
          <w:rFonts w:ascii="Arial"/>
          <w:sz w:val="24"/>
          <w:color w:val="navy"/>
        </w:rPr>
        <w:t xml:space="preserve">ARTÍCULO 2.2.8.13.7. MEJORA CONTINUA.</w:t>
      </w:r>
      <w:bookmarkEnd w:id="603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La Policía Nacional definirá las instancias donde se efectúe mejora continua de la información evidenciada en los reportes estadísticos que arroje la herramienta tecnológica, a través de la cual se recepcionan Peticiones, Quejas, Reclamos, Reconocimientos del Servicio Policial y/o Sugerencia (PQR2S) relativas al servicio de la Policía Nacional. </w:t>
      </w:r>
    </w:p>
    <w:p>
      <w:pPr>
        <w:jc w:val="both"/>
        <w:outlineLvl w:val="1"/>
      </w:pPr>
      <w:rPr>
        <w:sz w:val="24"/>
        <w:b/>
        <w:color w:val="black"/>
      </w:rPr>
    </w:p>
    <w:p>
      <w:pPr>
        <w:jc w:val="both"/>
        <w:outlineLvl w:val="1"/>
      </w:pPr>
      <w:r>
        <w:rPr>
          <w:rFonts w:hAnsi="Arial"/>
          <w:rFonts w:ascii="Arial"/>
          <w:sz w:val="24"/>
          <w:color w:val="black"/>
        </w:rPr>
        <w:t xml:space="preserve">Con el fin de afianzar la gestión de los Comités Civiles de Convivencia, con antelación a cada sesión, las Oficinas de Atención al Ciudadano o los Puntos remitirán de manera general la estadística de quejas y reclamos presentados en la jurisdicción, con ocasión a la actividad de policía. </w:t>
      </w:r>
    </w:p>
    <w:p>
      <w:pPr>
        <w:jc w:val="both"/>
        <w:outlineLvl w:val="1"/>
      </w:pPr>
      <w:rPr>
        <w:color w:val="black"/>
      </w:rPr>
    </w:p>
    <w:p>
      <w:pPr>
        <w:jc w:val="both"/>
        <w:outlineLvl w:val="1"/>
      </w:pPr>
      <w:r>
        <w:rPr>
          <w:rFonts w:hAnsi="Arial"/>
          <w:rFonts w:ascii="Arial"/>
          <w:sz w:val="24"/>
          <w:b/>
          <w:vanish/>
          <w:color w:val="black"/>
        </w:rPr>
        <w:t>&amp;$</w:t>
      </w:r>
      <w:bookmarkStart w:id="60305" w:name="2.2.8.13.8"/>
      <w:r>
        <w:rPr>
          <w:rFonts w:hAnsi="Arial"/>
          <w:rFonts w:ascii="Arial"/>
          <w:sz w:val="24"/>
          <w:color w:val="navy"/>
        </w:rPr>
        <w:t xml:space="preserve">ARTÍCULO 2.2.8.13.8. DISEÑO E IMPLEMENTACIÓN DEL SISTEMA ÚNICO PARA EL MEJORAMIENTO Y PREVENCIÓN DE LOS ABUSOS EN LA ACTIVIDAD DE POLICÍA.</w:t>
      </w:r>
      <w:bookmarkEnd w:id="603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1007 de 2022. El nuevo texto es el siguiente:&gt; El diseño e implementación del sistema es responsabilidad de la Policía Nacional, para lo cual cumplirá con las siguientes funciones: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Desarrollar e implementar el Sistema Único para el Mejoramiento y Prevención de los abusos en la actividad de Policía, estableciendo su funcionamiento y el mantenimiento del mismo.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Diseñar y establecer los medios que permitan la operación, registro, actualización y gestión de la información requerida por el Sistema.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Definir el procedimiento estándar que será utilizado para la operación, registro, actualización y gestión de la información que requiera el Sistema.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Establecer los procedimientos y protocolos de seguridad necesarios para garantizar la confiabilidad de la información, teniendo en cuenta aquellos datos que deben ser reservados, y establecer los roles y accesos para la utilización del Sistema.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Hacer seguimiento a la operabilidad del Sistema. </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Garantizar y facilitar el acceso a la información a los ciudadanos, a los organismos de control y a las entidades gubernamentales, teniendo en cuenta los roles y accesos que se determinen para tal fin, así como las restricciones de reserva que impongan la Constitución Política y la Ley. </w:t>
      </w:r>
    </w:p>
    <w:p>
      <w:pPr>
        <w:jc w:val="center"/>
        <w:outlineLvl w:val="1"/>
      </w:pPr>
      <w:rPr>
        <w:sz w:val="24"/>
        <w:color w:val="black"/>
      </w:rPr>
    </w:p>
    <w:p>
      <w:pPr>
        <w:jc w:val="center"/>
        <w:outlineLvl w:val="1"/>
      </w:pPr>
      <w:r>
        <w:rPr>
          <w:rFonts w:hAnsi="Arial"/>
          <w:rFonts w:ascii="Arial"/>
          <w:sz w:val="24"/>
          <w:vanish/>
          <w:color w:val="black"/>
        </w:rPr>
        <w:t>&amp;$</w:t>
      </w:r>
      <w:bookmarkStart w:id="60306" w:name="CAPÍTULO 2.2.8.14"/>
      <w:r>
        <w:rPr>
          <w:rFonts w:hAnsi="Arial"/>
          <w:rFonts w:ascii="Arial"/>
          <w:sz w:val="24"/>
          <w:color w:val="navy"/>
        </w:rPr>
        <w:t xml:space="preserve">CAPÍTULO XIV. </w:t>
      </w:r>
    </w:p>
    <w:p>
      <w:pPr>
        <w:jc w:val="center"/>
        <w:outlineLvl w:val="1"/>
      </w:pPr>
      <w:r>
        <w:rPr>
          <w:rFonts w:hAnsi="Arial"/>
          <w:rFonts w:ascii="Arial"/>
          <w:sz w:val="24"/>
          <w:color w:val="navy"/>
        </w:rPr>
        <w:t xml:space="preserve">PROGRAMA DE EDUCACIÓN Y PROMOCIÓN DEL CÓDIGO.</w:t>
      </w:r>
      <w:bookmarkEnd w:id="60306"/>
      <w:r>
        <w:rPr>
          <w:rFonts w:hAnsi="Arial"/>
          <w:rFonts w:ascii="Arial"/>
          <w:sz w:val="24"/>
          <w:color w:val="navy"/>
        </w:rPr>
        <w:t xml:space="preserve"> </w:t>
      </w:r>
    </w:p>
    <w:p>
      <w:pPr>
        <w:jc w:val="both"/>
        <w:outlineLvl w:val="1"/>
      </w:pPr>
      <w:rPr>
        <w:color w:val="black"/>
      </w:rPr>
    </w:p>
    <w:p>
      <w:pPr>
        <w:jc w:val="both"/>
        <w:outlineLvl w:val="1"/>
      </w:pPr>
      <w:r>
        <w:rPr>
          <w:rFonts w:hAnsi="Arial"/>
          <w:rFonts w:ascii="Arial"/>
          <w:sz w:val="24"/>
          <w:b/>
          <w:vanish/>
          <w:color w:val="black"/>
        </w:rPr>
        <w:t>&amp;$</w:t>
      </w:r>
      <w:bookmarkStart w:id="60307" w:name="2.2.8.14.1"/>
      <w:r>
        <w:rPr>
          <w:rFonts w:hAnsi="Arial"/>
          <w:rFonts w:ascii="Arial"/>
          <w:sz w:val="24"/>
          <w:color w:val="navy"/>
        </w:rPr>
        <w:t xml:space="preserve">ARTÍCULO 2.2.8.14.1. IMPLEMENTACIÓN EN LOS ESTABLECIMIENTOS EDUCATIVOS DE PREESCOLAR, BÁSICA Y MEDIA.</w:t>
      </w:r>
      <w:bookmarkEnd w:id="603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1007 de 2022. El nuevo texto es el siguiente:&gt; Para efectos de lo previsto en el artículo </w:t>
      </w:r>
      <w:r>
        <w:fldChar w:fldCharType="begin"/>
      </w:r>
      <w:r>
        <w:instrText>HYPERLINK "http://www.redjurista.com/document.aspx?ajcode=l1801016&amp;arts=236"</w:instrText>
      </w:r>
      <w:r>
        <w:fldChar w:fldCharType="separate"/>
      </w:r>
      <w:r>
        <w:rPr>
          <w:rFonts w:hAnsi="Arial"/>
          <w:rFonts w:ascii="Arial"/>
          <w:sz w:val="24"/>
          <w:u w:val="single"/>
          <w:color w:val="black"/>
        </w:rPr>
        <w:t>236</w:t>
      </w:r>
      <w:r>
        <w:fldChar w:fldCharType="end"/>
      </w:r>
      <w:r>
        <w:rPr>
          <w:rFonts w:hAnsi="Arial"/>
          <w:rFonts w:ascii="Arial"/>
          <w:sz w:val="24"/>
          <w:u w:val="none"/>
          <w:color w:val="black"/>
        </w:rPr>
        <w:t xml:space="preserve"> de la Ley 1801 de 2016, los establecimientos educativos de preescolar, básica y media deberán implementar en la Cátedra de la Paz, lo referente al fomento de competencias que fortalezcan la cultura ciudadana y la convivencia, así como el respeto por las normas y las autoridades. </w:t>
      </w:r>
    </w:p>
    <w:p>
      <w:pPr>
        <w:jc w:val="both"/>
        <w:outlineLvl w:val="1"/>
      </w:pPr>
      <w:rPr>
        <w:color w:val="black"/>
      </w:rPr>
    </w:p>
    <w:p>
      <w:pPr>
        <w:jc w:val="both"/>
        <w:outlineLvl w:val="1"/>
      </w:pPr>
      <w:r>
        <w:rPr>
          <w:rFonts w:hAnsi="Arial"/>
          <w:rFonts w:ascii="Arial"/>
          <w:sz w:val="24"/>
          <w:b/>
          <w:vanish/>
          <w:color w:val="black"/>
        </w:rPr>
        <w:t>&amp;$</w:t>
      </w:r>
      <w:bookmarkStart w:id="60308" w:name="2.2.8.14.2"/>
      <w:r>
        <w:rPr>
          <w:rFonts w:hAnsi="Arial"/>
          <w:rFonts w:ascii="Arial"/>
          <w:sz w:val="24"/>
          <w:color w:val="navy"/>
        </w:rPr>
        <w:t xml:space="preserve">ARTÍCULO 2.2.8.14.2. ARTICULACIÓN ENTRE LOS CONSEJOS DE SEGURIDAD Y CONVIVENCIA Y EL SISTEMA NACIONAL DE CONVIVENCIA ESCOLAR.</w:t>
      </w:r>
      <w:bookmarkEnd w:id="603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1007 de 2022. El nuevo texto es el siguiente:&gt; En los términos de la Ley </w:t>
      </w:r>
      <w:r>
        <w:fldChar w:fldCharType="begin"/>
      </w:r>
      <w:r>
        <w:instrText>HYPERLINK "http://www.redjurista.com/document.aspx?ajcode=l1620013&amp;arts=INICIO"</w:instrText>
      </w:r>
      <w:r>
        <w:fldChar w:fldCharType="separate"/>
      </w:r>
      <w:r>
        <w:rPr>
          <w:rFonts w:hAnsi="Arial"/>
          <w:rFonts w:ascii="Arial"/>
          <w:sz w:val="24"/>
          <w:u w:val="single"/>
          <w:color w:val="black"/>
        </w:rPr>
        <w:t>1620</w:t>
      </w:r>
      <w:r>
        <w:fldChar w:fldCharType="end"/>
      </w:r>
      <w:r>
        <w:rPr>
          <w:rFonts w:hAnsi="Arial"/>
          <w:rFonts w:ascii="Arial"/>
          <w:sz w:val="24"/>
          <w:u w:val="none"/>
          <w:color w:val="black"/>
        </w:rPr>
        <w:t xml:space="preserve"> de 2013, los Comités de Convivencia Escolar, en sus niveles nacional y territorial, cuando los Consejos de Seguridad y Convivencia lo requieran, compartirán información sobre los programas o estrategias que se adelanten con relación a la difusión e implementación de competencias que fortalezcan la cultura ciudadana, la convivencia y el respeto por las normas y las autoridades. </w:t>
      </w:r>
    </w:p>
    <w:p>
      <w:pPr>
        <w:jc w:val="both"/>
        <w:outlineLvl w:val="1"/>
      </w:pPr>
      <w:rPr>
        <w:color w:val="black"/>
      </w:rPr>
    </w:p>
    <w:p>
      <w:pPr>
        <w:jc w:val="both"/>
        <w:outlineLvl w:val="1"/>
      </w:pPr>
      <w:r>
        <w:rPr>
          <w:rFonts w:hAnsi="Arial"/>
          <w:rFonts w:ascii="Arial"/>
          <w:sz w:val="24"/>
          <w:b/>
          <w:vanish/>
          <w:color w:val="black"/>
        </w:rPr>
        <w:t>&amp;$</w:t>
      </w:r>
      <w:bookmarkStart w:id="60309" w:name="2.2.8.14.3"/>
      <w:r>
        <w:rPr>
          <w:rFonts w:hAnsi="Arial"/>
          <w:rFonts w:ascii="Arial"/>
          <w:sz w:val="24"/>
          <w:color w:val="navy"/>
        </w:rPr>
        <w:t xml:space="preserve">ARTÍCULO 2.2.8.14.3. INSTITUCIONES DE EDUCACIÓN SUPERIOR.</w:t>
      </w:r>
      <w:bookmarkEnd w:id="603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1007 de 2022. El nuevo texto es el siguiente:&gt; En desarrollo del principio de la autonomía universitaria, las instituciones de educación superior podrán implementar los temas de competencias que fortalezcan la cultura ciudadana y la convivencia, así como el respeto por las normas y las autoridades, en sus programas académicos y su modelo educativo, para lo cual podrán definir las acciones educativas que permitan a la comunidad académica contar con espacios de aprendizaje, reflexión y diálogo para la convivencia. </w:t>
      </w:r>
    </w:p>
    <w:p>
      <w:pPr>
        <w:jc w:val="center"/>
        <w:outlineLvl w:val="1"/>
      </w:pPr>
      <w:rPr>
        <w:sz w:val="24"/>
        <w:color w:val="black"/>
      </w:rPr>
    </w:p>
    <w:p>
      <w:pPr>
        <w:jc w:val="center"/>
        <w:outlineLvl w:val="1"/>
      </w:pPr>
      <w:r>
        <w:rPr>
          <w:rFonts w:hAnsi="Arial"/>
          <w:rFonts w:ascii="Arial"/>
          <w:sz w:val="24"/>
          <w:vanish/>
          <w:color w:val="black"/>
        </w:rPr>
        <w:t>&amp;$</w:t>
      </w:r>
      <w:bookmarkStart w:id="60310" w:name="CAPÍTULO 2.2.8.15"/>
      <w:r>
        <w:rPr>
          <w:rFonts w:hAnsi="Arial"/>
          <w:rFonts w:ascii="Arial"/>
          <w:sz w:val="24"/>
          <w:color w:val="navy"/>
        </w:rPr>
        <w:t xml:space="preserve">CAPÍTULO XV. </w:t>
      </w:r>
    </w:p>
    <w:p>
      <w:pPr>
        <w:jc w:val="center"/>
        <w:outlineLvl w:val="1"/>
      </w:pPr>
      <w:r>
        <w:rPr>
          <w:rFonts w:hAnsi="Arial"/>
          <w:rFonts w:ascii="Arial"/>
          <w:sz w:val="24"/>
          <w:color w:val="navy"/>
        </w:rPr>
        <w:t xml:space="preserve">SISTEMAS DE VIDEOVIGILANCIA Y MEDIOS TECNOLÓGICOS.</w:t>
      </w:r>
      <w:bookmarkEnd w:id="60310"/>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311" w:name="2.2.8.15.1"/>
      <w:r>
        <w:rPr>
          <w:rFonts w:hAnsi="Arial"/>
          <w:rFonts w:ascii="Arial"/>
          <w:sz w:val="24"/>
          <w:color w:val="navy"/>
        </w:rPr>
        <w:t xml:space="preserve">ARTÍCULO 2.2.8.15.1. SISTEMAS DE VIDEOVIGILANCIA.</w:t>
      </w:r>
      <w:bookmarkEnd w:id="603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1007 de 2022. El nuevo texto es el siguiente:&gt; Entiéndase como sistemas de video vigilancia, cualquier medio tecnológico o de video fijo o móvil que permita la gestión de múltiples dispositivos para el control local y remoto, con capacidad de captar, almacenar o procesar información, imágenes datos y todo tipo de contenido auditivo o visual, de propiedad pública o privada que se encuentren instalados en espacio público, áreas comunes, lugares abiertos al público o que siendo privados trasciendan a lo público. </w:t>
      </w:r>
    </w:p>
    <w:p>
      <w:pPr>
        <w:jc w:val="both"/>
        <w:outlineLvl w:val="1"/>
      </w:pPr>
      <w:rPr>
        <w:color w:val="black"/>
      </w:rPr>
    </w:p>
    <w:p>
      <w:pPr>
        <w:jc w:val="both"/>
        <w:outlineLvl w:val="1"/>
      </w:pPr>
      <w:r>
        <w:rPr>
          <w:rFonts w:hAnsi="Arial"/>
          <w:rFonts w:ascii="Arial"/>
          <w:sz w:val="24"/>
          <w:b/>
          <w:vanish/>
          <w:color w:val="black"/>
        </w:rPr>
        <w:t>&amp;$</w:t>
      </w:r>
      <w:bookmarkStart w:id="60312" w:name="2.2.8.15.2"/>
      <w:r>
        <w:rPr>
          <w:rFonts w:hAnsi="Arial"/>
          <w:rFonts w:ascii="Arial"/>
          <w:sz w:val="24"/>
          <w:color w:val="navy"/>
        </w:rPr>
        <w:t xml:space="preserve">ARTÍCULO 2.2.8.15.2. OBJETIVO DE LOS SISTEMAS DE VIDEO VIGILANCIA O MEDIOS TECNOLÓGICOS.</w:t>
      </w:r>
      <w:bookmarkEnd w:id="603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1007 de 2022. El nuevo texto es el siguiente:&gt; Los sistemas de video vigilancia y los medios tecnológicos tienen como objetivo procurar el control de espacios territoriales definidos, para garantizar las categorías jurídicas de seguridad, tranquilidad, ambiente y salud pública; así como disuadir, prevenir y contrarrestar los comportamientos contrarios a la convivencia, facilitando obtención de pruebas para el proceso único de policía. </w:t>
      </w:r>
    </w:p>
    <w:p>
      <w:pPr>
        <w:jc w:val="both"/>
        <w:outlineLvl w:val="1"/>
      </w:pPr>
      <w:rPr>
        <w:color w:val="black"/>
      </w:rPr>
    </w:p>
    <w:p>
      <w:pPr>
        <w:jc w:val="both"/>
        <w:outlineLvl w:val="1"/>
      </w:pPr>
      <w:r>
        <w:rPr>
          <w:rFonts w:hAnsi="Arial"/>
          <w:rFonts w:ascii="Arial"/>
          <w:sz w:val="24"/>
          <w:b/>
          <w:vanish/>
          <w:color w:val="black"/>
        </w:rPr>
        <w:t>&amp;$</w:t>
      </w:r>
      <w:bookmarkStart w:id="60313" w:name="2.2.8.15.3"/>
      <w:r>
        <w:rPr>
          <w:rFonts w:hAnsi="Arial"/>
          <w:rFonts w:ascii="Arial"/>
          <w:sz w:val="24"/>
          <w:color w:val="navy"/>
        </w:rPr>
        <w:t xml:space="preserve">ARTÍCULO 2.2.8.15.3. INTEGRACIÓN DE LOS SISTEMAS DE VIDEO VIGILANCIA O LOS MEDIOS TECNOLÓGICOS FIJOS Y MÓVILES CON LA RED DE LA POLICÍA NACIONAL.</w:t>
      </w:r>
      <w:bookmarkEnd w:id="603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1007 de 2022. El nuevo texto es el siguiente:&gt; Los sistemas de video vigilancia o los medios tecnológicos considerados como públicos y de libre acceso en los términos del artículo </w:t>
      </w:r>
      <w:r>
        <w:fldChar w:fldCharType="begin"/>
      </w:r>
      <w:r>
        <w:instrText>HYPERLINK "http://www.redjurista.com/document.aspx?ajcode=l1801016&amp;arts=237"</w:instrText>
      </w:r>
      <w:r>
        <w:fldChar w:fldCharType="separate"/>
      </w:r>
      <w:r>
        <w:rPr>
          <w:rFonts w:hAnsi="Arial"/>
          <w:rFonts w:ascii="Arial"/>
          <w:sz w:val="24"/>
          <w:u w:val="single"/>
          <w:color w:val="black"/>
        </w:rPr>
        <w:t>237</w:t>
      </w:r>
      <w:r>
        <w:fldChar w:fldCharType="end"/>
      </w:r>
      <w:r>
        <w:rPr>
          <w:rFonts w:hAnsi="Arial"/>
          <w:rFonts w:ascii="Arial"/>
          <w:sz w:val="24"/>
          <w:u w:val="none"/>
          <w:color w:val="black"/>
        </w:rPr>
        <w:t xml:space="preserve"> de la Ley 1801 de 2016, fijos y móviles se deben integrar con la red, plataforma o centro de gestión que para tal efecto disponga la Policía Nacional a partir de la entrada en vigencia del presente decreto, permitiendo el acceso para visualizar, obtener, grabar los datos, cuando así se requiera para el cumplimiento de la misión constitucional y legal.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sistemas de video vigilancia o los medios tecnológicos que tienen acceso a través de internet por medio de IP pública se integrarán mediante la inscripción a la red de la Policía Nacional, la cual deberá contener todos los detalles técnicos, de seguridad, contacto y ubicación, a fin de garantizar el acceso por demanda desde los centros de monitoreo. Dicho acceso deberá ser validado por funcionarios de la Policía Nacional en la ciudad o municipio correspondiente para verificar la inscripción. La Policía Nacional establecerá los mecanismos necesarios para censar y verificar la integración a la que se hace referencia.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sistemas de video vigilancia o medios tecnológicos que no poseen acceso a través de internet, se deben integrar a la red de la Policía Nacional mediante la inscripción con información de contacto, características técnicas y ubicación del elemento, en la plataforma que para el efecto desarrolle y disponga la Policía Nacional, a fin de garantizar el acceso cuando sea requerido para los efectos señalados en la Ley </w:t>
      </w:r>
      <w:r>
        <w:fldChar w:fldCharType="begin"/>
      </w:r>
      <w:r>
        <w:instrText>HYPERLINK "http://www.redjurista.com/document.aspx?ajcode=l1801016&amp;arts=INICIO"</w:instrText>
      </w:r>
      <w:r>
        <w:fldChar w:fldCharType="separate"/>
      </w:r>
      <w:r>
        <w:rPr>
          <w:rFonts w:hAnsi="Arial"/>
          <w:rFonts w:ascii="Arial"/>
          <w:sz w:val="24"/>
          <w:u w:val="single"/>
          <w:color w:val="black"/>
        </w:rPr>
        <w:t>1801</w:t>
      </w:r>
      <w:r>
        <w:fldChar w:fldCharType="end"/>
      </w:r>
      <w:r>
        <w:rPr>
          <w:rFonts w:hAnsi="Arial"/>
          <w:rFonts w:ascii="Arial"/>
          <w:sz w:val="24"/>
          <w:u w:val="none"/>
          <w:color w:val="black"/>
        </w:rPr>
        <w:t xml:space="preserve"> de 2016.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Las entidades territoriales deberán fortalecer la infraestructura de hardware y software, y ofrecer conectividad en los Sistemas Integrados de Emergencia y Seguridad (SIES), a fin de permitir la integración de los sistemas de video vigilancia de su municipio y/o ciudad, con la red de la Policía Nacional. </w:t>
      </w:r>
    </w:p>
    <w:p>
      <w:pPr>
        <w:jc w:val="both"/>
        <w:outlineLvl w:val="1"/>
      </w:pPr>
      <w:rPr>
        <w:color w:val="black"/>
      </w:rPr>
    </w:p>
    <w:p>
      <w:pPr>
        <w:jc w:val="both"/>
        <w:outlineLvl w:val="1"/>
      </w:pPr>
      <w:r>
        <w:rPr>
          <w:rFonts w:hAnsi="Arial"/>
          <w:rFonts w:ascii="Arial"/>
          <w:sz w:val="24"/>
          <w:b/>
          <w:vanish/>
          <w:color w:val="black"/>
        </w:rPr>
        <w:t>&amp;$</w:t>
      </w:r>
      <w:bookmarkStart w:id="60314" w:name="2.2.8.15.4"/>
      <w:r>
        <w:rPr>
          <w:rFonts w:hAnsi="Arial"/>
          <w:rFonts w:ascii="Arial"/>
          <w:sz w:val="24"/>
          <w:color w:val="navy"/>
        </w:rPr>
        <w:t xml:space="preserve">ARTÍCULO 2.2.8.15.4.</w:t>
      </w:r>
      <w:bookmarkEnd w:id="603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1007 de 2022. El nuevo texto es el siguiente:&gt; Para el enlace al que se hace referencia en el artículo </w:t>
      </w:r>
      <w:r>
        <w:fldChar w:fldCharType="begin"/>
      </w:r>
      <w:r>
        <w:instrText>HYPERLINK "http://www.redjurista.com/document.aspx?ajcode=l1801016&amp;arts=237"</w:instrText>
      </w:r>
      <w:r>
        <w:fldChar w:fldCharType="separate"/>
      </w:r>
      <w:r>
        <w:rPr>
          <w:rFonts w:hAnsi="Arial"/>
          <w:rFonts w:ascii="Arial"/>
          <w:sz w:val="24"/>
          <w:u w:val="single"/>
          <w:color w:val="black"/>
        </w:rPr>
        <w:t>237</w:t>
      </w:r>
      <w:r>
        <w:fldChar w:fldCharType="end"/>
      </w:r>
      <w:r>
        <w:rPr>
          <w:rFonts w:hAnsi="Arial"/>
          <w:rFonts w:ascii="Arial"/>
          <w:sz w:val="24"/>
          <w:u w:val="none"/>
          <w:color w:val="black"/>
        </w:rPr>
        <w:t xml:space="preserve"> de la Ley 1801 de 2016, las personas naturales o jurídicas que instalen, equipos para la vigilancia y seguridad privada deberán previamente registrarlos ante la red que para el efecto disponga la Policía Nacional, sin perjuicio de los trámites propios que se deben surtir ante la Superintendencia de Vigilancia y Seguridad Privada, y de lo establecido en el Código de Procedimiento Penal.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enlace no implica vigilancia por parte de la Policía Nacional, ni el traslado a esa entidad de la responsabilidad atribuida a las personas naturales y jurídicas encargadas de la vigilancia y seguridad de los lugares donde se encuentren los sistemas de video vigilancia y medios tecnológicos. </w:t>
      </w:r>
    </w:p>
    <w:p>
      <w:pPr>
        <w:jc w:val="center"/>
        <w:outlineLvl w:val="1"/>
      </w:pPr>
      <w:rPr>
        <w:sz w:val="24"/>
        <w:color w:val="black"/>
      </w:rPr>
    </w:p>
    <w:p>
      <w:pPr>
        <w:jc w:val="center"/>
        <w:outlineLvl w:val="1"/>
      </w:pPr>
      <w:r>
        <w:rPr>
          <w:rFonts w:hAnsi="Arial"/>
          <w:rFonts w:ascii="Arial"/>
          <w:sz w:val="24"/>
          <w:vanish/>
          <w:color w:val="black"/>
        </w:rPr>
        <w:t>&amp;$</w:t>
      </w:r>
      <w:bookmarkStart w:id="60315" w:name="CAPÍTULO 2.2.8.16"/>
      <w:r>
        <w:rPr>
          <w:rFonts w:hAnsi="Arial"/>
          <w:rFonts w:ascii="Arial"/>
          <w:sz w:val="24"/>
          <w:color w:val="navy"/>
        </w:rPr>
        <w:t xml:space="preserve">CAPÍTULO XVI. </w:t>
      </w:r>
    </w:p>
    <w:p>
      <w:pPr>
        <w:jc w:val="center"/>
        <w:outlineLvl w:val="1"/>
      </w:pPr>
      <w:r>
        <w:rPr>
          <w:rFonts w:hAnsi="Arial"/>
          <w:rFonts w:ascii="Arial"/>
          <w:sz w:val="24"/>
          <w:color w:val="navy"/>
        </w:rPr>
        <w:t xml:space="preserve">ACTUACIÓN ADMINISTRATIVA MIGRATORIA.</w:t>
      </w:r>
      <w:bookmarkEnd w:id="60315"/>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316" w:name="2.2.8.16.1"/>
      <w:r>
        <w:rPr>
          <w:rFonts w:hAnsi="Arial"/>
          <w:rFonts w:ascii="Arial"/>
          <w:sz w:val="24"/>
          <w:color w:val="navy"/>
        </w:rPr>
        <w:t xml:space="preserve">ARTÍCULO 2.2.8.16.1. ACTUACIÓN ADMINISTRATIVA MIGRATORIA FRENTE AL CUMPLIMIENTO DE MEDIDAS CORRECTIVAS POR PARTE DE EXTRANJEROS.</w:t>
      </w:r>
      <w:bookmarkEnd w:id="6031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1007 de 2022. El nuevo texto es el siguiente:&gt; Para efectos de lo previsto en el artículo </w:t>
      </w:r>
      <w:r>
        <w:fldChar w:fldCharType="begin"/>
      </w:r>
      <w:r>
        <w:instrText>HYPERLINK "http://www.redjurista.com/document.aspx?ajcode=l1801016&amp;arts=183"</w:instrText>
      </w:r>
      <w:r>
        <w:fldChar w:fldCharType="separate"/>
      </w:r>
      <w:r>
        <w:rPr>
          <w:rFonts w:hAnsi="Arial"/>
          <w:rFonts w:ascii="Arial"/>
          <w:sz w:val="24"/>
          <w:u w:val="single"/>
          <w:color w:val="black"/>
        </w:rPr>
        <w:t>183</w:t>
      </w:r>
      <w:r>
        <w:fldChar w:fldCharType="end"/>
      </w:r>
      <w:r>
        <w:rPr>
          <w:rFonts w:hAnsi="Arial"/>
          <w:rFonts w:ascii="Arial"/>
          <w:sz w:val="24"/>
          <w:u w:val="none"/>
          <w:color w:val="black"/>
        </w:rPr>
        <w:t xml:space="preserve"> de la Ley 1801 de 2016, la Unidad Administrativa Especial Migración Colombia - UANMC, podrá imponer medidas migratorias a los extranjeros a quienes les haya sido impuesta orden de comparendo por comportamientos contrarios a la convivencia, o por haber incumplido las medidas correctivas impuestas. </w:t>
      </w:r>
    </w:p>
    <w:p>
      <w:pPr>
        <w:jc w:val="both"/>
      </w:pPr>
      <w:rPr>
        <w:b/>
        <w:color w:val="black"/>
      </w:rPr>
    </w:p>
    <w:p>
      <w:pPr>
        <w:jc w:val="both"/>
      </w:pPr>
      <w:r>
        <w:rPr>
          <w:rFonts w:hAnsi="Arial"/>
          <w:rFonts w:ascii="Arial"/>
          <w:sz w:val="24"/>
          <w:color w:val="black"/>
        </w:rPr>
        <w:t xml:space="preserve">Lo anterior también constituirá causal de inadmisión de extranjeros por parte de la autoridad migratoria. No obstante, cuando se trate de multas impuestas por comportamientos contrarios a la convivencia, Migración Colombia podrá autorizar el ingreso del extranjero al país para facilitar su cumplimiento. </w:t>
      </w:r>
    </w:p>
    <w:p>
      <w:pPr>
        <w:jc w:val="center"/>
      </w:pPr>
      <w:rPr>
        <w:sz w:val="24"/>
        <w:color w:val="black"/>
      </w:rPr>
    </w:p>
    <w:p>
      <w:pPr>
        <w:jc w:val="center"/>
      </w:pPr>
      <w:r>
        <w:rPr>
          <w:rFonts w:hAnsi="Arial"/>
          <w:rFonts w:ascii="Arial"/>
          <w:sz w:val="24"/>
          <w:vanish/>
          <w:color w:val="black"/>
        </w:rPr>
        <w:t>&amp;$</w:t>
      </w:r>
      <w:bookmarkStart w:id="60317" w:name="CAPÍTULO 2.2.8.17"/>
      <w:r>
        <w:rPr>
          <w:rFonts w:hAnsi="Arial"/>
          <w:rFonts w:ascii="Arial"/>
          <w:sz w:val="24"/>
          <w:color w:val="navy"/>
        </w:rPr>
        <w:t xml:space="preserve">CAPÍTULO XVII. </w:t>
      </w:r>
    </w:p>
    <w:p>
      <w:pPr>
        <w:jc w:val="center"/>
      </w:pPr>
      <w:r>
        <w:rPr>
          <w:rFonts w:hAnsi="Arial"/>
          <w:rFonts w:ascii="Arial"/>
          <w:sz w:val="24"/>
          <w:color w:val="navy"/>
        </w:rPr>
        <w:t xml:space="preserve">DE LA ORDEN DE COMPARENDO.</w:t>
      </w:r>
      <w:bookmarkEnd w:id="60317"/>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318" w:name="2.2.8.17.1"/>
      <w:r>
        <w:rPr>
          <w:rFonts w:hAnsi="Arial"/>
          <w:rFonts w:ascii="Arial"/>
          <w:sz w:val="24"/>
          <w:color w:val="navy"/>
        </w:rPr>
        <w:t xml:space="preserve">ARTÍCULO 2.2.8.17.1. FORMAS DE LA ORDEN DE COMPARENDO.</w:t>
      </w:r>
      <w:bookmarkEnd w:id="603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"http://www.redjurista.com/document.aspx?ajcode=d1007022&amp;arts=7"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1007 de 2022. El nuevo texto es el siguiente:&gt; Para efectos de lo contemplado en el artículo </w:t>
      </w:r>
      <w:r>
        <w:fldChar w:fldCharType="begin"/>
      </w:r>
      <w:r>
        <w:instrText>HYPERLINK "http://www.redjurista.com/document.aspx?ajcode=l1801016&amp;arts=218"</w:instrText>
      </w:r>
      <w:r>
        <w:fldChar w:fldCharType="separate"/>
      </w:r>
      <w:r>
        <w:rPr>
          <w:rFonts w:hAnsi="Arial"/>
          <w:rFonts w:ascii="Arial"/>
          <w:sz w:val="24"/>
          <w:u w:val="single"/>
          <w:color w:val="black"/>
        </w:rPr>
        <w:t>218</w:t>
      </w:r>
      <w:r>
        <w:fldChar w:fldCharType="end"/>
      </w:r>
      <w:r>
        <w:rPr>
          <w:rFonts w:hAnsi="Arial"/>
          <w:rFonts w:ascii="Arial"/>
          <w:sz w:val="24"/>
          <w:u w:val="none"/>
          <w:color w:val="black"/>
        </w:rPr>
        <w:t xml:space="preserve"> de la Ley 1801 de 2016, el documento oficial se entenderá en forma física o virtual, y podrá ser consultado en la página que disponga la Policía Nacional para tal efecto. </w:t>
      </w:r>
    </w:p>
    <w:p>
      <w:pPr>
        <w:jc w:val="both"/>
        <w:outlineLvl w:val="1"/>
      </w:pPr>
      <w:rPr>
        <w:color w:val="black"/>
      </w:rPr>
    </w:p>
    <w:p>
      <w:pPr>
        <w:jc w:val="center"/>
        <w:outlineLvl w:val="1"/>
      </w:pPr>
      <w:rPr>
        <w:sz w:val="24"/>
        <w:b/>
        <w:color w:val="black"/>
      </w:rPr>
    </w:p>
    <w:p>
      <w:pPr>
        <w:jc w:val="center"/>
        <w:outlineLvl w:val="1"/>
      </w:pPr>
      <w:r>
        <w:rPr>
          <w:rFonts w:hAnsi="Arial"/>
          <w:rFonts w:ascii="Arial"/>
          <w:sz w:val="24"/>
          <w:b/>
          <w:vanish/>
          <w:color w:val="black"/>
        </w:rPr>
        <w:t>&amp;$</w:t>
      </w:r>
      <w:bookmarkStart w:id="60319" w:name="TÍTULO 2.2.9"/>
      <w:r>
        <w:rPr>
          <w:rFonts w:hAnsi="Arial"/>
          <w:rFonts w:ascii="Arial"/>
          <w:sz w:val="24"/>
          <w:color w:val="navy"/>
        </w:rPr>
        <w:t xml:space="preserve">TÍTULO 9. </w:t>
      </w:r>
    </w:p>
    <w:p>
      <w:pPr>
        <w:jc w:val="center"/>
        <w:outlineLvl w:val="1"/>
      </w:pPr>
      <w:r>
        <w:rPr>
          <w:rFonts w:hAnsi="Arial"/>
          <w:rFonts w:ascii="Arial"/>
          <w:sz w:val="24"/>
          <w:color w:val="navy"/>
        </w:rPr>
        <w:t xml:space="preserve">REGISTRO DE OBJETOS LANZADOS AL ESPACIO ULTRATERRESTRE.</w:t>
      </w:r>
      <w:bookmarkEnd w:id="60319"/>
      <w:r>
        <w:rPr>
          <w:rFonts w:hAnsi="Arial"/>
          <w:rFonts w:ascii="Arial"/>
          <w:sz w:val="24"/>
          <w:b/>
          <w:color w:val="black"/>
        </w:rPr>
        <w:t xml:space="preserve"> </w:t>
      </w:r>
    </w:p>
    <w:p>
      <w:pPr>
        <w:jc w:val="both"/>
      </w:pPr>
      <w:rPr>
        <w:sz w:val="24"/>
        <w:b/>
        <w:color w:val="black"/>
      </w:rPr>
    </w:p>
    <w:p>
      <w:pPr>
        <w:jc w:val="center"/>
      </w:pPr>
      <w:r>
        <w:rPr>
          <w:rFonts w:hAnsi="Arial"/>
          <w:rFonts w:ascii="Arial"/>
          <w:sz w:val="24"/>
          <w:vanish/>
          <w:color w:val="black"/>
        </w:rPr>
        <w:t>&amp;$</w:t>
      </w:r>
      <w:bookmarkStart w:id="60320" w:name="CAPÍTULO 2.2.9.1"/>
      <w:r>
        <w:rPr>
          <w:rFonts w:hAnsi="Arial"/>
          <w:rFonts w:ascii="Arial"/>
          <w:sz w:val="24"/>
          <w:color w:val="navy"/>
        </w:rPr>
        <w:t xml:space="preserve">CAPÍTULO 1. </w:t>
      </w:r>
    </w:p>
    <w:p>
      <w:pPr>
        <w:jc w:val="center"/>
        <w:outlineLvl w:val="1"/>
      </w:pPr>
      <w:r>
        <w:rPr>
          <w:rFonts w:hAnsi="Arial"/>
          <w:rFonts w:ascii="Arial"/>
          <w:sz w:val="24"/>
          <w:color w:val="navy"/>
        </w:rPr>
        <w:t xml:space="preserve">REGISTRO DE OBJETOS LANZADOS AL ESPACIO ULTRATERRESTRE.</w:t>
      </w:r>
      <w:bookmarkEnd w:id="60320"/>
      <w:r>
        <w:rPr>
          <w:rFonts w:hAnsi="Arial"/>
          <w:rFonts w:ascii="Arial"/>
          <w:sz w:val="24"/>
          <w:color w:val="black"/>
        </w:rPr>
        <w:t xml:space="preserve"> </w:t>
      </w:r>
    </w:p>
    <w:p>
      <w:pPr>
        <w:jc w:val="both"/>
        <w:outlineLvl w:val="1"/>
      </w:pPr>
      <w:rPr>
        <w:color w:val="black"/>
      </w:rPr>
    </w:p>
    <w:p>
      <w:pPr>
        <w:jc w:val="both"/>
      </w:pPr>
      <w:r>
        <w:rPr>
          <w:rFonts w:hAnsi="Arial"/>
          <w:rFonts w:ascii="Arial"/>
          <w:sz w:val="24"/>
          <w:b/>
          <w:vanish/>
          <w:color w:val="black"/>
        </w:rPr>
        <w:t>&amp;$</w:t>
      </w:r>
      <w:bookmarkStart w:id="60321" w:name="2.2.9.1.1"/>
      <w:r>
        <w:rPr>
          <w:rFonts w:hAnsi="Arial"/>
          <w:rFonts w:ascii="Arial"/>
          <w:sz w:val="24"/>
          <w:color w:val="navy"/>
        </w:rPr>
        <w:t xml:space="preserve">ARTÍCULO 2.2.9.1.1. DEFINICIONES.</w:t>
      </w:r>
      <w:bookmarkEnd w:id="6032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Para los fines pertinentes de esta reglamentación se adoptan las siguientes definiciones:</w:t>
      </w:r>
    </w:p>
    <w:p>
      <w:pPr>
        <w:jc w:val="both"/>
        <w:outlineLvl w:val="1"/>
      </w:pPr>
      <w:rPr>
        <w:sz w:val="24"/>
        <w:color w:val="black"/>
      </w:rPr>
    </w:p>
    <w:p>
      <w:pPr>
        <w:jc w:val="both"/>
        <w:outlineLvl w:val="1"/>
      </w:pPr>
      <w:r>
        <w:rPr>
          <w:rFonts w:hAnsi="Arial"/>
          <w:rFonts w:ascii="Arial"/>
          <w:sz w:val="24"/>
          <w:b/>
          <w:color w:val="black"/>
        </w:rPr>
        <w:t xml:space="preserve">Apogeo: </w:t>
      </w:r>
      <w:r>
        <w:rPr>
          <w:rFonts w:hAnsi="Arial"/>
          <w:rFonts w:ascii="Arial"/>
          <w:sz w:val="24"/>
          <w:color w:val="black"/>
        </w:rPr>
        <w:t xml:space="preserve">Punto de la órbita de un satélite de la tierra situado a la máxima distancia del centro de la tierra.</w:t>
      </w:r>
    </w:p>
    <w:p>
      <w:pPr>
        <w:jc w:val="both"/>
        <w:outlineLvl w:val="1"/>
      </w:pPr>
      <w:rPr>
        <w:sz w:val="24"/>
        <w:color w:val="black"/>
      </w:rPr>
      <w:br w:type="page"/>
    </w:p>
    <w:p>
      <w:pPr>
        <w:jc w:val="both"/>
        <w:outlineLvl w:val="1"/>
      </w:pPr>
      <w:r>
        <w:rPr>
          <w:rFonts w:hAnsi="Arial"/>
          <w:rFonts w:ascii="Arial"/>
          <w:sz w:val="24"/>
          <w:b/>
          <w:color w:val="black"/>
        </w:rPr>
        <w:t xml:space="preserve">Designación o Número de Registro:</w:t>
      </w:r>
      <w:r>
        <w:rPr>
          <w:rFonts w:hAnsi="Arial"/>
          <w:rFonts w:ascii="Arial"/>
          <w:sz w:val="24"/>
          <w:color w:val="black"/>
        </w:rPr>
        <w:t xml:space="preserve"> Es el número que, de manera cronológica, servirá para identificar cada uno de los objetos espaciales registrados.</w:t>
      </w:r>
    </w:p>
    <w:p>
      <w:pPr>
        <w:jc w:val="both"/>
        <w:outlineLvl w:val="1"/>
      </w:pPr>
      <w:rPr>
        <w:sz w:val="24"/>
        <w:color w:val="black"/>
      </w:rPr>
    </w:p>
    <w:p>
      <w:pPr>
        <w:jc w:val="both"/>
        <w:outlineLvl w:val="1"/>
      </w:pPr>
      <w:r>
        <w:rPr>
          <w:rFonts w:hAnsi="Arial"/>
          <w:rFonts w:ascii="Arial"/>
          <w:sz w:val="24"/>
          <w:b/>
          <w:color w:val="black"/>
        </w:rPr>
        <w:t xml:space="preserve">Entidad del Registro:</w:t>
      </w:r>
      <w:r>
        <w:rPr>
          <w:rFonts w:hAnsi="Arial"/>
          <w:rFonts w:ascii="Arial"/>
          <w:sz w:val="24"/>
          <w:color w:val="black"/>
        </w:rPr>
        <w:t xml:space="preserve"> Entidad delegada por el Gobierno para llevar el registro de objetos lanzados al espacio ultraterrestre y encargada de notificar al Ministerio de Relaciones Exteriores.</w:t>
      </w:r>
    </w:p>
    <w:p>
      <w:pPr>
        <w:jc w:val="both"/>
        <w:outlineLvl w:val="1"/>
      </w:pPr>
      <w:rPr>
        <w:sz w:val="24"/>
        <w:color w:val="black"/>
      </w:rPr>
    </w:p>
    <w:p>
      <w:pPr>
        <w:jc w:val="both"/>
        <w:outlineLvl w:val="1"/>
      </w:pPr>
      <w:r>
        <w:rPr>
          <w:rFonts w:hAnsi="Arial"/>
          <w:rFonts w:ascii="Arial"/>
          <w:sz w:val="24"/>
          <w:b/>
          <w:color w:val="black"/>
        </w:rPr>
        <w:t xml:space="preserve">Estado de Lanzamiento:</w:t>
      </w:r>
      <w:r>
        <w:rPr>
          <w:rFonts w:hAnsi="Arial"/>
          <w:rFonts w:ascii="Arial"/>
          <w:sz w:val="24"/>
          <w:color w:val="black"/>
        </w:rPr>
        <w:t xml:space="preserve"> Es un Estado que lance o promueva el lanzamiento de un objeto espacial o un Estado desde cuyo territorio o desde cuyas instalaciones se lance un objeto espacial.</w:t>
      </w:r>
    </w:p>
    <w:p>
      <w:pPr>
        <w:jc w:val="both"/>
        <w:outlineLvl w:val="1"/>
      </w:pPr>
      <w:rPr>
        <w:sz w:val="24"/>
        <w:color w:val="black"/>
      </w:rPr>
    </w:p>
    <w:p>
      <w:pPr>
        <w:jc w:val="both"/>
        <w:outlineLvl w:val="1"/>
      </w:pPr>
      <w:r>
        <w:rPr>
          <w:rFonts w:hAnsi="Arial"/>
          <w:rFonts w:ascii="Arial"/>
          <w:sz w:val="24"/>
          <w:b/>
          <w:color w:val="black"/>
        </w:rPr>
        <w:t xml:space="preserve">Estado de Registro:</w:t>
      </w:r>
      <w:r>
        <w:rPr>
          <w:rFonts w:hAnsi="Arial"/>
          <w:rFonts w:ascii="Arial"/>
          <w:sz w:val="24"/>
          <w:color w:val="black"/>
        </w:rPr>
        <w:t xml:space="preserve"> Es un Estado de lanzamiento en cuyo registro se inscriba un objeto espacial.</w:t>
      </w:r>
    </w:p>
    <w:p>
      <w:pPr>
        <w:jc w:val="both"/>
        <w:outlineLvl w:val="1"/>
      </w:pPr>
      <w:rPr>
        <w:sz w:val="24"/>
        <w:color w:val="black"/>
      </w:rPr>
    </w:p>
    <w:p>
      <w:pPr>
        <w:jc w:val="both"/>
        <w:outlineLvl w:val="1"/>
      </w:pPr>
      <w:r>
        <w:rPr>
          <w:rFonts w:hAnsi="Arial"/>
          <w:rFonts w:ascii="Arial"/>
          <w:sz w:val="24"/>
          <w:b/>
          <w:color w:val="black"/>
        </w:rPr>
        <w:t xml:space="preserve">Hora UTC:</w:t>
      </w:r>
      <w:r>
        <w:rPr>
          <w:rFonts w:hAnsi="Arial"/>
          <w:rFonts w:ascii="Arial"/>
          <w:sz w:val="24"/>
          <w:color w:val="black"/>
        </w:rPr>
        <w:t xml:space="preserve"> Hora universal coordinada. Es la hora en el meridiano de Greenwich.</w:t>
      </w:r>
    </w:p>
    <w:p>
      <w:pPr>
        <w:jc w:val="both"/>
        <w:outlineLvl w:val="1"/>
      </w:pPr>
      <w:rPr>
        <w:sz w:val="24"/>
        <w:color w:val="black"/>
      </w:rPr>
    </w:p>
    <w:p>
      <w:pPr>
        <w:jc w:val="both"/>
        <w:outlineLvl w:val="1"/>
      </w:pPr>
      <w:r>
        <w:rPr>
          <w:rFonts w:hAnsi="Arial"/>
          <w:rFonts w:ascii="Arial"/>
          <w:sz w:val="24"/>
          <w:b/>
          <w:color w:val="black"/>
        </w:rPr>
        <w:t>Inclinación:</w:t>
      </w:r>
      <w:r>
        <w:rPr>
          <w:rFonts w:hAnsi="Arial"/>
          <w:rFonts w:ascii="Arial"/>
          <w:sz w:val="24"/>
          <w:color w:val="black"/>
        </w:rPr>
        <w:t xml:space="preserve"> Ángulo que forma el plano de la órbita de un satélite con el plano principal de referencia.</w:t>
      </w:r>
    </w:p>
    <w:p>
      <w:pPr>
        <w:jc w:val="both"/>
        <w:outlineLvl w:val="1"/>
      </w:pPr>
      <w:rPr>
        <w:sz w:val="24"/>
        <w:color w:val="black"/>
      </w:rPr>
    </w:p>
    <w:p>
      <w:pPr>
        <w:jc w:val="both"/>
        <w:outlineLvl w:val="1"/>
      </w:pPr>
      <w:r>
        <w:rPr>
          <w:rFonts w:hAnsi="Arial"/>
          <w:rFonts w:ascii="Arial"/>
          <w:sz w:val="24"/>
          <w:b/>
          <w:color w:val="black"/>
        </w:rPr>
        <w:t xml:space="preserve">Objeto Espacial:</w:t>
      </w:r>
      <w:r>
        <w:rPr>
          <w:rFonts w:hAnsi="Arial"/>
          <w:rFonts w:ascii="Arial"/>
          <w:sz w:val="24"/>
          <w:color w:val="black"/>
        </w:rPr>
        <w:t xml:space="preserve"> Comprende el vehículo propulsor y las diferentes partes, componentes y carga útil que integran y constituyen el elemento físico destinado a ser puesto en el espacio ultraterrestre.</w:t>
      </w:r>
    </w:p>
    <w:p>
      <w:pPr>
        <w:jc w:val="both"/>
        <w:outlineLvl w:val="1"/>
      </w:pPr>
      <w:rPr>
        <w:sz w:val="24"/>
        <w:color w:val="black"/>
      </w:rPr>
    </w:p>
    <w:p>
      <w:pPr>
        <w:jc w:val="both"/>
        <w:outlineLvl w:val="1"/>
      </w:pPr>
      <w:r>
        <w:rPr>
          <w:rFonts w:hAnsi="Arial"/>
          <w:rFonts w:ascii="Arial"/>
          <w:sz w:val="24"/>
          <w:b/>
          <w:color w:val="black"/>
        </w:rPr>
        <w:t>Órbita:</w:t>
      </w:r>
      <w:r>
        <w:rPr>
          <w:rFonts w:hAnsi="Arial"/>
          <w:rFonts w:ascii="Arial"/>
          <w:sz w:val="24"/>
          <w:color w:val="black"/>
        </w:rPr>
        <w:t xml:space="preserve"> Trayectoria que describe, con relación a un sistema de referencia especificado, el centro de gravedad de un satélite, o de otro objeto espacial, por la acción única de fuerzas naturales, fundamentalmente las de gravitación; por extensión, es la trayectoria que describe el centro de gravedad de un cuerpo espacial por la acción de las fuerzas de origen natural y eventualmente por las fuerzas correctivas de poca energía ejercidas por un dispositivo de propulsión, con el objeto de lograr y mantener la trayectoria deseada.</w:t>
      </w:r>
    </w:p>
    <w:p>
      <w:pPr>
        <w:jc w:val="both"/>
        <w:outlineLvl w:val="1"/>
      </w:pPr>
      <w:rPr>
        <w:sz w:val="24"/>
        <w:color w:val="black"/>
      </w:rPr>
    </w:p>
    <w:p>
      <w:pPr>
        <w:jc w:val="both"/>
        <w:outlineLvl w:val="1"/>
      </w:pPr>
      <w:r>
        <w:rPr>
          <w:rFonts w:hAnsi="Arial"/>
          <w:rFonts w:ascii="Arial"/>
          <w:sz w:val="24"/>
          <w:b/>
          <w:color w:val="black"/>
        </w:rPr>
        <w:t>Perigeo:</w:t>
      </w:r>
      <w:r>
        <w:rPr>
          <w:rFonts w:hAnsi="Arial"/>
          <w:rFonts w:ascii="Arial"/>
          <w:sz w:val="24"/>
          <w:color w:val="black"/>
        </w:rPr>
        <w:t xml:space="preserve"> Punto de la órbita de un satélite de la tierra situado a la mínima distancia del centro de la Tierra.</w:t>
      </w:r>
    </w:p>
    <w:p>
      <w:pPr>
        <w:jc w:val="both"/>
        <w:outlineLvl w:val="1"/>
      </w:pPr>
      <w:rPr>
        <w:sz w:val="24"/>
        <w:color w:val="black"/>
      </w:rPr>
    </w:p>
    <w:p>
      <w:pPr>
        <w:jc w:val="both"/>
        <w:outlineLvl w:val="1"/>
      </w:pPr>
      <w:r>
        <w:rPr>
          <w:rFonts w:hAnsi="Arial"/>
          <w:rFonts w:ascii="Arial"/>
          <w:sz w:val="24"/>
          <w:b/>
          <w:color w:val="black"/>
        </w:rPr>
        <w:t xml:space="preserve">Periodo nodal:</w:t>
      </w:r>
      <w:r>
        <w:rPr>
          <w:rFonts w:hAnsi="Arial"/>
          <w:rFonts w:ascii="Arial"/>
          <w:sz w:val="24"/>
          <w:color w:val="black"/>
        </w:rPr>
        <w:t xml:space="preserve"> Intervalo de tiempo comprendido entre dos pasos consecutivos de un satélite por el nodo ascendente de su órbita.</w:t>
      </w:r>
    </w:p>
    <w:p>
      <w:pPr>
        <w:jc w:val="both"/>
        <w:outlineLvl w:val="1"/>
      </w:pPr>
      <w:rPr>
        <w:sz w:val="24"/>
        <w:color w:val="black"/>
      </w:rPr>
    </w:p>
    <w:p>
      <w:pPr>
        <w:jc w:val="both"/>
        <w:outlineLvl w:val="1"/>
      </w:pPr>
      <w:r>
        <w:rPr>
          <w:rFonts w:hAnsi="Arial"/>
          <w:rFonts w:ascii="Arial"/>
          <w:sz w:val="24"/>
          <w:b/>
          <w:color w:val="black"/>
        </w:rPr>
        <w:t xml:space="preserve">Periodo orbital:</w:t>
      </w:r>
      <w:r>
        <w:rPr>
          <w:rFonts w:hAnsi="Arial"/>
          <w:rFonts w:ascii="Arial"/>
          <w:sz w:val="24"/>
          <w:color w:val="black"/>
        </w:rPr>
        <w:t xml:space="preserve"> Intervalo de tiempo que transcurre entre dos pasos consecutivos de un satélite por un punto característico de su órbita.</w:t>
      </w:r>
    </w:p>
    <w:p>
      <w:pPr>
        <w:jc w:val="both"/>
        <w:outlineLvl w:val="1"/>
      </w:pPr>
      <w:rPr>
        <w:sz w:val="24"/>
        <w:color w:val="black"/>
      </w:rPr>
    </w:p>
    <w:p>
      <w:pPr>
        <w:jc w:val="both"/>
        <w:outlineLvl w:val="1"/>
      </w:pPr>
      <w:r>
        <w:rPr>
          <w:rFonts w:hAnsi="Arial"/>
          <w:rFonts w:ascii="Arial"/>
          <w:sz w:val="24"/>
          <w:b/>
          <w:color w:val="black"/>
        </w:rPr>
        <w:t xml:space="preserve">Registro: </w:t>
      </w:r>
      <w:r>
        <w:rPr>
          <w:rFonts w:hAnsi="Arial"/>
          <w:rFonts w:ascii="Arial"/>
          <w:sz w:val="24"/>
          <w:color w:val="black"/>
        </w:rPr>
        <w:t xml:space="preserve">Es el conjunto de información que identifica un objeto espacial.</w:t>
      </w:r>
    </w:p>
    <w:p>
      <w:pPr>
        <w:jc w:val="both"/>
        <w:outlineLvl w:val="1"/>
      </w:pPr>
      <w:rPr>
        <w:sz w:val="24"/>
        <w:color w:val="black"/>
      </w:rPr>
    </w:p>
    <w:p>
      <w:pPr>
        <w:jc w:val="both"/>
        <w:outlineLvl w:val="1"/>
      </w:pPr>
      <w:r>
        <w:rPr>
          <w:rFonts w:hAnsi="Arial"/>
          <w:rFonts w:ascii="Arial"/>
          <w:sz w:val="24"/>
          <w:b/>
          <w:color w:val="black"/>
        </w:rPr>
        <w:t xml:space="preserve">Vehículo de lanzamiento: </w:t>
      </w:r>
      <w:r>
        <w:rPr>
          <w:rFonts w:hAnsi="Arial"/>
          <w:rFonts w:ascii="Arial"/>
          <w:sz w:val="24"/>
          <w:color w:val="black"/>
        </w:rPr>
        <w:t xml:space="preserve">Cohete utilizado para impulsar un objeto espacial desde la superficie de la Tierra al espacio ultraterrestre.</w:t>
      </w:r>
    </w:p>
    <w:p>
      <w:pPr>
        <w:jc w:val="both"/>
        <w:keepNext/>
      </w:pPr>
      <w:rPr>
        <w:sz w:val="24"/>
        <w:color w:val="black"/>
      </w:rPr>
    </w:p>
    <w:p>
      <w:pPr>
        <w:jc w:val="both"/>
        <w:keepNext/>
        <w:outlineLvl w:val="1"/>
      </w:pPr>
      <w:r>
        <w:rPr>
          <w:rFonts w:hAnsi="Arial"/>
          <w:rFonts w:ascii="Arial"/>
          <w:sz w:val="24"/>
          <w:b/>
          <w:vanish/>
          <w:color w:val="black"/>
        </w:rPr>
        <w:t>&amp;$</w:t>
      </w:r>
      <w:bookmarkStart w:id="60322" w:name="2.2.9.1.2"/>
      <w:r>
        <w:rPr>
          <w:rFonts w:hAnsi="Arial"/>
          <w:rFonts w:ascii="Arial"/>
          <w:sz w:val="24"/>
          <w:color w:val="navy"/>
        </w:rPr>
        <w:t xml:space="preserve">ARTÍCULO 2.2.9.1.2. OBJETO.</w:t>
      </w:r>
      <w:bookmarkEnd w:id="60322"/>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Establecer las normas y procedimientos para efectuar el registro de objetos lanzados al espacio ultraterrestre, en cumplimiento de la Ley </w:t>
      </w:r>
      <w:r>
        <w:fldChar w:fldCharType="begin"/>
      </w:r>
      <w:r>
        <w:instrText>HYPERLINK "http://www.redjurista.com/document.aspx?ajcode=l1569012&amp;arts=0"</w:instrText>
      </w:r>
      <w:r>
        <w:fldChar w:fldCharType="separate"/>
      </w:r>
      <w:r>
        <w:rPr>
          <w:rFonts w:hAnsi="Arial"/>
          <w:rFonts w:ascii="Arial"/>
          <w:sz w:val="24"/>
          <w:u w:val="single"/>
          <w:color w:val="black"/>
        </w:rPr>
        <w:t>1569</w:t>
      </w:r>
      <w:r>
        <w:fldChar w:fldCharType="end"/>
      </w:r>
      <w:r>
        <w:rPr>
          <w:rFonts w:hAnsi="Arial"/>
          <w:rFonts w:ascii="Arial"/>
          <w:sz w:val="24"/>
          <w:u w:val="none"/>
          <w:color w:val="black"/>
        </w:rPr>
        <w:t xml:space="preserve"> del 2 de agosto de 2012.</w:t>
      </w:r>
    </w:p>
    <w:p>
      <w:pPr>
        <w:jc w:val="both"/>
      </w:pPr>
      <w:rPr>
        <w:color w:val="black"/>
      </w:rPr>
    </w:p>
    <w:p>
      <w:pPr>
        <w:jc w:val="both"/>
        <w:outlineLvl w:val="1"/>
      </w:pPr>
      <w:r>
        <w:rPr>
          <w:rFonts w:hAnsi="Arial"/>
          <w:rFonts w:ascii="Arial"/>
          <w:sz w:val="24"/>
          <w:b/>
          <w:vanish/>
          <w:color w:val="black"/>
        </w:rPr>
        <w:t>&amp;$</w:t>
      </w:r>
      <w:bookmarkStart w:id="60323" w:name="2.2.9.1.3"/>
      <w:r>
        <w:rPr>
          <w:rFonts w:hAnsi="Arial"/>
          <w:rFonts w:ascii="Arial"/>
          <w:sz w:val="24"/>
          <w:color w:val="navy"/>
        </w:rPr>
        <w:t xml:space="preserve">ARTÍCULO 2.2.9.1.3. ÁMBITO DE APLICABILIDAD.</w:t>
      </w:r>
      <w:bookmarkEnd w:id="60323"/>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Las disposiciones previstas en el presente Decreto Reglamentario se aplican a todas las entidades estatales y privadas, nacionales y extranjeras, que efectúen o promueva el lanzamiento de un objeto al espacio ultraterrestre desde el territorio nacional o extranjero.</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Fuerza Aérea Colombiana designará una dependencia y un procedimiento que permita que una entidad estatal y pública tenga acceso a un proceso de registro de los objetos lanzados al espacio.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Cuando haya dos o más estados de lanzamiento, el contenido de cada registro y las condiciones en las que este se llevará a cabo serán determinados por el Estado de registro interesado. En el caso de que Colombia acordara con otros estados para hacer un lanzamiento de objetos al espacio exterior, se deben tener en cuenta los tratados y disposiciones internacionales al respecto.</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Cuando se trate de lanzamiento de objetos en el territorio colombiano, las entidades deberán abstenerse de efectuar el lanzamiento, sin haber efectuado previamente el registro correspondiente.</w:t>
      </w:r>
    </w:p>
    <w:p>
      <w:pPr>
        <w:jc w:val="both"/>
      </w:pPr>
      <w:rPr>
        <w:color w:val="black"/>
      </w:rPr>
    </w:p>
    <w:p>
      <w:pPr>
        <w:jc w:val="both"/>
        <w:outlineLvl w:val="1"/>
      </w:pPr>
      <w:r>
        <w:rPr>
          <w:rFonts w:hAnsi="Arial"/>
          <w:rFonts w:ascii="Arial"/>
          <w:sz w:val="24"/>
          <w:b/>
          <w:vanish/>
          <w:color w:val="black"/>
        </w:rPr>
        <w:t>&amp;$</w:t>
      </w:r>
      <w:bookmarkStart w:id="60324" w:name="2.2.9.1.4"/>
      <w:r>
        <w:rPr>
          <w:rFonts w:hAnsi="Arial"/>
          <w:rFonts w:ascii="Arial"/>
          <w:sz w:val="24"/>
          <w:color w:val="navy"/>
        </w:rPr>
        <w:t xml:space="preserve">ARTÍCULO 2.2.9.1.4. ENTIDAD DEL REGISTRO.</w:t>
      </w:r>
      <w:bookmarkEnd w:id="60324"/>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Se designa como Entidad de Registro, a la Fuerza Aérea Colombiana (FAC), a quien se le confía la guarda de la integridad de los datos. Dicha responsabilidad implica la creación, actualización, mantenimiento y administración de los datos de registro, así como la emisión de informes y reportes a que haya lugar, que utilicen como fuente dichos registros.</w:t>
      </w:r>
    </w:p>
    <w:p>
      <w:pPr>
        <w:jc w:val="both"/>
      </w:pPr>
      <w:rPr>
        <w:color w:val="black"/>
      </w:rPr>
    </w:p>
    <w:p>
      <w:pPr>
        <w:jc w:val="both"/>
        <w:outlineLvl w:val="1"/>
      </w:pPr>
      <w:r>
        <w:rPr>
          <w:rFonts w:hAnsi="Arial"/>
          <w:rFonts w:ascii="Arial"/>
          <w:sz w:val="24"/>
          <w:b/>
          <w:vanish/>
          <w:color w:val="black"/>
        </w:rPr>
        <w:t>&amp;$</w:t>
      </w:r>
      <w:bookmarkStart w:id="60325" w:name="2.2.9.1.5"/>
      <w:r>
        <w:rPr>
          <w:rFonts w:hAnsi="Arial"/>
          <w:rFonts w:ascii="Arial"/>
          <w:sz w:val="24"/>
          <w:color w:val="navy"/>
        </w:rPr>
        <w:t xml:space="preserve">ARTÍCULO 2.2.9.1.5. RESPONSABILIDADES DE LA ENTIDAD.</w:t>
      </w:r>
      <w:bookmarkEnd w:id="60325"/>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La Entidad de Registro tendrá las siguientes responsabilidades:</w:t>
      </w:r>
    </w:p>
    <w:p>
      <w:pPr>
        <w:jc w:val="both"/>
        <w:outlineLvl w:val="1"/>
      </w:pPr>
      <w:rPr>
        <w:sz w:val="24"/>
        <w:color w:val="black"/>
      </w:rPr>
    </w:p>
    <w:p>
      <w:pPr>
        <w:jc w:val="both"/>
        <w:outlineLvl w:val="1"/>
      </w:pPr>
      <w:r>
        <w:rPr>
          <w:rFonts w:hAnsi="Arial"/>
          <w:rFonts w:ascii="Arial"/>
          <w:sz w:val="24"/>
          <w:color w:val="black"/>
        </w:rPr>
        <w:t xml:space="preserve">1. Definir el formato a emplear con los requisitos mínimos exigidos para efectuar el registro.</w:t>
      </w:r>
    </w:p>
    <w:p>
      <w:pPr>
        <w:jc w:val="both"/>
        <w:outlineLvl w:val="1"/>
      </w:pPr>
      <w:rPr>
        <w:sz w:val="24"/>
        <w:color w:val="black"/>
      </w:rPr>
    </w:p>
    <w:p>
      <w:pPr>
        <w:jc w:val="both"/>
        <w:outlineLvl w:val="1"/>
      </w:pPr>
      <w:r>
        <w:rPr>
          <w:rFonts w:hAnsi="Arial"/>
          <w:rFonts w:ascii="Arial"/>
          <w:sz w:val="24"/>
          <w:color w:val="black"/>
        </w:rPr>
        <w:t xml:space="preserve">2. Verificar la autenticidad y pertinencia de la información suministrada.</w:t>
      </w:r>
    </w:p>
    <w:p>
      <w:pPr>
        <w:jc w:val="both"/>
        <w:outlineLvl w:val="1"/>
      </w:pPr>
      <w:rPr>
        <w:sz w:val="24"/>
        <w:color w:val="black"/>
      </w:rPr>
    </w:p>
    <w:p>
      <w:pPr>
        <w:jc w:val="both"/>
        <w:outlineLvl w:val="1"/>
      </w:pPr>
      <w:r>
        <w:rPr>
          <w:rFonts w:hAnsi="Arial"/>
          <w:rFonts w:ascii="Arial"/>
          <w:sz w:val="24"/>
          <w:color w:val="black"/>
        </w:rPr>
        <w:t xml:space="preserve">3. Expedir el certificado del registro correspondiente a la entidad interesada.</w:t>
      </w:r>
    </w:p>
    <w:p>
      <w:pPr>
        <w:jc w:val="both"/>
        <w:outlineLvl w:val="1"/>
      </w:pPr>
      <w:rPr>
        <w:sz w:val="24"/>
        <w:color w:val="black"/>
      </w:rPr>
    </w:p>
    <w:p>
      <w:pPr>
        <w:jc w:val="both"/>
        <w:outlineLvl w:val="1"/>
      </w:pPr>
      <w:r>
        <w:rPr>
          <w:rFonts w:hAnsi="Arial"/>
          <w:rFonts w:ascii="Arial"/>
          <w:sz w:val="24"/>
          <w:color w:val="black"/>
        </w:rPr>
        <w:t xml:space="preserve">4. Informar al Ministerio de Relaciones Exteriores sobre los registros efectuados.</w:t>
      </w:r>
    </w:p>
    <w:p>
      <w:pPr>
        <w:jc w:val="both"/>
        <w:outlineLvl w:val="1"/>
      </w:pPr>
      <w:rPr>
        <w:sz w:val="24"/>
        <w:color w:val="black"/>
      </w:rPr>
    </w:p>
    <w:p>
      <w:pPr>
        <w:jc w:val="both"/>
        <w:outlineLvl w:val="1"/>
      </w:pPr>
      <w:r>
        <w:rPr>
          <w:rFonts w:hAnsi="Arial"/>
          <w:rFonts w:ascii="Arial"/>
          <w:sz w:val="24"/>
          <w:color w:val="black"/>
        </w:rPr>
        <w:t xml:space="preserve">5. Realizar seguimiento, control y archivo de los registros formalizados.</w:t>
      </w:r>
    </w:p>
    <w:p>
      <w:pPr>
        <w:jc w:val="both"/>
        <w:outlineLvl w:val="1"/>
      </w:pPr>
      <w:rPr>
        <w:sz w:val="24"/>
        <w:color w:val="black"/>
      </w:rPr>
    </w:p>
    <w:p>
      <w:pPr>
        <w:jc w:val="both"/>
        <w:outlineLvl w:val="1"/>
      </w:pPr>
      <w:r>
        <w:rPr>
          <w:rFonts w:hAnsi="Arial"/>
          <w:rFonts w:ascii="Arial"/>
          <w:sz w:val="24"/>
          <w:color w:val="black"/>
        </w:rPr>
        <w:t xml:space="preserve">6. Tener los registros a disposición del público o las entidades que los requieran.</w:t>
      </w:r>
    </w:p>
    <w:p>
      <w:pPr>
        <w:jc w:val="both"/>
        <w:outlineLvl w:val="1"/>
      </w:pPr>
      <w:rPr>
        <w:sz w:val="24"/>
        <w:color w:val="black"/>
      </w:rPr>
    </w:p>
    <w:p>
      <w:pPr>
        <w:jc w:val="both"/>
        <w:outlineLvl w:val="1"/>
      </w:pPr>
      <w:r>
        <w:rPr>
          <w:rFonts w:hAnsi="Arial"/>
          <w:rFonts w:ascii="Arial"/>
          <w:sz w:val="24"/>
          <w:color w:val="black"/>
        </w:rPr>
        <w:t xml:space="preserve">7. Establecer los medios para la compilación de la información, así como para su custodia y seguridad informática.</w:t>
      </w:r>
    </w:p>
    <w:p>
      <w:pPr>
        <w:jc w:val="both"/>
        <w:outlineLvl w:val="1"/>
      </w:pPr>
      <w:rPr>
        <w:sz w:val="24"/>
        <w:color w:val="black"/>
      </w:rPr>
    </w:p>
    <w:p>
      <w:pPr>
        <w:jc w:val="both"/>
        <w:outlineLvl w:val="1"/>
      </w:pPr>
      <w:r>
        <w:rPr>
          <w:rFonts w:hAnsi="Arial"/>
          <w:rFonts w:ascii="Arial"/>
          <w:sz w:val="24"/>
          <w:color w:val="black"/>
        </w:rPr>
        <w:t xml:space="preserve">8. Todas aquellas responsabilidades relacionadas con el registro.</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Cuando se modifiquen o actualicen los registros, deberá surtirse comunicación formal al Secretario General de Naciones Unidas, de manera concordante con este artículo.</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Cada comunicación al Secretario General de las Naciones Unidas será enviada por intermedio del Ministerio de Relaciones Exteriores.</w:t>
      </w:r>
    </w:p>
    <w:p>
      <w:pPr>
        <w:jc w:val="both"/>
      </w:pPr>
      <w:rPr>
        <w:color w:val="black"/>
      </w:rPr>
    </w:p>
    <w:p>
      <w:pPr>
        <w:jc w:val="both"/>
        <w:outlineLvl w:val="1"/>
      </w:pPr>
      <w:r>
        <w:rPr>
          <w:rFonts w:hAnsi="Arial"/>
          <w:rFonts w:ascii="Arial"/>
          <w:sz w:val="24"/>
          <w:b/>
          <w:vanish/>
          <w:color w:val="black"/>
        </w:rPr>
        <w:t>&amp;$</w:t>
      </w:r>
      <w:bookmarkStart w:id="60327" w:name="2.2.9.1.6"/>
      <w:r>
        <w:rPr>
          <w:rFonts w:hAnsi="Arial"/>
          <w:rFonts w:ascii="Arial"/>
          <w:sz w:val="24"/>
          <w:color w:val="navy"/>
        </w:rPr>
        <w:t xml:space="preserve">ARTÍCULO 2.2.9.1.6. CREACIÓN.</w:t>
      </w:r>
      <w:bookmarkEnd w:id="60327"/>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Créase el “Registro Único Colombiano de Objetos Lanzados al Espacio Ultraterrestre” que de aquí en adelante habrá de llamarse RUCOE, bajo responsabilidad de la Entidad del Registro.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El acceso a la información consignada en este registro, será pública y de libre consulta.</w:t>
      </w:r>
    </w:p>
    <w:p>
      <w:pPr>
        <w:jc w:val="both"/>
      </w:pPr>
      <w:rPr>
        <w:color w:val="black"/>
      </w:rPr>
    </w:p>
    <w:p>
      <w:pPr>
        <w:jc w:val="both"/>
        <w:outlineLvl w:val="1"/>
      </w:pPr>
      <w:r>
        <w:rPr>
          <w:rFonts w:hAnsi="Arial"/>
          <w:rFonts w:ascii="Arial"/>
          <w:sz w:val="24"/>
          <w:b/>
          <w:vanish/>
          <w:color w:val="black"/>
        </w:rPr>
        <w:t>&amp;$</w:t>
      </w:r>
      <w:bookmarkStart w:id="60328" w:name="2.2.9.1.7"/>
      <w:r>
        <w:rPr>
          <w:rFonts w:hAnsi="Arial"/>
          <w:rFonts w:ascii="Arial"/>
          <w:sz w:val="24"/>
          <w:color w:val="navy"/>
        </w:rPr>
        <w:t xml:space="preserve">ARTÍCULO 2.2.9.1.7. REQUISITOS PARA EL REGISTRO.</w:t>
      </w:r>
      <w:bookmarkEnd w:id="60328"/>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Serán aquellos definidos por la Entidad de Registro y que contengan como mínimo la siguiente información:</w:t>
      </w:r>
    </w:p>
    <w:p>
      <w:pPr>
        <w:jc w:val="both"/>
        <w:outlineLvl w:val="1"/>
      </w:pPr>
      <w:rPr>
        <w:sz w:val="24"/>
        <w:color w:val="black"/>
      </w:rPr>
    </w:p>
    <w:p>
      <w:pPr>
        <w:jc w:val="both"/>
        <w:outlineLvl w:val="1"/>
      </w:pPr>
      <w:r>
        <w:rPr>
          <w:rFonts w:hAnsi="Arial"/>
          <w:rFonts w:ascii="Arial"/>
          <w:sz w:val="24"/>
          <w:color w:val="black"/>
        </w:rPr>
        <w:t xml:space="preserve">1. Nombre del Estado o de los Estados de lanzamiento.</w:t>
      </w:r>
    </w:p>
    <w:p>
      <w:pPr>
        <w:jc w:val="both"/>
        <w:outlineLvl w:val="1"/>
      </w:pPr>
      <w:rPr>
        <w:sz w:val="24"/>
        <w:color w:val="black"/>
      </w:rPr>
    </w:p>
    <w:p>
      <w:pPr>
        <w:jc w:val="both"/>
        <w:outlineLvl w:val="1"/>
      </w:pPr>
      <w:r>
        <w:rPr>
          <w:rFonts w:hAnsi="Arial"/>
          <w:rFonts w:ascii="Arial"/>
          <w:sz w:val="24"/>
          <w:color w:val="black"/>
        </w:rPr>
        <w:t xml:space="preserve">2. Una designación apropiada del objeto espacial o su número de registro.</w:t>
      </w:r>
    </w:p>
    <w:p>
      <w:pPr>
        <w:jc w:val="both"/>
        <w:outlineLvl w:val="1"/>
      </w:pPr>
      <w:rPr>
        <w:sz w:val="24"/>
        <w:color w:val="black"/>
      </w:rPr>
    </w:p>
    <w:p>
      <w:pPr>
        <w:jc w:val="both"/>
        <w:outlineLvl w:val="1"/>
      </w:pPr>
      <w:r>
        <w:rPr>
          <w:rFonts w:hAnsi="Arial"/>
          <w:rFonts w:ascii="Arial"/>
          <w:sz w:val="24"/>
          <w:color w:val="black"/>
        </w:rPr>
        <w:t xml:space="preserve">3. Fecha y hora UTC prevista de lanzamiento.</w:t>
      </w:r>
    </w:p>
    <w:p>
      <w:pPr>
        <w:jc w:val="both"/>
        <w:outlineLvl w:val="1"/>
      </w:pPr>
      <w:rPr>
        <w:sz w:val="24"/>
        <w:color w:val="black"/>
      </w:rPr>
    </w:p>
    <w:p>
      <w:pPr>
        <w:jc w:val="both"/>
        <w:outlineLvl w:val="1"/>
      </w:pPr>
      <w:r>
        <w:rPr>
          <w:rFonts w:hAnsi="Arial"/>
          <w:rFonts w:ascii="Arial"/>
          <w:sz w:val="24"/>
          <w:color w:val="black"/>
        </w:rPr>
        <w:t xml:space="preserve">4. Territorio o lugar del lanzamiento.</w:t>
      </w:r>
    </w:p>
    <w:p>
      <w:pPr>
        <w:jc w:val="both"/>
        <w:outlineLvl w:val="1"/>
      </w:pPr>
      <w:rPr>
        <w:sz w:val="24"/>
        <w:color w:val="black"/>
      </w:rPr>
    </w:p>
    <w:p>
      <w:pPr>
        <w:jc w:val="both"/>
        <w:outlineLvl w:val="1"/>
      </w:pPr>
      <w:r>
        <w:rPr>
          <w:rFonts w:hAnsi="Arial"/>
          <w:rFonts w:ascii="Arial"/>
          <w:sz w:val="24"/>
          <w:color w:val="black"/>
        </w:rPr>
        <w:t xml:space="preserve">5. Parámetros orbitales básicos en kilómetros, minutos y grados:</w:t>
      </w:r>
    </w:p>
    <w:p>
      <w:pPr>
        <w:jc w:val="both"/>
        <w:outlineLvl w:val="1"/>
      </w:pPr>
      <w:rPr>
        <w:sz w:val="24"/>
        <w:color w:val="black"/>
      </w:rPr>
    </w:p>
    <w:p>
      <w:pPr>
        <w:jc w:val="both"/>
        <w:outlineLvl w:val="1"/>
      </w:pPr>
      <w:r>
        <w:rPr>
          <w:rFonts w:hAnsi="Arial"/>
          <w:rFonts w:ascii="Arial"/>
          <w:sz w:val="24"/>
          <w:color w:val="black"/>
        </w:rPr>
        <w:t xml:space="preserve">i) Período nodal.</w:t>
      </w:r>
    </w:p>
    <w:p>
      <w:pPr>
        <w:jc w:val="both"/>
        <w:outlineLvl w:val="1"/>
      </w:pPr>
      <w:r>
        <w:rPr>
          <w:rFonts w:hAnsi="Arial"/>
          <w:rFonts w:ascii="Arial"/>
          <w:sz w:val="24"/>
          <w:color w:val="black"/>
        </w:rPr>
        <w:t xml:space="preserve">ii) Inclinación.</w:t>
      </w:r>
    </w:p>
    <w:p>
      <w:pPr>
        <w:jc w:val="both"/>
        <w:outlineLvl w:val="1"/>
      </w:pPr>
      <w:r>
        <w:rPr>
          <w:rFonts w:hAnsi="Arial"/>
          <w:rFonts w:ascii="Arial"/>
          <w:sz w:val="24"/>
          <w:color w:val="black"/>
        </w:rPr>
        <w:t xml:space="preserve">iii) Apogeo.</w:t>
      </w:r>
    </w:p>
    <w:p>
      <w:pPr>
        <w:jc w:val="both"/>
        <w:outlineLvl w:val="1"/>
      </w:pPr>
      <w:r>
        <w:rPr>
          <w:rFonts w:hAnsi="Arial"/>
          <w:rFonts w:ascii="Arial"/>
          <w:sz w:val="24"/>
          <w:color w:val="black"/>
        </w:rPr>
        <w:t xml:space="preserve">iv) Perigeo.</w:t>
      </w:r>
    </w:p>
    <w:p>
      <w:pPr>
        <w:jc w:val="both"/>
        <w:outlineLvl w:val="1"/>
      </w:pPr>
      <w:rPr>
        <w:sz w:val="24"/>
        <w:color w:val="black"/>
      </w:rPr>
    </w:p>
    <w:p>
      <w:pPr>
        <w:jc w:val="both"/>
        <w:outlineLvl w:val="1"/>
      </w:pPr>
      <w:r>
        <w:rPr>
          <w:rFonts w:hAnsi="Arial"/>
          <w:rFonts w:ascii="Arial"/>
          <w:sz w:val="24"/>
          <w:color w:val="black"/>
        </w:rPr>
        <w:t xml:space="preserve">6. Función general del objeto espacial.</w:t>
      </w:r>
    </w:p>
    <w:p>
      <w:pPr>
        <w:jc w:val="both"/>
        <w:outlineLvl w:val="1"/>
      </w:pPr>
      <w:rPr>
        <w:sz w:val="24"/>
        <w:color w:val="black"/>
      </w:rPr>
    </w:p>
    <w:p>
      <w:pPr>
        <w:jc w:val="both"/>
        <w:outlineLvl w:val="1"/>
      </w:pPr>
      <w:r>
        <w:rPr>
          <w:rFonts w:hAnsi="Arial"/>
          <w:rFonts w:ascii="Arial"/>
          <w:sz w:val="24"/>
          <w:color w:val="black"/>
        </w:rPr>
        <w:t xml:space="preserve">7. Objeto espacial.</w:t>
      </w:r>
    </w:p>
    <w:p>
      <w:pPr>
        <w:jc w:val="both"/>
      </w:pPr>
      <w:rPr>
        <w:color w:val="black"/>
      </w:rPr>
    </w:p>
    <w:p>
      <w:pPr>
        <w:jc w:val="both"/>
        <w:outlineLvl w:val="1"/>
      </w:pPr>
      <w:r>
        <w:rPr>
          <w:rFonts w:hAnsi="Arial"/>
          <w:rFonts w:ascii="Arial"/>
          <w:sz w:val="24"/>
          <w:b/>
          <w:vanish/>
          <w:color w:val="black"/>
        </w:rPr>
        <w:t>&amp;$</w:t>
      </w:r>
      <w:bookmarkStart w:id="60329" w:name="2.2.9.1.8"/>
      <w:r>
        <w:rPr>
          <w:rFonts w:hAnsi="Arial"/>
          <w:rFonts w:ascii="Arial"/>
          <w:sz w:val="24"/>
          <w:color w:val="navy"/>
        </w:rPr>
        <w:t xml:space="preserve">ARTÍCULO 2.2.9.1.8. OBLIGACIONES DEL SOLICITANTE.</w:t>
      </w:r>
      <w:bookmarkEnd w:id="60329"/>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Serán obligaciones de la(s) entidad (es) que solicite(n) el registro:</w:t>
      </w:r>
    </w:p>
    <w:p>
      <w:pPr>
        <w:jc w:val="both"/>
        <w:outlineLvl w:val="1"/>
      </w:pPr>
      <w:rPr>
        <w:sz w:val="24"/>
        <w:color w:val="black"/>
      </w:rPr>
    </w:p>
    <w:p>
      <w:pPr>
        <w:jc w:val="both"/>
        <w:outlineLvl w:val="1"/>
      </w:pPr>
      <w:r>
        <w:rPr>
          <w:rFonts w:hAnsi="Arial"/>
          <w:rFonts w:ascii="Arial"/>
          <w:sz w:val="24"/>
          <w:color w:val="black"/>
        </w:rPr>
        <w:t xml:space="preserve">1. Cumplir oportunamente con los requisitos establecidos por la Entidad de Registro.</w:t>
      </w:r>
    </w:p>
    <w:p>
      <w:pPr>
        <w:jc w:val="both"/>
        <w:outlineLvl w:val="1"/>
      </w:pPr>
      <w:rPr>
        <w:sz w:val="24"/>
        <w:color w:val="black"/>
      </w:rPr>
    </w:p>
    <w:p>
      <w:pPr>
        <w:jc w:val="both"/>
        <w:outlineLvl w:val="1"/>
      </w:pPr>
      <w:r>
        <w:rPr>
          <w:rFonts w:hAnsi="Arial"/>
          <w:rFonts w:ascii="Arial"/>
          <w:sz w:val="24"/>
          <w:color w:val="black"/>
        </w:rPr>
        <w:t xml:space="preserve">2. Atender los requerimientos de información adicional solicitados por la Entidad de Registro.</w:t>
      </w:r>
    </w:p>
    <w:p>
      <w:pPr>
        <w:jc w:val="both"/>
        <w:outlineLvl w:val="1"/>
      </w:pPr>
      <w:rPr>
        <w:sz w:val="24"/>
        <w:color w:val="black"/>
      </w:rPr>
    </w:p>
    <w:p>
      <w:pPr>
        <w:jc w:val="both"/>
        <w:outlineLvl w:val="1"/>
      </w:pPr>
      <w:r>
        <w:rPr>
          <w:rFonts w:hAnsi="Arial"/>
          <w:rFonts w:ascii="Arial"/>
          <w:sz w:val="24"/>
          <w:color w:val="black"/>
        </w:rPr>
        <w:t xml:space="preserve">3. Informar oportunamente a la Entidad de Registro sobre los cambios y/o actualizaciones de la información suministrada.</w:t>
      </w:r>
    </w:p>
    <w:p>
      <w:pPr>
        <w:jc w:val="both"/>
      </w:pPr>
      <w:rPr>
        <w:color w:val="black"/>
      </w:rPr>
    </w:p>
    <w:p>
      <w:pPr>
        <w:jc w:val="both"/>
        <w:outlineLvl w:val="1"/>
      </w:pPr>
      <w:r>
        <w:rPr>
          <w:rFonts w:hAnsi="Arial"/>
          <w:rFonts w:ascii="Arial"/>
          <w:sz w:val="24"/>
          <w:b/>
          <w:vanish/>
          <w:color w:val="black"/>
        </w:rPr>
        <w:t>&amp;$</w:t>
      </w:r>
      <w:bookmarkStart w:id="60330" w:name="2.2.9.1.9"/>
      <w:r>
        <w:rPr>
          <w:rFonts w:hAnsi="Arial"/>
          <w:rFonts w:ascii="Arial"/>
          <w:sz w:val="24"/>
          <w:color w:val="navy"/>
        </w:rPr>
        <w:t xml:space="preserve">ARTÍCULO 2.2.9.1.9. INFORMACIÓN PREEXISTENTE.</w:t>
      </w:r>
      <w:bookmarkEnd w:id="60330"/>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Las organizaciones, empresas o instituciones colombianas, que, a la fecha de entrada en vigor del presente Decreto, contaren con información o registros sobre lanzamientos de los que trata el presente Decreto, están obligadas a comunicar tal información a la Entidad de Registro, la cual, a su vez, podrá solicitar información complementaria que sea útil, necesaria o pertinente.</w:t>
      </w:r>
    </w:p>
    <w:p>
      <w:pPr>
        <w:jc w:val="both"/>
      </w:pPr>
      <w:rPr>
        <w:color w:val="black"/>
      </w:rPr>
    </w:p>
    <w:p>
      <w:pPr>
        <w:jc w:val="both"/>
        <w:outlineLvl w:val="1"/>
      </w:pPr>
      <w:r>
        <w:rPr>
          <w:rFonts w:hAnsi="Arial"/>
          <w:rFonts w:ascii="Arial"/>
          <w:sz w:val="24"/>
          <w:b/>
          <w:vanish/>
          <w:color w:val="black"/>
        </w:rPr>
        <w:t>&amp;$</w:t>
      </w:r>
      <w:bookmarkStart w:id="60331" w:name="2.2.9.1.10"/>
      <w:r>
        <w:rPr>
          <w:rFonts w:hAnsi="Arial"/>
          <w:rFonts w:ascii="Arial"/>
          <w:sz w:val="24"/>
          <w:color w:val="navy"/>
        </w:rPr>
        <w:t xml:space="preserve">ARTÍCULO 2.2.9.1.10. REMISIÓN NORMATIVA.</w:t>
      </w:r>
      <w:bookmarkEnd w:id="60331"/>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Lo que no quede expresamente reglamentado dentro de este Decreto, pero que haga parte del "Convenio sobre el Registro de Objetos Lanzados al Espacio Ultraterrestre”, suscrito en 1974, o sus modificaciones o enmiendas, se tomará de dicho convenio, excepto en aquellos casos en que desconozca las leyes nacionales colombianas.</w:t>
      </w:r>
    </w:p>
    <w:p>
      <w:pPr>
        <w:jc w:val="both"/>
      </w:pPr>
      <w:rPr>
        <w:color w:val="black"/>
      </w:rPr>
    </w:p>
    <w:p>
      <w:pPr>
        <w:jc w:val="both"/>
        <w:outlineLvl w:val="1"/>
      </w:pPr>
      <w:r>
        <w:rPr>
          <w:rFonts w:hAnsi="Arial"/>
          <w:rFonts w:ascii="Arial"/>
          <w:sz w:val="24"/>
          <w:b/>
          <w:vanish/>
          <w:color w:val="black"/>
        </w:rPr>
        <w:t>&amp;$</w:t>
      </w:r>
      <w:bookmarkStart w:id="60332" w:name="2.2.9.1.11"/>
      <w:r>
        <w:rPr>
          <w:rFonts w:hAnsi="Arial"/>
          <w:rFonts w:ascii="Arial"/>
          <w:sz w:val="24"/>
          <w:color w:val="navy"/>
        </w:rPr>
        <w:t xml:space="preserve">ARTÍCULO 2.2.9.1.11. LANZAMIENTOS CONJUNTOS.</w:t>
      </w:r>
      <w:bookmarkEnd w:id="60332"/>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Cuando el lanzamiento se efectúe conjuntamente con otro o más Estados de lanzamiento se requerirá que los mismos hagan parte del “Convenio sobre el Registro de Objetos Lanzados al Espacio Ultraterrestre", suscrito en 1974.</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En caso de que, junto con Colombia, el lanzamiento haya sido realizado por más Estados, se obrará de acuerdo al artículo 11 &lt;sic&gt;, numeral 2, del 'Convenio sobre el Registro de Objetos Lanzados al Espacio Ultraterrestre' del 12 de noviembre de 1974.</w:t>
      </w:r>
    </w:p>
    <w:p>
      <w:pPr>
        <w:jc w:val="both"/>
      </w:pPr>
      <w:rPr>
        <w:color w:val="black"/>
      </w:rPr>
    </w:p>
    <w:p>
      <w:pPr>
        <w:jc w:val="both"/>
        <w:outlineLvl w:val="1"/>
      </w:pPr>
      <w:r>
        <w:rPr>
          <w:rFonts w:hAnsi="Arial"/>
          <w:rFonts w:ascii="Arial"/>
          <w:sz w:val="24"/>
          <w:b/>
          <w:vanish/>
          <w:color w:val="black"/>
        </w:rPr>
        <w:t>&amp;$</w:t>
      </w:r>
      <w:bookmarkStart w:id="60333" w:name="2.2.9.1.12"/>
      <w:r>
        <w:rPr>
          <w:rFonts w:hAnsi="Arial"/>
          <w:rFonts w:ascii="Arial"/>
          <w:sz w:val="24"/>
          <w:color w:val="navy"/>
        </w:rPr>
        <w:t xml:space="preserve">ARTÍCULO 2.2.9.1.12. REGISTRO LANZAMIENTOS CONJUNTOS.</w:t>
      </w:r>
      <w:bookmarkEnd w:id="60333"/>
      <w:r>
        <w:rPr>
          <w:rFonts w:hAnsi="Arial"/>
          <w:rFonts w:ascii="Arial"/>
          <w:sz w:val="24"/>
          <w:color w:val="black"/>
        </w:rPr>
        <w:t xml:space="preserve"> &lt;Artículo modificado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En los casos de lanzamientos conjuntos de objetos espaciales se registrará cada uno de ellos por separado en el Registro, sin menoscabo de los derechos y obligaciones de los Estados, los objetos espaciales quedarán inscritos, de conformidad con el derecho internacional, incluidos los tratados pertinentes de Naciones Unidas, relacionados con el espacio ultraterrestre, en los registros correspondientes del Estado responsable del objeto espacial en virtud del artículo VI del Tratado sobre el Espacio Ultraterrestre.</w:t>
      </w:r>
    </w:p>
    <w:p>
      <w:pPr>
        <w:jc w:val="center"/>
        <w:outlineLvl w:val="1"/>
      </w:pPr>
      <w:rPr>
        <w:sz w:val="24"/>
        <w:color w:val="black"/>
      </w:rPr>
    </w:p>
    <w:p>
      <w:pPr>
        <w:jc w:val="center"/>
        <w:outlineLvl w:val="1"/>
      </w:pPr>
      <w:r>
        <w:rPr>
          <w:rFonts w:hAnsi="Arial"/>
          <w:rFonts w:ascii="Arial"/>
          <w:sz w:val="24"/>
          <w:vanish/>
          <w:color w:val="black"/>
        </w:rPr>
        <w:t>&amp;$</w:t>
      </w:r>
      <w:bookmarkStart w:id="60334" w:name="CAPÍTULO 2.2.9.2"/>
      <w:r>
        <w:rPr>
          <w:rFonts w:hAnsi="Arial"/>
          <w:rFonts w:ascii="Arial"/>
          <w:sz w:val="24"/>
          <w:color w:val="navy"/>
        </w:rPr>
        <w:t xml:space="preserve">CAPÍTULO 2. </w:t>
      </w:r>
    </w:p>
    <w:p>
      <w:pPr>
        <w:jc w:val="center"/>
        <w:outlineLvl w:val="1"/>
      </w:pPr>
      <w:r>
        <w:rPr>
          <w:rFonts w:hAnsi="Arial"/>
          <w:rFonts w:ascii="Arial"/>
          <w:sz w:val="24"/>
          <w:color w:val="navy"/>
        </w:rPr>
        <w:t xml:space="preserve">ACTIVIDADES ESPACIALES CONTROLADAS AL INTERIOR DEL TERRITORIO COLOMBIANO.</w:t>
      </w:r>
      <w:bookmarkEnd w:id="60334"/>
      <w:r>
        <w:rPr>
          <w:rFonts w:hAnsi="Arial"/>
          <w:rFonts w:ascii="Arial"/>
          <w:sz w:val="24"/>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335" w:name="2.2.9.2.1"/>
      <w:r>
        <w:rPr>
          <w:rFonts w:hAnsi="Arial"/>
          <w:rFonts w:ascii="Arial"/>
          <w:sz w:val="24"/>
          <w:color w:val="navy"/>
        </w:rPr>
        <w:t xml:space="preserve">ARTÍCULO 2.2.9.2.1. OBJETO.</w:t>
      </w:r>
      <w:bookmarkEnd w:id="60335"/>
      <w:r>
        <w:rPr>
          <w:rFonts w:hAnsi="Arial"/>
          <w:rFonts w:ascii="Arial"/>
          <w:sz w:val="24"/>
          <w:color w:val="black"/>
        </w:rPr>
        <w:t xml:space="preserve"> &lt;Artículo adicionado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Reglamentar las siguientes actividades espaciales controladas al interior del territorio colombiano, así:</w:t>
      </w:r>
    </w:p>
    <w:p>
      <w:pPr>
        <w:jc w:val="both"/>
        <w:outlineLvl w:val="1"/>
      </w:pPr>
      <w:rPr>
        <w:sz w:val="24"/>
        <w:color w:val="black"/>
      </w:rPr>
    </w:p>
    <w:p>
      <w:pPr>
        <w:jc w:val="both"/>
        <w:outlineLvl w:val="1"/>
      </w:pPr>
      <w:r>
        <w:rPr>
          <w:rFonts w:hAnsi="Arial"/>
          <w:rFonts w:ascii="Arial"/>
          <w:sz w:val="24"/>
          <w:color w:val="black"/>
        </w:rPr>
        <w:t xml:space="preserve">a) Lanzamiento de vehículos orbitales.</w:t>
      </w:r>
    </w:p>
    <w:p>
      <w:pPr>
        <w:jc w:val="both"/>
        <w:outlineLvl w:val="1"/>
      </w:pPr>
      <w:r>
        <w:rPr>
          <w:rFonts w:hAnsi="Arial"/>
          <w:rFonts w:ascii="Arial"/>
          <w:sz w:val="24"/>
          <w:color w:val="black"/>
        </w:rPr>
        <w:t xml:space="preserve">b) Pruebas de vehículos orbitales.</w:t>
      </w:r>
    </w:p>
    <w:p>
      <w:pPr>
        <w:jc w:val="both"/>
        <w:outlineLvl w:val="1"/>
      </w:pPr>
      <w:r>
        <w:rPr>
          <w:rFonts w:hAnsi="Arial"/>
          <w:rFonts w:ascii="Arial"/>
          <w:sz w:val="24"/>
          <w:color w:val="black"/>
        </w:rPr>
        <w:t xml:space="preserve">c) Lanzamiento de vehículos suborbitales.</w:t>
      </w:r>
    </w:p>
    <w:p>
      <w:pPr>
        <w:jc w:val="both"/>
        <w:outlineLvl w:val="1"/>
      </w:pPr>
      <w:r>
        <w:rPr>
          <w:rFonts w:hAnsi="Arial"/>
          <w:rFonts w:ascii="Arial"/>
          <w:sz w:val="24"/>
          <w:color w:val="black"/>
        </w:rPr>
        <w:t xml:space="preserve">d) Pruebas de vehículos suborbitales.</w:t>
      </w:r>
    </w:p>
    <w:p>
      <w:pPr>
        <w:jc w:val="both"/>
        <w:outlineLvl w:val="1"/>
      </w:pPr>
      <w:rPr>
        <w:color w:val="black"/>
      </w:rPr>
    </w:p>
    <w:p>
      <w:pPr>
        <w:jc w:val="both"/>
        <w:outlineLvl w:val="1"/>
      </w:pPr>
      <w:r>
        <w:rPr>
          <w:rFonts w:hAnsi="Arial"/>
          <w:rFonts w:ascii="Arial"/>
          <w:sz w:val="24"/>
          <w:b/>
          <w:vanish/>
          <w:color w:val="black"/>
        </w:rPr>
        <w:t>&amp;$</w:t>
      </w:r>
      <w:bookmarkStart w:id="60336" w:name="2.2.9.2.2"/>
      <w:r>
        <w:rPr>
          <w:rFonts w:hAnsi="Arial"/>
          <w:rFonts w:ascii="Arial"/>
          <w:sz w:val="24"/>
          <w:color w:val="navy"/>
        </w:rPr>
        <w:t xml:space="preserve">ARTÍCULO 2.2.9.2.2. ÁMBITO DE APLICACIÓN.</w:t>
      </w:r>
      <w:bookmarkEnd w:id="60336"/>
      <w:r>
        <w:rPr>
          <w:rFonts w:hAnsi="Arial"/>
          <w:rFonts w:ascii="Arial"/>
          <w:sz w:val="24"/>
          <w:color w:val="black"/>
        </w:rPr>
        <w:t xml:space="preserve"> &lt;Artículo adicionado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Las disposiciones previstas en el presente Decreto se aplican a todas las personas naturales o jurídicas de carácter público y privadas, nacionales y extranjeras, que efectúen o promuevan pruebas o el lanzamiento de objetos al espacio ultraterrestre desde el territorio colombiano.</w:t>
      </w:r>
    </w:p>
    <w:p>
      <w:pPr>
        <w:jc w:val="both"/>
        <w:outlineLvl w:val="1"/>
      </w:pPr>
      <w:rPr>
        <w:color w:val="black"/>
      </w:rPr>
    </w:p>
    <w:p>
      <w:pPr>
        <w:jc w:val="both"/>
        <w:outlineLvl w:val="1"/>
      </w:pPr>
      <w:r>
        <w:rPr>
          <w:rFonts w:hAnsi="Arial"/>
          <w:rFonts w:ascii="Arial"/>
          <w:sz w:val="24"/>
          <w:b/>
          <w:vanish/>
          <w:color w:val="black"/>
        </w:rPr>
        <w:t>&amp;$</w:t>
      </w:r>
      <w:bookmarkStart w:id="60337" w:name="2.2.9.2.3"/>
      <w:r>
        <w:rPr>
          <w:rFonts w:hAnsi="Arial"/>
          <w:rFonts w:ascii="Arial"/>
          <w:sz w:val="24"/>
          <w:color w:val="navy"/>
        </w:rPr>
        <w:t xml:space="preserve">ARTÍCULO 2.2.9.2.3. DESIGNACIÓN.</w:t>
      </w:r>
      <w:bookmarkEnd w:id="603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Desígnese a la Fuerza Aérea Colombiana como entidad encargada de supervisar, controlar y actualizar los procedimientos para lanzamientos y pruebas de vehículos orbitales o suborbitales que sean lanzados sobre el territorio colombiano con la finalidad de que estos no constituyan un riesgo para la seguridad y defensa nacional, la operación aérea y espacial, y la soberanía nacional.</w:t>
      </w:r>
    </w:p>
    <w:p>
      <w:pPr>
        <w:jc w:val="both"/>
        <w:outlineLvl w:val="1"/>
      </w:pPr>
      <w:rPr>
        <w:color w:val="black"/>
      </w:rPr>
    </w:p>
    <w:p>
      <w:pPr>
        <w:jc w:val="both"/>
        <w:outlineLvl w:val="1"/>
      </w:pPr>
      <w:r>
        <w:rPr>
          <w:rFonts w:hAnsi="Arial"/>
          <w:rFonts w:ascii="Arial"/>
          <w:sz w:val="24"/>
          <w:b/>
          <w:vanish/>
          <w:color w:val="black"/>
        </w:rPr>
        <w:t>&amp;$</w:t>
      </w:r>
      <w:bookmarkStart w:id="60338" w:name="2.2.9.2.4"/>
      <w:r>
        <w:rPr>
          <w:rFonts w:hAnsi="Arial"/>
          <w:rFonts w:ascii="Arial"/>
          <w:sz w:val="24"/>
          <w:color w:val="navy"/>
        </w:rPr>
        <w:t xml:space="preserve">ARTÍCULO 2.2.9.2.4. PROCEDIMIENTO.</w:t>
      </w:r>
      <w:bookmarkEnd w:id="603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1064 de 2024. El nuevo texto es el siguiente:&gt; El procedimiento para el lanzamiento y pruebas de vehículos orbitales y suborbitales corresponde al siguiente:</w:t>
      </w:r>
    </w:p>
    <w:p>
      <w:pPr>
        <w:jc w:val="both"/>
        <w:outlineLvl w:val="1"/>
      </w:pPr>
      <w:rPr>
        <w:sz w:val="24"/>
        <w:color w:val="black"/>
      </w:rPr>
    </w:p>
    <w:p>
      <w:pPr>
        <w:jc w:val="both"/>
        <w:outlineLvl w:val="1"/>
      </w:pPr>
      <w:r>
        <w:rPr>
          <w:rFonts w:hAnsi="Arial"/>
          <w:rFonts w:ascii="Arial"/>
          <w:sz w:val="24"/>
          <w:color w:val="black"/>
        </w:rPr>
        <w:t xml:space="preserve">a) Las personas naturales o jurídicas de carácter público y privadas, nacionales y extranjeras que requieran efectuar pruebas o lanzamientos de vehículos orbitales y suborbitales desde el territorio colombiano, deberán diligenciar, a través de la página web de la Fuerza Aérea Colombiana, la solicitud para el desarrollo de la actividad espacial controlada que se pretenda realizar.</w:t>
      </w:r>
    </w:p>
    <w:p>
      <w:pPr>
        <w:jc w:val="both"/>
        <w:outlineLvl w:val="1"/>
      </w:pPr>
      <w:rPr>
        <w:sz w:val="24"/>
        <w:color w:val="black"/>
      </w:rPr>
    </w:p>
    <w:p>
      <w:pPr>
        <w:jc w:val="both"/>
        <w:outlineLvl w:val="1"/>
      </w:pPr>
      <w:r>
        <w:rPr>
          <w:rFonts w:hAnsi="Arial"/>
          <w:rFonts w:ascii="Arial"/>
          <w:sz w:val="24"/>
          <w:color w:val="black"/>
        </w:rPr>
        <w:t xml:space="preserve">La Fuerza Aérea Colombiana dispondrá el fácil acceso a los formatos vigentes para el diligenciamiento de la solicitud de ejecución de la actividad espacial controlada al interior del territorio colombiano.</w:t>
      </w:r>
    </w:p>
    <w:p>
      <w:pPr>
        <w:jc w:val="both"/>
        <w:outlineLvl w:val="1"/>
      </w:pPr>
      <w:rPr>
        <w:sz w:val="24"/>
        <w:color w:val="black"/>
      </w:rPr>
      <w:br w:type="page"/>
    </w:p>
    <w:p>
      <w:pPr>
        <w:jc w:val="both"/>
        <w:outlineLvl w:val="1"/>
      </w:pPr>
      <w:r>
        <w:rPr>
          <w:rFonts w:hAnsi="Arial"/>
          <w:rFonts w:ascii="Arial"/>
          <w:sz w:val="24"/>
          <w:color w:val="black"/>
        </w:rPr>
        <w:t xml:space="preserve">b) Una vez diligenciada en línea la solicitud, la Fuerza Aérea Colombiana determinará fechas y lugar de ejecución de la actividad espacial controlada, cuando así se requiera de acuerdo con los riesgos asociados que se enuncian a continuación:</w:t>
      </w:r>
    </w:p>
    <w:p>
      <w:pPr>
        <w:jc w:val="both"/>
        <w:outlineLvl w:val="1"/>
      </w:pPr>
      <w:rPr>
        <w:sz w:val="24"/>
        <w:color w:val="black"/>
      </w:rPr>
    </w:p>
    <w:p>
      <w:pPr>
        <w:jc w:val="both"/>
        <w:outlineLvl w:val="1"/>
      </w:pPr>
      <w:r>
        <w:rPr>
          <w:rFonts w:hAnsi="Arial"/>
          <w:rFonts w:ascii="Arial"/>
          <w:sz w:val="24"/>
          <w:color w:val="black"/>
        </w:rPr>
        <w:t xml:space="preserve">- Tipo de motor (certificado/experimental) y combustible a usar por el vehículo orbital o suborbital.</w:t>
      </w:r>
    </w:p>
    <w:p>
      <w:pPr>
        <w:jc w:val="both"/>
        <w:outlineLvl w:val="1"/>
      </w:pPr>
      <w:rPr>
        <w:sz w:val="24"/>
        <w:color w:val="black"/>
      </w:rPr>
    </w:p>
    <w:p>
      <w:pPr>
        <w:jc w:val="both"/>
        <w:outlineLvl w:val="1"/>
      </w:pPr>
      <w:r>
        <w:rPr>
          <w:rFonts w:hAnsi="Arial"/>
          <w:rFonts w:ascii="Arial"/>
          <w:sz w:val="24"/>
          <w:color w:val="black"/>
        </w:rPr>
        <w:t xml:space="preserve">- Sistema de ignición y dispositivo de lanzamiento.</w:t>
      </w:r>
    </w:p>
    <w:p>
      <w:pPr>
        <w:jc w:val="both"/>
        <w:outlineLvl w:val="1"/>
      </w:pPr>
      <w:rPr>
        <w:sz w:val="24"/>
        <w:color w:val="black"/>
      </w:rPr>
    </w:p>
    <w:p>
      <w:pPr>
        <w:jc w:val="both"/>
        <w:outlineLvl w:val="1"/>
      </w:pPr>
      <w:r>
        <w:rPr>
          <w:rFonts w:hAnsi="Arial"/>
          <w:rFonts w:ascii="Arial"/>
          <w:sz w:val="24"/>
          <w:color w:val="black"/>
        </w:rPr>
        <w:t xml:space="preserve">- El perfil de vuelo previsto y la secuencia de eventos.</w:t>
      </w:r>
    </w:p>
    <w:p>
      <w:pPr>
        <w:jc w:val="both"/>
        <w:outlineLvl w:val="1"/>
      </w:pPr>
      <w:rPr>
        <w:sz w:val="24"/>
        <w:color w:val="black"/>
      </w:rPr>
    </w:p>
    <w:p>
      <w:pPr>
        <w:jc w:val="both"/>
        <w:outlineLvl w:val="1"/>
      </w:pPr>
      <w:r>
        <w:rPr>
          <w:rFonts w:hAnsi="Arial"/>
          <w:rFonts w:ascii="Arial"/>
          <w:sz w:val="24"/>
          <w:color w:val="black"/>
        </w:rPr>
        <w:t xml:space="preserve">- Altura máxima prevista del lanzamiento y/o prueba.</w:t>
      </w:r>
    </w:p>
    <w:p>
      <w:pPr>
        <w:jc w:val="both"/>
        <w:outlineLvl w:val="1"/>
      </w:pPr>
      <w:rPr>
        <w:sz w:val="24"/>
        <w:color w:val="black"/>
      </w:rPr>
    </w:p>
    <w:p>
      <w:pPr>
        <w:jc w:val="both"/>
        <w:outlineLvl w:val="1"/>
      </w:pPr>
      <w:r>
        <w:rPr>
          <w:rFonts w:hAnsi="Arial"/>
          <w:rFonts w:ascii="Arial"/>
          <w:sz w:val="24"/>
          <w:color w:val="black"/>
        </w:rPr>
        <w:t xml:space="preserve">- Rango mínimo de seguridad para disminuir los riesgos a la población civil e instalaciones cercanas.</w:t>
      </w:r>
    </w:p>
    <w:p>
      <w:pPr>
        <w:jc w:val="both"/>
        <w:outlineLvl w:val="1"/>
      </w:pPr>
      <w:rPr>
        <w:sz w:val="24"/>
        <w:color w:val="black"/>
      </w:rPr>
    </w:p>
    <w:p>
      <w:pPr>
        <w:jc w:val="both"/>
        <w:outlineLvl w:val="1"/>
      </w:pPr>
      <w:r>
        <w:rPr>
          <w:rFonts w:hAnsi="Arial"/>
          <w:rFonts w:ascii="Arial"/>
          <w:sz w:val="24"/>
          <w:color w:val="black"/>
        </w:rPr>
        <w:t xml:space="preserve">- Impacto ambiental, incluido el ruido.</w:t>
      </w:r>
    </w:p>
    <w:p>
      <w:pPr>
        <w:jc w:val="both"/>
        <w:outlineLvl w:val="1"/>
      </w:pPr>
      <w:rPr>
        <w:sz w:val="24"/>
        <w:color w:val="black"/>
      </w:rPr>
    </w:p>
    <w:p>
      <w:pPr>
        <w:jc w:val="both"/>
        <w:outlineLvl w:val="1"/>
      </w:pPr>
      <w:r>
        <w:rPr>
          <w:rFonts w:hAnsi="Arial"/>
          <w:rFonts w:ascii="Arial"/>
          <w:sz w:val="24"/>
          <w:color w:val="black"/>
        </w:rPr>
        <w:t xml:space="preserve">- Equipo de soporte (logística) y herramientas necesarias para una operación segura.</w:t>
      </w:r>
    </w:p>
    <w:p>
      <w:pPr>
        <w:jc w:val="both"/>
        <w:outlineLvl w:val="1"/>
      </w:pPr>
      <w:rPr>
        <w:sz w:val="24"/>
        <w:color w:val="black"/>
      </w:rPr>
    </w:p>
    <w:p>
      <w:pPr>
        <w:jc w:val="both"/>
        <w:outlineLvl w:val="1"/>
      </w:pPr>
      <w:r>
        <w:rPr>
          <w:rFonts w:hAnsi="Arial"/>
          <w:rFonts w:ascii="Arial"/>
          <w:sz w:val="24"/>
          <w:color w:val="black"/>
        </w:rPr>
        <w:t xml:space="preserve">- Procedimiento en caso de emergencia.</w:t>
      </w:r>
    </w:p>
    <w:p>
      <w:pPr>
        <w:jc w:val="both"/>
        <w:outlineLvl w:val="1"/>
      </w:pPr>
      <w:rPr>
        <w:sz w:val="24"/>
        <w:color w:val="black"/>
      </w:rPr>
    </w:p>
    <w:p>
      <w:pPr>
        <w:jc w:val="both"/>
        <w:outlineLvl w:val="1"/>
      </w:pPr>
      <w:r>
        <w:rPr>
          <w:rFonts w:hAnsi="Arial"/>
          <w:rFonts w:ascii="Arial"/>
          <w:sz w:val="24"/>
          <w:color w:val="black"/>
        </w:rPr>
        <w:t xml:space="preserve">- Coordinaciones efectivas con entidades de control de tránsito aéreo, y atención de emergencias como bomberos y demás organizaciones que sean requeridas para la prueba.</w:t>
      </w:r>
    </w:p>
    <w:p>
      <w:pPr>
        <w:jc w:val="both"/>
        <w:outlineLvl w:val="1"/>
      </w:pPr>
      <w:rPr>
        <w:sz w:val="24"/>
        <w:color w:val="black"/>
      </w:rPr>
    </w:p>
    <w:p>
      <w:pPr>
        <w:jc w:val="both"/>
        <w:outlineLvl w:val="1"/>
      </w:pPr>
      <w:r>
        <w:rPr>
          <w:rFonts w:hAnsi="Arial"/>
          <w:rFonts w:ascii="Arial"/>
          <w:sz w:val="24"/>
          <w:color w:val="black"/>
        </w:rPr>
        <w:t xml:space="preserve">c) Toda solicitud para la ejecución de una actividad espacial controlada será analizada por la Jefatura de Operaciones Espaciales de la Fuerza Aérea Colombiana, respecto a los impactos ambientales, teniendo en cuenta que las actividades espaciales que se pretendan realizar al interior del territorio colombiano, deben ser ejecutadas de tal manera que no genere efectos adversos al medio ambiente, tanto en la tierra como en el espacio exterior, de acuerdo con las evaluaciones ambientales regidas por la normatividad vigente en Colombia y los acuerdos internacionales vigentes en materia espacial.</w:t>
      </w:r>
    </w:p>
    <w:p>
      <w:pPr>
        <w:jc w:val="both"/>
        <w:outlineLvl w:val="1"/>
      </w:pPr>
      <w:rPr>
        <w:sz w:val="24"/>
        <w:color w:val="black"/>
      </w:rPr>
    </w:p>
    <w:p>
      <w:pPr>
        <w:jc w:val="both"/>
        <w:outlineLvl w:val="1"/>
      </w:pPr>
      <w:r>
        <w:rPr>
          <w:rFonts w:hAnsi="Arial"/>
          <w:rFonts w:ascii="Arial"/>
          <w:sz w:val="24"/>
          <w:color w:val="black"/>
        </w:rPr>
        <w:t xml:space="preserve">d) La solicitud elevada a la Fuerza Aérea Colombiana deberá cumplir con los requisitos establecidos, con el objeto de obtener la autorización correspondiente para la ejecución de la actividad espacial controlada.</w:t>
      </w:r>
    </w:p>
    <w:p>
      <w:pPr>
        <w:jc w:val="both"/>
        <w:outlineLvl w:val="1"/>
      </w:pPr>
      <w:rPr>
        <w:sz w:val="24"/>
        <w:color w:val="black"/>
      </w:rPr>
    </w:p>
    <w:p>
      <w:pPr>
        <w:jc w:val="both"/>
        <w:outlineLvl w:val="1"/>
      </w:pPr>
      <w:r>
        <w:rPr>
          <w:rFonts w:hAnsi="Arial"/>
          <w:rFonts w:ascii="Arial"/>
          <w:sz w:val="24"/>
          <w:color w:val="black"/>
        </w:rPr>
        <w:t xml:space="preserve">e) Cumplidos a satisfacción los requisitos antes señalados, la persona natural o jurídica de carácter público y privadas, nacional y extranjera responsable de la ejecución de la actividad espacial controlada deberá presentar póliza de seguro de responsabilidad civil extracontractual por daños a terceros, que ampare a la totalidad de los participantes ante situaciones de riesgo que puedan afectar su integridad.</w:t>
      </w:r>
    </w:p>
    <w:p>
      <w:pPr>
        <w:jc w:val="both"/>
        <w:outlineLvl w:val="1"/>
      </w:pPr>
      <w:rPr>
        <w:sz w:val="24"/>
        <w:color w:val="black"/>
      </w:rPr>
    </w:p>
    <w:p>
      <w:pPr>
        <w:jc w:val="both"/>
        <w:outlineLvl w:val="1"/>
      </w:pPr>
      <w:r>
        <w:rPr>
          <w:rFonts w:hAnsi="Arial"/>
          <w:rFonts w:ascii="Arial"/>
          <w:sz w:val="24"/>
          <w:color w:val="black"/>
        </w:rPr>
        <w:t xml:space="preserve">f) La Fuerza Aérea Colombiana recibirá la documentación, únicamente cuando esta se encuentre completa. Cumplido lo anterior, la institución tendrá 15 días hábiles para su revisión y emitir el concepto favorable, de ser este procedente, para la ejecución de la actividad espacial controlada.</w:t>
      </w:r>
    </w:p>
    <w:p>
      <w:pPr>
        <w:jc w:val="both"/>
        <w:outlineLvl w:val="1"/>
      </w:pPr>
      <w:rPr>
        <w:sz w:val="24"/>
        <w:color w:val="black"/>
      </w:rPr>
    </w:p>
    <w:p>
      <w:pPr>
        <w:jc w:val="both"/>
        <w:outlineLvl w:val="1"/>
      </w:pPr>
      <w:r>
        <w:rPr>
          <w:rFonts w:hAnsi="Arial"/>
          <w:rFonts w:ascii="Arial"/>
          <w:sz w:val="24"/>
          <w:color w:val="black"/>
        </w:rPr>
        <w:t xml:space="preserve">Cuando la solicitud lo amerite y se autorice el trasporte de personal y carga para la ejecución de la actividad espacial controlada, la Fuerza Aérea Colombiana determinará las fechas y cantidades a transportar. Además, verificará y supervisará el correcto embalaje de las mercancías peligrosas, de acuerdo con el Manual para el Transporte de Mercancías Peligrosas por vía Aérea para la Aviación de Estado (MAMEP).</w:t>
      </w:r>
    </w:p>
    <w:p>
      <w:pPr>
        <w:jc w:val="both"/>
        <w:outlineLvl w:val="1"/>
      </w:pPr>
      <w:rPr>
        <w:sz w:val="24"/>
        <w:color w:val="black"/>
      </w:rPr>
    </w:p>
    <w:p>
      <w:pPr>
        <w:jc w:val="both"/>
        <w:outlineLvl w:val="1"/>
      </w:pPr>
      <w:r>
        <w:rPr>
          <w:rFonts w:hAnsi="Arial"/>
          <w:rFonts w:ascii="Arial"/>
          <w:sz w:val="24"/>
          <w:color w:val="black"/>
        </w:rPr>
        <w:t xml:space="preserve">Si revisada la documentación por parte de la Fuerza Aérea Colombiana, y en caso de requerirse ajuste o corrección; la persona natural o jurídica que solicita la ejecución de la actividad espacial controlada contará con un término de 15 días hábiles, contados a partir de la devolución de la documentación, para que se subsanen o corrijan las novedades presentadas, término en el cual deberá radicarse nuevamente la solicitud ante la Fuerza Aérea Colombiana, quien brindará al solicitante el respectivo concepto favorable, de ser este procedente, para la ejecución de la actividad espacial controlada.</w:t>
      </w:r>
    </w:p>
    <w:p>
      <w:pPr>
        <w:jc w:val="both"/>
        <w:outlineLvl w:val="1"/>
      </w:pPr>
      <w:rPr>
        <w:sz w:val="24"/>
        <w:color w:val="black"/>
      </w:rPr>
    </w:p>
    <w:p>
      <w:pPr>
        <w:jc w:val="both"/>
        <w:outlineLvl w:val="1"/>
      </w:pPr>
      <w:r>
        <w:rPr>
          <w:rFonts w:hAnsi="Arial"/>
          <w:rFonts w:ascii="Arial"/>
          <w:sz w:val="24"/>
          <w:color w:val="black"/>
        </w:rPr>
        <w:t xml:space="preserve">El concepto favorable contará con una vigencia de 45 días calendario, tiempo en el cual deberá ejecutarse la actividad espacial controlada objeto de la solicitud.</w:t>
      </w:r>
    </w:p>
    <w:p>
      <w:pPr>
        <w:jc w:val="both"/>
        <w:outlineLvl w:val="1"/>
      </w:pPr>
      <w:rPr>
        <w:color w:val="black"/>
      </w:rPr>
    </w:p>
    <w:p>
      <w:pPr>
        <w:jc w:val="center"/>
        <w:outlineLvl w:val="1"/>
      </w:pPr>
      <w:r>
        <w:rPr>
          <w:rFonts w:hAnsi="Arial"/>
          <w:rFonts w:ascii="Arial"/>
          <w:sz w:val="24"/>
          <w:b/>
          <w:vanish/>
          <w:color w:val="black"/>
        </w:rPr>
        <w:t>&amp;$</w:t>
      </w:r>
      <w:bookmarkStart w:id="60339" w:name="TÍTULO 2.2.10"/>
      <w:r>
        <w:rPr>
          <w:rFonts w:hAnsi="Arial"/>
          <w:rFonts w:ascii="Arial"/>
          <w:sz w:val="24"/>
          <w:color w:val="navy"/>
        </w:rPr>
        <w:t xml:space="preserve">TÍTULO 10. </w:t>
      </w:r>
    </w:p>
    <w:p>
      <w:pPr>
        <w:jc w:val="center"/>
        <w:outlineLvl w:val="1"/>
      </w:pPr>
      <w:r>
        <w:rPr>
          <w:rFonts w:hAnsi="Arial"/>
          <w:rFonts w:ascii="Arial"/>
          <w:sz w:val="24"/>
          <w:color w:val="navy"/>
        </w:rPr>
        <w:t xml:space="preserve">ALCANCE Y ACCESO A LA FASE DE REHABILITACIÓN INCLUSIVA.</w:t>
      </w:r>
      <w:bookmarkEnd w:id="6033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340" w:name="2.2.10.1"/>
      <w:r>
        <w:rPr>
          <w:rFonts w:hAnsi="Arial"/>
          <w:rFonts w:ascii="Arial"/>
          <w:sz w:val="24"/>
          <w:color w:val="navy"/>
        </w:rPr>
        <w:t xml:space="preserve">ARTÍCULO 2.2.10.1. OBJETO.</w:t>
      </w:r>
      <w:bookmarkEnd w:id="60340"/>
      <w:r>
        <w:rPr>
          <w:rFonts w:hAnsi="Arial"/>
          <w:rFonts w:ascii="Arial"/>
          <w:sz w:val="24"/>
          <w:color w:val="black"/>
        </w:rPr>
        <w:t xml:space="preserve"> &lt;Artículo adicionado por el artículo </w:t>
      </w:r>
      <w:r>
        <w:fldChar w:fldCharType="begin"/>
      </w:r>
      <w:r>
        <w:instrText>HYPERLINK "http://www.redjurista.com/document.aspx?ajcode=d2369019&amp;arts=1"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2369 de 2019. El nuevo texto es el siguiente:&gt; Definir el alcance y condiciones de acceso a los planes y programas y a la Fase de Rehabilitación Inclusiva para los miembros de la Fuerza Pública y para los nuevos grupos poblacionales establecidos en el artículo </w:t>
      </w:r>
      <w:r>
        <w:fldChar w:fldCharType="begin"/>
      </w:r>
      <w:r>
        <w:instrText>HYPERLINK "http://www.redjurista.com/document.aspx?ajcode=l1471011&amp;arts=3"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1471 de 2011, modificado por el artículo </w:t>
      </w:r>
      <w:r>
        <w:fldChar w:fldCharType="begin"/>
      </w:r>
      <w:r>
        <w:instrText>HYPERLINK "http://www.redjurista.com/document.aspx?ajcode=l1955019&amp;arts=248"</w:instrText>
      </w:r>
      <w:r>
        <w:fldChar w:fldCharType="separate"/>
      </w:r>
      <w:r>
        <w:rPr>
          <w:rFonts w:hAnsi="Arial"/>
          <w:rFonts w:ascii="Arial"/>
          <w:sz w:val="24"/>
          <w:u w:val="single"/>
          <w:color w:val="black"/>
        </w:rPr>
        <w:t>248</w:t>
      </w:r>
      <w:r>
        <w:fldChar w:fldCharType="end"/>
      </w:r>
      <w:r>
        <w:rPr>
          <w:rFonts w:hAnsi="Arial"/>
          <w:rFonts w:ascii="Arial"/>
          <w:sz w:val="24"/>
          <w:u w:val="none"/>
          <w:color w:val="black"/>
        </w:rPr>
        <w:t xml:space="preserve"> de la Ley 1955 de 2019, disponibles en la Dirección Centro de Rehabilitación Inclusiva (DCRI) del Ministerio de Defensa Nacional. </w:t>
      </w:r>
    </w:p>
    <w:p>
      <w:pPr>
        <w:jc w:val="both"/>
      </w:pPr>
      <w:rPr>
        <w:color w:val="black"/>
      </w:rPr>
    </w:p>
    <w:p>
      <w:pPr>
        <w:jc w:val="both"/>
      </w:pPr>
      <w:r>
        <w:rPr>
          <w:rFonts w:hAnsi="Arial"/>
          <w:rFonts w:ascii="Arial"/>
          <w:sz w:val="24"/>
          <w:b/>
          <w:vanish/>
          <w:color w:val="black"/>
        </w:rPr>
        <w:t>&amp;$</w:t>
      </w:r>
      <w:bookmarkStart w:id="60341" w:name="2.2.10.2"/>
      <w:r>
        <w:rPr>
          <w:rFonts w:hAnsi="Arial"/>
          <w:rFonts w:ascii="Arial"/>
          <w:sz w:val="24"/>
          <w:color w:val="navy"/>
        </w:rPr>
        <w:t xml:space="preserve">ARTÍCULO 2.2.10.2. ALCANCE DE LOS PLANES Y PROGRAMAS DE LA FASE DE REHABILITACIÓN INCLUSIVA.</w:t>
      </w:r>
      <w:bookmarkEnd w:id="603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"http://www.redjurista.com/document.aspx?ajcode=d2369019&amp;arts=1"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2369 de 2019. El nuevo texto es el siguiente:&gt; Los planes y programas definidos en la Fase de Rehabilitación Inclusiva para las personas con discapacidad se aplicarán en consideración a las necesidades de estas y en cumplimiento del Modelo de Gestión de Caso, establecidos en el documento Conpes </w:t>
      </w:r>
      <w:r>
        <w:fldChar w:fldCharType="begin"/>
      </w:r>
      <w:r>
        <w:instrText>HYPERLINK "http://www.redjurista.com/document.aspx?ajcode=conpes_dnp_3591_2009&amp;arts=INICIO"</w:instrText>
      </w:r>
      <w:r>
        <w:fldChar w:fldCharType="separate"/>
      </w:r>
      <w:r>
        <w:rPr>
          <w:rFonts w:hAnsi="Arial"/>
          <w:rFonts w:ascii="Arial"/>
          <w:sz w:val="24"/>
          <w:u w:val="single"/>
          <w:color w:val="black"/>
        </w:rPr>
        <w:t>3591</w:t>
      </w:r>
      <w:r>
        <w:fldChar w:fldCharType="end"/>
      </w:r>
      <w:r>
        <w:rPr>
          <w:rFonts w:hAnsi="Arial"/>
          <w:rFonts w:ascii="Arial"/>
          <w:sz w:val="24"/>
          <w:u w:val="none"/>
          <w:color w:val="black"/>
        </w:rPr>
        <w:t xml:space="preserve"> de 2009 “Sistema de Rehabilitación Integral para la Fuerza Pública”.</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acceso a los planes y programas para los nuevos grupos poblacionales establecidos en el artículo </w:t>
      </w:r>
      <w:r>
        <w:fldChar w:fldCharType="begin"/>
      </w:r>
      <w:r>
        <w:instrText>HYPERLINK "http://www.redjurista.com/document.aspx?ajcode=l1471011&amp;arts=3"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1471 de 2011, modificado por el artículo </w:t>
      </w:r>
      <w:r>
        <w:fldChar w:fldCharType="begin"/>
      </w:r>
      <w:r>
        <w:instrText>HYPERLINK "http://www.redjurista.com/document.aspx?ajcode=l1955019&amp;arts=248"</w:instrText>
      </w:r>
      <w:r>
        <w:fldChar w:fldCharType="separate"/>
      </w:r>
      <w:r>
        <w:rPr>
          <w:rFonts w:hAnsi="Arial"/>
          <w:rFonts w:ascii="Arial"/>
          <w:sz w:val="24"/>
          <w:u w:val="single"/>
          <w:color w:val="black"/>
        </w:rPr>
        <w:t>248</w:t>
      </w:r>
      <w:r>
        <w:fldChar w:fldCharType="end"/>
      </w:r>
      <w:r>
        <w:rPr>
          <w:rFonts w:hAnsi="Arial"/>
          <w:rFonts w:ascii="Arial"/>
          <w:sz w:val="24"/>
          <w:u w:val="none"/>
          <w:color w:val="black"/>
        </w:rPr>
        <w:t xml:space="preserve"> de la Ley 1955 de 2019, se realizará previa evaluación de necesidades individuales o colectivas cuando una cohorte así lo requiera, en el marco de la disponibilidad presupuestal. </w:t>
      </w:r>
    </w:p>
    <w:p>
      <w:pPr>
        <w:jc w:val="both"/>
      </w:pPr>
      <w:rPr>
        <w:color w:val="black"/>
      </w:rPr>
    </w:p>
    <w:p>
      <w:pPr>
        <w:jc w:val="both"/>
      </w:pPr>
      <w:r>
        <w:rPr>
          <w:rFonts w:hAnsi="Arial"/>
          <w:rFonts w:ascii="Arial"/>
          <w:sz w:val="24"/>
          <w:b/>
          <w:vanish/>
          <w:color w:val="black"/>
        </w:rPr>
        <w:t>&amp;$</w:t>
      </w:r>
      <w:bookmarkStart w:id="60342" w:name="2.2.10.3"/>
      <w:r>
        <w:rPr>
          <w:rFonts w:hAnsi="Arial"/>
          <w:rFonts w:ascii="Arial"/>
          <w:sz w:val="24"/>
          <w:color w:val="navy"/>
        </w:rPr>
        <w:t xml:space="preserve">ARTÍCULO 2.2.10.3. ACCESO A LA FASE DE REHABILITACIÓN INCLUSIVA.</w:t>
      </w:r>
      <w:bookmarkEnd w:id="6034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"http://www.redjurista.com/document.aspx?ajcode=d2369019&amp;arts=1"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2369 de 2019. El nuevo texto es el siguiente:&gt; Para efectos de la implementación del presente decreto, la Certificación de Discapacidad será requisito para acceder a la Fase de Rehabilitación Inclusiva y será emitida de acuerdo con la Resolución </w:t>
      </w:r>
      <w:r>
        <w:fldChar w:fldCharType="begin"/>
      </w:r>
      <w:r>
        <w:instrText>HYPERLINK "http://www.redjurista.com/document.aspx?ajcode=r_msps_0583_2018&amp;arts=INICIO"</w:instrText>
      </w:r>
      <w:r>
        <w:fldChar w:fldCharType="separate"/>
      </w:r>
      <w:r>
        <w:rPr>
          <w:rFonts w:hAnsi="Arial"/>
          <w:rFonts w:ascii="Arial"/>
          <w:sz w:val="24"/>
          <w:u w:val="single"/>
          <w:color w:val="black"/>
        </w:rPr>
        <w:t>583</w:t>
      </w:r>
      <w:r>
        <w:fldChar w:fldCharType="end"/>
      </w:r>
      <w:r>
        <w:rPr>
          <w:rFonts w:hAnsi="Arial"/>
          <w:rFonts w:ascii="Arial"/>
          <w:sz w:val="24"/>
          <w:u w:val="none"/>
          <w:color w:val="black"/>
        </w:rPr>
        <w:t xml:space="preserve"> del 28 de febrero de 2018 del Ministerio de Salud y Protección Social “por la cual se implementa la Certificación de Discapacidad y el Registro de Localización y Caracterización de Personas con Discapacidad”, modificada por la Resolución </w:t>
      </w:r>
      <w:r>
        <w:fldChar w:fldCharType="begin"/>
      </w:r>
      <w:r>
        <w:instrText>HYPERLINK "http://www.redjurista.com/document.aspx?ajcode=r_msps_0246_2019&amp;arts=INICIO"</w:instrText>
      </w:r>
      <w:r>
        <w:fldChar w:fldCharType="separate"/>
      </w:r>
      <w:r>
        <w:rPr>
          <w:rFonts w:hAnsi="Arial"/>
          <w:rFonts w:ascii="Arial"/>
          <w:sz w:val="24"/>
          <w:u w:val="single"/>
          <w:color w:val="black"/>
        </w:rPr>
        <w:t>246</w:t>
      </w:r>
      <w:r>
        <w:fldChar w:fldCharType="end"/>
      </w:r>
      <w:r>
        <w:rPr>
          <w:rFonts w:hAnsi="Arial"/>
          <w:rFonts w:ascii="Arial"/>
          <w:sz w:val="24"/>
          <w:u w:val="none"/>
          <w:color w:val="black"/>
        </w:rPr>
        <w:t xml:space="preserve"> del 31 de enero de 2019 del Ministerio de Salud y Protección Social “por la cual se modifica el artículo </w:t>
      </w:r>
      <w:r>
        <w:fldChar w:fldCharType="begin"/>
      </w:r>
      <w:r>
        <w:instrText>HYPERLINK "http://www.redjurista.com/document.aspx?ajcode=r_msps_0583_2018&amp;arts=25"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Resolución 583 de 2018”, o en todo caso por aquella(s) norma(s) que modifique(n), adicione(n) o derogue(n) las referidas Resoluciones.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miembros de la Fuerza Pública en actividad para poder acceder a la Fase de Rehabilitación Inclusiva, deberán contar con previa autorización de su respectiva Fuerza. </w:t>
      </w:r>
    </w:p>
    <w:p>
      <w:pPr>
        <w:jc w:val="both"/>
      </w:pPr>
      <w:rPr>
        <w:color w:val="black"/>
      </w:rPr>
    </w:p>
    <w:p>
      <w:pPr>
        <w:jc w:val="both"/>
      </w:pPr>
      <w:r>
        <w:rPr>
          <w:rFonts w:hAnsi="Arial"/>
          <w:rFonts w:ascii="Arial"/>
          <w:sz w:val="24"/>
          <w:b/>
          <w:vanish/>
          <w:color w:val="black"/>
        </w:rPr>
        <w:t>&amp;$</w:t>
      </w:r>
      <w:bookmarkStart w:id="60343" w:name="2.2.10.4"/>
      <w:r>
        <w:rPr>
          <w:rFonts w:hAnsi="Arial"/>
          <w:rFonts w:ascii="Arial"/>
          <w:sz w:val="24"/>
          <w:color w:val="navy"/>
        </w:rPr>
        <w:t xml:space="preserve">ARTÍCULO 2.2.10.4. COMPONENTES.</w:t>
      </w:r>
      <w:bookmarkEnd w:id="60343"/>
      <w:r>
        <w:rPr>
          <w:rFonts w:hAnsi="Arial"/>
          <w:rFonts w:ascii="Arial"/>
          <w:sz w:val="24"/>
          <w:color w:val="black"/>
        </w:rPr>
        <w:t xml:space="preserve"> &lt;Artículo adicionado por el artículo </w:t>
      </w:r>
      <w:r>
        <w:fldChar w:fldCharType="begin"/>
      </w:r>
      <w:r>
        <w:instrText>HYPERLINK "http://www.redjurista.com/document.aspx?ajcode=d2369019&amp;arts=1"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2369 de 2019. El nuevo texto es el siguiente:&gt; Los elementos constitutivos de la Fase de Rehabilitación Inclusiva, así como sus planes y programas serán diseñados y prestados por la Dirección Centro de Rehabilitación Inclusiva (DCRI) del Ministerio de Defensa Nacional. </w:t>
      </w:r>
    </w:p>
    <w:p>
      <w:pPr>
        <w:jc w:val="center"/>
      </w:pPr>
      <w:rPr>
        <w:sz w:val="24"/>
        <w:color w:val="black"/>
      </w:rPr>
    </w:p>
    <w:p>
      <w:pPr>
        <w:jc w:val="center"/>
      </w:pPr>
      <w:r>
        <w:rPr>
          <w:rFonts w:hAnsi="Arial"/>
          <w:rFonts w:ascii="Arial"/>
          <w:sz w:val="24"/>
          <w:vanish/>
          <w:color w:val="black"/>
        </w:rPr>
        <w:t>&amp;$</w:t>
      </w:r>
      <w:bookmarkStart w:id="60344" w:name="TÍTULO 2.2.11"/>
      <w:r>
        <w:rPr>
          <w:rFonts w:hAnsi="Arial"/>
          <w:rFonts w:ascii="Arial"/>
          <w:sz w:val="24"/>
          <w:color w:val="navy"/>
        </w:rPr>
        <w:t xml:space="preserve">TÍTULO 11. </w:t>
      </w:r>
    </w:p>
    <w:p>
      <w:pPr>
        <w:jc w:val="center"/>
      </w:pPr>
      <w:r>
        <w:rPr>
          <w:rFonts w:hAnsi="Arial"/>
          <w:rFonts w:ascii="Arial"/>
          <w:sz w:val="24"/>
          <w:color w:val="navy"/>
        </w:rPr>
        <w:t xml:space="preserve">POLÍTICA DE ESTADO DE GRATUIDAD EN LA MATRÍCULA DE LAS ESCUELAS DE FORMACIÓN DE LAS FUERZAS MILITARES Y LA POLICÍA NACIONAL.</w:t>
      </w:r>
      <w:bookmarkEnd w:id="60344"/>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60345" w:name="2.2.11.1"/>
      <w:r>
        <w:rPr>
          <w:rFonts w:hAnsi="Arial"/>
          <w:rFonts w:ascii="Arial"/>
          <w:sz w:val="24"/>
          <w:color w:val="navy"/>
        </w:rPr>
        <w:t xml:space="preserve">ARTÍCULO 2.2.11.1. OBJETO.</w:t>
      </w:r>
      <w:bookmarkEnd w:id="603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El presente decreto tiene por objeto reglamentar parcialmente el artículo </w:t>
      </w:r>
      <w:r>
        <w:fldChar w:fldCharType="begin"/>
      </w:r>
      <w:r>
        <w:instrText>HYPERLINK "http://www.redjurista.com/document.aspx?ajcode=l2155021&amp;arts=27"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2155 de 2021, por medio de la cual se expide la Ley de Inversión Social y se dictan otras disposiciones, en lo referente a la implementación de la Política de Estado de Gratuidad en la Matrícula Académica para el acceso a la educación superior, mediante los programas de pregrado de las Escuelas de Formación de las Fuerzas Militares de Colombia y la Policía Nacional, para los jóvenes de las familias más vulnerables socioeconómicamente de acuerdo con la clasificación del Sisbén IV o la herramienta de focalización que haga sus veces. Así como, establecer sus requisitos, beneficios, causales de pérdida de beneficios, fuentes de financiación y la competencia para expedir reglamentos específicos, entre otras disposiciones. </w:t>
      </w:r>
    </w:p>
    <w:p>
      <w:pPr>
        <w:jc w:val="both"/>
      </w:pPr>
      <w:rPr>
        <w:color w:val="black"/>
      </w:rPr>
    </w:p>
    <w:p>
      <w:pPr>
        <w:jc w:val="both"/>
      </w:pPr>
      <w:r>
        <w:rPr>
          <w:rFonts w:hAnsi="Arial"/>
          <w:rFonts w:ascii="Arial"/>
          <w:sz w:val="24"/>
          <w:b/>
          <w:vanish/>
          <w:color w:val="black"/>
        </w:rPr>
        <w:t>&amp;$</w:t>
      </w:r>
      <w:bookmarkStart w:id="60346" w:name="2.2.11.2"/>
      <w:r>
        <w:rPr>
          <w:rFonts w:hAnsi="Arial"/>
          <w:rFonts w:ascii="Arial"/>
          <w:sz w:val="24"/>
          <w:color w:val="navy"/>
        </w:rPr>
        <w:t xml:space="preserve">ARTÍCULO 2.2.11.2. ÁMBITO DE APLICACIÓN.</w:t>
      </w:r>
      <w:bookmarkEnd w:id="60346"/>
      <w:r>
        <w:rPr>
          <w:rFonts w:hAnsi="Arial"/>
          <w:rFonts w:ascii="Arial"/>
          <w:sz w:val="24"/>
          <w:b/>
          <w:color w:val="black"/>
        </w:rPr>
        <w:t xml:space="preserve"> </w:t>
      </w:r>
      <w:r>
        <w:rPr>
          <w:rFonts w:hAnsi="Arial"/>
          <w:rFonts w:ascii="Arial"/>
          <w:sz w:val="24"/>
          <w:color w:val="black"/>
        </w:rPr>
        <w:t xml:space="preserve">De acuerdo con el artículo </w:t>
      </w:r>
      <w:r>
        <w:fldChar w:fldCharType="begin"/>
      </w:r>
      <w:r>
        <w:instrText>HYPERLINK "http://www.redjurista.com/document.aspx?ajcode=l2155021&amp;arts=27"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2155 de 2021, este beneficio va dirigido a los jóvenes de las familias más vulnerables socioeconómicamente que ingresen y cursen programas de pregrado de las Escuelas de Formación de las Fuerzas Militares de Colombia y de la Policía Nacional.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valores por conceptos diferentes a la matrícula académica y los demás costos adicionales que deriven del proceso de educación serán asumidos por el beneficiario. </w:t>
      </w:r>
    </w:p>
    <w:p>
      <w:pPr>
        <w:jc w:val="both"/>
      </w:pPr>
      <w:rPr>
        <w:color w:val="black"/>
      </w:rPr>
    </w:p>
    <w:p>
      <w:pPr>
        <w:jc w:val="both"/>
      </w:pPr>
      <w:r>
        <w:rPr>
          <w:rFonts w:hAnsi="Arial"/>
          <w:rFonts w:ascii="Arial"/>
          <w:sz w:val="24"/>
          <w:b/>
          <w:vanish/>
          <w:color w:val="black"/>
        </w:rPr>
        <w:t>&amp;$</w:t>
      </w:r>
      <w:bookmarkStart w:id="60347" w:name="2.2.11.3"/>
      <w:r>
        <w:rPr>
          <w:rFonts w:hAnsi="Arial"/>
          <w:rFonts w:ascii="Arial"/>
          <w:sz w:val="24"/>
          <w:color w:val="navy"/>
        </w:rPr>
        <w:t xml:space="preserve">ARTÍCULO 2.2.11.3. FUENTES DE FINANCIACIÓN.</w:t>
      </w:r>
      <w:bookmarkEnd w:id="6034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La fuente de financiación para la Política de Estado de Gratuidad en la Matrícula académica para los jóvenes de las familias más vulnerables socioeconómicamente y que accedan a los programas de pregrado de las Escuelas de Formación de las Fuerzas Militares y la Policía Nacional se atenderá con los recursos del Presupuesto General de la Nación asignados a cada una de las Fuerzas Militares y Policía Nacional.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Los recursos serán destinados al área de Educación de Ejército Nacional, Armada Nacional, Fuerza Aérea Colombiana y Dirección de Educación Policial de la Policía Nacional.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Podrán ser tenidas en cuenta otras fuentes de financiación y/o programas del Gobierno nacional, entidades territoriales o a través de programas de cooperación internacional, sin que se sustituya la fuente principal. </w:t>
      </w:r>
    </w:p>
    <w:p>
      <w:pPr>
        <w:jc w:val="both"/>
      </w:pPr>
      <w:rPr>
        <w:color w:val="black"/>
      </w:rPr>
    </w:p>
    <w:p>
      <w:pPr>
        <w:jc w:val="both"/>
      </w:pPr>
      <w:r>
        <w:rPr>
          <w:rFonts w:hAnsi="Arial"/>
          <w:rFonts w:ascii="Arial"/>
          <w:sz w:val="24"/>
          <w:b/>
          <w:vanish/>
          <w:color w:val="black"/>
        </w:rPr>
        <w:t>&amp;$</w:t>
      </w:r>
      <w:bookmarkStart w:id="60348" w:name="2.2.11.4"/>
      <w:r>
        <w:rPr>
          <w:rFonts w:hAnsi="Arial"/>
          <w:rFonts w:ascii="Arial"/>
          <w:sz w:val="24"/>
          <w:color w:val="navy"/>
        </w:rPr>
        <w:t xml:space="preserve">ARTÍCULO 2.2.11.4. PERIODOS ACADÉMICOS FINANCIADOS.</w:t>
      </w:r>
      <w:bookmarkEnd w:id="603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La política de gratuidad en la educación superior financiará la matrícula académica por el número de períodos de duración de los programas académicos de formación inicial técnica profesional, tecnológica y profesional universitaria en las instituciones de Educación Superior de la Fuerza Pública de conformidad con lo registrado en el Sistema Nacional de Información de la Educación Superior (SNIES), y acorde con los calendarios académicos.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ningún caso, la Política de Estado de Gratuidad en la Matrícula académica financiará periodos adicionales a los establecidos para el programa académico en el Sistema Nacional de Información de la Educación Superior (SNIES) o aquellos que por pérdida u otra situación, deba repetir el estudiante. </w:t>
      </w:r>
    </w:p>
    <w:p>
      <w:pPr>
        <w:jc w:val="both"/>
      </w:pPr>
      <w:rPr>
        <w:color w:val="black"/>
      </w:rPr>
    </w:p>
    <w:p>
      <w:pPr>
        <w:jc w:val="both"/>
      </w:pPr>
      <w:r>
        <w:rPr>
          <w:rFonts w:hAnsi="Arial"/>
          <w:rFonts w:ascii="Arial"/>
          <w:sz w:val="24"/>
          <w:b/>
          <w:vanish/>
          <w:color w:val="black"/>
        </w:rPr>
        <w:t>&amp;$</w:t>
      </w:r>
      <w:bookmarkStart w:id="60349" w:name="2.2.11.5"/>
      <w:r>
        <w:rPr>
          <w:rFonts w:hAnsi="Arial"/>
          <w:rFonts w:ascii="Arial"/>
          <w:sz w:val="24"/>
          <w:color w:val="navy"/>
        </w:rPr>
        <w:t xml:space="preserve">ARTÍCULO 2.2.11.5. DURACIÓN DEL BENEFICIO.</w:t>
      </w:r>
      <w:bookmarkEnd w:id="603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El programa sólo cubrirá los costos de formación en pregrado de las Escuelas de Formación Profesional, Técnica profesional y Tecnológica de las Fuerzas Militares y la Policía Nacional por el tiempo de duración del programa académico. </w:t>
      </w:r>
    </w:p>
    <w:p>
      <w:pPr>
        <w:jc w:val="both"/>
      </w:pPr>
      <w:rPr>
        <w:sz w:val="24"/>
        <w:b/>
        <w:color w:val="black"/>
      </w:rPr>
    </w:p>
    <w:p>
      <w:pPr>
        <w:jc w:val="both"/>
      </w:pPr>
      <w:r>
        <w:rPr>
          <w:rFonts w:hAnsi="Arial"/>
          <w:rFonts w:ascii="Arial"/>
          <w:sz w:val="24"/>
          <w:color w:val="black"/>
        </w:rPr>
        <w:t xml:space="preserve">Los valores de créditos académicos no incluidos en el programa regular no serán cubiertos por el programa y serán pagados por el estudiante. </w:t>
      </w:r>
    </w:p>
    <w:p>
      <w:pPr>
        <w:jc w:val="both"/>
      </w:pPr>
      <w:rPr>
        <w:sz w:val="24"/>
        <w:b/>
        <w:color w:val="black"/>
      </w:rPr>
    </w:p>
    <w:p>
      <w:pPr>
        <w:jc w:val="both"/>
      </w:pPr>
      <w:r>
        <w:rPr>
          <w:rFonts w:hAnsi="Arial"/>
          <w:rFonts w:ascii="Arial"/>
          <w:sz w:val="24"/>
          <w:color w:val="black"/>
        </w:rPr>
        <w:t xml:space="preserve">Los beneficiarios tendrán gratuidad en la matrícula académica por el número de periodos de duración del programa académico de educación superior de conformidad con lo registrado en el Sistema Nacional de la Información de Educación Superior (SNIES).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Los estudiantes que cumplan los requisitos para ser beneficiarios de la Política de Estado de Gratuidad en la matrícula académica que a la fecha de entrada en vigencia de la presente sección ya se encuentren cursando periodos académicos, recibirán el beneficio mencionado, únicamente durante el número de periodos que le resten para culminar el correspondiente programa, según registro SNIES.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Los estudiantes beneficiarios de la Política de Estado de Gratuidad de la matrícula académica de las Escuelas de Formación de las Fuerzas Militares y la Policía Nacional que inicien un nuevo plan de estudio en otro programa de pregrado recibirán los beneficios hasta por el número de periodos que dejó de cursar en el programa inicial para el cual obtuvo el beneficio. Esta condición igualmente aplicará para las transferencias u otras formas de tránsito académico entre instituciones de educación superior de las Fuerzas Militares y la Policía Nacional.</w:t>
      </w:r>
    </w:p>
    <w:p>
      <w:pPr>
        <w:jc w:val="both"/>
      </w:pPr>
      <w:rPr>
        <w:color w:val="black"/>
      </w:rPr>
    </w:p>
    <w:p>
      <w:pPr>
        <w:jc w:val="both"/>
      </w:pPr>
      <w:r>
        <w:rPr>
          <w:rFonts w:hAnsi="Arial"/>
          <w:rFonts w:ascii="Arial"/>
          <w:sz w:val="24"/>
          <w:b/>
          <w:vanish/>
          <w:color w:val="black"/>
        </w:rPr>
        <w:t>&amp;$</w:t>
      </w:r>
      <w:bookmarkStart w:id="60350" w:name="2.2.11.6"/>
      <w:r>
        <w:rPr>
          <w:rFonts w:hAnsi="Arial"/>
          <w:rFonts w:ascii="Arial"/>
          <w:sz w:val="24"/>
          <w:color w:val="navy"/>
        </w:rPr>
        <w:t xml:space="preserve">ARTÍCULO 2.2.11.6. BENEFICIARIOS.</w:t>
      </w:r>
      <w:bookmarkEnd w:id="603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Los potenciales beneficiarios de la Política de Estado de Gratuidad en la Matricula académica serán identificados a partir del año 2023, de acuerdo con la clasificación del Sisbén IV o la herramienta de focalización que haga sus veces, según el grupo y subgrupo que para tal efecto establezca el Ministerio de Defensa Nacional en los reglamentos operativos diseñados para este fin de la siguiente manera: </w:t>
      </w:r>
    </w:p>
    <w:p>
      <w:pPr>
        <w:jc w:val="both"/>
      </w:pPr>
      <w:rPr>
        <w:sz w:val="24"/>
        <w:b/>
        <w:color w:val="black"/>
      </w:rPr>
    </w:p>
    <w:p>
      <w:pPr>
        <w:jc w:val="both"/>
      </w:pPr>
      <w:r>
        <w:rPr>
          <w:rFonts w:hAnsi="Arial"/>
          <w:rFonts w:ascii="Arial"/>
          <w:sz w:val="24"/>
          <w:color w:val="black"/>
        </w:rPr>
        <w:t xml:space="preserve">1. Los jóvenes que hayan superado exitosamente los requisitos y procesos de selección e incorporación establecidos en las Fuerzas Militares y Policía Nacional, siendo aptos para ingresar a los programas de pregrado de las Escuelas de Formación Profesional, Técnica profesional y Tecnológica de las Fuerzas Militares y Policía Nacional. </w:t>
      </w:r>
    </w:p>
    <w:p>
      <w:pPr>
        <w:jc w:val="both"/>
      </w:pPr>
      <w:rPr>
        <w:sz w:val="24"/>
        <w:b/>
        <w:color w:val="black"/>
      </w:rPr>
    </w:p>
    <w:p>
      <w:pPr>
        <w:jc w:val="both"/>
      </w:pPr>
      <w:r>
        <w:rPr>
          <w:rFonts w:hAnsi="Arial"/>
          <w:rFonts w:ascii="Arial"/>
          <w:sz w:val="24"/>
          <w:color w:val="black"/>
        </w:rPr>
        <w:t xml:space="preserve">2. Los alumnos de las Escuelas de Formación de Oficiales y Suboficiales de las Fuerzas Militares, así como los estudiantes de las escuelas de Formación de Oficiales y Patrulleros de la Policía Nacional que se encuentren matriculados y cursando programas de formación técnica profesional, tecnológica y profesional universitaria. </w:t>
      </w:r>
    </w:p>
    <w:p>
      <w:pPr>
        <w:jc w:val="both"/>
      </w:pPr>
      <w:rPr>
        <w:color w:val="black"/>
      </w:rPr>
    </w:p>
    <w:p>
      <w:pPr>
        <w:jc w:val="both"/>
      </w:pPr>
      <w:r>
        <w:rPr>
          <w:rFonts w:hAnsi="Arial"/>
          <w:rFonts w:ascii="Arial"/>
          <w:sz w:val="24"/>
          <w:b/>
          <w:vanish/>
          <w:color w:val="black"/>
        </w:rPr>
        <w:t>&amp;$</w:t>
      </w:r>
      <w:bookmarkStart w:id="60351" w:name="2.2.11.7"/>
      <w:r>
        <w:rPr>
          <w:rFonts w:hAnsi="Arial"/>
          <w:rFonts w:ascii="Arial"/>
          <w:sz w:val="24"/>
          <w:color w:val="navy"/>
        </w:rPr>
        <w:t xml:space="preserve">ARTÍCULO 2.2.11.7. REQUISITOS.</w:t>
      </w:r>
      <w:bookmarkEnd w:id="603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Serán beneficiarios de la política de gratuidad en la matrícula académica los estudiantes que cumplan los siguientes requisitos: </w:t>
      </w:r>
    </w:p>
    <w:p>
      <w:pPr>
        <w:jc w:val="both"/>
      </w:pPr>
      <w:rPr>
        <w:sz w:val="24"/>
        <w:b/>
        <w:color w:val="black"/>
      </w:rPr>
    </w:p>
    <w:p>
      <w:pPr>
        <w:jc w:val="both"/>
      </w:pPr>
      <w:r>
        <w:rPr>
          <w:rFonts w:hAnsi="Arial"/>
          <w:rFonts w:ascii="Arial"/>
          <w:sz w:val="24"/>
          <w:color w:val="black"/>
        </w:rPr>
        <w:t xml:space="preserve">1. Ser colombiano. </w:t>
      </w:r>
    </w:p>
    <w:p>
      <w:pPr>
        <w:jc w:val="both"/>
      </w:pPr>
      <w:rPr>
        <w:sz w:val="24"/>
        <w:b/>
        <w:color w:val="black"/>
      </w:rPr>
    </w:p>
    <w:p>
      <w:pPr>
        <w:jc w:val="both"/>
      </w:pPr>
      <w:r>
        <w:rPr>
          <w:rFonts w:hAnsi="Arial"/>
          <w:rFonts w:ascii="Arial"/>
          <w:sz w:val="24"/>
          <w:color w:val="black"/>
        </w:rPr>
        <w:t xml:space="preserve">2. Ser matriculado en un programa académico de pregrado (técnico, tecnológico o universitario) de las Escuelas de Formación de las Fuerzas Militares y la Policía Nacional. </w:t>
      </w:r>
    </w:p>
    <w:p>
      <w:pPr>
        <w:jc w:val="both"/>
      </w:pPr>
      <w:rPr>
        <w:sz w:val="24"/>
        <w:b/>
        <w:color w:val="black"/>
      </w:rPr>
    </w:p>
    <w:p>
      <w:pPr>
        <w:jc w:val="both"/>
      </w:pPr>
      <w:r>
        <w:rPr>
          <w:rFonts w:hAnsi="Arial"/>
          <w:rFonts w:ascii="Arial"/>
          <w:sz w:val="24"/>
          <w:color w:val="black"/>
        </w:rPr>
        <w:t xml:space="preserve">3. Pertenecer a las familias más vulnerables socioeconómicamente con clasificación del Sisbén IV o la herramienta de focalización que haga sus veces. </w:t>
      </w:r>
    </w:p>
    <w:p>
      <w:pPr>
        <w:jc w:val="both"/>
      </w:pPr>
      <w:rPr>
        <w:sz w:val="24"/>
        <w:b/>
        <w:color w:val="black"/>
      </w:rPr>
    </w:p>
    <w:p>
      <w:pPr>
        <w:jc w:val="both"/>
      </w:pPr>
      <w:r>
        <w:rPr>
          <w:rFonts w:hAnsi="Arial"/>
          <w:rFonts w:ascii="Arial"/>
          <w:sz w:val="24"/>
          <w:color w:val="black"/>
        </w:rPr>
        <w:t xml:space="preserve">4. No tener título profesional universitario ni de postgrado de cualquier Institución. </w:t>
      </w:r>
    </w:p>
    <w:p>
      <w:pPr>
        <w:jc w:val="both"/>
      </w:pPr>
      <w:rPr>
        <w:sz w:val="24"/>
        <w:b/>
        <w:color w:val="black"/>
      </w:rPr>
    </w:p>
    <w:p>
      <w:pPr>
        <w:jc w:val="both"/>
      </w:pPr>
      <w:r>
        <w:rPr>
          <w:rFonts w:hAnsi="Arial"/>
          <w:rFonts w:ascii="Arial"/>
          <w:sz w:val="24"/>
          <w:color w:val="black"/>
        </w:rPr>
        <w:t xml:space="preserve">5. Cumplir con los demás requisitos de ingreso inherentes a la carrera militar y policial. </w:t>
      </w:r>
    </w:p>
    <w:p>
      <w:pPr>
        <w:jc w:val="both"/>
      </w:pPr>
      <w:rPr>
        <w:color w:val="black"/>
      </w:rPr>
    </w:p>
    <w:p>
      <w:pPr>
        <w:jc w:val="both"/>
      </w:pPr>
      <w:r>
        <w:rPr>
          <w:rFonts w:hAnsi="Arial"/>
          <w:rFonts w:ascii="Arial"/>
          <w:sz w:val="24"/>
          <w:b/>
          <w:vanish/>
          <w:color w:val="black"/>
        </w:rPr>
        <w:t>&amp;$</w:t>
      </w:r>
      <w:bookmarkStart w:id="60352" w:name="2.2.11.8"/>
      <w:r>
        <w:rPr>
          <w:rFonts w:hAnsi="Arial"/>
          <w:rFonts w:ascii="Arial"/>
          <w:sz w:val="24"/>
          <w:color w:val="navy"/>
        </w:rPr>
        <w:t xml:space="preserve">ARTÍCULO 2.2.11.8. BENEFICIOS.</w:t>
      </w:r>
      <w:bookmarkEnd w:id="603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Los estudiantes que cumplan con los requisitos señalados en el artículo </w:t>
      </w:r>
      <w:r>
        <w:fldChar w:fldCharType="begin"/>
      </w:r>
      <w:r>
        <w:instrText>HYPERLINK "http://www.redjurista.com/document.aspx?ajcode=d1070015&amp;arts=2.2.11.7"</w:instrText>
      </w:r>
      <w:r>
        <w:fldChar w:fldCharType="separate"/>
      </w:r>
      <w:r>
        <w:rPr>
          <w:rFonts w:hAnsi="Arial"/>
          <w:rFonts w:ascii="Arial"/>
          <w:sz w:val="24"/>
          <w:u w:val="single"/>
          <w:color w:val="black"/>
        </w:rPr>
        <w:t>2.2.11.7</w:t>
      </w:r>
      <w:r>
        <w:fldChar w:fldCharType="end"/>
      </w:r>
      <w:r>
        <w:rPr>
          <w:rFonts w:hAnsi="Arial"/>
          <w:rFonts w:ascii="Arial"/>
          <w:sz w:val="24"/>
          <w:u w:val="none"/>
          <w:color w:val="black"/>
        </w:rPr>
        <w:t xml:space="preserve"> del presente decreto serán beneficiarios únicamente del cubrimiento del 100% del valor de la matrícula académica de los programas de formación técnica profesional, tecnológica y profesional universitaria, liquidada por las Fuerzas Militares y la Policía Nacional, sin incluir otros créditos académicos y/o cobros complementarios. </w:t>
      </w:r>
    </w:p>
    <w:p>
      <w:pPr>
        <w:jc w:val="both"/>
      </w:pPr>
      <w:rPr>
        <w:sz w:val="24"/>
        <w:b/>
        <w:color w:val="black"/>
      </w:rPr>
    </w:p>
    <w:p>
      <w:pPr>
        <w:jc w:val="both"/>
      </w:pPr>
      <w:r>
        <w:rPr>
          <w:rFonts w:hAnsi="Arial"/>
          <w:rFonts w:ascii="Arial"/>
          <w:sz w:val="24"/>
          <w:color w:val="black"/>
        </w:rPr>
        <w:t xml:space="preserve">El valor de la matrícula académica corresponderá a aquella que resulte de lo establecido en la normatividad interna de las Fuerzas Militares y la Policía Nacional. </w:t>
      </w:r>
    </w:p>
    <w:p>
      <w:pPr>
        <w:jc w:val="both"/>
      </w:pPr>
      <w:rPr>
        <w:color w:val="black"/>
      </w:rPr>
    </w:p>
    <w:p>
      <w:pPr>
        <w:jc w:val="both"/>
      </w:pPr>
      <w:r>
        <w:rPr>
          <w:rFonts w:hAnsi="Arial"/>
          <w:rFonts w:ascii="Arial"/>
          <w:sz w:val="24"/>
          <w:b/>
          <w:vanish/>
          <w:color w:val="black"/>
        </w:rPr>
        <w:t>&amp;$</w:t>
      </w:r>
      <w:bookmarkStart w:id="60353" w:name="2.2.11.9"/>
      <w:r>
        <w:rPr>
          <w:rFonts w:hAnsi="Arial"/>
          <w:rFonts w:ascii="Arial"/>
          <w:sz w:val="24"/>
          <w:color w:val="navy"/>
        </w:rPr>
        <w:t xml:space="preserve">ARTÍCULO 2.2.11.9. CAUSALES DE PÉRDIDA DE BENEFICIOS.</w:t>
      </w:r>
      <w:bookmarkEnd w:id="6035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El beneficio de que trata el presente decreto se perderá en los siguientes casos: </w:t>
      </w:r>
    </w:p>
    <w:p>
      <w:pPr>
        <w:jc w:val="both"/>
      </w:pPr>
      <w:rPr>
        <w:sz w:val="24"/>
        <w:b/>
        <w:color w:val="black"/>
      </w:rPr>
    </w:p>
    <w:p>
      <w:pPr>
        <w:jc w:val="both"/>
      </w:pPr>
      <w:r>
        <w:rPr>
          <w:rFonts w:hAnsi="Arial"/>
          <w:rFonts w:ascii="Arial"/>
          <w:sz w:val="24"/>
          <w:color w:val="black"/>
        </w:rPr>
        <w:t xml:space="preserve">1. Cuando se evidencie que un beneficiario del programa accedió al mismo con información no veraz y/o con documentación alterada. </w:t>
      </w:r>
    </w:p>
    <w:p>
      <w:pPr>
        <w:jc w:val="both"/>
      </w:pPr>
      <w:rPr>
        <w:sz w:val="24"/>
        <w:b/>
        <w:color w:val="black"/>
      </w:rPr>
    </w:p>
    <w:p>
      <w:pPr>
        <w:jc w:val="both"/>
      </w:pPr>
      <w:r>
        <w:rPr>
          <w:rFonts w:hAnsi="Arial"/>
          <w:rFonts w:ascii="Arial"/>
          <w:sz w:val="24"/>
          <w:color w:val="black"/>
        </w:rPr>
        <w:t xml:space="preserve">2. Por expresa voluntad del beneficiario o sus padres si es menor de edad, la cual será comunicada por escrito a la Escuela de Formación. </w:t>
      </w:r>
    </w:p>
    <w:p>
      <w:pPr>
        <w:jc w:val="both"/>
      </w:pPr>
      <w:rPr>
        <w:sz w:val="24"/>
        <w:b/>
        <w:color w:val="black"/>
      </w:rPr>
    </w:p>
    <w:p>
      <w:pPr>
        <w:jc w:val="both"/>
      </w:pPr>
      <w:r>
        <w:rPr>
          <w:rFonts w:hAnsi="Arial"/>
          <w:rFonts w:ascii="Arial"/>
          <w:sz w:val="24"/>
          <w:color w:val="black"/>
        </w:rPr>
        <w:t xml:space="preserve">3. Por pérdida de la calidad de estudiante en las Instituciones de Educación Superior de las Fuerzas Militares y la Policía Nacional, de acuerdo con lo establecido en el Manual Académico o documento que haga sus veces. En este caso, el estudiante no podrá acceder prontamente a programas educativos en las diferentes Escuelas de Formación de las Fuerzas Militares y la Policía Nacional. </w:t>
      </w:r>
    </w:p>
    <w:p>
      <w:pPr>
        <w:jc w:val="both"/>
      </w:pPr>
      <w:rPr>
        <w:sz w:val="24"/>
        <w:b/>
        <w:color w:val="black"/>
      </w:rPr>
    </w:p>
    <w:p>
      <w:pPr>
        <w:jc w:val="both"/>
      </w:pPr>
      <w:r>
        <w:rPr>
          <w:rFonts w:hAnsi="Arial"/>
          <w:rFonts w:ascii="Arial"/>
          <w:sz w:val="24"/>
          <w:color w:val="black"/>
        </w:rPr>
        <w:t xml:space="preserve">4. Cuando el alumno de la Escuela de Formación supere el número de los periodos académicos del programa educativo, indistintamente de la causa que lo generó. Los costos de los periodos académicos que excedan el tiempo inicial del programa y que hagan falta para culminar el pregrado, no serán cubiertos por el programa de que trata el presente decreto. </w:t>
      </w:r>
    </w:p>
    <w:p>
      <w:pPr>
        <w:jc w:val="both"/>
      </w:pPr>
      <w:rPr>
        <w:sz w:val="24"/>
        <w:b/>
        <w:color w:val="black"/>
      </w:rPr>
    </w:p>
    <w:p>
      <w:pPr>
        <w:jc w:val="both"/>
      </w:pPr>
      <w:r>
        <w:rPr>
          <w:rFonts w:hAnsi="Arial"/>
          <w:rFonts w:ascii="Arial"/>
          <w:sz w:val="24"/>
          <w:color w:val="black"/>
        </w:rPr>
        <w:t xml:space="preserve">5. Por pérdida de la condición de vulnerabilidad de conformidad con la clasificación Sisbén IV grupos A, B y C y subgrupos identificados con letra y número. </w:t>
      </w:r>
    </w:p>
    <w:p>
      <w:pPr>
        <w:jc w:val="both"/>
      </w:pPr>
      <w:rPr>
        <w:sz w:val="24"/>
        <w:b/>
        <w:color w:val="black"/>
      </w:rPr>
    </w:p>
    <w:p>
      <w:pPr>
        <w:jc w:val="both"/>
      </w:pPr>
      <w:r>
        <w:rPr>
          <w:rFonts w:hAnsi="Arial"/>
          <w:rFonts w:ascii="Arial"/>
          <w:sz w:val="24"/>
          <w:color w:val="black"/>
        </w:rPr>
        <w:t xml:space="preserve">6. No contar con la aptitud psicofísica definida a través de la normatividad vigente dentro de cada una de las Escuelas de Formación de las Fuerzas Militares y la Policía Nacional. </w:t>
      </w:r>
    </w:p>
    <w:p>
      <w:pPr>
        <w:jc w:val="both"/>
      </w:pPr>
      <w:rPr>
        <w:color w:val="black"/>
      </w:rPr>
    </w:p>
    <w:p>
      <w:pPr>
        <w:jc w:val="both"/>
      </w:pPr>
      <w:r>
        <w:rPr>
          <w:rFonts w:hAnsi="Arial"/>
          <w:rFonts w:ascii="Arial"/>
          <w:sz w:val="24"/>
          <w:b/>
          <w:vanish/>
          <w:color w:val="black"/>
        </w:rPr>
        <w:t>&amp;$</w:t>
      </w:r>
      <w:bookmarkStart w:id="60354" w:name="2.2.11.10"/>
      <w:r>
        <w:rPr>
          <w:rFonts w:hAnsi="Arial"/>
          <w:rFonts w:ascii="Arial"/>
          <w:sz w:val="24"/>
          <w:color w:val="navy"/>
        </w:rPr>
        <w:t xml:space="preserve">ARTÍCULO 2.2.11.10. REGLAMENTOS.</w:t>
      </w:r>
      <w:bookmarkEnd w:id="603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"http://www.redjurista.com/document.aspx?ajcode=d1907023&amp;arts=1"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1907 de 2023. El nuevo texto es el siguiente:&gt; El Ministerio de Defensa Nacional expedirá y mantendrá actualizados los reglamentos que regirán la operación, implementación, sostenibilidad, gradualidad, así como las condiciones y fechas de giro de los recursos a las Instituciones de Educación Superior de la Fuerza Pública. </w:t>
      </w:r>
    </w:p>
    <w:p>
      <w:pPr>
        <w:jc w:val="both"/>
      </w:pPr>
      <w:rPr>
        <w:sz w:val="24"/>
        <w:b/>
        <w:color w:val="black"/>
      </w:rPr>
    </w:p>
    <w:p>
      <w:pPr>
        <w:jc w:val="both"/>
      </w:pPr>
      <w:r>
        <w:rPr>
          <w:rFonts w:hAnsi="Arial"/>
          <w:rFonts w:ascii="Arial"/>
          <w:sz w:val="24"/>
          <w:color w:val="black"/>
        </w:rPr>
        <w:t xml:space="preserve">Los reglamentos deberán ser adoptados y adecuados a las necesidades internas de las Escuelas de Formación de las Fuerzas Militares y la Policía Nacional. </w:t>
      </w:r>
    </w:p>
    <w:p>
      <w:pPr>
        <w:jc w:val="both"/>
      </w:pPr>
      <w:rPr>
        <w:sz w:val="24"/>
        <w:color w:val="black"/>
      </w:rPr>
    </w:p>
    <w:p>
      <w:pPr>
        <w:jc w:val="center"/>
      </w:pPr>
      <w:r>
        <w:rPr>
          <w:rFonts w:hAnsi="Arial"/>
          <w:rFonts w:ascii="Arial"/>
          <w:sz w:val="24"/>
          <w:vanish/>
          <w:color w:val="black"/>
        </w:rPr>
        <w:t>&amp;$</w:t>
      </w:r>
      <w:bookmarkStart w:id="60355" w:name="PARTE 2.3"/>
      <w:r>
        <w:rPr>
          <w:rFonts w:hAnsi="Arial"/>
          <w:rFonts w:ascii="Arial"/>
          <w:sz w:val="24"/>
          <w:color w:val="navy"/>
        </w:rPr>
        <w:t xml:space="preserve">PARTE 3. </w:t>
      </w:r>
    </w:p>
    <w:p>
      <w:pPr>
        <w:jc w:val="center"/>
      </w:pPr>
      <w:r>
        <w:rPr>
          <w:rFonts w:hAnsi="Arial"/>
          <w:rFonts w:ascii="Arial"/>
          <w:sz w:val="24"/>
          <w:color w:val="navy"/>
        </w:rPr>
        <w:t xml:space="preserve">FUERZAS MILITARES.</w:t>
      </w:r>
      <w:bookmarkEnd w:id="6035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0356" w:name="TÍTULO 2.3.1"/>
      <w:r>
        <w:rPr>
          <w:rFonts w:hAnsi="Arial"/>
          <w:rFonts w:ascii="Arial"/>
          <w:sz w:val="24"/>
          <w:color w:val="navy"/>
        </w:rPr>
        <w:t xml:space="preserve">TÍTULO 1. </w:t>
      </w:r>
    </w:p>
    <w:p>
      <w:pPr>
        <w:jc w:val="center"/>
      </w:pPr>
      <w:r>
        <w:rPr>
          <w:rFonts w:hAnsi="Arial"/>
          <w:rFonts w:ascii="Arial"/>
          <w:sz w:val="24"/>
          <w:color w:val="navy"/>
        </w:rPr>
        <w:t xml:space="preserve">DISPOSICIONES GENERALES.</w:t>
      </w:r>
      <w:bookmarkEnd w:id="6035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0357" w:name="CAPÍTULO 2.3.1.1"/>
      <w:r>
        <w:rPr>
          <w:rFonts w:hAnsi="Arial"/>
          <w:rFonts w:ascii="Arial"/>
          <w:sz w:val="24"/>
          <w:color w:val="navy"/>
        </w:rPr>
        <w:t xml:space="preserve">CAPÍTULO 1. </w:t>
      </w:r>
    </w:p>
    <w:p>
      <w:pPr>
        <w:jc w:val="center"/>
      </w:pPr>
      <w:r>
        <w:rPr>
          <w:rFonts w:hAnsi="Arial"/>
          <w:rFonts w:ascii="Arial"/>
          <w:sz w:val="24"/>
          <w:color w:val="navy"/>
        </w:rPr>
        <w:t xml:space="preserve">ADMINISTRACIÓN DE PERSONAL.</w:t>
      </w:r>
      <w:bookmarkEnd w:id="6035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0358" w:name="SECCIÓN 2.3.1.1.1"/>
      <w:r>
        <w:rPr>
          <w:rFonts w:hAnsi="Arial"/>
          <w:rFonts w:ascii="Arial"/>
          <w:sz w:val="24"/>
          <w:color w:val="navy"/>
        </w:rPr>
        <w:t xml:space="preserve">SECCIÓN 1. </w:t>
      </w:r>
    </w:p>
    <w:p>
      <w:pPr>
        <w:jc w:val="center"/>
      </w:pPr>
      <w:r>
        <w:rPr>
          <w:rFonts w:hAnsi="Arial"/>
          <w:rFonts w:ascii="Arial"/>
          <w:sz w:val="24"/>
          <w:color w:val="navy"/>
        </w:rPr>
        <w:t xml:space="preserve">DE LA CLASIFICACIÓN.</w:t>
      </w:r>
      <w:bookmarkEnd w:id="6035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0359" w:name="2.3.1.1.1.1"/>
      <w:r>
        <w:rPr>
          <w:rFonts w:hAnsi="Arial"/>
          <w:rFonts w:ascii="Arial"/>
          <w:sz w:val="24"/>
          <w:color w:val="navy"/>
        </w:rPr>
        <w:t xml:space="preserve">ARTÍCULO 2.3.1.1.1.1. </w:t>
      </w:r>
      <w:r>
        <w:rPr>
          <w:rFonts w:hAnsi="Arial"/>
          <w:rFonts w:ascii="Arial"/>
          <w:sz w:val="24"/>
          <w:i/>
          <w:color w:val="navy"/>
        </w:rPr>
        <w:t xml:space="preserve">OFICIALES ESPECIALISTA DEL CUERPO DE VUELO DE LA FUERZA AÉREA.</w:t>
      </w:r>
      <w:bookmarkEnd w:id="60359"/>
      <w:r>
        <w:rPr>
          <w:rFonts w:hAnsi="Arial"/>
          <w:rFonts w:ascii="Arial"/>
          <w:sz w:val="24"/>
          <w:b/>
          <w:i/>
          <w:color w:val="black"/>
        </w:rPr>
        <w:t xml:space="preserve"> </w:t>
      </w:r>
      <w:r>
        <w:rPr>
          <w:rFonts w:hAnsi="Arial"/>
          <w:rFonts w:ascii="Arial"/>
          <w:sz w:val="24"/>
          <w:color w:val="black"/>
        </w:rPr>
        <w:t xml:space="preserve">Los oficiales especialistas de vuelo, en la Fuerza Aérea se clasifican en:</w:t>
      </w:r>
    </w:p>
    <w:p>
      <w:pPr>
        <w:jc w:val="both"/>
      </w:pPr>
      <w:rPr>
        <w:sz w:val="24"/>
        <w:color w:val="black"/>
      </w:rPr>
    </w:p>
    <w:p>
      <w:pPr>
        <w:jc w:val="both"/>
      </w:pPr>
      <w:r>
        <w:rPr>
          <w:rFonts w:hAnsi="Arial"/>
          <w:rFonts w:ascii="Arial"/>
          <w:sz w:val="24"/>
          <w:color w:val="black"/>
        </w:rPr>
        <w:t xml:space="preserve">a) Oficiales de Defensa Aérea;</w:t>
      </w:r>
    </w:p>
    <w:p>
      <w:pPr>
        <w:jc w:val="both"/>
      </w:pPr>
      <w:r>
        <w:rPr>
          <w:rFonts w:hAnsi="Arial"/>
          <w:rFonts w:ascii="Arial"/>
          <w:sz w:val="24"/>
          <w:color w:val="black"/>
        </w:rPr>
        <w:t xml:space="preserve">b) Oficiales de Inteligencia Técnica Aérea;</w:t>
      </w:r>
    </w:p>
    <w:p>
      <w:pPr>
        <w:jc w:val="both"/>
      </w:pPr>
      <w:r>
        <w:rPr>
          <w:rFonts w:hAnsi="Arial"/>
          <w:rFonts w:ascii="Arial"/>
          <w:sz w:val="24"/>
          <w:color w:val="black"/>
        </w:rPr>
        <w:t xml:space="preserve">c) Oficiales Navegantes.</w:t>
      </w:r>
    </w:p>
    <w:p>
      <w:pPr>
        <w:jc w:val="both"/>
        <w:outlineLvl w:val="1"/>
      </w:pPr>
      <w:r>
        <w:rPr>
          <w:rFonts w:hAnsi="Arial"/>
          <w:rFonts w:ascii="Arial"/>
          <w:sz w:val="24"/>
          <w:color w:val="black"/>
        </w:rPr>
        <w:t xml:space="preserve">d) Oficiales Pilotos Aeronaves Remotamente Pilotadas.  &lt;Literal adicionado por el artículo </w:t>
      </w:r>
      <w:r>
        <w:fldChar w:fldCharType="begin"/>
      </w:r>
      <w:r>
        <w:instrText>HYPERLINK "http://www.redjurista.com/document.aspx?ajcode=d2070022&amp;arts=1"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2070 de 2022&gt; </w:t>
      </w:r>
    </w:p>
    <w:p>
      <w:pPr>
        <w:jc w:val="both"/>
      </w:pPr>
      <w:rPr>
        <w:sz w:val="24"/>
        <w:color w:val="black"/>
      </w:rPr>
    </w:p>
    <w:p>
      <w:pPr>
        <w:jc w:val="both"/>
      </w:pPr>
      <w:r>
        <w:rPr>
          <w:rFonts w:hAnsi="Arial"/>
          <w:rFonts w:ascii="Arial"/>
          <w:sz w:val="24"/>
          <w:color w:val="navy"/>
        </w:rPr>
        <w:t>PARÁGRAFO</w:t>
      </w:r>
      <w:r>
        <w:rPr>
          <w:rFonts w:hAnsi="Arial"/>
          <w:rFonts w:ascii="Arial"/>
          <w:sz w:val="24"/>
          <w:i/>
          <w:color w:val="navy"/>
        </w:rPr>
        <w:t>.</w:t>
      </w:r>
      <w:r>
        <w:rPr>
          <w:rFonts w:hAnsi="Arial"/>
          <w:rFonts w:ascii="Arial"/>
          <w:sz w:val="24"/>
          <w:b/>
          <w:color w:val="black"/>
        </w:rPr>
        <w:t xml:space="preserve"> </w:t>
      </w:r>
      <w:r>
        <w:rPr>
          <w:rFonts w:hAnsi="Arial"/>
          <w:rFonts w:ascii="Arial"/>
          <w:sz w:val="24"/>
          <w:color w:val="black"/>
        </w:rPr>
        <w:t xml:space="preserve">Para los Oficiales de la Fuerza Aérea que fueron cambiados al Cuerpo de Vuelo en razón de la clasificación de especialidades de vuelo dispuesta mediante el presente artículo, será suficiente acreditar el cumplimiento de los requisitos para ascenso exigidos según su clasificación en el respectivo cuerpo de origen.</w:t>
      </w:r>
    </w:p>
    <w:p>
      <w:pPr>
        <w:jc w:val="both"/>
      </w:pPr>
      <w:rPr>
        <w:sz w:val="24"/>
        <w:color w:val="black"/>
      </w:rPr>
    </w:p>
    <w:p>
      <w:pPr>
        <w:jc w:val="both"/>
      </w:pPr>
      <w:r>
        <w:rPr>
          <w:rFonts w:hAnsi="Arial"/>
          <w:rFonts w:ascii="Arial"/>
          <w:sz w:val="24"/>
          <w:i/>
          <w:color w:val="black"/>
        </w:rPr>
        <w:t xml:space="preserve">(Decreto 1495 de 2002 artículo </w:t>
      </w:r>
      <w:r>
        <w:fldChar w:fldCharType="begin"/>
      </w:r>
      <w:r>
        <w:instrText>HYPERLINK "http://www.redjurista.com/document.aspx?ajcode=d1495002&amp;arts=1"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parágrafo adicionado por el artículo </w:t>
      </w:r>
      <w:r>
        <w:fldChar w:fldCharType="begin"/>
      </w:r>
      <w:r>
        <w:instrText>HYPERLINK "http://www.redjurista.com/document.aspx?ajcode=d3188003&amp;arts=1"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3188 de 2003)</w:t>
      </w:r>
    </w:p>
    <w:p>
      <w:pPr>
        <w:jc w:val="both"/>
      </w:pPr>
      <w:rPr>
        <w:sz w:val="24"/>
        <w:color w:val="black"/>
      </w:rPr>
    </w:p>
    <w:p>
      <w:pPr>
        <w:jc w:val="both"/>
      </w:pPr>
      <w:r>
        <w:rPr>
          <w:rFonts w:hAnsi="Arial"/>
          <w:rFonts w:ascii="Arial"/>
          <w:sz w:val="24"/>
          <w:vanish/>
          <w:color w:val="black"/>
        </w:rPr>
        <w:t>&amp;$</w:t>
      </w:r>
      <w:bookmarkStart w:id="60360" w:name="2.3.1.1.1.2"/>
      <w:r>
        <w:rPr>
          <w:rFonts w:hAnsi="Arial"/>
          <w:rFonts w:ascii="Arial"/>
          <w:sz w:val="24"/>
          <w:color w:val="navy"/>
        </w:rPr>
        <w:t xml:space="preserve">ARTÍCULO 2.3.1.1.1.2. </w:t>
      </w:r>
      <w:r>
        <w:rPr>
          <w:rFonts w:hAnsi="Arial"/>
          <w:rFonts w:ascii="Arial"/>
          <w:sz w:val="24"/>
          <w:i/>
          <w:color w:val="navy"/>
        </w:rPr>
        <w:t xml:space="preserve">ESPECIALIDADES DE OFICIALES Y SUBOFICIALES DEL CUERPO DE SEGURIDAD Y DEFENSA DE BASES AÉREAS.</w:t>
      </w:r>
      <w:bookmarkEnd w:id="60360"/>
      <w:r>
        <w:rPr>
          <w:rFonts w:hAnsi="Arial"/>
          <w:rFonts w:ascii="Arial"/>
          <w:sz w:val="24"/>
          <w:b/>
          <w:i/>
          <w:color w:val="black"/>
        </w:rPr>
        <w:t xml:space="preserve"> </w:t>
      </w:r>
      <w:r>
        <w:rPr>
          <w:rFonts w:hAnsi="Arial"/>
          <w:rFonts w:ascii="Arial"/>
          <w:sz w:val="24"/>
          <w:color w:val="black"/>
        </w:rPr>
        <w:t xml:space="preserve">Las especialidades correspondientes a los Oficiales y Suboficiales del Cuerpo de Seguridad y Defensa de Bases Aéreas se clasifican como:</w:t>
      </w:r>
    </w:p>
    <w:p>
      <w:pPr>
        <w:jc w:val="both"/>
      </w:pPr>
      <w:rPr>
        <w:sz w:val="24"/>
        <w:color w:val="black"/>
      </w:rPr>
    </w:p>
    <w:p>
      <w:pPr>
        <w:jc w:val="both"/>
      </w:pPr>
      <w:r>
        <w:rPr>
          <w:rFonts w:hAnsi="Arial"/>
          <w:rFonts w:ascii="Arial"/>
          <w:sz w:val="24"/>
          <w:color w:val="black"/>
        </w:rPr>
        <w:t xml:space="preserve">a) Inteligencia;</w:t>
      </w:r>
    </w:p>
    <w:p>
      <w:pPr>
        <w:jc w:val="both"/>
      </w:pPr>
      <w:rPr>
        <w:sz w:val="24"/>
        <w:color w:val="black"/>
      </w:rPr>
    </w:p>
    <w:p>
      <w:pPr>
        <w:jc w:val="both"/>
      </w:pPr>
      <w:r>
        <w:rPr>
          <w:rFonts w:hAnsi="Arial"/>
          <w:rFonts w:ascii="Arial"/>
          <w:sz w:val="24"/>
          <w:color w:val="black"/>
        </w:rPr>
        <w:t xml:space="preserve">b) Defensa de Bases Aéreas.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361" w:name="2.3.1.1.1.3"/>
      <w:r>
        <w:rPr>
          <w:rFonts w:hAnsi="Arial"/>
          <w:rFonts w:ascii="Arial"/>
          <w:sz w:val="24"/>
          <w:color w:val="navy"/>
        </w:rPr>
        <w:t xml:space="preserve">ARTÍCULO 2.3.1.1.1.3. </w:t>
      </w:r>
      <w:r>
        <w:rPr>
          <w:rFonts w:hAnsi="Arial"/>
          <w:rFonts w:ascii="Arial"/>
          <w:sz w:val="24"/>
          <w:i/>
          <w:color w:val="navy"/>
        </w:rPr>
        <w:t xml:space="preserve">ESPECIALIDADES DE OFICIALES DEL CUERPO LOGÍSTICO.</w:t>
      </w:r>
      <w:bookmarkEnd w:id="6036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"http://www.redjurista.com/document.aspx?ajcode=d1289016&amp;arts=1"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1289 de 2016. El nuevo texto es el siguiente:&gt; Los Oficiales del Cuerpo Logístico de las Fuerzas Militares tendrán las siguientes especialidades:</w:t>
      </w:r>
    </w:p>
    <w:p>
      <w:pPr>
        <w:jc w:val="both"/>
      </w:pPr>
      <w:rPr>
        <w:sz w:val="24"/>
        <w:color w:val="black"/>
      </w:rPr>
    </w:p>
    <w:p>
      <w:pPr>
        <w:jc w:val="both"/>
      </w:pPr>
      <w:r>
        <w:rPr>
          <w:rFonts w:hAnsi="Arial"/>
          <w:rFonts w:ascii="Arial"/>
          <w:sz w:val="24"/>
          <w:color w:val="black"/>
        </w:rPr>
        <w:t xml:space="preserve">a) En el Ejército:</w:t>
      </w:r>
    </w:p>
    <w:p>
      <w:pPr>
        <w:jc w:val="both"/>
      </w:pPr>
      <w:rPr>
        <w:sz w:val="24"/>
        <w:color w:val="black"/>
      </w:rPr>
    </w:p>
    <w:p>
      <w:pPr>
        <w:jc w:val="both"/>
      </w:pPr>
      <w:r>
        <w:rPr>
          <w:rFonts w:hAnsi="Arial"/>
          <w:rFonts w:ascii="Arial"/>
          <w:sz w:val="24"/>
          <w:color w:val="black"/>
        </w:rPr>
        <w:t xml:space="preserve">1. Armamento.</w:t>
      </w:r>
    </w:p>
    <w:p>
      <w:pPr>
        <w:jc w:val="both"/>
      </w:pPr>
      <w:rPr>
        <w:sz w:val="24"/>
        <w:color w:val="black"/>
      </w:rPr>
    </w:p>
    <w:p>
      <w:pPr>
        <w:jc w:val="both"/>
      </w:pPr>
      <w:r>
        <w:rPr>
          <w:rFonts w:hAnsi="Arial"/>
          <w:rFonts w:ascii="Arial"/>
          <w:sz w:val="24"/>
          <w:color w:val="black"/>
        </w:rPr>
        <w:t xml:space="preserve">2. Intendencia.</w:t>
      </w:r>
    </w:p>
    <w:p>
      <w:pPr>
        <w:jc w:val="both"/>
      </w:pPr>
      <w:rPr>
        <w:sz w:val="24"/>
        <w:color w:val="black"/>
      </w:rPr>
    </w:p>
    <w:p>
      <w:pPr>
        <w:jc w:val="both"/>
      </w:pPr>
      <w:r>
        <w:rPr>
          <w:rFonts w:hAnsi="Arial"/>
          <w:rFonts w:ascii="Arial"/>
          <w:sz w:val="24"/>
          <w:color w:val="black"/>
        </w:rPr>
        <w:t xml:space="preserve">3. Transportes.</w:t>
      </w:r>
    </w:p>
    <w:p>
      <w:pPr>
        <w:jc w:val="both"/>
      </w:pPr>
      <w:rPr>
        <w:sz w:val="24"/>
        <w:color w:val="black"/>
      </w:rPr>
    </w:p>
    <w:p>
      <w:pPr>
        <w:jc w:val="both"/>
      </w:pPr>
      <w:r>
        <w:rPr>
          <w:rFonts w:hAnsi="Arial"/>
          <w:rFonts w:ascii="Arial"/>
          <w:sz w:val="24"/>
          <w:color w:val="black"/>
        </w:rPr>
        <w:t xml:space="preserve">4. Talento Humano</w:t>
      </w:r>
    </w:p>
    <w:p>
      <w:pPr>
        <w:jc w:val="both"/>
      </w:pPr>
      <w:rPr>
        <w:sz w:val="24"/>
        <w:color w:val="black"/>
      </w:rPr>
    </w:p>
    <w:p>
      <w:pPr>
        <w:jc w:val="both"/>
      </w:pPr>
      <w:r>
        <w:rPr>
          <w:rFonts w:hAnsi="Arial"/>
          <w:rFonts w:ascii="Arial"/>
          <w:sz w:val="24"/>
          <w:color w:val="black"/>
        </w:rPr>
        <w:t xml:space="preserve">5. Acción integral.</w:t>
      </w:r>
    </w:p>
    <w:p>
      <w:pPr>
        <w:jc w:val="both"/>
      </w:pPr>
      <w:rPr>
        <w:sz w:val="24"/>
        <w:color w:val="black"/>
      </w:rPr>
    </w:p>
    <w:p>
      <w:pPr>
        <w:jc w:val="both"/>
      </w:pPr>
      <w:r>
        <w:rPr>
          <w:rFonts w:hAnsi="Arial"/>
          <w:rFonts w:ascii="Arial"/>
          <w:sz w:val="24"/>
          <w:color w:val="black"/>
        </w:rPr>
        <w:t xml:space="preserve">b) En la Armada:</w:t>
      </w:r>
    </w:p>
    <w:p>
      <w:pPr>
        <w:jc w:val="both"/>
      </w:pPr>
      <w:rPr>
        <w:sz w:val="24"/>
        <w:color w:val="black"/>
      </w:rPr>
    </w:p>
    <w:p>
      <w:pPr>
        <w:jc w:val="both"/>
      </w:pPr>
      <w:r>
        <w:rPr>
          <w:rFonts w:hAnsi="Arial"/>
          <w:rFonts w:ascii="Arial"/>
          <w:sz w:val="24"/>
          <w:color w:val="black"/>
        </w:rPr>
        <w:t xml:space="preserve">1. Administración Marítima.</w:t>
      </w:r>
    </w:p>
    <w:p>
      <w:pPr>
        <w:jc w:val="both"/>
      </w:pPr>
      <w:rPr>
        <w:sz w:val="24"/>
        <w:color w:val="black"/>
      </w:rPr>
    </w:p>
    <w:p>
      <w:pPr>
        <w:jc w:val="both"/>
      </w:pPr>
      <w:r>
        <w:rPr>
          <w:rFonts w:hAnsi="Arial"/>
          <w:rFonts w:ascii="Arial"/>
          <w:sz w:val="24"/>
          <w:color w:val="black"/>
        </w:rPr>
        <w:t xml:space="preserve">2. Armamento.</w:t>
      </w:r>
    </w:p>
    <w:p>
      <w:pPr>
        <w:jc w:val="both"/>
      </w:pPr>
      <w:rPr>
        <w:sz w:val="24"/>
        <w:color w:val="black"/>
      </w:rPr>
    </w:p>
    <w:p>
      <w:pPr>
        <w:jc w:val="both"/>
      </w:pPr>
      <w:r>
        <w:rPr>
          <w:rFonts w:hAnsi="Arial"/>
          <w:rFonts w:ascii="Arial"/>
          <w:sz w:val="24"/>
          <w:color w:val="black"/>
        </w:rPr>
        <w:t xml:space="preserve">3. Oceanografía.</w:t>
      </w:r>
    </w:p>
    <w:p>
      <w:pPr>
        <w:jc w:val="both"/>
      </w:pPr>
      <w:rPr>
        <w:sz w:val="24"/>
        <w:color w:val="black"/>
      </w:rPr>
    </w:p>
    <w:p>
      <w:pPr>
        <w:jc w:val="both"/>
      </w:pPr>
      <w:r>
        <w:rPr>
          <w:rFonts w:hAnsi="Arial"/>
          <w:rFonts w:ascii="Arial"/>
          <w:sz w:val="24"/>
          <w:color w:val="black"/>
        </w:rPr>
        <w:t xml:space="preserve">4. Propulsión.</w:t>
      </w:r>
    </w:p>
    <w:p>
      <w:pPr>
        <w:jc w:val="both"/>
      </w:pPr>
      <w:rPr>
        <w:sz w:val="24"/>
        <w:color w:val="black"/>
      </w:rPr>
    </w:p>
    <w:p>
      <w:pPr>
        <w:jc w:val="both"/>
      </w:pPr>
      <w:r>
        <w:rPr>
          <w:rFonts w:hAnsi="Arial"/>
          <w:rFonts w:ascii="Arial"/>
          <w:sz w:val="24"/>
          <w:color w:val="black"/>
        </w:rPr>
        <w:t xml:space="preserve">5. Sistemas.</w:t>
      </w:r>
    </w:p>
    <w:p>
      <w:pPr>
        <w:jc w:val="both"/>
      </w:pPr>
      <w:rPr>
        <w:sz w:val="24"/>
        <w:color w:val="black"/>
      </w:rPr>
    </w:p>
    <w:p>
      <w:pPr>
        <w:jc w:val="both"/>
      </w:pPr>
      <w:r>
        <w:rPr>
          <w:rFonts w:hAnsi="Arial"/>
          <w:rFonts w:ascii="Arial"/>
          <w:sz w:val="24"/>
          <w:color w:val="black"/>
        </w:rPr>
        <w:t xml:space="preserve">c) En la Fuerza Aérea:</w:t>
      </w:r>
    </w:p>
    <w:p>
      <w:pPr>
        <w:jc w:val="both"/>
      </w:pPr>
      <w:rPr>
        <w:sz w:val="24"/>
        <w:color w:val="black"/>
      </w:rPr>
    </w:p>
    <w:p>
      <w:pPr>
        <w:jc w:val="both"/>
      </w:pPr>
      <w:r>
        <w:rPr>
          <w:rFonts w:hAnsi="Arial"/>
          <w:rFonts w:ascii="Arial"/>
          <w:sz w:val="24"/>
          <w:color w:val="black"/>
        </w:rPr>
        <w:t xml:space="preserve">1. Abastecimiento Aeronáutico</w:t>
      </w:r>
    </w:p>
    <w:p>
      <w:pPr>
        <w:jc w:val="both"/>
      </w:pPr>
      <w:rPr>
        <w:sz w:val="24"/>
        <w:color w:val="black"/>
      </w:rPr>
    </w:p>
    <w:p>
      <w:pPr>
        <w:jc w:val="both"/>
      </w:pPr>
      <w:r>
        <w:rPr>
          <w:rFonts w:hAnsi="Arial"/>
          <w:rFonts w:ascii="Arial"/>
          <w:sz w:val="24"/>
          <w:color w:val="black"/>
        </w:rPr>
        <w:t xml:space="preserve">2. Administración Aeronáutica</w:t>
      </w:r>
    </w:p>
    <w:p>
      <w:pPr>
        <w:jc w:val="both"/>
      </w:pPr>
      <w:rPr>
        <w:sz w:val="24"/>
        <w:color w:val="black"/>
      </w:rPr>
    </w:p>
    <w:p>
      <w:pPr>
        <w:jc w:val="both"/>
      </w:pPr>
      <w:r>
        <w:rPr>
          <w:rFonts w:hAnsi="Arial"/>
          <w:rFonts w:ascii="Arial"/>
          <w:sz w:val="24"/>
          <w:color w:val="black"/>
        </w:rPr>
        <w:t xml:space="preserve">3. Armamento Aéreo</w:t>
      </w:r>
    </w:p>
    <w:p>
      <w:pPr>
        <w:jc w:val="both"/>
      </w:pPr>
      <w:rPr>
        <w:sz w:val="24"/>
        <w:color w:val="black"/>
      </w:rPr>
    </w:p>
    <w:p>
      <w:pPr>
        <w:jc w:val="both"/>
      </w:pPr>
      <w:r>
        <w:rPr>
          <w:rFonts w:hAnsi="Arial"/>
          <w:rFonts w:ascii="Arial"/>
          <w:sz w:val="24"/>
          <w:color w:val="black"/>
        </w:rPr>
        <w:t xml:space="preserve">4. Mantenimiento Aeronáutico</w:t>
      </w:r>
    </w:p>
    <w:p>
      <w:pPr>
        <w:jc w:val="both"/>
      </w:pPr>
      <w:rPr>
        <w:sz w:val="24"/>
        <w:color w:val="black"/>
      </w:rPr>
    </w:p>
    <w:p>
      <w:pPr>
        <w:jc w:val="both"/>
      </w:pPr>
      <w:r>
        <w:rPr>
          <w:rFonts w:hAnsi="Arial"/>
          <w:rFonts w:ascii="Arial"/>
          <w:sz w:val="24"/>
          <w:color w:val="black"/>
        </w:rPr>
        <w:t xml:space="preserve">5. Telecomunicaciones</w:t>
      </w:r>
    </w:p>
    <w:p>
      <w:pPr>
        <w:jc w:val="both"/>
      </w:pPr>
      <w:rPr>
        <w:sz w:val="24"/>
        <w:color w:val="black"/>
      </w:rPr>
    </w:p>
    <w:p>
      <w:pPr>
        <w:jc w:val="both"/>
      </w:pPr>
      <w:r>
        <w:rPr>
          <w:rFonts w:hAnsi="Arial"/>
          <w:rFonts w:ascii="Arial"/>
          <w:sz w:val="24"/>
          <w:color w:val="black"/>
        </w:rPr>
        <w:t xml:space="preserve">6. Talento Humano</w:t>
      </w:r>
    </w:p>
    <w:p>
      <w:pPr>
        <w:jc w:val="both"/>
      </w:pPr>
      <w:rPr>
        <w:sz w:val="24"/>
        <w:color w:val="black"/>
      </w:rPr>
    </w:p>
    <w:p>
      <w:pPr>
        <w:jc w:val="both"/>
      </w:pPr>
      <w:r>
        <w:rPr>
          <w:rFonts w:hAnsi="Arial"/>
          <w:rFonts w:ascii="Arial"/>
          <w:sz w:val="24"/>
          <w:color w:val="black"/>
        </w:rPr>
        <w:t xml:space="preserve">7. Acción integral.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Oficiales del Cuerpo Logístico a quienes con anterioridad al 30 de julio de 2002 (entrada en vigencia del Decreto </w:t>
      </w:r>
      <w:r>
        <w:fldChar w:fldCharType="begin"/>
      </w:r>
      <w:r>
        <w:instrText>HYPERLINK "http://www.redjurista.com/document.aspx?ajcode=d1495002&amp;arts=INICIO"</w:instrText>
      </w:r>
      <w:r>
        <w:fldChar w:fldCharType="separate"/>
      </w:r>
      <w:r>
        <w:rPr>
          <w:rFonts w:hAnsi="Arial"/>
          <w:rFonts w:ascii="Arial"/>
          <w:sz w:val="24"/>
          <w:u w:val="single"/>
          <w:color w:val="black"/>
        </w:rPr>
        <w:t>1495</w:t>
      </w:r>
      <w:r>
        <w:fldChar w:fldCharType="end"/>
      </w:r>
      <w:r>
        <w:rPr>
          <w:rFonts w:hAnsi="Arial"/>
          <w:rFonts w:ascii="Arial"/>
          <w:sz w:val="24"/>
          <w:u w:val="none"/>
          <w:color w:val="black"/>
        </w:rPr>
        <w:t xml:space="preserve"> de 2002) se les haya autorizado la especialidad de Operaciones Sicológicas de acuerdo con lo establecido con el artículo </w:t>
      </w:r>
      <w:r>
        <w:fldChar w:fldCharType="begin"/>
      </w:r>
      <w:r>
        <w:instrText>HYPERLINK "http://www.redjurista.com/document.aspx?ajcode=d0989_92&amp;arts=5"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Decreto 989 de 1992, continuarán con los derechos adquiridos, para todos sus efectos.</w:t>
      </w:r>
    </w:p>
    <w:p>
      <w:rPr>
        <w:sz w:val="24"/>
        <w:color w:val="black"/>
      </w:rPr>
    </w:p>
    <w:p>
      <w:pPr>
        <w:jc w:val="both"/>
      </w:pPr>
      <w:r>
        <w:rPr>
          <w:rFonts w:hAnsi="Arial"/>
          <w:rFonts w:ascii="Arial"/>
          <w:sz w:val="24"/>
          <w:vanish/>
          <w:color w:val="black"/>
        </w:rPr>
        <w:t>&amp;$</w:t>
      </w:r>
      <w:bookmarkStart w:id="60362" w:name="2.3.1.1.1.4"/>
      <w:r>
        <w:rPr>
          <w:rFonts w:hAnsi="Arial"/>
          <w:rFonts w:ascii="Arial"/>
          <w:sz w:val="24"/>
          <w:color w:val="navy"/>
        </w:rPr>
        <w:t xml:space="preserve">ARTÍCULO 2.3.1.1.1.4. </w:t>
      </w:r>
      <w:r>
        <w:rPr>
          <w:rFonts w:hAnsi="Arial"/>
          <w:rFonts w:ascii="Arial"/>
          <w:sz w:val="24"/>
          <w:i/>
          <w:color w:val="navy"/>
        </w:rPr>
        <w:t xml:space="preserve">ESPECIALIDADES DE LOS OFICIALES DEL CUERPO ADMINISTRATIVO DE LAS FUERZAS MILITARES.</w:t>
      </w:r>
      <w:bookmarkEnd w:id="60362"/>
      <w:r>
        <w:rPr>
          <w:rFonts w:hAnsi="Arial"/>
          <w:rFonts w:ascii="Arial"/>
          <w:sz w:val="24"/>
          <w:b/>
          <w:i/>
          <w:color w:val="black"/>
        </w:rPr>
        <w:t xml:space="preserve"> </w:t>
      </w:r>
      <w:r>
        <w:rPr>
          <w:rFonts w:hAnsi="Arial"/>
          <w:rFonts w:ascii="Arial"/>
          <w:sz w:val="24"/>
          <w:color w:val="black"/>
        </w:rPr>
        <w:t xml:space="preserve">Los Oficiales del Cuerpo Administrativo de las Fuerzas Militares tendrán las siguientes especialidades:</w:t>
      </w:r>
    </w:p>
    <w:p>
      <w:pPr>
        <w:jc w:val="both"/>
      </w:pPr>
      <w:rPr>
        <w:sz w:val="24"/>
        <w:color w:val="black"/>
      </w:rPr>
    </w:p>
    <w:p>
      <w:r>
        <w:rPr>
          <w:rFonts w:hAnsi="Arial"/>
          <w:rFonts w:ascii="Arial"/>
          <w:sz w:val="24"/>
          <w:color w:val="black"/>
        </w:rPr>
        <w:t xml:space="preserve">a) Ciencias de la Salud;</w:t>
      </w:r>
    </w:p>
    <w:p>
      <w:rPr>
        <w:sz w:val="24"/>
        <w:color w:val="black"/>
      </w:rPr>
    </w:p>
    <w:p>
      <w:r>
        <w:rPr>
          <w:rFonts w:hAnsi="Arial"/>
          <w:rFonts w:ascii="Arial"/>
          <w:sz w:val="24"/>
          <w:color w:val="black"/>
        </w:rPr>
        <w:t xml:space="preserve">b) Derecho y Ciencias Políticas;</w:t>
      </w:r>
    </w:p>
    <w:p>
      <w:rPr>
        <w:sz w:val="24"/>
        <w:color w:val="black"/>
      </w:rPr>
    </w:p>
    <w:p>
      <w:r>
        <w:rPr>
          <w:rFonts w:hAnsi="Arial"/>
          <w:rFonts w:ascii="Arial"/>
          <w:sz w:val="24"/>
          <w:color w:val="black"/>
        </w:rPr>
        <w:t xml:space="preserve">c) Economía, Administración y Contaduría;</w:t>
      </w:r>
    </w:p>
    <w:p>
      <w:rPr>
        <w:sz w:val="24"/>
        <w:color w:val="black"/>
      </w:rPr>
    </w:p>
    <w:p>
      <w:r>
        <w:rPr>
          <w:rFonts w:hAnsi="Arial"/>
          <w:rFonts w:ascii="Arial"/>
          <w:sz w:val="24"/>
          <w:color w:val="black"/>
        </w:rPr>
        <w:t xml:space="preserve">d) Ciencias Religiosas;</w:t>
      </w:r>
    </w:p>
    <w:p>
      <w:rPr>
        <w:sz w:val="24"/>
        <w:color w:val="black"/>
      </w:rPr>
    </w:p>
    <w:p>
      <w:r>
        <w:rPr>
          <w:rFonts w:hAnsi="Arial"/>
          <w:rFonts w:ascii="Arial"/>
          <w:sz w:val="24"/>
          <w:color w:val="black"/>
        </w:rPr>
        <w:t xml:space="preserve">e) Ingeniería y Arquitectura;</w:t>
      </w:r>
    </w:p>
    <w:p>
      <w:rPr>
        <w:sz w:val="24"/>
        <w:color w:val="black"/>
      </w:rPr>
    </w:p>
    <w:p>
      <w:r>
        <w:rPr>
          <w:rFonts w:hAnsi="Arial"/>
          <w:rFonts w:ascii="Arial"/>
          <w:sz w:val="24"/>
          <w:color w:val="black"/>
        </w:rPr>
        <w:t xml:space="preserve">f) Comunicación Social;</w:t>
      </w:r>
    </w:p>
    <w:p>
      <w:rPr>
        <w:sz w:val="24"/>
        <w:color w:val="black"/>
      </w:rPr>
    </w:p>
    <w:p>
      <w:r>
        <w:rPr>
          <w:rFonts w:hAnsi="Arial"/>
          <w:rFonts w:ascii="Arial"/>
          <w:sz w:val="24"/>
          <w:color w:val="black"/>
        </w:rPr>
        <w:t xml:space="preserve">g) Biología Marina;</w:t>
      </w:r>
    </w:p>
    <w:p>
      <w:rPr>
        <w:sz w:val="24"/>
        <w:color w:val="black"/>
      </w:rPr>
    </w:p>
    <w:p>
      <w:r>
        <w:rPr>
          <w:rFonts w:hAnsi="Arial"/>
          <w:rFonts w:ascii="Arial"/>
          <w:sz w:val="24"/>
          <w:color w:val="black"/>
        </w:rPr>
        <w:t xml:space="preserve">h) Ciencias de la Educación;</w:t>
      </w:r>
    </w:p>
    <w:p>
      <w:rPr>
        <w:sz w:val="24"/>
        <w:color w:val="black"/>
      </w:rPr>
    </w:p>
    <w:p>
      <w:r>
        <w:rPr>
          <w:rFonts w:hAnsi="Arial"/>
          <w:rFonts w:ascii="Arial"/>
          <w:sz w:val="24"/>
          <w:color w:val="black"/>
        </w:rPr>
        <w:t xml:space="preserve">i) Matemáticas y Ciencias Naturales.</w:t>
      </w:r>
    </w:p>
    <w:p>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 modificado por el artículo </w:t>
      </w:r>
      <w:r>
        <w:fldChar w:fldCharType="begin"/>
      </w:r>
      <w:r>
        <w:instrText>HYPERLINK "http://www.redjurista.com/document.aspx?ajcode=d4494005&amp;arts=1"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4494 de 2005)</w:t>
      </w:r>
    </w:p>
    <w:p>
      <w:rPr>
        <w:sz w:val="24"/>
        <w:color w:val="black"/>
      </w:rPr>
    </w:p>
    <w:p>
      <w:pPr>
        <w:jc w:val="both"/>
      </w:pPr>
      <w:r>
        <w:rPr>
          <w:rFonts w:hAnsi="Arial"/>
          <w:rFonts w:ascii="Arial"/>
          <w:sz w:val="24"/>
          <w:vanish/>
          <w:color w:val="black"/>
        </w:rPr>
        <w:t>&amp;$</w:t>
      </w:r>
      <w:bookmarkStart w:id="60363" w:name="2.3.1.1.1.5"/>
      <w:r>
        <w:rPr>
          <w:rFonts w:hAnsi="Arial"/>
          <w:rFonts w:ascii="Arial"/>
          <w:sz w:val="24"/>
          <w:color w:val="navy"/>
        </w:rPr>
        <w:t xml:space="preserve">ARTÍCULO 2.3.1.1.1.5. </w:t>
      </w:r>
      <w:r>
        <w:rPr>
          <w:rFonts w:hAnsi="Arial"/>
          <w:rFonts w:ascii="Arial"/>
          <w:sz w:val="24"/>
          <w:i/>
          <w:color w:val="navy"/>
        </w:rPr>
        <w:t xml:space="preserve">SUBOFICIALES DE LAS ARMAS DEL EJ</w:t>
      </w:r>
      <w:r>
        <w:rPr>
          <w:rFonts w:hAnsi="Arial"/>
          <w:rFonts w:ascii="Arial"/>
          <w:sz w:val="24"/>
          <w:color w:val="black"/>
        </w:rPr>
        <w:t>É</w:t>
      </w:r>
      <w:r>
        <w:rPr>
          <w:rFonts w:hAnsi="Arial"/>
          <w:rFonts w:ascii="Arial"/>
          <w:sz w:val="24"/>
          <w:i/>
          <w:color w:val="navy"/>
        </w:rPr>
        <w:t>RCITO.</w:t>
      </w:r>
      <w:bookmarkEnd w:id="6036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"http://www.redjurista.com/document.aspx?ajcode=d1289016&amp;arts=2"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1289 de 2016. El nuevo texto es el siguiente:&gt; Los Suboficiales de las armas en el Ejército se clasifican dentro de las modalidades y características de: la Infantería, la Caballería, la Artillería, los Ingenieros, la Aviación, la Inteligencia, las Comunicaciones y las Fuerzas Especiales.</w:t>
      </w:r>
    </w:p>
    <w:p>
      <w:rPr>
        <w:sz w:val="24"/>
        <w:color w:val="black"/>
      </w:rPr>
    </w:p>
    <w:p>
      <w:pPr>
        <w:jc w:val="both"/>
      </w:pPr>
      <w:r>
        <w:rPr>
          <w:rFonts w:hAnsi="Arial"/>
          <w:rFonts w:ascii="Arial"/>
          <w:sz w:val="24"/>
          <w:vanish/>
          <w:color w:val="black"/>
        </w:rPr>
        <w:t>&amp;$</w:t>
      </w:r>
      <w:bookmarkStart w:id="60364" w:name="2.3.1.1.1.6"/>
      <w:r>
        <w:rPr>
          <w:rFonts w:hAnsi="Arial"/>
          <w:rFonts w:ascii="Arial"/>
          <w:sz w:val="24"/>
          <w:color w:val="navy"/>
        </w:rPr>
        <w:t xml:space="preserve">ARTÍCULO 2.3.1.1.1.6. </w:t>
      </w:r>
      <w:r>
        <w:rPr>
          <w:rFonts w:hAnsi="Arial"/>
          <w:rFonts w:ascii="Arial"/>
          <w:sz w:val="24"/>
          <w:i/>
          <w:color w:val="navy"/>
        </w:rPr>
        <w:t xml:space="preserve">ESPECIALIDADES DE LOS SUBOFICIALES DEL CUERPO DE MAR.</w:t>
      </w:r>
      <w:bookmarkEnd w:id="60364"/>
      <w:r>
        <w:rPr>
          <w:rFonts w:hAnsi="Arial"/>
          <w:rFonts w:ascii="Arial"/>
          <w:sz w:val="24"/>
          <w:b/>
          <w:i/>
          <w:color w:val="black"/>
        </w:rPr>
        <w:t xml:space="preserve"> </w:t>
      </w:r>
      <w:r>
        <w:rPr>
          <w:rFonts w:hAnsi="Arial"/>
          <w:rFonts w:ascii="Arial"/>
          <w:sz w:val="24"/>
          <w:color w:val="black"/>
        </w:rPr>
        <w:t xml:space="preserve">Los Suboficiales del Cuerpo de Mar tendrán las siguientes especialidades:</w:t>
      </w:r>
    </w:p>
    <w:p>
      <w:pPr>
        <w:jc w:val="both"/>
      </w:pPr>
      <w:rPr>
        <w:sz w:val="24"/>
        <w:color w:val="black"/>
      </w:rPr>
    </w:p>
    <w:p>
      <w:r>
        <w:rPr>
          <w:rFonts w:hAnsi="Arial"/>
          <w:rFonts w:ascii="Arial"/>
          <w:sz w:val="24"/>
          <w:color w:val="black"/>
        </w:rPr>
        <w:t xml:space="preserve">a) Armas navales;</w:t>
      </w:r>
    </w:p>
    <w:p>
      <w:rPr>
        <w:sz w:val="24"/>
        <w:color w:val="black"/>
      </w:rPr>
    </w:p>
    <w:p>
      <w:r>
        <w:rPr>
          <w:rFonts w:hAnsi="Arial"/>
          <w:rFonts w:ascii="Arial"/>
          <w:sz w:val="24"/>
          <w:color w:val="black"/>
        </w:rPr>
        <w:t xml:space="preserve">b) Aviación naval;</w:t>
      </w:r>
    </w:p>
    <w:p>
      <w:rPr>
        <w:sz w:val="24"/>
        <w:color w:val="black"/>
      </w:rPr>
    </w:p>
    <w:p>
      <w:r>
        <w:rPr>
          <w:rFonts w:hAnsi="Arial"/>
          <w:rFonts w:ascii="Arial"/>
          <w:sz w:val="24"/>
          <w:color w:val="black"/>
        </w:rPr>
        <w:t xml:space="preserve">c) Ciencias del mar;</w:t>
      </w:r>
    </w:p>
    <w:p>
      <w:rPr>
        <w:sz w:val="24"/>
        <w:color w:val="black"/>
      </w:rPr>
    </w:p>
    <w:p>
      <w:r>
        <w:rPr>
          <w:rFonts w:hAnsi="Arial"/>
          <w:rFonts w:ascii="Arial"/>
          <w:sz w:val="24"/>
          <w:color w:val="black"/>
        </w:rPr>
        <w:t xml:space="preserve">d) Comunicaciones electromagnéticas;</w:t>
      </w:r>
    </w:p>
    <w:p>
      <w:rPr>
        <w:sz w:val="24"/>
        <w:color w:val="black"/>
      </w:rPr>
    </w:p>
    <w:p>
      <w:r>
        <w:rPr>
          <w:rFonts w:hAnsi="Arial"/>
          <w:rFonts w:ascii="Arial"/>
          <w:sz w:val="24"/>
          <w:color w:val="black"/>
        </w:rPr>
        <w:t xml:space="preserve">e) Contramaestre;</w:t>
      </w:r>
    </w:p>
    <w:p>
      <w:rPr>
        <w:sz w:val="24"/>
        <w:color w:val="black"/>
      </w:rPr>
    </w:p>
    <w:p>
      <w:r>
        <w:rPr>
          <w:rFonts w:hAnsi="Arial"/>
          <w:rFonts w:ascii="Arial"/>
          <w:sz w:val="24"/>
          <w:color w:val="black"/>
        </w:rPr>
        <w:t xml:space="preserve">f) Infantería de Marina;</w:t>
      </w:r>
    </w:p>
    <w:p>
      <w:rPr>
        <w:sz w:val="24"/>
        <w:color w:val="black"/>
      </w:rPr>
    </w:p>
    <w:p>
      <w:r>
        <w:rPr>
          <w:rFonts w:hAnsi="Arial"/>
          <w:rFonts w:ascii="Arial"/>
          <w:sz w:val="24"/>
          <w:color w:val="black"/>
        </w:rPr>
        <w:t xml:space="preserve">g) Navegación y señales;</w:t>
      </w:r>
    </w:p>
    <w:p>
      <w:rPr>
        <w:sz w:val="24"/>
        <w:color w:val="black"/>
      </w:rPr>
    </w:p>
    <w:p>
      <w:r>
        <w:rPr>
          <w:rFonts w:hAnsi="Arial"/>
          <w:rFonts w:ascii="Arial"/>
          <w:sz w:val="24"/>
          <w:color w:val="black"/>
        </w:rPr>
        <w:t xml:space="preserve">h) Sistemas de propulsión y electricidad;</w:t>
      </w:r>
    </w:p>
    <w:p>
      <w:rPr>
        <w:sz w:val="24"/>
        <w:color w:val="black"/>
      </w:rPr>
    </w:p>
    <w:p>
      <w:r>
        <w:rPr>
          <w:rFonts w:hAnsi="Arial"/>
          <w:rFonts w:ascii="Arial"/>
          <w:sz w:val="24"/>
          <w:color w:val="black"/>
        </w:rPr>
        <w:t xml:space="preserve">i) Submarinista.</w:t>
      </w:r>
    </w:p>
    <w:p>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365" w:name="2.3.1.1.1.7"/>
      <w:r>
        <w:rPr>
          <w:rFonts w:hAnsi="Arial"/>
          <w:rFonts w:ascii="Arial"/>
          <w:sz w:val="24"/>
          <w:color w:val="navy"/>
        </w:rPr>
        <w:t xml:space="preserve">ARTÍCULO 2.3.1.1.1.7. </w:t>
      </w:r>
      <w:r>
        <w:rPr>
          <w:rFonts w:hAnsi="Arial"/>
          <w:rFonts w:ascii="Arial"/>
          <w:sz w:val="24"/>
          <w:i/>
          <w:color w:val="navy"/>
        </w:rPr>
        <w:t xml:space="preserve">ESPECIALIDADES DE SUBOFICIALES DEL CUERPO TÉCNICO AERONÁUTICO DE LA FUERZA AÉREA.</w:t>
      </w:r>
      <w:bookmarkEnd w:id="60365"/>
      <w:r>
        <w:rPr>
          <w:rFonts w:hAnsi="Arial"/>
          <w:rFonts w:ascii="Arial"/>
          <w:sz w:val="24"/>
          <w:b/>
          <w:i/>
          <w:color w:val="black"/>
        </w:rPr>
        <w:t xml:space="preserve"> </w:t>
      </w:r>
      <w:r>
        <w:rPr>
          <w:rFonts w:hAnsi="Arial"/>
          <w:rFonts w:ascii="Arial"/>
          <w:sz w:val="24"/>
          <w:color w:val="black"/>
        </w:rPr>
        <w:t xml:space="preserve">Los Suboficiales del Cuerpo Técnico Aeronáutico de la Fuerza Aérea, tendrán las siguientes especialidades:</w:t>
      </w:r>
    </w:p>
    <w:p>
      <w:pPr>
        <w:jc w:val="both"/>
      </w:pPr>
      <w:rPr>
        <w:sz w:val="24"/>
        <w:color w:val="black"/>
      </w:rPr>
    </w:p>
    <w:p>
      <w:pPr>
        <w:jc w:val="both"/>
      </w:pPr>
      <w:r>
        <w:rPr>
          <w:rFonts w:hAnsi="Arial"/>
          <w:rFonts w:ascii="Arial"/>
          <w:sz w:val="24"/>
          <w:color w:val="black"/>
        </w:rPr>
        <w:t xml:space="preserve">a) Abastecimiento Aeronáutico;</w:t>
      </w:r>
    </w:p>
    <w:p>
      <w:pPr>
        <w:jc w:val="both"/>
      </w:pPr>
      <w:rPr>
        <w:sz w:val="24"/>
        <w:color w:val="black"/>
      </w:rPr>
    </w:p>
    <w:p>
      <w:pPr>
        <w:jc w:val="both"/>
      </w:pPr>
      <w:r>
        <w:rPr>
          <w:rFonts w:hAnsi="Arial"/>
          <w:rFonts w:ascii="Arial"/>
          <w:sz w:val="24"/>
          <w:color w:val="black"/>
        </w:rPr>
        <w:t xml:space="preserve">b) Comunicaciones Aeronáuticas;</w:t>
      </w:r>
    </w:p>
    <w:p>
      <w:pPr>
        <w:jc w:val="both"/>
      </w:pPr>
      <w:rPr>
        <w:sz w:val="24"/>
        <w:color w:val="black"/>
      </w:rPr>
    </w:p>
    <w:p>
      <w:pPr>
        <w:jc w:val="both"/>
      </w:pPr>
      <w:r>
        <w:rPr>
          <w:rFonts w:hAnsi="Arial"/>
          <w:rFonts w:ascii="Arial"/>
          <w:sz w:val="24"/>
          <w:color w:val="black"/>
        </w:rPr>
        <w:t xml:space="preserve">c) Electrónica Aeronáutica;</w:t>
      </w:r>
    </w:p>
    <w:p>
      <w:pPr>
        <w:jc w:val="both"/>
      </w:pPr>
      <w:rPr>
        <w:sz w:val="24"/>
        <w:color w:val="black"/>
      </w:rPr>
    </w:p>
    <w:p>
      <w:pPr>
        <w:jc w:val="both"/>
      </w:pPr>
      <w:r>
        <w:rPr>
          <w:rFonts w:hAnsi="Arial"/>
          <w:rFonts w:ascii="Arial"/>
          <w:sz w:val="24"/>
          <w:color w:val="black"/>
        </w:rPr>
        <w:t xml:space="preserve">d) Mantenimiento Aeronáutico.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366" w:name="2.3.1.1.1.8"/>
      <w:r>
        <w:rPr>
          <w:rFonts w:hAnsi="Arial"/>
          <w:rFonts w:ascii="Arial"/>
          <w:sz w:val="24"/>
          <w:color w:val="navy"/>
        </w:rPr>
        <w:t xml:space="preserve">ARTÍCULO 2.3.1.1.1.8. </w:t>
      </w:r>
      <w:r>
        <w:rPr>
          <w:rFonts w:hAnsi="Arial"/>
          <w:rFonts w:ascii="Arial"/>
          <w:sz w:val="24"/>
          <w:i/>
          <w:color w:val="navy"/>
        </w:rPr>
        <w:t xml:space="preserve">ESPECIALIDADES DE SUBOFICIALES DEL CUERPO LOGÍSTICO DE LAS FUERZAS MILITARES.</w:t>
      </w:r>
      <w:bookmarkEnd w:id="6036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"http://www.redjurista.com/document.aspx?ajcode=d1289016&amp;arts=3"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1289 de 2016. El nuevo texto es el siguiente:&gt; Los Suboficiales del Cuerpo Logístico de las Fuerzas Militares, tendrán las siguientes especialidades:</w:t>
      </w:r>
    </w:p>
    <w:p>
      <w:pPr>
        <w:jc w:val="both"/>
      </w:pPr>
      <w:rPr>
        <w:sz w:val="24"/>
        <w:color w:val="black"/>
      </w:rPr>
    </w:p>
    <w:p>
      <w:pPr>
        <w:jc w:val="both"/>
      </w:pPr>
      <w:r>
        <w:rPr>
          <w:rFonts w:hAnsi="Arial"/>
          <w:rFonts w:ascii="Arial"/>
          <w:sz w:val="24"/>
          <w:color w:val="black"/>
        </w:rPr>
        <w:t xml:space="preserve">a) En el Ejército:</w:t>
      </w:r>
    </w:p>
    <w:p>
      <w:pPr>
        <w:jc w:val="both"/>
      </w:pPr>
      <w:rPr>
        <w:sz w:val="24"/>
        <w:color w:val="black"/>
      </w:rPr>
    </w:p>
    <w:p>
      <w:pPr>
        <w:jc w:val="both"/>
      </w:pPr>
      <w:r>
        <w:rPr>
          <w:rFonts w:hAnsi="Arial"/>
          <w:rFonts w:ascii="Arial"/>
          <w:sz w:val="24"/>
          <w:color w:val="black"/>
        </w:rPr>
        <w:t xml:space="preserve">1. Armamento</w:t>
      </w:r>
    </w:p>
    <w:p>
      <w:pPr>
        <w:jc w:val="both"/>
      </w:pPr>
      <w:rPr>
        <w:sz w:val="24"/>
        <w:color w:val="black"/>
      </w:rPr>
    </w:p>
    <w:p>
      <w:pPr>
        <w:jc w:val="both"/>
      </w:pPr>
      <w:r>
        <w:rPr>
          <w:rFonts w:hAnsi="Arial"/>
          <w:rFonts w:ascii="Arial"/>
          <w:sz w:val="24"/>
          <w:color w:val="black"/>
        </w:rPr>
        <w:t xml:space="preserve">2. Intendencia</w:t>
      </w:r>
    </w:p>
    <w:p>
      <w:pPr>
        <w:jc w:val="both"/>
      </w:pPr>
      <w:rPr>
        <w:sz w:val="24"/>
        <w:color w:val="black"/>
      </w:rPr>
    </w:p>
    <w:p>
      <w:pPr>
        <w:jc w:val="both"/>
      </w:pPr>
      <w:r>
        <w:rPr>
          <w:rFonts w:hAnsi="Arial"/>
          <w:rFonts w:ascii="Arial"/>
          <w:sz w:val="24"/>
          <w:color w:val="black"/>
        </w:rPr>
        <w:t xml:space="preserve">3. Sanidad</w:t>
      </w:r>
    </w:p>
    <w:p>
      <w:pPr>
        <w:jc w:val="both"/>
      </w:pPr>
      <w:rPr>
        <w:sz w:val="24"/>
        <w:color w:val="black"/>
      </w:rPr>
    </w:p>
    <w:p>
      <w:pPr>
        <w:jc w:val="both"/>
      </w:pPr>
      <w:r>
        <w:rPr>
          <w:rFonts w:hAnsi="Arial"/>
          <w:rFonts w:ascii="Arial"/>
          <w:sz w:val="24"/>
          <w:color w:val="black"/>
        </w:rPr>
        <w:t xml:space="preserve">4. Transportes</w:t>
      </w:r>
    </w:p>
    <w:p>
      <w:pPr>
        <w:jc w:val="both"/>
      </w:pPr>
      <w:rPr>
        <w:sz w:val="24"/>
        <w:color w:val="black"/>
      </w:rPr>
    </w:p>
    <w:p>
      <w:pPr>
        <w:jc w:val="both"/>
      </w:pPr>
      <w:r>
        <w:rPr>
          <w:rFonts w:hAnsi="Arial"/>
          <w:rFonts w:ascii="Arial"/>
          <w:sz w:val="24"/>
          <w:color w:val="black"/>
        </w:rPr>
        <w:t xml:space="preserve">5. Talento Humano</w:t>
      </w:r>
    </w:p>
    <w:p>
      <w:pPr>
        <w:jc w:val="both"/>
      </w:pPr>
      <w:rPr>
        <w:sz w:val="24"/>
        <w:color w:val="black"/>
      </w:rPr>
    </w:p>
    <w:p>
      <w:pPr>
        <w:jc w:val="both"/>
      </w:pPr>
      <w:r>
        <w:rPr>
          <w:rFonts w:hAnsi="Arial"/>
          <w:rFonts w:ascii="Arial"/>
          <w:sz w:val="24"/>
          <w:color w:val="black"/>
        </w:rPr>
        <w:t xml:space="preserve">6. Acción Integral.</w:t>
      </w:r>
    </w:p>
    <w:p>
      <w:pPr>
        <w:jc w:val="both"/>
      </w:pPr>
      <w:rPr>
        <w:sz w:val="24"/>
        <w:color w:val="black"/>
      </w:rPr>
    </w:p>
    <w:p>
      <w:pPr>
        <w:jc w:val="both"/>
      </w:pPr>
      <w:r>
        <w:rPr>
          <w:rFonts w:hAnsi="Arial"/>
          <w:rFonts w:ascii="Arial"/>
          <w:sz w:val="24"/>
          <w:color w:val="black"/>
        </w:rPr>
        <w:t xml:space="preserve">b) En la Armada:</w:t>
      </w:r>
    </w:p>
    <w:p>
      <w:pPr>
        <w:jc w:val="both"/>
      </w:pPr>
      <w:rPr>
        <w:sz w:val="24"/>
        <w:color w:val="black"/>
      </w:rPr>
    </w:p>
    <w:p>
      <w:pPr>
        <w:jc w:val="both"/>
      </w:pPr>
      <w:r>
        <w:rPr>
          <w:rFonts w:hAnsi="Arial"/>
          <w:rFonts w:ascii="Arial"/>
          <w:sz w:val="24"/>
          <w:color w:val="black"/>
        </w:rPr>
        <w:t xml:space="preserve">1. Administración</w:t>
      </w:r>
    </w:p>
    <w:p>
      <w:pPr>
        <w:jc w:val="both"/>
      </w:pPr>
      <w:rPr>
        <w:sz w:val="24"/>
        <w:color w:val="black"/>
      </w:rPr>
    </w:p>
    <w:p>
      <w:pPr>
        <w:jc w:val="both"/>
      </w:pPr>
      <w:r>
        <w:rPr>
          <w:rFonts w:hAnsi="Arial"/>
          <w:rFonts w:ascii="Arial"/>
          <w:sz w:val="24"/>
          <w:color w:val="black"/>
        </w:rPr>
        <w:t xml:space="preserve">2. Mayordomía</w:t>
      </w:r>
    </w:p>
    <w:p>
      <w:pPr>
        <w:jc w:val="both"/>
      </w:pPr>
      <w:rPr>
        <w:sz w:val="24"/>
        <w:color w:val="black"/>
      </w:rPr>
    </w:p>
    <w:p>
      <w:pPr>
        <w:jc w:val="both"/>
      </w:pPr>
      <w:r>
        <w:rPr>
          <w:rFonts w:hAnsi="Arial"/>
          <w:rFonts w:ascii="Arial"/>
          <w:sz w:val="24"/>
          <w:color w:val="black"/>
        </w:rPr>
        <w:t xml:space="preserve">3. Sanidad.</w:t>
      </w:r>
    </w:p>
    <w:p>
      <w:pPr>
        <w:jc w:val="both"/>
      </w:pPr>
      <w:rPr>
        <w:sz w:val="24"/>
        <w:color w:val="black"/>
      </w:rPr>
    </w:p>
    <w:p>
      <w:pPr>
        <w:jc w:val="both"/>
      </w:pPr>
      <w:r>
        <w:rPr>
          <w:rFonts w:hAnsi="Arial"/>
          <w:rFonts w:ascii="Arial"/>
          <w:sz w:val="24"/>
          <w:color w:val="black"/>
        </w:rPr>
        <w:t xml:space="preserve">c) En la Fuerza Aérea:</w:t>
      </w:r>
    </w:p>
    <w:p>
      <w:pPr>
        <w:jc w:val="both"/>
      </w:pPr>
      <w:rPr>
        <w:sz w:val="24"/>
        <w:color w:val="black"/>
      </w:rPr>
    </w:p>
    <w:p>
      <w:pPr>
        <w:jc w:val="both"/>
      </w:pPr>
      <w:r>
        <w:rPr>
          <w:rFonts w:hAnsi="Arial"/>
          <w:rFonts w:ascii="Arial"/>
          <w:sz w:val="24"/>
          <w:color w:val="black"/>
        </w:rPr>
        <w:t xml:space="preserve">1. Administración</w:t>
      </w:r>
    </w:p>
    <w:p>
      <w:pPr>
        <w:jc w:val="both"/>
      </w:pPr>
      <w:rPr>
        <w:sz w:val="24"/>
        <w:color w:val="black"/>
      </w:rPr>
    </w:p>
    <w:p>
      <w:pPr>
        <w:jc w:val="both"/>
      </w:pPr>
      <w:r>
        <w:rPr>
          <w:rFonts w:hAnsi="Arial"/>
          <w:rFonts w:ascii="Arial"/>
          <w:sz w:val="24"/>
          <w:color w:val="black"/>
        </w:rPr>
        <w:t xml:space="preserve">2. Sanidad</w:t>
      </w:r>
    </w:p>
    <w:p>
      <w:pPr>
        <w:jc w:val="both"/>
      </w:pPr>
      <w:rPr>
        <w:sz w:val="24"/>
        <w:color w:val="black"/>
      </w:rPr>
    </w:p>
    <w:p>
      <w:pPr>
        <w:jc w:val="both"/>
      </w:pPr>
      <w:r>
        <w:rPr>
          <w:rFonts w:hAnsi="Arial"/>
          <w:rFonts w:ascii="Arial"/>
          <w:sz w:val="24"/>
          <w:color w:val="black"/>
        </w:rPr>
        <w:t xml:space="preserve">3. Telemática</w:t>
      </w:r>
    </w:p>
    <w:p>
      <w:pPr>
        <w:jc w:val="both"/>
      </w:pPr>
      <w:rPr>
        <w:sz w:val="24"/>
        <w:color w:val="black"/>
      </w:rPr>
    </w:p>
    <w:p>
      <w:pPr>
        <w:jc w:val="both"/>
      </w:pPr>
      <w:r>
        <w:rPr>
          <w:rFonts w:hAnsi="Arial"/>
          <w:rFonts w:ascii="Arial"/>
          <w:sz w:val="24"/>
          <w:color w:val="black"/>
        </w:rPr>
        <w:t xml:space="preserve">4. Transportes</w:t>
      </w:r>
    </w:p>
    <w:p>
      <w:pPr>
        <w:jc w:val="both"/>
      </w:pPr>
      <w:rPr>
        <w:sz w:val="24"/>
        <w:color w:val="black"/>
      </w:rPr>
    </w:p>
    <w:p>
      <w:pPr>
        <w:jc w:val="both"/>
      </w:pPr>
      <w:r>
        <w:rPr>
          <w:rFonts w:hAnsi="Arial"/>
          <w:rFonts w:ascii="Arial"/>
          <w:sz w:val="24"/>
          <w:color w:val="black"/>
        </w:rPr>
        <w:t xml:space="preserve">5. Talento Humano</w:t>
      </w:r>
    </w:p>
    <w:p>
      <w:pPr>
        <w:jc w:val="both"/>
      </w:pPr>
      <w:rPr>
        <w:sz w:val="24"/>
        <w:color w:val="black"/>
      </w:rPr>
    </w:p>
    <w:p>
      <w:pPr>
        <w:jc w:val="both"/>
      </w:pPr>
      <w:r>
        <w:rPr>
          <w:rFonts w:hAnsi="Arial"/>
          <w:rFonts w:ascii="Arial"/>
          <w:sz w:val="24"/>
          <w:color w:val="black"/>
        </w:rPr>
        <w:t xml:space="preserve">6. Acción integral.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Por necesidades del servicio la anterior clasificación podrá ser ampliada previa presentación que los Comandantes de Fuerza efectúen al Comandante General de las Fuerzas Militares exponiendo las razones que motiven las nuevas especialidades, para aprobación del Gobierno.</w:t>
      </w:r>
    </w:p>
    <w:p>
      <w:pPr>
        <w:jc w:val="both"/>
      </w:pPr>
      <w:rPr>
        <w:sz w:val="24"/>
        <w:color w:val="black"/>
      </w:rPr>
    </w:p>
    <w:p>
      <w:pPr>
        <w:jc w:val="both"/>
      </w:pPr>
      <w:r>
        <w:rPr>
          <w:rFonts w:hAnsi="Arial"/>
          <w:rFonts w:ascii="Arial"/>
          <w:sz w:val="24"/>
          <w:vanish/>
          <w:color w:val="black"/>
        </w:rPr>
        <w:t>&amp;$</w:t>
      </w:r>
      <w:bookmarkStart w:id="60367" w:name="2.3.1.1.1.9"/>
      <w:r>
        <w:rPr>
          <w:rFonts w:hAnsi="Arial"/>
          <w:rFonts w:ascii="Arial"/>
          <w:sz w:val="24"/>
          <w:color w:val="navy"/>
        </w:rPr>
        <w:t xml:space="preserve">ARTÍCULO 2.3.1.1.1.9. </w:t>
      </w:r>
      <w:r>
        <w:rPr>
          <w:rFonts w:hAnsi="Arial"/>
          <w:rFonts w:ascii="Arial"/>
          <w:sz w:val="24"/>
          <w:i/>
          <w:color w:val="navy"/>
        </w:rPr>
        <w:t xml:space="preserve">CAMBIO DE FUERZA, ARMA, CUERPO Y-O ESPECIALIDAD.</w:t>
      </w:r>
      <w:bookmarkEnd w:id="60367"/>
      <w:r>
        <w:rPr>
          <w:rFonts w:hAnsi="Arial"/>
          <w:rFonts w:ascii="Arial"/>
          <w:sz w:val="24"/>
          <w:b/>
          <w:i/>
          <w:color w:val="black"/>
        </w:rPr>
        <w:t xml:space="preserve"> </w:t>
      </w:r>
      <w:r>
        <w:rPr>
          <w:rFonts w:hAnsi="Arial"/>
          <w:rFonts w:ascii="Arial"/>
          <w:sz w:val="24"/>
          <w:color w:val="black"/>
        </w:rPr>
        <w:t xml:space="preserve">Los Oficiales y Suboficiales de las Fuerzas Militares que dentro de los límites jerárquicos establecidos en el Artículo </w:t>
      </w:r>
      <w:r>
        <w:fldChar w:fldCharType="begin"/>
      </w:r>
      <w:r>
        <w:instrText>HYPERLINK "http://www.redjurista.com/document.aspx?ajcode=d1790000&amp;arts=25"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1790 de 2000, soliciten cambiar de Fuerza, Arma, Cuerpo y/o Especialidad deberán acreditar los siguientes requisitos para efectos de la autorización por parte de la autoridad administrativa correspondiente:</w:t>
      </w:r>
    </w:p>
    <w:p>
      <w:pPr>
        <w:jc w:val="both"/>
      </w:pPr>
      <w:rPr>
        <w:sz w:val="24"/>
        <w:color w:val="black"/>
      </w:rPr>
    </w:p>
    <w:p>
      <w:pPr>
        <w:jc w:val="both"/>
      </w:pPr>
      <w:r>
        <w:rPr>
          <w:rFonts w:hAnsi="Arial"/>
          <w:rFonts w:ascii="Arial"/>
          <w:sz w:val="24"/>
          <w:color w:val="black"/>
        </w:rPr>
        <w:t xml:space="preserve">a) Capacidad psicofísica para la nueva Fuerza, Arma, Cuerpo y/o Especialidad;</w:t>
      </w:r>
    </w:p>
    <w:p>
      <w:pPr>
        <w:jc w:val="both"/>
      </w:pPr>
      <w:rPr>
        <w:sz w:val="24"/>
        <w:color w:val="black"/>
      </w:rPr>
    </w:p>
    <w:p>
      <w:pPr>
        <w:jc w:val="both"/>
      </w:pPr>
      <w:r>
        <w:rPr>
          <w:rFonts w:hAnsi="Arial"/>
          <w:rFonts w:ascii="Arial"/>
          <w:sz w:val="24"/>
          <w:color w:val="black"/>
        </w:rPr>
        <w:t xml:space="preserve">b) Presentación del Título Profesional, Técnico o Tecnológico, que acredite la idoneidad del Oficial o Suboficial para desempeñarse en la nueva actividad, cuando sea del caso;</w:t>
      </w:r>
    </w:p>
    <w:p>
      <w:pPr>
        <w:jc w:val="both"/>
      </w:pPr>
      <w:rPr>
        <w:sz w:val="24"/>
        <w:color w:val="black"/>
      </w:rPr>
    </w:p>
    <w:p>
      <w:pPr>
        <w:jc w:val="both"/>
      </w:pPr>
      <w:r>
        <w:rPr>
          <w:rFonts w:hAnsi="Arial"/>
          <w:rFonts w:ascii="Arial"/>
          <w:sz w:val="24"/>
          <w:color w:val="black"/>
        </w:rPr>
        <w:t xml:space="preserve">c) No haber sido sancionado penal ni disciplinariamente durante los últimos tres (3) años de servicio y estar clasificado en lista 1, 2 o 3;</w:t>
      </w:r>
    </w:p>
    <w:p>
      <w:pPr>
        <w:jc w:val="both"/>
      </w:pPr>
      <w:rPr>
        <w:sz w:val="24"/>
        <w:color w:val="black"/>
      </w:rPr>
    </w:p>
    <w:p>
      <w:pPr>
        <w:jc w:val="both"/>
      </w:pPr>
      <w:r>
        <w:rPr>
          <w:rFonts w:hAnsi="Arial"/>
          <w:rFonts w:ascii="Arial"/>
          <w:sz w:val="24"/>
          <w:color w:val="black"/>
        </w:rPr>
        <w:t xml:space="preserve">d) Concepto del jefe inmediato y del Jefe de Recursos Humanos o Desarrollo Humano de la Fuerza;</w:t>
      </w:r>
    </w:p>
    <w:p>
      <w:pPr>
        <w:jc w:val="both"/>
      </w:pPr>
      <w:rPr>
        <w:sz w:val="24"/>
        <w:color w:val="black"/>
      </w:rPr>
    </w:p>
    <w:p>
      <w:pPr>
        <w:jc w:val="both"/>
      </w:pPr>
      <w:r>
        <w:rPr>
          <w:rFonts w:hAnsi="Arial"/>
          <w:rFonts w:ascii="Arial"/>
          <w:sz w:val="24"/>
          <w:color w:val="black"/>
        </w:rPr>
        <w:t xml:space="preserve">e) Cuando se trate de cambio de Fuerza, concepto previo de los Comandos de Fuerza interesados.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rPr>
        <w:sz w:val="24"/>
        <w:color w:val="black"/>
      </w:rPr>
    </w:p>
    <w:p>
      <w:pPr>
        <w:jc w:val="center"/>
      </w:pPr>
      <w:r>
        <w:rPr>
          <w:rFonts w:hAnsi="Arial"/>
          <w:rFonts w:ascii="Arial"/>
          <w:sz w:val="24"/>
          <w:vanish/>
          <w:color w:val="black"/>
        </w:rPr>
        <w:t>&amp;$</w:t>
      </w:r>
      <w:bookmarkStart w:id="60368" w:name="SECCIÓN 2.3.1.1.2"/>
      <w:r>
        <w:rPr>
          <w:rFonts w:hAnsi="Arial"/>
          <w:rFonts w:ascii="Arial"/>
          <w:sz w:val="24"/>
          <w:color w:val="navy"/>
        </w:rPr>
        <w:t xml:space="preserve">SECCIÓN 2. </w:t>
      </w:r>
    </w:p>
    <w:p>
      <w:pPr>
        <w:jc w:val="center"/>
      </w:pPr>
      <w:r>
        <w:rPr>
          <w:rFonts w:hAnsi="Arial"/>
          <w:rFonts w:ascii="Arial"/>
          <w:sz w:val="24"/>
          <w:color w:val="navy"/>
        </w:rPr>
        <w:t xml:space="preserve">DEL ESCALAFÓN.</w:t>
      </w:r>
      <w:bookmarkEnd w:id="603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369" w:name="2.3.1.1.2.1"/>
      <w:r>
        <w:rPr>
          <w:rFonts w:hAnsi="Arial"/>
          <w:rFonts w:ascii="Arial"/>
          <w:sz w:val="24"/>
          <w:color w:val="navy"/>
        </w:rPr>
        <w:t xml:space="preserve">ARTÍCULO 2.3.1.1.2.1. </w:t>
      </w:r>
      <w:r>
        <w:rPr>
          <w:rFonts w:hAnsi="Arial"/>
          <w:rFonts w:ascii="Arial"/>
          <w:sz w:val="24"/>
          <w:i/>
          <w:color w:val="navy"/>
        </w:rPr>
        <w:t xml:space="preserve">ESCALAFÓN MILITAR.</w:t>
      </w:r>
      <w:bookmarkEnd w:id="60369"/>
      <w:r>
        <w:rPr>
          <w:rFonts w:hAnsi="Arial"/>
          <w:rFonts w:ascii="Arial"/>
          <w:sz w:val="24"/>
          <w:b/>
          <w:i/>
          <w:color w:val="black"/>
        </w:rPr>
        <w:t xml:space="preserve"> </w:t>
      </w:r>
      <w:r>
        <w:rPr>
          <w:rFonts w:hAnsi="Arial"/>
          <w:rFonts w:ascii="Arial"/>
          <w:sz w:val="24"/>
          <w:color w:val="black"/>
        </w:rPr>
        <w:t xml:space="preserve">Los Comandos de Fuerza elaborarán anualmente los Escalafones Regulares y Complementarios de Oficiales y Suboficiales, clasificados por Arma, Cuerpo y Especialidad. El Comando General de las Fuerzas Militares elaborará un Escalafón General integrado de las Fuerzas.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0" w:name="2.3.1.1.2.2"/>
      <w:r>
        <w:rPr>
          <w:rFonts w:hAnsi="Arial"/>
          <w:rFonts w:ascii="Arial"/>
          <w:sz w:val="24"/>
          <w:color w:val="navy"/>
        </w:rPr>
        <w:t xml:space="preserve">ARTÍCULO 2.3.1.1.2.2. </w:t>
      </w:r>
      <w:r>
        <w:rPr>
          <w:rFonts w:hAnsi="Arial"/>
          <w:rFonts w:ascii="Arial"/>
          <w:sz w:val="24"/>
          <w:i/>
          <w:color w:val="navy"/>
        </w:rPr>
        <w:t xml:space="preserve">REQUISITOS PARA INGRESO AL ESCALAFÓN COMPLEMENTARIO.</w:t>
      </w:r>
      <w:bookmarkEnd w:id="60370"/>
      <w:r>
        <w:rPr>
          <w:rFonts w:hAnsi="Arial"/>
          <w:rFonts w:ascii="Arial"/>
          <w:sz w:val="24"/>
          <w:b/>
          <w:i/>
          <w:color w:val="black"/>
        </w:rPr>
        <w:t xml:space="preserve"> </w:t>
      </w:r>
      <w:r>
        <w:rPr>
          <w:rFonts w:hAnsi="Arial"/>
          <w:rFonts w:ascii="Arial"/>
          <w:sz w:val="24"/>
          <w:color w:val="black"/>
        </w:rPr>
        <w:t xml:space="preserve">Para ingresar al Escalafón Complementario, los Oficiales deberán reunir los siguientes requisitos:</w:t>
      </w:r>
    </w:p>
    <w:p>
      <w:pPr>
        <w:jc w:val="both"/>
      </w:pPr>
      <w:rPr>
        <w:sz w:val="24"/>
        <w:color w:val="black"/>
      </w:rPr>
    </w:p>
    <w:p>
      <w:pPr>
        <w:jc w:val="both"/>
      </w:pPr>
      <w:r>
        <w:rPr>
          <w:rFonts w:hAnsi="Arial"/>
          <w:rFonts w:ascii="Arial"/>
          <w:sz w:val="24"/>
          <w:color w:val="black"/>
        </w:rPr>
        <w:t xml:space="preserve">a) Solicitud escrita dirigida al Comandante de la Fuerza, dentro de los sesenta (60) días siguientes a la fecha en que, cumpla el tiempo mínimo de servicio en el grado;</w:t>
      </w:r>
    </w:p>
    <w:p>
      <w:pPr>
        <w:jc w:val="both"/>
      </w:pPr>
      <w:rPr>
        <w:sz w:val="24"/>
        <w:color w:val="black"/>
      </w:rPr>
    </w:p>
    <w:p>
      <w:pPr>
        <w:jc w:val="both"/>
      </w:pPr>
      <w:r>
        <w:rPr>
          <w:rFonts w:hAnsi="Arial"/>
          <w:rFonts w:ascii="Arial"/>
          <w:sz w:val="24"/>
          <w:color w:val="black"/>
        </w:rPr>
        <w:t xml:space="preserve">b) Clasificación en lista 1, 2 o 3 en los tres (3) años anteriores a la solicitud de escalafonamiento;</w:t>
      </w:r>
    </w:p>
    <w:p>
      <w:pPr>
        <w:jc w:val="both"/>
      </w:pPr>
      <w:rPr>
        <w:sz w:val="24"/>
        <w:color w:val="black"/>
      </w:rPr>
    </w:p>
    <w:p>
      <w:pPr>
        <w:jc w:val="both"/>
      </w:pPr>
      <w:r>
        <w:rPr>
          <w:rFonts w:hAnsi="Arial"/>
          <w:rFonts w:ascii="Arial"/>
          <w:sz w:val="24"/>
          <w:color w:val="black"/>
        </w:rPr>
        <w:t xml:space="preserve">c) Aptitud psicofísica;</w:t>
      </w:r>
    </w:p>
    <w:p>
      <w:pPr>
        <w:jc w:val="both"/>
      </w:pPr>
      <w:rPr>
        <w:sz w:val="24"/>
        <w:color w:val="black"/>
      </w:rPr>
    </w:p>
    <w:p>
      <w:pPr>
        <w:jc w:val="both"/>
      </w:pPr>
      <w:r>
        <w:rPr>
          <w:rFonts w:hAnsi="Arial"/>
          <w:rFonts w:ascii="Arial"/>
          <w:sz w:val="24"/>
          <w:color w:val="black"/>
        </w:rPr>
        <w:t xml:space="preserve">d) Existencia de la necesidad de sus servicios en el Arma o Cuerpo respectivo, de acuerdo al escalafón de cargos, debidamente certificada por el Comandante de la Fuerza;</w:t>
      </w:r>
    </w:p>
    <w:p>
      <w:pPr>
        <w:jc w:val="both"/>
      </w:pPr>
      <w:rPr>
        <w:sz w:val="24"/>
        <w:color w:val="black"/>
      </w:rPr>
    </w:p>
    <w:p>
      <w:pPr>
        <w:jc w:val="both"/>
      </w:pPr>
      <w:r>
        <w:rPr>
          <w:rFonts w:hAnsi="Arial"/>
          <w:rFonts w:ascii="Arial"/>
          <w:sz w:val="24"/>
          <w:color w:val="black"/>
        </w:rPr>
        <w:t xml:space="preserve">e) Concepto favorable de la Junta Asesora del Ministerio de Defensa.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cambio de Escalafón se dispondrá por decreto del Gobierno.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371" w:name="SECCIÓN 2.3.1.1.3"/>
      <w:r>
        <w:rPr>
          <w:rFonts w:hAnsi="Arial"/>
          <w:rFonts w:ascii="Arial"/>
          <w:sz w:val="24"/>
          <w:color w:val="navy"/>
        </w:rPr>
        <w:t xml:space="preserve">SECCIÓN 3. </w:t>
      </w:r>
    </w:p>
    <w:p>
      <w:pPr>
        <w:jc w:val="center"/>
      </w:pPr>
      <w:r>
        <w:rPr>
          <w:rFonts w:hAnsi="Arial"/>
          <w:rFonts w:ascii="Arial"/>
          <w:sz w:val="24"/>
          <w:color w:val="navy"/>
        </w:rPr>
        <w:t xml:space="preserve">DEL INGRESO ASCENSO Y FORMACIÓN DE LOS OFICIALES Y SUBOFICIALES.</w:t>
      </w:r>
      <w:bookmarkEnd w:id="6037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372" w:name="2.3.1.1.3.1"/>
      <w:r>
        <w:rPr>
          <w:rFonts w:hAnsi="Arial"/>
          <w:rFonts w:ascii="Arial"/>
          <w:sz w:val="24"/>
          <w:color w:val="navy"/>
        </w:rPr>
        <w:t xml:space="preserve">ARTÍCULO 2.3.1.1.3.1. </w:t>
      </w:r>
      <w:r>
        <w:rPr>
          <w:rFonts w:hAnsi="Arial"/>
          <w:rFonts w:ascii="Arial"/>
          <w:sz w:val="24"/>
          <w:i/>
          <w:color w:val="navy"/>
        </w:rPr>
        <w:t xml:space="preserve">PERIODO DE PRUEBA.</w:t>
      </w:r>
      <w:bookmarkEnd w:id="60372"/>
      <w:r>
        <w:rPr>
          <w:rFonts w:hAnsi="Arial"/>
          <w:rFonts w:ascii="Arial"/>
          <w:sz w:val="24"/>
          <w:b/>
          <w:i/>
          <w:color w:val="black"/>
        </w:rPr>
        <w:t xml:space="preserve"> </w:t>
      </w:r>
      <w:r>
        <w:rPr>
          <w:rFonts w:hAnsi="Arial"/>
          <w:rFonts w:ascii="Arial"/>
          <w:sz w:val="24"/>
          <w:color w:val="black"/>
        </w:rPr>
        <w:t xml:space="preserve">El concepto favorable de que trata el artículo </w:t>
      </w:r>
      <w:r>
        <w:fldChar w:fldCharType="begin"/>
      </w:r>
      <w:r>
        <w:instrText>HYPERLINK "http://www.redjurista.com/document.aspx?ajcode=d1790000&amp;arts=35"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1790 de 2000, será emitido por la Junta Clasificadora de cada Fuerza, con base en el concepto enviado a los Departamentos o Direcciones de personal por los Comandantes respectivos, dentro del mes siguiente al cumplimiento del periodo de prueba o cuando por deficiencia, falta de adaptación y de condiciones para el desempeño en el cargo, así lo amerite.</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3" w:name="2.3.1.1.3.2"/>
      <w:r>
        <w:rPr>
          <w:rFonts w:hAnsi="Arial"/>
          <w:rFonts w:ascii="Arial"/>
          <w:sz w:val="24"/>
          <w:color w:val="navy"/>
        </w:rPr>
        <w:t xml:space="preserve">ARTÍCULO 2.3.1.1.3.2. </w:t>
      </w:r>
      <w:r>
        <w:rPr>
          <w:rFonts w:hAnsi="Arial"/>
          <w:rFonts w:ascii="Arial"/>
          <w:sz w:val="24"/>
          <w:i/>
          <w:color w:val="navy"/>
        </w:rPr>
        <w:t xml:space="preserve">PROCEDENCIA DE LOS OFICIALES DEL CUERPO ADMINISTRATIVO.</w:t>
      </w:r>
      <w:bookmarkEnd w:id="60373"/>
      <w:r>
        <w:rPr>
          <w:rFonts w:hAnsi="Arial"/>
          <w:rFonts w:ascii="Arial"/>
          <w:sz w:val="24"/>
          <w:b/>
          <w:i/>
          <w:color w:val="black"/>
        </w:rPr>
        <w:t xml:space="preserve"> </w:t>
      </w:r>
      <w:r>
        <w:rPr>
          <w:rFonts w:hAnsi="Arial"/>
          <w:rFonts w:ascii="Arial"/>
          <w:sz w:val="24"/>
          <w:color w:val="black"/>
        </w:rPr>
        <w:t xml:space="preserve">Los Suboficiales en servicio activo que reúnan las condiciones señaladas en el Artículo </w:t>
      </w:r>
      <w:r>
        <w:fldChar w:fldCharType="begin"/>
      </w:r>
      <w:r>
        <w:instrText>HYPERLINK "http://www.redjurista.com/document.aspx?ajcode=d1790000&amp;arts=36"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1790 de 2000, para su Escalafonamiento como Oficiales del Cuerpo Administrativo, deberán cumplir los siguientes requisitos:</w:t>
      </w:r>
    </w:p>
    <w:p>
      <w:pPr>
        <w:jc w:val="both"/>
      </w:pPr>
      <w:rPr>
        <w:sz w:val="24"/>
        <w:color w:val="black"/>
      </w:rPr>
    </w:p>
    <w:p>
      <w:pPr>
        <w:jc w:val="both"/>
      </w:pPr>
      <w:r>
        <w:rPr>
          <w:rFonts w:hAnsi="Arial"/>
          <w:rFonts w:ascii="Arial"/>
          <w:sz w:val="24"/>
          <w:color w:val="black"/>
        </w:rPr>
        <w:t xml:space="preserve">a) Solicitud escrita al respectivo Comando de Fuerza.</w:t>
      </w:r>
    </w:p>
    <w:p>
      <w:pPr>
        <w:jc w:val="both"/>
      </w:pPr>
      <w:rPr>
        <w:sz w:val="24"/>
        <w:color w:val="black"/>
      </w:rPr>
    </w:p>
    <w:p>
      <w:pPr>
        <w:jc w:val="both"/>
      </w:pPr>
      <w:r>
        <w:rPr>
          <w:rFonts w:hAnsi="Arial"/>
          <w:rFonts w:ascii="Arial"/>
          <w:sz w:val="24"/>
          <w:color w:val="black"/>
        </w:rPr>
        <w:t xml:space="preserve">b) Encontrarse dentro de los límites de edad establecidos para el respectivo grado en el artículo </w:t>
      </w:r>
      <w:r>
        <w:fldChar w:fldCharType="begin"/>
      </w:r>
      <w:r>
        <w:instrText>HYPERLINK "http://www.redjurista.com/document.aspx?ajcode=d1790000&amp;arts=105"</w:instrText>
      </w:r>
      <w:r>
        <w:fldChar w:fldCharType="separate"/>
      </w:r>
      <w:r>
        <w:rPr>
          <w:rFonts w:hAnsi="Arial"/>
          <w:rFonts w:ascii="Arial"/>
          <w:sz w:val="24"/>
          <w:u w:val="single"/>
          <w:color w:val="black"/>
        </w:rPr>
        <w:t>105</w:t>
      </w:r>
      <w:r>
        <w:fldChar w:fldCharType="end"/>
      </w:r>
      <w:r>
        <w:rPr>
          <w:rFonts w:hAnsi="Arial"/>
          <w:rFonts w:ascii="Arial"/>
          <w:sz w:val="24"/>
          <w:u w:val="none"/>
          <w:color w:val="black"/>
        </w:rPr>
        <w:t xml:space="preserve"> del Decreto 1790 de 2000.</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4" w:name="2.3.1.1.3.3"/>
      <w:r>
        <w:rPr>
          <w:rFonts w:hAnsi="Arial"/>
          <w:rFonts w:ascii="Arial"/>
          <w:sz w:val="24"/>
          <w:color w:val="navy"/>
        </w:rPr>
        <w:t xml:space="preserve">ARTÍCULO 2.3.1.1.3.3. </w:t>
      </w:r>
      <w:r>
        <w:rPr>
          <w:rFonts w:hAnsi="Arial"/>
          <w:rFonts w:ascii="Arial"/>
          <w:sz w:val="24"/>
          <w:i/>
          <w:color w:val="navy"/>
        </w:rPr>
        <w:t xml:space="preserve">ESCALAFONAMIENTO DE PROFESIONALES EN EL CUERPO ADMINISTRATIVO.</w:t>
      </w:r>
      <w:bookmarkEnd w:id="60374"/>
      <w:r>
        <w:rPr>
          <w:rFonts w:hAnsi="Arial"/>
          <w:rFonts w:ascii="Arial"/>
          <w:sz w:val="24"/>
          <w:b/>
          <w:i/>
          <w:color w:val="black"/>
        </w:rPr>
        <w:t xml:space="preserve"> </w:t>
      </w:r>
      <w:r>
        <w:rPr>
          <w:rFonts w:hAnsi="Arial"/>
          <w:rFonts w:ascii="Arial"/>
          <w:sz w:val="24"/>
          <w:color w:val="black"/>
        </w:rPr>
        <w:t xml:space="preserve">Los aspirantes a Oficiales del Cuerpo Administrativo a que se refiere el Artículo </w:t>
      </w:r>
      <w:r>
        <w:fldChar w:fldCharType="begin"/>
      </w:r>
      <w:r>
        <w:instrText>HYPERLINK "http://www.redjurista.com/document.aspx?ajcode=d1790000&amp;arts=37"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Decreto 1790 de 2000, deberán reunir los siguientes requisitos generales para su escalafonamiento:</w:t>
      </w:r>
    </w:p>
    <w:p>
      <w:pPr>
        <w:jc w:val="both"/>
      </w:pPr>
      <w:rPr>
        <w:sz w:val="24"/>
        <w:color w:val="black"/>
      </w:rPr>
    </w:p>
    <w:p>
      <w:pPr>
        <w:jc w:val="both"/>
      </w:pPr>
      <w:r>
        <w:rPr>
          <w:rFonts w:hAnsi="Arial"/>
          <w:rFonts w:ascii="Arial"/>
          <w:sz w:val="24"/>
          <w:color w:val="black"/>
        </w:rPr>
        <w:t xml:space="preserve">a) Acreditar el título universitario correspondiente;</w:t>
      </w:r>
    </w:p>
    <w:p>
      <w:pPr>
        <w:jc w:val="both"/>
      </w:pPr>
      <w:rPr>
        <w:sz w:val="24"/>
        <w:color w:val="black"/>
      </w:rPr>
    </w:p>
    <w:p>
      <w:pPr>
        <w:jc w:val="both"/>
      </w:pPr>
      <w:r>
        <w:rPr>
          <w:rFonts w:hAnsi="Arial"/>
          <w:rFonts w:ascii="Arial"/>
          <w:sz w:val="24"/>
          <w:color w:val="black"/>
        </w:rPr>
        <w:t xml:space="preserve">b) Someterse a las pruebas y exámenes de idoneidad que determine el respectivo Comando de Fuerza;</w:t>
      </w:r>
    </w:p>
    <w:p>
      <w:pPr>
        <w:jc w:val="both"/>
      </w:pPr>
      <w:rPr>
        <w:sz w:val="24"/>
        <w:color w:val="black"/>
      </w:rPr>
    </w:p>
    <w:p>
      <w:pPr>
        <w:jc w:val="both"/>
      </w:pPr>
      <w:r>
        <w:rPr>
          <w:rFonts w:hAnsi="Arial"/>
          <w:rFonts w:ascii="Arial"/>
          <w:sz w:val="24"/>
          <w:color w:val="black"/>
        </w:rPr>
        <w:t xml:space="preserve">c) Acreditar antecedentes de honorabilidad y condiciones personales compatibles con la Institución Militar;</w:t>
      </w:r>
    </w:p>
    <w:p>
      <w:pPr>
        <w:jc w:val="both"/>
      </w:pPr>
      <w:rPr>
        <w:sz w:val="24"/>
        <w:color w:val="black"/>
      </w:rPr>
    </w:p>
    <w:p>
      <w:pPr>
        <w:jc w:val="both"/>
      </w:pPr>
      <w:r>
        <w:rPr>
          <w:rFonts w:hAnsi="Arial"/>
          <w:rFonts w:ascii="Arial"/>
          <w:sz w:val="24"/>
          <w:color w:val="black"/>
        </w:rPr>
        <w:t xml:space="preserve">d) Ser menor de treinta (30) años de edad.</w:t>
      </w:r>
    </w:p>
    <w:p>
      <w:pPr>
        <w:jc w:val="both"/>
      </w:pPr>
      <w:rPr>
        <w:sz w:val="24"/>
        <w:color w:val="black"/>
      </w:rPr>
    </w:p>
    <w:p>
      <w:pPr>
        <w:jc w:val="both"/>
      </w:pPr>
      <w:r>
        <w:rPr>
          <w:rFonts w:hAnsi="Arial"/>
          <w:rFonts w:ascii="Arial"/>
          <w:sz w:val="24"/>
          <w:color w:val="black"/>
        </w:rPr>
        <w:t xml:space="preserve">e) Realizar y aprobar un curso de orientación militar con duración mínima de 12 semanas de acuerdo con la Directiva expedida por el respectivo Comando de Fuerza;</w:t>
      </w:r>
    </w:p>
    <w:p>
      <w:pPr>
        <w:jc w:val="both"/>
      </w:pPr>
      <w:rPr>
        <w:sz w:val="24"/>
        <w:color w:val="black"/>
      </w:rPr>
    </w:p>
    <w:p>
      <w:pPr>
        <w:jc w:val="both"/>
      </w:pPr>
      <w:r>
        <w:rPr>
          <w:rFonts w:hAnsi="Arial"/>
          <w:rFonts w:ascii="Arial"/>
          <w:sz w:val="24"/>
          <w:color w:val="black"/>
        </w:rPr>
        <w:t xml:space="preserve">f) Aptitud psicofísica;</w:t>
      </w:r>
    </w:p>
    <w:p>
      <w:pPr>
        <w:jc w:val="both"/>
      </w:pPr>
      <w:rPr>
        <w:sz w:val="24"/>
        <w:color w:val="black"/>
      </w:rPr>
    </w:p>
    <w:p>
      <w:pPr>
        <w:jc w:val="both"/>
      </w:pPr>
      <w:r>
        <w:rPr>
          <w:rFonts w:hAnsi="Arial"/>
          <w:rFonts w:ascii="Arial"/>
          <w:sz w:val="24"/>
          <w:color w:val="black"/>
        </w:rPr>
        <w:t xml:space="preserve">g) Concepto de la Junta Asesora del Ministerio de Defensa.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médicos egresados de la Facultad de Medicina de la Universidad Militar que acrediten haber adelantado durante el transcurso de la carrera, un curso de orientación militar o su equivalente, podrán escalafonarse sin cumplir con el requisito de que trata el literal e) del presente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profesionales que no acrediten la especialización, maestría o doctorado serán escalafonados en el grado de Subteniente o Teniente de Corbeta sin ninguna antigüedad.</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Los profesionales que acrediten especialización, maestría o doctorado serán escalafonados en el grado de Teniente o Teniente de Fragata sin ninguna antigüedad y su edad límite de ingreso será hasta de treinta y cinco (35) años.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375" w:name="2.3.1.1.3.4"/>
      <w:r>
        <w:rPr>
          <w:rFonts w:hAnsi="Arial"/>
          <w:rFonts w:ascii="Arial"/>
          <w:sz w:val="24"/>
          <w:color w:val="navy"/>
        </w:rPr>
        <w:t xml:space="preserve">ARTÍCULO 2.3.1.1.3.4. </w:t>
      </w:r>
      <w:r>
        <w:rPr>
          <w:rFonts w:hAnsi="Arial"/>
          <w:rFonts w:ascii="Arial"/>
          <w:sz w:val="24"/>
          <w:i/>
          <w:color w:val="navy"/>
        </w:rPr>
        <w:t xml:space="preserve">ESCALAFONAMIENTO DE PROFESIONALES COMO OFICIALES DE LAS ARMAS Y DEL CUERPO LOGÍSTICO EN EL EJERCITO; DEL CUERPO EJECUTIVO Y DEL CUERPO LOGÍSTICO EN LA ARMADA; DEL CUERPO DE VUELO, DEL CUERPO DE SEGURIDAD Y DEFENSA DE BASES AÉREAS Y, DEL CUERPO LOGÍSTICO EN LA FUERZA AÉREA.</w:t>
      </w:r>
      <w:bookmarkEnd w:id="60375"/>
      <w:r>
        <w:rPr>
          <w:rFonts w:hAnsi="Arial"/>
          <w:rFonts w:ascii="Arial"/>
          <w:sz w:val="24"/>
          <w:b/>
          <w:i/>
          <w:color w:val="black"/>
        </w:rPr>
        <w:t xml:space="preserve"> </w:t>
      </w:r>
      <w:r>
        <w:rPr>
          <w:rFonts w:hAnsi="Arial"/>
          <w:rFonts w:ascii="Arial"/>
          <w:sz w:val="24"/>
          <w:color w:val="black"/>
        </w:rPr>
        <w:t xml:space="preserve">Los aspirantes a oficiales a que se refiere el Artículo </w:t>
      </w:r>
      <w:r>
        <w:fldChar w:fldCharType="begin"/>
      </w:r>
      <w:r>
        <w:instrText>HYPERLINK "http://www.redjurista.com/document.aspx?ajcode=d1790000&amp;arts=38"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 1790 de 2000, para su Escalafonamiento como Subteniente o Teniente de Corbeta, deberán acreditar para su aceptación los siguientes requisitos:</w:t>
      </w:r>
    </w:p>
    <w:p>
      <w:pPr>
        <w:jc w:val="both"/>
      </w:pPr>
      <w:rPr>
        <w:sz w:val="24"/>
        <w:color w:val="black"/>
      </w:rPr>
    </w:p>
    <w:p>
      <w:pPr>
        <w:jc w:val="both"/>
      </w:pPr>
      <w:r>
        <w:rPr>
          <w:rFonts w:hAnsi="Arial"/>
          <w:rFonts w:ascii="Arial"/>
          <w:sz w:val="24"/>
          <w:color w:val="black"/>
        </w:rPr>
        <w:t xml:space="preserve">a) Acreditar el título profesional correspondiente;</w:t>
      </w:r>
    </w:p>
    <w:p>
      <w:pPr>
        <w:jc w:val="both"/>
      </w:pPr>
      <w:rPr>
        <w:sz w:val="24"/>
        <w:color w:val="black"/>
      </w:rPr>
    </w:p>
    <w:p>
      <w:pPr>
        <w:jc w:val="both"/>
      </w:pPr>
      <w:r>
        <w:rPr>
          <w:rFonts w:hAnsi="Arial"/>
          <w:rFonts w:ascii="Arial"/>
          <w:sz w:val="24"/>
          <w:color w:val="black"/>
        </w:rPr>
        <w:t xml:space="preserve">b) Someterse a las pruebas y exámenes de idoneidad que determine el respectivo Comando de Fuerza;</w:t>
      </w:r>
    </w:p>
    <w:p>
      <w:pPr>
        <w:jc w:val="both"/>
      </w:pPr>
      <w:rPr>
        <w:sz w:val="24"/>
        <w:color w:val="black"/>
      </w:rPr>
    </w:p>
    <w:p>
      <w:pPr>
        <w:jc w:val="both"/>
      </w:pPr>
      <w:r>
        <w:rPr>
          <w:rFonts w:hAnsi="Arial"/>
          <w:rFonts w:ascii="Arial"/>
          <w:sz w:val="24"/>
          <w:color w:val="black"/>
        </w:rPr>
        <w:t xml:space="preserve">c) Acreditar antecedentes de honorabilidad comprobados y condiciones morales compatibles con la Institución Militar;</w:t>
      </w:r>
    </w:p>
    <w:p>
      <w:pPr>
        <w:jc w:val="both"/>
      </w:pPr>
      <w:rPr>
        <w:sz w:val="24"/>
        <w:color w:val="black"/>
      </w:rPr>
    </w:p>
    <w:p>
      <w:pPr>
        <w:jc w:val="both"/>
      </w:pPr>
      <w:r>
        <w:rPr>
          <w:rFonts w:hAnsi="Arial"/>
          <w:rFonts w:ascii="Arial"/>
          <w:sz w:val="24"/>
          <w:color w:val="black"/>
        </w:rPr>
        <w:t xml:space="preserve">d) Ser menor de veintiséis (26) años de edad;</w:t>
      </w:r>
    </w:p>
    <w:p>
      <w:pPr>
        <w:jc w:val="both"/>
      </w:pPr>
      <w:rPr>
        <w:sz w:val="24"/>
        <w:color w:val="black"/>
      </w:rPr>
    </w:p>
    <w:p>
      <w:pPr>
        <w:jc w:val="both"/>
      </w:pPr>
      <w:r>
        <w:rPr>
          <w:rFonts w:hAnsi="Arial"/>
          <w:rFonts w:ascii="Arial"/>
          <w:sz w:val="24"/>
          <w:color w:val="black"/>
        </w:rPr>
        <w:t xml:space="preserve">e) Realizar y aprobar un curso de formación y capacitación, en la respectiva escuela de formación, de acuerdo con directiva expedida por el respectivo Comando de Fuerza;</w:t>
      </w:r>
    </w:p>
    <w:p>
      <w:pPr>
        <w:jc w:val="both"/>
      </w:pPr>
      <w:rPr>
        <w:sz w:val="24"/>
        <w:color w:val="black"/>
      </w:rPr>
    </w:p>
    <w:p>
      <w:pPr>
        <w:jc w:val="both"/>
      </w:pPr>
      <w:r>
        <w:rPr>
          <w:rFonts w:hAnsi="Arial"/>
          <w:rFonts w:ascii="Arial"/>
          <w:sz w:val="24"/>
          <w:color w:val="black"/>
        </w:rPr>
        <w:t xml:space="preserve">f) Aptitud psicofísica.</w:t>
      </w:r>
    </w:p>
    <w:p>
      <w:pPr>
        <w:jc w:val="both"/>
      </w:pPr>
      <w:rPr>
        <w:sz w:val="24"/>
        <w:color w:val="black"/>
      </w:rPr>
    </w:p>
    <w:p>
      <w:pPr>
        <w:jc w:val="both"/>
      </w:pPr>
      <w:r>
        <w:rPr>
          <w:rFonts w:hAnsi="Arial"/>
          <w:rFonts w:ascii="Arial"/>
          <w:sz w:val="24"/>
          <w:color w:val="black"/>
        </w:rPr>
        <w:t xml:space="preserve">g) Concepto de la Junta Asesora del Ministerio de Defensa para las Fuerzas Militares.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6" w:name="2.3.1.1.3.5"/>
      <w:r>
        <w:rPr>
          <w:rFonts w:hAnsi="Arial"/>
          <w:rFonts w:ascii="Arial"/>
          <w:sz w:val="24"/>
          <w:color w:val="navy"/>
        </w:rPr>
        <w:t xml:space="preserve">ARTÍCULO 2.3.1.1.3.5. </w:t>
      </w:r>
      <w:r>
        <w:rPr>
          <w:rFonts w:hAnsi="Arial"/>
          <w:rFonts w:ascii="Arial"/>
          <w:sz w:val="24"/>
          <w:i/>
          <w:color w:val="navy"/>
        </w:rPr>
        <w:t xml:space="preserve">SELECCIÓN DE SUBOFICIALES PARA ESCUELAS DE FORMACI</w:t>
      </w:r>
      <w:r>
        <w:rPr>
          <w:rFonts w:hAnsi="Arial"/>
          <w:rFonts w:ascii="Arial"/>
          <w:sz w:val="24"/>
          <w:color w:val="black"/>
        </w:rPr>
        <w:t>Ó</w:t>
      </w:r>
      <w:r>
        <w:rPr>
          <w:rFonts w:hAnsi="Arial"/>
          <w:rFonts w:ascii="Arial"/>
          <w:sz w:val="24"/>
          <w:i/>
          <w:color w:val="navy"/>
        </w:rPr>
        <w:t xml:space="preserve">N DE OFICIALES.</w:t>
      </w:r>
      <w:bookmarkEnd w:id="60376"/>
      <w:r>
        <w:rPr>
          <w:rFonts w:hAnsi="Arial"/>
          <w:rFonts w:ascii="Arial"/>
          <w:sz w:val="24"/>
          <w:b/>
          <w:i/>
          <w:color w:val="black"/>
        </w:rPr>
        <w:t xml:space="preserve"> </w:t>
      </w:r>
      <w:r>
        <w:rPr>
          <w:rFonts w:hAnsi="Arial"/>
          <w:rFonts w:ascii="Arial"/>
          <w:sz w:val="24"/>
          <w:color w:val="black"/>
        </w:rPr>
        <w:t xml:space="preserve">Los Suboficiales de las Fuerzas Militares en servicio activo a que se refiere el Artículo </w:t>
      </w:r>
      <w:r>
        <w:fldChar w:fldCharType="begin"/>
      </w:r>
      <w:r>
        <w:instrText>HYPERLINK "http://www.redjurista.com/document.aspx?ajcode=d1790000&amp;arts=42"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1790 de 2000, para ser aceptados como alumnos de las escuelas de formación de oficiales, requieren acreditar los siguientes requisitos:</w:t>
      </w:r>
    </w:p>
    <w:p>
      <w:pPr>
        <w:jc w:val="both"/>
      </w:pPr>
      <w:rPr>
        <w:sz w:val="24"/>
        <w:color w:val="black"/>
      </w:rPr>
    </w:p>
    <w:p>
      <w:pPr>
        <w:jc w:val="both"/>
      </w:pPr>
      <w:r>
        <w:rPr>
          <w:rFonts w:hAnsi="Arial"/>
          <w:rFonts w:ascii="Arial"/>
          <w:sz w:val="24"/>
          <w:color w:val="black"/>
        </w:rPr>
        <w:t xml:space="preserve">a) Ser seleccionado por el respectivo Comando de Fuerza;</w:t>
      </w:r>
    </w:p>
    <w:p>
      <w:pPr>
        <w:jc w:val="both"/>
      </w:pPr>
      <w:rPr>
        <w:sz w:val="24"/>
        <w:color w:val="black"/>
      </w:rPr>
    </w:p>
    <w:p>
      <w:pPr>
        <w:jc w:val="both"/>
      </w:pPr>
      <w:r>
        <w:rPr>
          <w:rFonts w:hAnsi="Arial"/>
          <w:rFonts w:ascii="Arial"/>
          <w:sz w:val="24"/>
          <w:color w:val="black"/>
        </w:rPr>
        <w:t xml:space="preserve">b) Haber sido clasificado durante todo el tiempo de la carrera como Suboficial en lista número 1, 2 o 3 de acuerdo con el Reglamento de Evaluación y Clasificación para el Personal de las Fuerzas Militares y no haber sufrido sanción disciplinaria;</w:t>
      </w:r>
    </w:p>
    <w:p>
      <w:pPr>
        <w:jc w:val="both"/>
      </w:pPr>
      <w:rPr>
        <w:sz w:val="24"/>
        <w:color w:val="black"/>
      </w:rPr>
    </w:p>
    <w:p>
      <w:pPr>
        <w:jc w:val="both"/>
      </w:pPr>
      <w:r>
        <w:rPr>
          <w:rFonts w:hAnsi="Arial"/>
          <w:rFonts w:ascii="Arial"/>
          <w:sz w:val="24"/>
          <w:color w:val="black"/>
        </w:rPr>
        <w:t xml:space="preserve">c) Cumplir los requisitos para ingreso exigidos en el prospecto de la respectiva Escuela de Formación de Oficiales, con excepción de la edad, cuyo límite se amplía hasta los veinticuatro (24) años.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7" w:name="2.3.1.1.3.6"/>
      <w:r>
        <w:rPr>
          <w:rFonts w:hAnsi="Arial"/>
          <w:rFonts w:ascii="Arial"/>
          <w:sz w:val="24"/>
          <w:color w:val="navy"/>
        </w:rPr>
        <w:t xml:space="preserve">ARTÍCULO 2.3.1.1.3.6. </w:t>
      </w:r>
      <w:r>
        <w:rPr>
          <w:rFonts w:hAnsi="Arial"/>
          <w:rFonts w:ascii="Arial"/>
          <w:sz w:val="24"/>
          <w:i/>
          <w:color w:val="navy"/>
        </w:rPr>
        <w:t xml:space="preserve">CONDICIÓN DE LOS SUBOFICIALES ALUMNOS.</w:t>
      </w:r>
      <w:bookmarkEnd w:id="60377"/>
      <w:r>
        <w:rPr>
          <w:rFonts w:hAnsi="Arial"/>
          <w:rFonts w:ascii="Arial"/>
          <w:sz w:val="24"/>
          <w:b/>
          <w:i/>
          <w:color w:val="black"/>
        </w:rPr>
        <w:t xml:space="preserve"> </w:t>
      </w:r>
      <w:r>
        <w:rPr>
          <w:rFonts w:hAnsi="Arial"/>
          <w:rFonts w:ascii="Arial"/>
          <w:sz w:val="24"/>
          <w:color w:val="black"/>
        </w:rPr>
        <w:t xml:space="preserve">Los Suboficiales que se destinen en comisión de estudios a las Escuelas de Formación de Oficiales, mientras permanezcan en ellas, tendrán la categoría de alumnos del respectivo instituto para efectos de uso de uniformes, denominaciones y nombramientos previstos en su reglamento de régimen interno, pero mantendrán la calidad de Suboficiales para efectos de sueldos, primas y prestaciones sociales, así como para la aplicación del Código Penal Militar, del Reglamento de Régimen Disciplinario y demás disposiciones que regulen la carrera del Suboficial.</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8" w:name="2.3.1.1.3.7"/>
      <w:r>
        <w:rPr>
          <w:rFonts w:hAnsi="Arial"/>
          <w:rFonts w:ascii="Arial"/>
          <w:sz w:val="24"/>
          <w:color w:val="navy"/>
        </w:rPr>
        <w:t xml:space="preserve">ARTÍCULO 2.3.1.1.3.7. </w:t>
      </w:r>
      <w:r>
        <w:rPr>
          <w:rFonts w:hAnsi="Arial"/>
          <w:rFonts w:ascii="Arial"/>
          <w:sz w:val="24"/>
          <w:i/>
          <w:color w:val="navy"/>
        </w:rPr>
        <w:t xml:space="preserve">EVALUACIÓN Y CLASIFICACIÓN PARA ASCENSO.</w:t>
      </w:r>
      <w:bookmarkEnd w:id="60378"/>
      <w:r>
        <w:rPr>
          <w:rFonts w:hAnsi="Arial"/>
          <w:rFonts w:ascii="Arial"/>
          <w:sz w:val="24"/>
          <w:b/>
          <w:i/>
          <w:color w:val="black"/>
        </w:rPr>
        <w:t xml:space="preserve"> </w:t>
      </w:r>
      <w:r>
        <w:rPr>
          <w:rFonts w:hAnsi="Arial"/>
          <w:rFonts w:ascii="Arial"/>
          <w:sz w:val="24"/>
          <w:color w:val="black"/>
        </w:rPr>
        <w:t xml:space="preserve">Los Suboficiales a que se refiere el artículo anterior serán evaluados y clasificados como Suboficiales alumnos conforme lo estipula el Reglamento de Evaluación y Clasificación para el Personal de las Fuerzas Militares, y podrán ascender dentro del escalafón de Suboficiales durante su permanencia en las escuelas militares. En el evento que el Suboficial no alcance los logros para ascender a Oficial, retornará al escalafón de Suboficiales, por término de comisión.</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79" w:name="2.3.1.1.3.8"/>
      <w:r>
        <w:rPr>
          <w:rFonts w:hAnsi="Arial"/>
          <w:rFonts w:ascii="Arial"/>
          <w:sz w:val="24"/>
          <w:color w:val="navy"/>
        </w:rPr>
        <w:t xml:space="preserve">ARTÍCULO 2.3.1.1.3.8. </w:t>
      </w:r>
      <w:r>
        <w:rPr>
          <w:rFonts w:hAnsi="Arial"/>
          <w:rFonts w:ascii="Arial"/>
          <w:sz w:val="24"/>
          <w:i/>
          <w:color w:val="navy"/>
        </w:rPr>
        <w:t xml:space="preserve">OBLIGATORIEDAD DE PRESTACIÓN DEL SERVICIO.</w:t>
      </w:r>
      <w:bookmarkEnd w:id="60379"/>
      <w:r>
        <w:rPr>
          <w:rFonts w:hAnsi="Arial"/>
          <w:rFonts w:ascii="Arial"/>
          <w:sz w:val="24"/>
          <w:b/>
          <w:i/>
          <w:color w:val="black"/>
        </w:rPr>
        <w:t xml:space="preserve"> </w:t>
      </w:r>
      <w:r>
        <w:rPr>
          <w:rFonts w:hAnsi="Arial"/>
          <w:rFonts w:ascii="Arial"/>
          <w:sz w:val="24"/>
          <w:color w:val="black"/>
        </w:rPr>
        <w:t xml:space="preserve">El Suboficial que ingrese al escalafón de Oficiales después de haber cursado estudios en comisión de estudios en la correspondiente Escuela de Formación, tendrá la obligación de servir en la nueva jerarquía por un tiempo igual al doble del que hubiere durado la comisión.</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0" w:name="2.3.1.1.3.9"/>
      <w:r>
        <w:rPr>
          <w:rFonts w:hAnsi="Arial"/>
          <w:rFonts w:ascii="Arial"/>
          <w:sz w:val="24"/>
          <w:color w:val="navy"/>
        </w:rPr>
        <w:t xml:space="preserve">ARTÍCULO 2.3.1.1.3.9. </w:t>
      </w:r>
      <w:r>
        <w:rPr>
          <w:rFonts w:hAnsi="Arial"/>
          <w:rFonts w:ascii="Arial"/>
          <w:sz w:val="24"/>
          <w:i/>
          <w:color w:val="navy"/>
        </w:rPr>
        <w:t xml:space="preserve">ASCENSO AL PRIMER GRADO DE LA CARRERA.</w:t>
      </w:r>
      <w:bookmarkEnd w:id="60380"/>
      <w:r>
        <w:rPr>
          <w:rFonts w:hAnsi="Arial"/>
          <w:rFonts w:ascii="Arial"/>
          <w:sz w:val="24"/>
          <w:b/>
          <w:i/>
          <w:color w:val="black"/>
        </w:rPr>
        <w:t xml:space="preserve"> </w:t>
      </w:r>
      <w:r>
        <w:rPr>
          <w:rFonts w:hAnsi="Arial"/>
          <w:rFonts w:ascii="Arial"/>
          <w:sz w:val="24"/>
          <w:color w:val="black"/>
        </w:rPr>
        <w:t xml:space="preserve">En desarrollo de lo dispuesto en el Artículo </w:t>
      </w:r>
      <w:r>
        <w:fldChar w:fldCharType="begin"/>
      </w:r>
      <w:r>
        <w:instrText>HYPERLINK "http://www.redjurista.com/document.aspx?ajcode=d1790000&amp;arts=44"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1790 de 2000, los Comandantes de Fuerza, propondrán al Comando General de las Fuerzas Militares, el ascenso al grado de Subteniente o Teniente de Corbeta de los alumnos que hayan cursado y aprobado los estudios reglamentarios.</w:t>
      </w:r>
    </w:p>
    <w:p>
      <w:pPr>
        <w:jc w:val="both"/>
      </w:pPr>
      <w:rPr>
        <w:sz w:val="24"/>
        <w:color w:val="black"/>
      </w:rPr>
    </w:p>
    <w:p>
      <w:pPr>
        <w:jc w:val="both"/>
      </w:pPr>
      <w:r>
        <w:rPr>
          <w:rFonts w:hAnsi="Arial"/>
          <w:rFonts w:ascii="Arial"/>
          <w:sz w:val="24"/>
          <w:color w:val="black"/>
        </w:rPr>
        <w:t xml:space="preserve">El Comando General preparará el proyecto de decreto respectivo con base en las normas de integración que se fijan en el artículo siguiente, y lo remitirá para su aprobación y trámite al Ministerio de Defensa.</w:t>
      </w:r>
    </w:p>
    <w:p>
      <w:pPr>
        <w:jc w:val="both"/>
      </w:pPr>
      <w:rPr>
        <w:sz w:val="24"/>
        <w:color w:val="black"/>
      </w:rPr>
    </w:p>
    <w:p>
      <w:pPr>
        <w:jc w:val="both"/>
      </w:pPr>
      <w:r>
        <w:rPr>
          <w:rFonts w:hAnsi="Arial"/>
          <w:rFonts w:ascii="Arial"/>
          <w:sz w:val="24"/>
          <w:color w:val="black"/>
        </w:rPr>
        <w:t xml:space="preserve">En el caso de los cursos de formación de Suboficiales, los Directores o Comandantes de las Escuelas o Unidades que los adelanten, elevarán la propuesta de ascenso a Cabo Tercero, Marinero Segundo o Aerotécnico, al respectivo Comando de Fuerza, en donde previa verificación de que las personas propuestas han adelantado y aprobado los cursos reglamentarios, se producirá la disposición administrativa correspondiente.</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1" w:name="2.3.1.1.3.10"/>
      <w:r>
        <w:rPr>
          <w:rFonts w:hAnsi="Arial"/>
          <w:rFonts w:ascii="Arial"/>
          <w:sz w:val="24"/>
          <w:color w:val="navy"/>
        </w:rPr>
        <w:t xml:space="preserve">ARTÍCULO 2.3.1.1.3.10. </w:t>
      </w:r>
      <w:r>
        <w:rPr>
          <w:rFonts w:hAnsi="Arial"/>
          <w:rFonts w:ascii="Arial"/>
          <w:sz w:val="24"/>
          <w:i/>
          <w:color w:val="navy"/>
        </w:rPr>
        <w:t xml:space="preserve">INTEGRACIÓN DEL DECRETO DE ASCENSO A SUBTENIENTES O TENIENTES DE CORBETA.</w:t>
      </w:r>
      <w:bookmarkEnd w:id="60381"/>
      <w:r>
        <w:rPr>
          <w:rFonts w:hAnsi="Arial"/>
          <w:rFonts w:ascii="Arial"/>
          <w:sz w:val="24"/>
          <w:b/>
          <w:i/>
          <w:color w:val="black"/>
        </w:rPr>
        <w:t xml:space="preserve"> </w:t>
      </w:r>
      <w:r>
        <w:rPr>
          <w:rFonts w:hAnsi="Arial"/>
          <w:rFonts w:ascii="Arial"/>
          <w:sz w:val="24"/>
          <w:color w:val="black"/>
        </w:rPr>
        <w:t xml:space="preserve">Para el ascenso al grado de Subteniente o Teniente de Corbeta de los alumnos de las Escuelas de Formación de Oficiales, propuestos al efecto por los respectivos Directores o Comandantes, se expedirá un solo Decreto que estará encabezado por el Alférez de la Escuela Militar, el Guardiamarina de la Escuela Naval y el Alférez de la Escuela de Aviación, que haya obtenido el primer puesto en su promoción.</w:t>
      </w:r>
    </w:p>
    <w:p>
      <w:pPr>
        <w:jc w:val="both"/>
      </w:pPr>
      <w:rPr>
        <w:sz w:val="24"/>
        <w:color w:val="black"/>
      </w:rPr>
    </w:p>
    <w:p>
      <w:pPr>
        <w:jc w:val="both"/>
      </w:pPr>
      <w:r>
        <w:rPr>
          <w:rFonts w:hAnsi="Arial"/>
          <w:rFonts w:ascii="Arial"/>
          <w:sz w:val="24"/>
          <w:color w:val="black"/>
        </w:rPr>
        <w:t xml:space="preserve">Estas tres primeras posiciones del Decreto se rotarán entre las fuerzas, siguiendo el orden de antigüedad de las mismas, de manera que en cada promoción el primer lugar corresponda a una Fuerza diferente.</w:t>
      </w:r>
    </w:p>
    <w:p>
      <w:pPr>
        <w:jc w:val="both"/>
      </w:pPr>
      <w:rPr>
        <w:sz w:val="24"/>
        <w:color w:val="black"/>
      </w:rPr>
    </w:p>
    <w:p>
      <w:pPr>
        <w:jc w:val="both"/>
      </w:pPr>
      <w:r>
        <w:rPr>
          <w:rFonts w:hAnsi="Arial"/>
          <w:rFonts w:ascii="Arial"/>
          <w:sz w:val="24"/>
          <w:color w:val="black"/>
        </w:rPr>
        <w:t xml:space="preserve">Del cuarto puesto en adelante, el orden de colocación de los Oficiales se determinará mediante el siguiente procedimiento: se divide el factor cien (100) por el número de graduados de cada escuela, para obtener tres (3) cocientes de tres (3) decimales, sin aproximaciones. Estos tres (3) cocientes se toman como "base" y "razón" de sendas progresiones aritméticas, cuyos resultados parciales se van asignando en riguroso orden a los candidatos de la respectiva escuela, a partir del segundo.</w:t>
      </w:r>
    </w:p>
    <w:p>
      <w:pPr>
        <w:jc w:val="both"/>
      </w:pPr>
      <w:rPr>
        <w:sz w:val="24"/>
        <w:color w:val="black"/>
      </w:rPr>
    </w:p>
    <w:p>
      <w:pPr>
        <w:jc w:val="both"/>
      </w:pPr>
      <w:r>
        <w:rPr>
          <w:rFonts w:hAnsi="Arial"/>
          <w:rFonts w:ascii="Arial"/>
          <w:sz w:val="24"/>
          <w:color w:val="black"/>
        </w:rPr>
        <w:t xml:space="preserve">Concluida la anterior operación, se procede a la integración de los tres (3) listados intercalándolos entre sí, en el orden ascendente determinado por los correspondientes valores numéricos. En caso de identidad entre estos valores, la intercalación de los respectivos nombres se hará con base en la antigüedad de las Fuerzas (Ejército, Armada y Fuerza Aérea).</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2" w:name="2.3.1.1.3.11"/>
      <w:r>
        <w:rPr>
          <w:rFonts w:hAnsi="Arial"/>
          <w:rFonts w:ascii="Arial"/>
          <w:sz w:val="24"/>
          <w:color w:val="navy"/>
        </w:rPr>
        <w:t xml:space="preserve">ARTÍCULO 2.3.1.1.3.11. </w:t>
      </w:r>
      <w:r>
        <w:rPr>
          <w:rFonts w:hAnsi="Arial"/>
          <w:rFonts w:ascii="Arial"/>
          <w:sz w:val="24"/>
          <w:i/>
          <w:color w:val="navy"/>
        </w:rPr>
        <w:t xml:space="preserve">ANTIGüEDAD DE LOS ASCENDIDOS.</w:t>
      </w:r>
      <w:bookmarkEnd w:id="60382"/>
      <w:r>
        <w:rPr>
          <w:rFonts w:hAnsi="Arial"/>
          <w:rFonts w:ascii="Arial"/>
          <w:sz w:val="24"/>
          <w:b/>
          <w:i/>
          <w:color w:val="black"/>
        </w:rPr>
        <w:t xml:space="preserve"> </w:t>
      </w:r>
      <w:r>
        <w:rPr>
          <w:rFonts w:hAnsi="Arial"/>
          <w:rFonts w:ascii="Arial"/>
          <w:sz w:val="24"/>
          <w:color w:val="black"/>
        </w:rPr>
        <w:t xml:space="preserve">La antigüedad en el grado de los Oficiales ascendidos conforme a las normas de los artículos anteriores, será la determinada por el orden en que resulten colocados en el respectivo Decreto.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3" w:name="2.3.1.1.3.12"/>
      <w:r>
        <w:rPr>
          <w:rFonts w:hAnsi="Arial"/>
          <w:rFonts w:ascii="Arial"/>
          <w:sz w:val="24"/>
          <w:color w:val="navy"/>
        </w:rPr>
        <w:t xml:space="preserve">ARTÍCULO 2.3.1.1.3.12. </w:t>
      </w:r>
      <w:r>
        <w:rPr>
          <w:rFonts w:hAnsi="Arial"/>
          <w:rFonts w:ascii="Arial"/>
          <w:sz w:val="24"/>
          <w:i/>
          <w:color w:val="navy"/>
        </w:rPr>
        <w:t xml:space="preserve">PRELACIÓN EN ASCENSOS POR LISTAS DE CLASIFICACIÓN.</w:t>
      </w:r>
      <w:bookmarkEnd w:id="60383"/>
      <w:r>
        <w:rPr>
          <w:rFonts w:hAnsi="Arial"/>
          <w:rFonts w:ascii="Arial"/>
          <w:sz w:val="24"/>
          <w:b/>
          <w:i/>
          <w:color w:val="black"/>
        </w:rPr>
        <w:t xml:space="preserve"> </w:t>
      </w:r>
      <w:r>
        <w:rPr>
          <w:rFonts w:hAnsi="Arial"/>
          <w:rFonts w:ascii="Arial"/>
          <w:sz w:val="24"/>
          <w:color w:val="black"/>
        </w:rPr>
        <w:t xml:space="preserve">Para los efectos del Artículo </w:t>
      </w:r>
      <w:r>
        <w:fldChar w:fldCharType="begin"/>
      </w:r>
      <w:r>
        <w:instrText>HYPERLINK "http://www.redjurista.com/document.aspx?ajcode=d1790000&amp;arts=49"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1790 de 2000 y en concordancia con el Artículo </w:t>
      </w:r>
      <w:r>
        <w:fldChar w:fldCharType="begin"/>
      </w:r>
      <w:r>
        <w:instrText>HYPERLINK "http://www.redjurista.com/document.aspx?ajcode=d1790000&amp;arts=65"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del Decreto 1799 de 2000, determínase el orden de prelación en los ascensos así:</w:t>
      </w:r>
    </w:p>
    <w:p>
      <w:pPr>
        <w:jc w:val="both"/>
      </w:pPr>
      <w:rPr>
        <w:sz w:val="24"/>
        <w:color w:val="black"/>
      </w:rPr>
    </w:p>
    <w:p>
      <w:pPr>
        <w:jc w:val="both"/>
      </w:pPr>
      <w:r>
        <w:rPr>
          <w:rFonts w:hAnsi="Arial"/>
          <w:rFonts w:ascii="Arial"/>
          <w:sz w:val="24"/>
          <w:color w:val="black"/>
        </w:rPr>
        <w:t xml:space="preserve">a) Siempre que existan las correspondientes vacantes, según el escalafón de cargos y las necesidades institucionales lo permitan, quienes sean clasificados para ascenso en lista número 1, 2 y 3 serán ascendidos dentro del mes de junio o diciembre (Oficiales) y marzo o septiembre (Suboficiales) en que cumplan antigüedad para tal fin. En todo caso, el ascenso de los clasificados en lista número 1 debe producirse antes que el de los clasificados en lista número 2 y el de estos, antes que el de los clasificados en lista número 3, siguiendo al efecto uno cualquiera de los siguientes procedimientos:</w:t>
      </w:r>
    </w:p>
    <w:p>
      <w:pPr>
        <w:jc w:val="both"/>
      </w:pPr>
      <w:rPr>
        <w:sz w:val="24"/>
        <w:color w:val="black"/>
      </w:rPr>
    </w:p>
    <w:p>
      <w:pPr>
        <w:jc w:val="both"/>
      </w:pPr>
      <w:r>
        <w:rPr>
          <w:rFonts w:hAnsi="Arial"/>
          <w:rFonts w:ascii="Arial"/>
          <w:sz w:val="24"/>
          <w:color w:val="black"/>
        </w:rPr>
        <w:t xml:space="preserve">1. Ascendiendo a los clasificados en lista número 2 con una fecha posterior a la de los clasificados en lista número 1 y a los clasificados en lista número 3 con una fecha posterior a los clasificados en lista número 2. En ambos casos, la diferencia de fechas puede ir desde uno (1) hasta quince (15) días a juicio de la Junta Asesora del Ministerio de Defensa si se trata de Oficiales o de los Comandos de Fuerza si se trata de Suboficiales.</w:t>
      </w:r>
    </w:p>
    <w:p>
      <w:pPr>
        <w:jc w:val="both"/>
      </w:pPr>
      <w:rPr>
        <w:sz w:val="24"/>
        <w:color w:val="black"/>
      </w:rPr>
    </w:p>
    <w:p>
      <w:pPr>
        <w:jc w:val="both"/>
      </w:pPr>
      <w:r>
        <w:rPr>
          <w:rFonts w:hAnsi="Arial"/>
          <w:rFonts w:ascii="Arial"/>
          <w:sz w:val="24"/>
          <w:color w:val="black"/>
        </w:rPr>
        <w:t xml:space="preserve">2. Cuando las circunstancias de tiempo no permitan la aplicación del procedimiento anterior, la prelación para ascenso de que trata este artículo se obtendrá mediante la expedición de tres (3) disposiciones diferentes, aunque todas produzcan la novedad de ascenso con la misma fecha, la primera de las cuales incluirá a los clasificados en lista número 1 la segunda a los clasificados en lista número 2 y la tercera a los clasificados en lista número 3 respetando dentro de cada grupo la antigüedad del grado anterior.</w:t>
      </w:r>
    </w:p>
    <w:p>
      <w:pPr>
        <w:jc w:val="both"/>
      </w:pPr>
      <w:rPr>
        <w:sz w:val="24"/>
        <w:color w:val="black"/>
      </w:rPr>
    </w:p>
    <w:p>
      <w:pPr>
        <w:jc w:val="both"/>
      </w:pPr>
      <w:r>
        <w:rPr>
          <w:rFonts w:hAnsi="Arial"/>
          <w:rFonts w:ascii="Arial"/>
          <w:sz w:val="24"/>
          <w:color w:val="black"/>
        </w:rPr>
        <w:t xml:space="preserve">a) Quedará inhabilitado para ascenso el personal que se encuentre en las condiciones establecidas en el artículo </w:t>
      </w:r>
      <w:r>
        <w:fldChar w:fldCharType="begin"/>
      </w:r>
      <w:r>
        <w:instrText>HYPERLINK "http://www.redjurista.com/document.aspx?ajcode=d1799000&amp;arts=66"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del Decreto-ley 1799 de 2000.</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4" w:name="2.3.1.1.3.13"/>
      <w:r>
        <w:rPr>
          <w:rFonts w:hAnsi="Arial"/>
          <w:rFonts w:ascii="Arial"/>
          <w:sz w:val="24"/>
          <w:color w:val="navy"/>
        </w:rPr>
        <w:t xml:space="preserve">ARTÍCULO 2.3.1.1.3.13. </w:t>
      </w:r>
      <w:r>
        <w:rPr>
          <w:rFonts w:hAnsi="Arial"/>
          <w:rFonts w:ascii="Arial"/>
          <w:sz w:val="24"/>
          <w:i/>
          <w:color w:val="navy"/>
        </w:rPr>
        <w:t xml:space="preserve">TIEMPO MÍNIMO DE SERVICIO EN UNIDADES PARA SUBOFICIALES.</w:t>
      </w:r>
      <w:bookmarkEnd w:id="60384"/>
      <w:r>
        <w:rPr>
          <w:rFonts w:hAnsi="Arial"/>
          <w:rFonts w:ascii="Arial"/>
          <w:sz w:val="24"/>
          <w:b/>
          <w:i/>
          <w:color w:val="black"/>
        </w:rPr>
        <w:t xml:space="preserve"> </w:t>
      </w:r>
      <w:r>
        <w:rPr>
          <w:rFonts w:hAnsi="Arial"/>
          <w:rFonts w:ascii="Arial"/>
          <w:sz w:val="24"/>
          <w:color w:val="black"/>
        </w:rPr>
        <w:t xml:space="preserve">Para ascender al grado inmediatamente superior, los Suboficiales de las Fuerzas Militares deberán acreditar un tiempo mínimo, de un (1) año de servicio en cada grado, en cargos que correspondan a su especialidad, en unidades terrestres, navales y aéreas, desde el grado de Cabo Tercero, Marinero Segundo o Aerotécnico, hasta el grado de Sargento Segundo, Suboficial Segundo o Suboficial Técnico Segundo.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5" w:name="2.3.1.1.3.14"/>
      <w:r>
        <w:rPr>
          <w:rFonts w:hAnsi="Arial"/>
          <w:rFonts w:ascii="Arial"/>
          <w:sz w:val="24"/>
          <w:color w:val="navy"/>
        </w:rPr>
        <w:t xml:space="preserve">ARTÍCULO 2.3.1.1.3.14. </w:t>
      </w:r>
      <w:r>
        <w:rPr>
          <w:rFonts w:hAnsi="Arial"/>
          <w:rFonts w:ascii="Arial"/>
          <w:sz w:val="24"/>
          <w:i/>
          <w:color w:val="navy"/>
        </w:rPr>
        <w:t xml:space="preserve">REQUISITOS PARA EJERCER COMANDOS Y TIEMPOS MÍNIMOS.</w:t>
      </w:r>
      <w:bookmarkEnd w:id="60385"/>
      <w:r>
        <w:rPr>
          <w:rFonts w:hAnsi="Arial"/>
          <w:rFonts w:ascii="Arial"/>
          <w:sz w:val="24"/>
          <w:b/>
          <w:i/>
          <w:color w:val="black"/>
        </w:rPr>
        <w:t xml:space="preserve"> </w:t>
      </w:r>
      <w:r>
        <w:rPr>
          <w:rFonts w:hAnsi="Arial"/>
          <w:rFonts w:ascii="Arial"/>
          <w:sz w:val="24"/>
          <w:color w:val="black"/>
        </w:rPr>
        <w:t xml:space="preserve">Los tiempos mínimos de mando de que tratan los artículos: </w:t>
      </w:r>
      <w:r>
        <w:fldChar w:fldCharType="begin"/>
      </w:r>
      <w:r>
        <w:instrText>HYPERLINK "http://www.redjurista.com/document.aspx?ajcode=d1790000&amp;arts=56"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w:t>
      </w:r>
      <w:r>
        <w:fldChar w:fldCharType="begin"/>
      </w:r>
      <w:r>
        <w:instrText>HYPERLINK "http://www.redjurista.com/document.aspx?ajcode=d1790000&amp;arts=57"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w:t>
      </w:r>
      <w:r>
        <w:fldChar w:fldCharType="begin"/>
      </w:r>
      <w:r>
        <w:instrText>HYPERLINK "http://www.redjurista.com/document.aspx?ajcode=d1790000&amp;arts=58"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w:t>
      </w:r>
      <w:r>
        <w:fldChar w:fldCharType="begin"/>
      </w:r>
      <w:r>
        <w:instrText>HYPERLINK "http://www.redjurista.com/document.aspx?ajcode=d1790000&amp;arts=59"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w:t>
      </w:r>
      <w:r>
        <w:fldChar w:fldCharType="begin"/>
      </w:r>
      <w:r>
        <w:instrText>HYPERLINK "http://www.redjurista.com/document.aspx?ajcode=d1790000&amp;arts=60"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w:t>
      </w:r>
      <w:r>
        <w:fldChar w:fldCharType="begin"/>
      </w:r>
      <w:r>
        <w:instrText>HYPERLINK "http://www.redjurista.com/document.aspx?ajcode=d1790000&amp;arts=61"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"http://www.redjurista.com/document.aspx?ajcode=d1790000&amp;arts=62"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del Decreto 1790 de 2000, comenzarán a contarse a partir de la fecha en que el Oficial haga su presentación en la respectiva unidad, repartición o dependencia. Los tiempos de embarco de que trata el artículo </w:t>
      </w:r>
      <w:r>
        <w:fldChar w:fldCharType="begin"/>
      </w:r>
      <w:r>
        <w:instrText>HYPERLINK "http://www.redjurista.com/document.aspx?ajcode=d1790000&amp;arts=59"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del decreto antes citado, sólo se cumplirán cuando el oficial preste sus servicios a bordo de buques incorporados a una Fuerza Naval o, cuando participe como inspector y/o tripulación en las pruebas de puerto y mar, de unidades a ser incorporadas a la Fuerza Naval Operativa de la Armada Nacional.</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6" w:name="2.3.1.1.3.15"/>
      <w:r>
        <w:rPr>
          <w:rFonts w:hAnsi="Arial"/>
          <w:rFonts w:ascii="Arial"/>
          <w:sz w:val="24"/>
          <w:color w:val="navy"/>
        </w:rPr>
        <w:t xml:space="preserve">ARTÍCULO 2.3.1.1.3.15. </w:t>
      </w:r>
      <w:r>
        <w:rPr>
          <w:rFonts w:hAnsi="Arial"/>
          <w:rFonts w:ascii="Arial"/>
          <w:sz w:val="24"/>
          <w:i/>
          <w:color w:val="navy"/>
        </w:rPr>
        <w:t xml:space="preserve">OTRAS FORMAS DE CUMPLIR CON EL TIEMPO MÍNIMO DE MANDO.</w:t>
      </w:r>
      <w:bookmarkEnd w:id="60386"/>
      <w:r>
        <w:rPr>
          <w:rFonts w:hAnsi="Arial"/>
          <w:rFonts w:ascii="Arial"/>
          <w:sz w:val="24"/>
          <w:b/>
          <w:i/>
          <w:color w:val="black"/>
        </w:rPr>
        <w:t xml:space="preserve"> </w:t>
      </w:r>
      <w:r>
        <w:rPr>
          <w:rFonts w:hAnsi="Arial"/>
          <w:rFonts w:ascii="Arial"/>
          <w:sz w:val="24"/>
          <w:color w:val="black"/>
        </w:rPr>
        <w:t xml:space="preserve">El personal que se encuentre en la situación prevista en el parágrafo 2o del artículo </w:t>
      </w:r>
      <w:r>
        <w:fldChar w:fldCharType="begin"/>
      </w:r>
      <w:r>
        <w:instrText>HYPERLINK "http://www.redjurista.com/document.aspx?ajcode=d1790000&amp;arts=62"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del Decreto 1790 de 2000, que pierda el semestre o año lectivo respectivo, en la universidad donde adelanta estudios, perderá también, el derecho a que se le abone el tiempo como mando de tropa, sin perjuicio de la acción disciplinaria correspondiente.</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87" w:name="2.3.1.1.3.16"/>
      <w:r>
        <w:rPr>
          <w:rFonts w:hAnsi="Arial"/>
          <w:rFonts w:ascii="Arial"/>
          <w:sz w:val="24"/>
          <w:color w:val="navy"/>
        </w:rPr>
        <w:t xml:space="preserve">ARTÍCULO 2.3.1.1.3.16. </w:t>
      </w:r>
      <w:r>
        <w:rPr>
          <w:rFonts w:hAnsi="Arial"/>
          <w:rFonts w:ascii="Arial"/>
          <w:sz w:val="24"/>
          <w:i/>
          <w:color w:val="navy"/>
        </w:rPr>
        <w:t xml:space="preserve">CURSO DE ALTOS ESTUDIOS MILITARES.</w:t>
      </w:r>
      <w:bookmarkEnd w:id="60387"/>
      <w:r>
        <w:rPr>
          <w:rFonts w:hAnsi="Arial"/>
          <w:rFonts w:ascii="Arial"/>
          <w:sz w:val="24"/>
          <w:b/>
          <w:i/>
          <w:color w:val="black"/>
        </w:rPr>
        <w:t xml:space="preserve"> </w:t>
      </w:r>
      <w:r>
        <w:rPr>
          <w:rFonts w:hAnsi="Arial"/>
          <w:rFonts w:ascii="Arial"/>
          <w:sz w:val="24"/>
          <w:color w:val="black"/>
        </w:rPr>
        <w:t xml:space="preserve">El Curso de Altos Estudios Militares de que trata el artículo </w:t>
      </w:r>
      <w:r>
        <w:fldChar w:fldCharType="begin"/>
      </w:r>
      <w:r>
        <w:instrText>HYPERLINK "http://www.redjurista.com/document.aspx?ajcode=l1405010&amp;arts=5"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1405 de 2010 será realizado en la Escuela Superior de Guerra de Colombia. El programa académico del Curso será preparado por dicha Escuela y aprobado por el Comando General de las Fuerzas Militares.</w:t>
      </w:r>
    </w:p>
    <w:p>
      <w:pPr>
        <w:jc w:val="both"/>
      </w:pPr>
      <w:rPr>
        <w:sz w:val="24"/>
        <w:color w:val="black"/>
      </w:rPr>
    </w:p>
    <w:p>
      <w:pPr>
        <w:jc w:val="both"/>
      </w:pPr>
      <w:r>
        <w:rPr>
          <w:rFonts w:hAnsi="Arial"/>
          <w:rFonts w:ascii="Arial"/>
          <w:sz w:val="24"/>
          <w:color w:val="black"/>
        </w:rPr>
        <w:t xml:space="preserve">Para efectos de ingreso al Curso, el Coronel o Capitán de Navío, deberá llenar además de los requisitos del artículo </w:t>
      </w:r>
      <w:r>
        <w:fldChar w:fldCharType="begin"/>
      </w:r>
      <w:r>
        <w:instrText>HYPERLINK "http://www.redjurista.com/document.aspx?ajcode=l1405010&amp;arts=5"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1405 de 2010, los siguientes:</w:t>
      </w:r>
    </w:p>
    <w:p>
      <w:pPr>
        <w:jc w:val="both"/>
      </w:pPr>
      <w:rPr>
        <w:sz w:val="24"/>
        <w:color w:val="black"/>
      </w:rPr>
    </w:p>
    <w:p>
      <w:pPr>
        <w:jc w:val="both"/>
      </w:pPr>
      <w:r>
        <w:rPr>
          <w:rFonts w:hAnsi="Arial"/>
          <w:rFonts w:ascii="Arial"/>
          <w:sz w:val="24"/>
          <w:color w:val="black"/>
        </w:rPr>
        <w:t xml:space="preserve">a) Haber sido clasificado en lista 1, 2 o 3 para ascenso al grado de Coronel o Capitán de Navío y haberse mantenido en esta lista de clasificación durante los años de permanencia en dicho grado;</w:t>
      </w:r>
    </w:p>
    <w:p>
      <w:pPr>
        <w:jc w:val="both"/>
      </w:pPr>
      <w:rPr>
        <w:sz w:val="24"/>
        <w:color w:val="black"/>
      </w:rPr>
    </w:p>
    <w:p>
      <w:pPr>
        <w:jc w:val="both"/>
      </w:pPr>
      <w:r>
        <w:rPr>
          <w:rFonts w:hAnsi="Arial"/>
          <w:rFonts w:ascii="Arial"/>
          <w:sz w:val="24"/>
          <w:color w:val="black"/>
        </w:rPr>
        <w:t xml:space="preserve">b) Ser propuesto por el respectivo Comandante de Fuerza, previo estudio de las condiciones profesionales, morales e intelectuales del candidato;</w:t>
      </w:r>
    </w:p>
    <w:p>
      <w:pPr>
        <w:jc w:val="both"/>
      </w:pPr>
      <w:rPr>
        <w:sz w:val="24"/>
        <w:color w:val="black"/>
      </w:rPr>
    </w:p>
    <w:p>
      <w:pPr>
        <w:jc w:val="both"/>
      </w:pPr>
      <w:r>
        <w:rPr>
          <w:rFonts w:hAnsi="Arial"/>
          <w:rFonts w:ascii="Arial"/>
          <w:sz w:val="24"/>
          <w:color w:val="black"/>
        </w:rPr>
        <w:t xml:space="preserve">c) Contar con el concepto favorable de la Junta Asesora del Ministerio de Defensa Nacional;</w:t>
      </w:r>
    </w:p>
    <w:p>
      <w:pPr>
        <w:jc w:val="both"/>
      </w:pPr>
      <w:rPr>
        <w:sz w:val="24"/>
        <w:color w:val="black"/>
      </w:rPr>
    </w:p>
    <w:p>
      <w:pPr>
        <w:jc w:val="both"/>
      </w:pPr>
      <w:r>
        <w:rPr>
          <w:rFonts w:hAnsi="Arial"/>
          <w:rFonts w:ascii="Arial"/>
          <w:sz w:val="24"/>
          <w:color w:val="black"/>
        </w:rPr>
        <w:t xml:space="preserve">d) La selección de candidatos al curso se efectuará de acuerdo con el "Reglamento de selección de candidatos para el Curso de Altos Estudios Militares", promulgado por el Comando General de las Fuerzas Militares.</w:t>
      </w:r>
    </w:p>
    <w:p>
      <w:pPr>
        <w:jc w:val="both"/>
      </w:pPr>
      <w:rPr>
        <w:sz w:val="24"/>
        <w:color w:val="black"/>
      </w:rPr>
    </w:p>
    <w:p>
      <w:r>
        <w:rPr>
          <w:rFonts w:hAnsi="Arial"/>
          <w:rFonts w:ascii="Arial"/>
          <w:sz w:val="24"/>
          <w:i/>
          <w:color w:val="black"/>
        </w:rPr>
        <w:t xml:space="preserve">(Decreto 3826 de 2010 artículo </w:t>
      </w:r>
      <w:r>
        <w:fldChar w:fldCharType="begin"/>
      </w:r>
      <w:r>
        <w:instrText>HYPERLINK "http://www.redjurista.com/document.aspx?ajcode=d3826010&amp;arts=1"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388" w:name="2.3.1.1.3.17"/>
      <w:r>
        <w:rPr>
          <w:rFonts w:hAnsi="Arial"/>
          <w:rFonts w:ascii="Arial"/>
          <w:sz w:val="24"/>
          <w:color w:val="navy"/>
        </w:rPr>
        <w:t xml:space="preserve">ARTÍCULO 2.3.1.1.3.17. </w:t>
      </w:r>
      <w:r>
        <w:rPr>
          <w:rFonts w:hAnsi="Arial"/>
          <w:rFonts w:ascii="Arial"/>
          <w:sz w:val="24"/>
          <w:i/>
          <w:color w:val="navy"/>
        </w:rPr>
        <w:t xml:space="preserve">CURSO INTEGRAL DE DEFENSA NACIONAL.</w:t>
      </w:r>
      <w:bookmarkEnd w:id="60388"/>
      <w:r>
        <w:rPr>
          <w:rFonts w:hAnsi="Arial"/>
          <w:rFonts w:ascii="Arial"/>
          <w:sz w:val="24"/>
          <w:b/>
          <w:i/>
          <w:color w:val="black"/>
        </w:rPr>
        <w:t xml:space="preserve"> </w:t>
      </w:r>
      <w:r>
        <w:rPr>
          <w:rFonts w:hAnsi="Arial"/>
          <w:rFonts w:ascii="Arial"/>
          <w:sz w:val="24"/>
          <w:color w:val="black"/>
        </w:rPr>
        <w:t xml:space="preserve">El Curso Integral de Defensa Nacional de que trata el parágrafo del artículo </w:t>
      </w:r>
      <w:r>
        <w:fldChar w:fldCharType="begin"/>
      </w:r>
      <w:r>
        <w:instrText>HYPERLINK "http://www.redjurista.com/document.aspx?ajcode=l1405010&amp;arts=5"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1405 de 2010, será realizado en la Escuela Superior de Guerra de Colombia. El programa académico del Curso será preparado por dicha Escuela y aprobado por el Comando General de las Fuerzas Militares.</w:t>
      </w:r>
    </w:p>
    <w:p>
      <w:pPr>
        <w:jc w:val="both"/>
      </w:pPr>
      <w:rPr>
        <w:sz w:val="24"/>
        <w:color w:val="black"/>
      </w:rPr>
    </w:p>
    <w:p>
      <w:pPr>
        <w:jc w:val="both"/>
      </w:pPr>
      <w:r>
        <w:rPr>
          <w:rFonts w:hAnsi="Arial"/>
          <w:rFonts w:ascii="Arial"/>
          <w:sz w:val="24"/>
          <w:color w:val="black"/>
        </w:rPr>
        <w:t xml:space="preserve">Para efectos de ingreso al Curso, el Coronel o Capitán de Navío del Cuerpo Administrativo o de Justicia Penal Militar, deberá llenar además de los requisitos del parágrafo del artículo </w:t>
      </w:r>
      <w:r>
        <w:fldChar w:fldCharType="begin"/>
      </w:r>
      <w:r>
        <w:instrText>HYPERLINK "http://www.redjurista.com/document.aspx?ajcode=l1405010&amp;arts=5"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1405 de 2010, los siguientes:</w:t>
      </w:r>
    </w:p>
    <w:p>
      <w:pPr>
        <w:jc w:val="both"/>
      </w:pPr>
      <w:rPr>
        <w:sz w:val="24"/>
        <w:color w:val="black"/>
      </w:rPr>
    </w:p>
    <w:p>
      <w:pPr>
        <w:jc w:val="both"/>
      </w:pPr>
      <w:r>
        <w:rPr>
          <w:rFonts w:hAnsi="Arial"/>
          <w:rFonts w:ascii="Arial"/>
          <w:sz w:val="24"/>
          <w:color w:val="black"/>
        </w:rPr>
        <w:t xml:space="preserve">a) Haber sido clasificado en lista 1, 2 o 3 para ascenso al grado de Coronel o Capitán de Navío y haberse mantenido en esta lista de clasificación durante los años de permanencia en dicho grado;</w:t>
      </w:r>
    </w:p>
    <w:p>
      <w:pPr>
        <w:jc w:val="both"/>
      </w:pPr>
      <w:rPr>
        <w:sz w:val="24"/>
        <w:color w:val="black"/>
      </w:rPr>
    </w:p>
    <w:p>
      <w:pPr>
        <w:jc w:val="both"/>
      </w:pPr>
      <w:r>
        <w:rPr>
          <w:rFonts w:hAnsi="Arial"/>
          <w:rFonts w:ascii="Arial"/>
          <w:sz w:val="24"/>
          <w:color w:val="black"/>
        </w:rPr>
        <w:t xml:space="preserve">b) Ser propuesto por el respectivo Comandante de Fuerza, previo estudio de las condiciones profesionales, morales e intelectuales del candidato;</w:t>
      </w:r>
    </w:p>
    <w:p>
      <w:pPr>
        <w:jc w:val="both"/>
      </w:pPr>
      <w:rPr>
        <w:sz w:val="24"/>
        <w:color w:val="black"/>
      </w:rPr>
    </w:p>
    <w:p>
      <w:pPr>
        <w:jc w:val="both"/>
      </w:pPr>
      <w:r>
        <w:rPr>
          <w:rFonts w:hAnsi="Arial"/>
          <w:rFonts w:ascii="Arial"/>
          <w:sz w:val="24"/>
          <w:color w:val="black"/>
        </w:rPr>
        <w:t xml:space="preserve">c) Contar con el concepto favorable de la Junta Asesora del Ministerio de Defensa Nacional;</w:t>
      </w:r>
    </w:p>
    <w:p>
      <w:pPr>
        <w:jc w:val="both"/>
      </w:pPr>
      <w:rPr>
        <w:sz w:val="24"/>
        <w:color w:val="black"/>
      </w:rPr>
    </w:p>
    <w:p>
      <w:pPr>
        <w:jc w:val="both"/>
      </w:pPr>
      <w:r>
        <w:rPr>
          <w:rFonts w:hAnsi="Arial"/>
          <w:rFonts w:ascii="Arial"/>
          <w:sz w:val="24"/>
          <w:color w:val="black"/>
        </w:rPr>
        <w:t xml:space="preserve">d) La selección de candidatos al Curso Integral de Defensa Nacional se efectuará de acuerdo con el procedimiento que para el efecto expida cada Comando de Fuerza.</w:t>
      </w:r>
    </w:p>
    <w:p>
      <w:pPr>
        <w:jc w:val="both"/>
      </w:pPr>
      <w:rPr>
        <w:sz w:val="24"/>
        <w:color w:val="black"/>
      </w:rPr>
    </w:p>
    <w:p>
      <w:r>
        <w:rPr>
          <w:rFonts w:hAnsi="Arial"/>
          <w:rFonts w:ascii="Arial"/>
          <w:sz w:val="24"/>
          <w:i/>
          <w:color w:val="black"/>
        </w:rPr>
        <w:t xml:space="preserve">(Decreto 3826 de 2010 artículo </w:t>
      </w:r>
      <w:r>
        <w:fldChar w:fldCharType="begin"/>
      </w:r>
      <w:r>
        <w:instrText>HYPERLINK "http://www.redjurista.com/document.aspx?ajcode=d3826010&amp;arts=2"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sz w:val="24"/>
        <w:color w:val="black"/>
      </w:rPr>
    </w:p>
    <w:p>
      <w:pPr>
        <w:jc w:val="both"/>
      </w:pPr>
      <w:r>
        <w:rPr>
          <w:rFonts w:hAnsi="Arial"/>
          <w:rFonts w:ascii="Arial"/>
          <w:sz w:val="24"/>
          <w:vanish/>
          <w:color w:val="black"/>
        </w:rPr>
        <w:t>&amp;$</w:t>
      </w:r>
      <w:bookmarkStart w:id="60389" w:name="2.3.1.1.3.18"/>
      <w:r>
        <w:rPr>
          <w:rFonts w:hAnsi="Arial"/>
          <w:rFonts w:ascii="Arial"/>
          <w:sz w:val="24"/>
          <w:color w:val="navy"/>
        </w:rPr>
        <w:t xml:space="preserve">ARTÍCULO 2.3.1.1.3.18. </w:t>
      </w:r>
      <w:r>
        <w:rPr>
          <w:rFonts w:hAnsi="Arial"/>
          <w:rFonts w:ascii="Arial"/>
          <w:sz w:val="24"/>
          <w:i/>
          <w:color w:val="navy"/>
        </w:rPr>
        <w:t xml:space="preserve">CURSOS DE CAPACITACIÓN.</w:t>
      </w:r>
      <w:bookmarkEnd w:id="60389"/>
      <w:r>
        <w:rPr>
          <w:rFonts w:hAnsi="Arial"/>
          <w:rFonts w:ascii="Arial"/>
          <w:sz w:val="24"/>
          <w:b/>
          <w:i/>
          <w:color w:val="black"/>
        </w:rPr>
        <w:t xml:space="preserve"> </w:t>
      </w:r>
      <w:r>
        <w:rPr>
          <w:rFonts w:hAnsi="Arial"/>
          <w:rFonts w:ascii="Arial"/>
          <w:sz w:val="24"/>
          <w:color w:val="black"/>
        </w:rPr>
        <w:t xml:space="preserve">La programación académica de los cursos de capacitación de que trata el Artículo </w:t>
      </w:r>
      <w:r>
        <w:fldChar w:fldCharType="begin"/>
      </w:r>
      <w:r>
        <w:instrText>HYPERLINK "http://www.redjurista.com/document.aspx?ajcode=d1790000&amp;arts=70"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Decreto 1790 de 2000, deberá ser propuesta por cada uno de los Comandos de Fuerza para aprobación del Comando General de las Fuerzas Militares.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Oficiales del Cuerpo Administrativo, para ascenso a los grados de Capitán o Teniente de Navío y de Mayor o Capitán de Corbeta, deberán realizar un curso de capacitación con una duración máxima de ocho (8) semanas.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0" w:name="2.3.1.1.3.19"/>
      <w:r>
        <w:rPr>
          <w:rFonts w:hAnsi="Arial"/>
          <w:rFonts w:ascii="Arial"/>
          <w:sz w:val="24"/>
          <w:color w:val="navy"/>
        </w:rPr>
        <w:t xml:space="preserve">ARTÍCULO 2.3.1.1.3.19. </w:t>
      </w:r>
      <w:r>
        <w:rPr>
          <w:rFonts w:hAnsi="Arial"/>
          <w:rFonts w:ascii="Arial"/>
          <w:sz w:val="24"/>
          <w:i/>
          <w:color w:val="navy"/>
        </w:rPr>
        <w:t xml:space="preserve">ESPECIALIDADES DE COMBATE.</w:t>
      </w:r>
      <w:bookmarkEnd w:id="60390"/>
      <w:r>
        <w:rPr>
          <w:rFonts w:hAnsi="Arial"/>
          <w:rFonts w:ascii="Arial"/>
          <w:sz w:val="24"/>
          <w:b/>
          <w:i/>
          <w:color w:val="black"/>
        </w:rPr>
        <w:t xml:space="preserve"> </w:t>
      </w:r>
      <w:r>
        <w:rPr>
          <w:rFonts w:hAnsi="Arial"/>
          <w:rFonts w:ascii="Arial"/>
          <w:sz w:val="24"/>
          <w:color w:val="black"/>
        </w:rPr>
        <w:t xml:space="preserve">Para adquirir una especialidad de combate, previa al ingreso a los cursos de capacitación de que trata el artículo </w:t>
      </w:r>
      <w:r>
        <w:fldChar w:fldCharType="begin"/>
      </w:r>
      <w:r>
        <w:instrText>HYPERLINK "http://www.redjurista.com/document.aspx?ajcode=d1790000&amp;arts=70"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Decreto 1790 de 2000, fíjense los siguientes cursos:</w:t>
      </w:r>
    </w:p>
    <w:p>
      <w:pPr>
        <w:jc w:val="both"/>
      </w:pPr>
      <w:rPr>
        <w:sz w:val="24"/>
        <w:color w:val="black"/>
      </w:rPr>
    </w:p>
    <w:p>
      <w:pPr>
        <w:jc w:val="both"/>
      </w:pPr>
      <w:r>
        <w:rPr>
          <w:rFonts w:hAnsi="Arial"/>
          <w:rFonts w:ascii="Arial"/>
          <w:sz w:val="24"/>
          <w:color w:val="black"/>
        </w:rPr>
        <w:t xml:space="preserve">a) Para Oficiales de las Armas del Ejército:</w:t>
      </w:r>
    </w:p>
    <w:p>
      <w:pPr>
        <w:jc w:val="both"/>
      </w:pPr>
      <w:rPr>
        <w:sz w:val="24"/>
        <w:color w:val="black"/>
      </w:rPr>
    </w:p>
    <w:p>
      <w:pPr>
        <w:jc w:val="both"/>
      </w:pPr>
      <w:r>
        <w:rPr>
          <w:rFonts w:hAnsi="Arial"/>
          <w:rFonts w:ascii="Arial"/>
          <w:sz w:val="24"/>
          <w:color w:val="black"/>
        </w:rPr>
        <w:t xml:space="preserve">1. Combate Urbano.</w:t>
      </w:r>
    </w:p>
    <w:p>
      <w:pPr>
        <w:jc w:val="both"/>
      </w:pPr>
      <w:rPr>
        <w:sz w:val="24"/>
        <w:color w:val="black"/>
      </w:rPr>
    </w:p>
    <w:p>
      <w:pPr>
        <w:jc w:val="both"/>
      </w:pPr>
      <w:r>
        <w:rPr>
          <w:rFonts w:hAnsi="Arial"/>
          <w:rFonts w:ascii="Arial"/>
          <w:sz w:val="24"/>
          <w:color w:val="black"/>
        </w:rPr>
        <w:t xml:space="preserve">2. Contraguerrillas.</w:t>
      </w:r>
    </w:p>
    <w:p>
      <w:pPr>
        <w:jc w:val="both"/>
      </w:pPr>
      <w:rPr>
        <w:sz w:val="24"/>
        <w:color w:val="black"/>
      </w:rPr>
    </w:p>
    <w:p>
      <w:pPr>
        <w:jc w:val="both"/>
      </w:pPr>
      <w:r>
        <w:rPr>
          <w:rFonts w:hAnsi="Arial"/>
          <w:rFonts w:ascii="Arial"/>
          <w:sz w:val="24"/>
          <w:color w:val="black"/>
        </w:rPr>
        <w:t xml:space="preserve">3. Fuerzas Especiales.</w:t>
      </w:r>
    </w:p>
    <w:p>
      <w:pPr>
        <w:jc w:val="both"/>
      </w:pPr>
      <w:rPr>
        <w:sz w:val="24"/>
        <w:color w:val="black"/>
      </w:rPr>
    </w:p>
    <w:p>
      <w:pPr>
        <w:jc w:val="both"/>
      </w:pPr>
      <w:r>
        <w:rPr>
          <w:rFonts w:hAnsi="Arial"/>
          <w:rFonts w:ascii="Arial"/>
          <w:sz w:val="24"/>
          <w:color w:val="black"/>
        </w:rPr>
        <w:t xml:space="preserve">4. Inteligencia.</w:t>
      </w:r>
    </w:p>
    <w:p>
      <w:pPr>
        <w:jc w:val="both"/>
      </w:pPr>
      <w:rPr>
        <w:sz w:val="24"/>
        <w:color w:val="black"/>
      </w:rPr>
    </w:p>
    <w:p>
      <w:pPr>
        <w:jc w:val="both"/>
      </w:pPr>
      <w:r>
        <w:rPr>
          <w:rFonts w:hAnsi="Arial"/>
          <w:rFonts w:ascii="Arial"/>
          <w:sz w:val="24"/>
          <w:color w:val="black"/>
        </w:rPr>
        <w:t xml:space="preserve">5. Lancero.</w:t>
      </w:r>
    </w:p>
    <w:p>
      <w:pPr>
        <w:jc w:val="both"/>
      </w:pPr>
      <w:rPr>
        <w:sz w:val="24"/>
        <w:color w:val="black"/>
      </w:rPr>
    </w:p>
    <w:p>
      <w:pPr>
        <w:jc w:val="both"/>
      </w:pPr>
      <w:r>
        <w:rPr>
          <w:rFonts w:hAnsi="Arial"/>
          <w:rFonts w:ascii="Arial"/>
          <w:sz w:val="24"/>
          <w:color w:val="black"/>
        </w:rPr>
        <w:t xml:space="preserve">6. Paracaidista Militar.</w:t>
      </w:r>
    </w:p>
    <w:p>
      <w:pPr>
        <w:jc w:val="both"/>
      </w:pPr>
      <w:rPr>
        <w:sz w:val="24"/>
        <w:color w:val="black"/>
      </w:rPr>
    </w:p>
    <w:p>
      <w:pPr>
        <w:jc w:val="both"/>
      </w:pPr>
      <w:r>
        <w:rPr>
          <w:rFonts w:hAnsi="Arial"/>
          <w:rFonts w:ascii="Arial"/>
          <w:sz w:val="24"/>
          <w:color w:val="black"/>
        </w:rPr>
        <w:t xml:space="preserve">7. Operaciones psicológicas.</w:t>
      </w:r>
    </w:p>
    <w:p>
      <w:pPr>
        <w:jc w:val="both"/>
      </w:pPr>
      <w:rPr>
        <w:sz w:val="24"/>
        <w:color w:val="black"/>
      </w:rPr>
    </w:p>
    <w:p>
      <w:pPr>
        <w:jc w:val="both"/>
      </w:pPr>
      <w:r>
        <w:rPr>
          <w:rFonts w:hAnsi="Arial"/>
          <w:rFonts w:ascii="Arial"/>
          <w:sz w:val="24"/>
          <w:color w:val="black"/>
        </w:rPr>
        <w:t xml:space="preserve">b) Para Oficiales del Cuerpo Ejecutivo de Infantería de Marina de la Armada:</w:t>
      </w:r>
    </w:p>
    <w:p>
      <w:pPr>
        <w:jc w:val="both"/>
      </w:pPr>
      <w:rPr>
        <w:sz w:val="24"/>
        <w:color w:val="black"/>
      </w:rPr>
    </w:p>
    <w:p>
      <w:pPr>
        <w:jc w:val="both"/>
      </w:pPr>
      <w:r>
        <w:rPr>
          <w:rFonts w:hAnsi="Arial"/>
          <w:rFonts w:ascii="Arial"/>
          <w:sz w:val="24"/>
          <w:color w:val="black"/>
        </w:rPr>
        <w:t xml:space="preserve">1. Combate Fluvial.</w:t>
      </w:r>
    </w:p>
    <w:p>
      <w:pPr>
        <w:jc w:val="both"/>
      </w:pPr>
      <w:rPr>
        <w:sz w:val="24"/>
        <w:color w:val="black"/>
      </w:rPr>
    </w:p>
    <w:p>
      <w:pPr>
        <w:jc w:val="both"/>
      </w:pPr>
      <w:r>
        <w:rPr>
          <w:rFonts w:hAnsi="Arial"/>
          <w:rFonts w:ascii="Arial"/>
          <w:sz w:val="24"/>
          <w:color w:val="black"/>
        </w:rPr>
        <w:t xml:space="preserve">2. Comando Submarino.</w:t>
      </w:r>
    </w:p>
    <w:p>
      <w:pPr>
        <w:jc w:val="both"/>
      </w:pPr>
      <w:rPr>
        <w:sz w:val="24"/>
        <w:color w:val="black"/>
      </w:rPr>
    </w:p>
    <w:p>
      <w:pPr>
        <w:jc w:val="both"/>
      </w:pPr>
      <w:r>
        <w:rPr>
          <w:rFonts w:hAnsi="Arial"/>
          <w:rFonts w:ascii="Arial"/>
          <w:sz w:val="24"/>
          <w:color w:val="black"/>
        </w:rPr>
        <w:t xml:space="preserve">3. Contraguerrillas.</w:t>
      </w:r>
    </w:p>
    <w:p>
      <w:pPr>
        <w:jc w:val="both"/>
      </w:pPr>
      <w:rPr>
        <w:sz w:val="24"/>
        <w:color w:val="black"/>
      </w:rPr>
    </w:p>
    <w:p>
      <w:pPr>
        <w:jc w:val="both"/>
      </w:pPr>
      <w:r>
        <w:rPr>
          <w:rFonts w:hAnsi="Arial"/>
          <w:rFonts w:ascii="Arial"/>
          <w:sz w:val="24"/>
          <w:color w:val="black"/>
        </w:rPr>
        <w:t xml:space="preserve">4. Fuerzas Especiales.</w:t>
      </w:r>
    </w:p>
    <w:p>
      <w:pPr>
        <w:jc w:val="both"/>
      </w:pPr>
      <w:rPr>
        <w:sz w:val="24"/>
        <w:color w:val="black"/>
      </w:rPr>
    </w:p>
    <w:p>
      <w:pPr>
        <w:jc w:val="both"/>
      </w:pPr>
      <w:r>
        <w:rPr>
          <w:rFonts w:hAnsi="Arial"/>
          <w:rFonts w:ascii="Arial"/>
          <w:sz w:val="24"/>
          <w:color w:val="black"/>
        </w:rPr>
        <w:t xml:space="preserve">5. Inteligencia.</w:t>
      </w:r>
    </w:p>
    <w:p>
      <w:pPr>
        <w:jc w:val="both"/>
      </w:pPr>
      <w:rPr>
        <w:sz w:val="24"/>
        <w:color w:val="black"/>
      </w:rPr>
    </w:p>
    <w:p>
      <w:pPr>
        <w:jc w:val="both"/>
      </w:pPr>
      <w:r>
        <w:rPr>
          <w:rFonts w:hAnsi="Arial"/>
          <w:rFonts w:ascii="Arial"/>
          <w:sz w:val="24"/>
          <w:color w:val="black"/>
        </w:rPr>
        <w:t xml:space="preserve">6. Lancero.</w:t>
      </w:r>
    </w:p>
    <w:p>
      <w:pPr>
        <w:jc w:val="both"/>
      </w:pPr>
      <w:rPr>
        <w:sz w:val="24"/>
        <w:color w:val="black"/>
      </w:rPr>
    </w:p>
    <w:p>
      <w:pPr>
        <w:jc w:val="both"/>
      </w:pPr>
      <w:r>
        <w:rPr>
          <w:rFonts w:hAnsi="Arial"/>
          <w:rFonts w:ascii="Arial"/>
          <w:sz w:val="24"/>
          <w:color w:val="black"/>
        </w:rPr>
        <w:t xml:space="preserve">7. Paracaidista Militar.</w:t>
      </w:r>
    </w:p>
    <w:p>
      <w:pPr>
        <w:jc w:val="both"/>
      </w:pPr>
      <w:rPr>
        <w:sz w:val="24"/>
        <w:color w:val="black"/>
      </w:rPr>
    </w:p>
    <w:p>
      <w:pPr>
        <w:jc w:val="both"/>
      </w:pPr>
      <w:r>
        <w:rPr>
          <w:rFonts w:hAnsi="Arial"/>
          <w:rFonts w:ascii="Arial"/>
          <w:sz w:val="24"/>
          <w:color w:val="black"/>
        </w:rPr>
        <w:t xml:space="preserve">8. Reconocimiento anfibio y demoliciones submarinas.</w:t>
      </w:r>
    </w:p>
    <w:p>
      <w:pPr>
        <w:jc w:val="both"/>
      </w:pPr>
      <w:rPr>
        <w:sz w:val="24"/>
        <w:color w:val="black"/>
      </w:rPr>
    </w:p>
    <w:p>
      <w:pPr>
        <w:jc w:val="both"/>
      </w:pPr>
      <w:r>
        <w:rPr>
          <w:rFonts w:hAnsi="Arial"/>
          <w:rFonts w:ascii="Arial"/>
          <w:sz w:val="24"/>
          <w:color w:val="black"/>
        </w:rPr>
        <w:t xml:space="preserve">c) Para Oficiales del Cuerpo de Seguridad y Defensa de Bases Aéreas de la Fuerza Aérea:</w:t>
      </w:r>
    </w:p>
    <w:p>
      <w:pPr>
        <w:jc w:val="both"/>
      </w:pPr>
      <w:rPr>
        <w:sz w:val="24"/>
        <w:color w:val="black"/>
      </w:rPr>
    </w:p>
    <w:p>
      <w:pPr>
        <w:jc w:val="both"/>
      </w:pPr>
      <w:r>
        <w:rPr>
          <w:rFonts w:hAnsi="Arial"/>
          <w:rFonts w:ascii="Arial"/>
          <w:sz w:val="24"/>
          <w:color w:val="black"/>
        </w:rPr>
        <w:t xml:space="preserve">1. Antisecuestro de Aeronaves.</w:t>
      </w:r>
    </w:p>
    <w:p>
      <w:pPr>
        <w:jc w:val="both"/>
      </w:pPr>
      <w:rPr>
        <w:sz w:val="24"/>
        <w:color w:val="black"/>
      </w:rPr>
    </w:p>
    <w:p>
      <w:pPr>
        <w:jc w:val="both"/>
      </w:pPr>
      <w:r>
        <w:rPr>
          <w:rFonts w:hAnsi="Arial"/>
          <w:rFonts w:ascii="Arial"/>
          <w:sz w:val="24"/>
          <w:color w:val="black"/>
        </w:rPr>
        <w:t xml:space="preserve">2. Armas Antiaéreas.</w:t>
      </w:r>
    </w:p>
    <w:p>
      <w:pPr>
        <w:jc w:val="both"/>
      </w:pPr>
      <w:rPr>
        <w:sz w:val="24"/>
        <w:color w:val="black"/>
      </w:rPr>
    </w:p>
    <w:p>
      <w:pPr>
        <w:jc w:val="both"/>
      </w:pPr>
      <w:r>
        <w:rPr>
          <w:rFonts w:hAnsi="Arial"/>
          <w:rFonts w:ascii="Arial"/>
          <w:sz w:val="24"/>
          <w:color w:val="black"/>
        </w:rPr>
        <w:t xml:space="preserve">3. Contraguerrilla.</w:t>
      </w:r>
    </w:p>
    <w:p>
      <w:pPr>
        <w:jc w:val="both"/>
      </w:pPr>
      <w:rPr>
        <w:sz w:val="24"/>
        <w:color w:val="black"/>
      </w:rPr>
    </w:p>
    <w:p>
      <w:pPr>
        <w:jc w:val="both"/>
      </w:pPr>
      <w:r>
        <w:rPr>
          <w:rFonts w:hAnsi="Arial"/>
          <w:rFonts w:ascii="Arial"/>
          <w:sz w:val="24"/>
          <w:color w:val="black"/>
        </w:rPr>
        <w:t xml:space="preserve">4. Curso de Rescate en Combate.</w:t>
      </w:r>
    </w:p>
    <w:p>
      <w:pPr>
        <w:jc w:val="both"/>
      </w:pPr>
      <w:rPr>
        <w:sz w:val="24"/>
        <w:color w:val="black"/>
      </w:rPr>
    </w:p>
    <w:p>
      <w:pPr>
        <w:jc w:val="both"/>
      </w:pPr>
      <w:r>
        <w:rPr>
          <w:rFonts w:hAnsi="Arial"/>
          <w:rFonts w:ascii="Arial"/>
          <w:sz w:val="24"/>
          <w:color w:val="black"/>
        </w:rPr>
        <w:t xml:space="preserve">5. Fuerzas Especiales.</w:t>
      </w:r>
    </w:p>
    <w:p>
      <w:pPr>
        <w:jc w:val="both"/>
      </w:pPr>
      <w:rPr>
        <w:sz w:val="24"/>
        <w:color w:val="black"/>
      </w:rPr>
    </w:p>
    <w:p>
      <w:pPr>
        <w:jc w:val="both"/>
      </w:pPr>
      <w:r>
        <w:rPr>
          <w:rFonts w:hAnsi="Arial"/>
          <w:rFonts w:ascii="Arial"/>
          <w:sz w:val="24"/>
          <w:color w:val="black"/>
        </w:rPr>
        <w:t xml:space="preserve">6. Inteligencia.</w:t>
      </w:r>
    </w:p>
    <w:p>
      <w:pPr>
        <w:jc w:val="both"/>
      </w:pPr>
      <w:rPr>
        <w:sz w:val="24"/>
        <w:color w:val="black"/>
      </w:rPr>
    </w:p>
    <w:p>
      <w:pPr>
        <w:jc w:val="both"/>
      </w:pPr>
      <w:r>
        <w:rPr>
          <w:rFonts w:hAnsi="Arial"/>
          <w:rFonts w:ascii="Arial"/>
          <w:sz w:val="24"/>
          <w:color w:val="black"/>
        </w:rPr>
        <w:t xml:space="preserve">7. Lancero.</w:t>
      </w:r>
    </w:p>
    <w:p>
      <w:pPr>
        <w:jc w:val="both"/>
      </w:pPr>
      <w:rPr>
        <w:sz w:val="24"/>
        <w:color w:val="black"/>
      </w:rPr>
    </w:p>
    <w:p>
      <w:pPr>
        <w:jc w:val="both"/>
      </w:pPr>
      <w:r>
        <w:rPr>
          <w:rFonts w:hAnsi="Arial"/>
          <w:rFonts w:ascii="Arial"/>
          <w:sz w:val="24"/>
          <w:color w:val="black"/>
        </w:rPr>
        <w:t xml:space="preserve">8. Paracaidista Militar.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anterior enumeración de especialidades de Combate podrá ser modificada o ampliada por el Comando General de las Fuerzas Militares, con base en las necesidades de tecnificación de las mismas.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especialidades de Combate antes citadas se podrán adquirir en Escuelas o Unidades de las Fuerzas Militares de Colombia, o en instituciones militares del exterior.</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1" w:name="2.3.1.1.3.20"/>
      <w:r>
        <w:rPr>
          <w:rFonts w:hAnsi="Arial"/>
          <w:rFonts w:ascii="Arial"/>
          <w:sz w:val="24"/>
          <w:color w:val="navy"/>
        </w:rPr>
        <w:t xml:space="preserve">ARTÍCULO 2.3.1.1.3.20. </w:t>
      </w:r>
      <w:r>
        <w:rPr>
          <w:rFonts w:hAnsi="Arial"/>
          <w:rFonts w:ascii="Arial"/>
          <w:sz w:val="24"/>
          <w:i/>
          <w:color w:val="navy"/>
        </w:rPr>
        <w:t xml:space="preserve">CURSOS Y EXÁMENES PARA ASCENSO DE SUBOFICIALES.</w:t>
      </w:r>
      <w:bookmarkEnd w:id="60391"/>
      <w:r>
        <w:rPr>
          <w:rFonts w:hAnsi="Arial"/>
          <w:rFonts w:ascii="Arial"/>
          <w:sz w:val="24"/>
          <w:b/>
          <w:i/>
          <w:color w:val="black"/>
        </w:rPr>
        <w:t xml:space="preserve"> </w:t>
      </w:r>
      <w:r>
        <w:rPr>
          <w:rFonts w:hAnsi="Arial"/>
          <w:rFonts w:ascii="Arial"/>
          <w:sz w:val="24"/>
          <w:color w:val="black"/>
        </w:rPr>
        <w:t xml:space="preserve">Para ingresar al escalafón de Suboficiales y ascender dentro de él, los interesados deben adelantar cursos de formación y capacitación, o presentar exámenes de competencia profesional, con base en directivas y programas preparados por los Comandos de Fuerza, los cuales deben contemplar por lo menos los siguientes cursos:</w:t>
      </w:r>
    </w:p>
    <w:p>
      <w:pPr>
        <w:jc w:val="both"/>
      </w:pPr>
      <w:rPr>
        <w:sz w:val="24"/>
        <w:color w:val="black"/>
      </w:rPr>
    </w:p>
    <w:p>
      <w:pPr>
        <w:jc w:val="both"/>
      </w:pPr>
      <w:r>
        <w:rPr>
          <w:rFonts w:hAnsi="Arial"/>
          <w:rFonts w:ascii="Arial"/>
          <w:sz w:val="24"/>
          <w:color w:val="black"/>
        </w:rPr>
        <w:t xml:space="preserve">a) De "Formación Profesional", para quienes aspiren a ingresar a las Fuerzas Militares como Cabos Terceros, Marineros Segundos o Aerotécnicos;</w:t>
      </w:r>
    </w:p>
    <w:p>
      <w:pPr>
        <w:jc w:val="both"/>
      </w:pPr>
      <w:rPr>
        <w:sz w:val="24"/>
        <w:color w:val="black"/>
      </w:rPr>
    </w:p>
    <w:p>
      <w:pPr>
        <w:jc w:val="both"/>
      </w:pPr>
      <w:r>
        <w:rPr>
          <w:rFonts w:hAnsi="Arial"/>
          <w:rFonts w:ascii="Arial"/>
          <w:sz w:val="24"/>
          <w:color w:val="black"/>
        </w:rPr>
        <w:t xml:space="preserve">b) De "Capacitación Intermedia", como requisito para ascenso al grado de Cabo Primero, Suboficial Tercero o Suboficial Técnico Tercero;</w:t>
      </w:r>
    </w:p>
    <w:p>
      <w:pPr>
        <w:jc w:val="both"/>
      </w:pPr>
      <w:rPr>
        <w:sz w:val="24"/>
        <w:color w:val="black"/>
      </w:rPr>
    </w:p>
    <w:p>
      <w:pPr>
        <w:jc w:val="both"/>
      </w:pPr>
      <w:r>
        <w:rPr>
          <w:rFonts w:hAnsi="Arial"/>
          <w:rFonts w:ascii="Arial"/>
          <w:sz w:val="24"/>
          <w:color w:val="black"/>
        </w:rPr>
        <w:t xml:space="preserve">c) De "Capacitación Avanzada" como requisito para ascenso al grado de Sargento Viceprimero, Suboficial Primero o Suboficial Técnico Primero,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Suboficiales que con anterioridad a la vigencia del Decreto-ley </w:t>
      </w:r>
      <w:r>
        <w:fldChar w:fldCharType="begin"/>
      </w:r>
      <w:r>
        <w:instrText>HYPERLINK "http://www.redjurista.com/document.aspx?ajcode=d1790000&amp;arts=INICIO"</w:instrText>
      </w:r>
      <w:r>
        <w:fldChar w:fldCharType="separate"/>
      </w:r>
      <w:r>
        <w:rPr>
          <w:rFonts w:hAnsi="Arial"/>
          <w:rFonts w:ascii="Arial"/>
          <w:sz w:val="24"/>
          <w:u w:val="single"/>
          <w:color w:val="black"/>
        </w:rPr>
        <w:t>1790</w:t>
      </w:r>
      <w:r>
        <w:fldChar w:fldCharType="end"/>
      </w:r>
      <w:r>
        <w:rPr>
          <w:rFonts w:hAnsi="Arial"/>
          <w:rFonts w:ascii="Arial"/>
          <w:sz w:val="24"/>
          <w:u w:val="none"/>
          <w:color w:val="black"/>
        </w:rPr>
        <w:t xml:space="preserve"> de 2000, ingresaron al escalafón de suboficiales como Cabo Segundo, Marinero o Técnico Cuarto, continuarán adelantando el curso de "Capacitación Intermedia" como requisito para ascenso al grado de Sargento Segundo, Suboficial Segundo o Suboficial Técnico Segundo. Así mismo, el curso de "Capacitación Avanzada" como requisito para ascenso al grado de Sargento Primero, Suboficial Jefe o Suboficial Técnico Subjefe.</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2" w:name="2.3.1.1.3.21"/>
      <w:r>
        <w:rPr>
          <w:rFonts w:hAnsi="Arial"/>
          <w:rFonts w:ascii="Arial"/>
          <w:sz w:val="24"/>
          <w:color w:val="navy"/>
        </w:rPr>
        <w:t xml:space="preserve">ARTÍCULO 2.3.1.1.3.21. </w:t>
      </w:r>
      <w:r>
        <w:rPr>
          <w:rFonts w:hAnsi="Arial"/>
          <w:rFonts w:ascii="Arial"/>
          <w:sz w:val="24"/>
          <w:i/>
          <w:color w:val="navy"/>
        </w:rPr>
        <w:t xml:space="preserve">ESPECIALIDAD DE COMBATE PARA LOS SUBOFICIALES.</w:t>
      </w:r>
      <w:bookmarkEnd w:id="60392"/>
      <w:r>
        <w:rPr>
          <w:rFonts w:hAnsi="Arial"/>
          <w:rFonts w:ascii="Arial"/>
          <w:sz w:val="24"/>
          <w:b/>
          <w:i/>
          <w:color w:val="black"/>
        </w:rPr>
        <w:t xml:space="preserve"> </w:t>
      </w:r>
      <w:r>
        <w:rPr>
          <w:rFonts w:hAnsi="Arial"/>
          <w:rFonts w:ascii="Arial"/>
          <w:sz w:val="24"/>
          <w:color w:val="black"/>
        </w:rPr>
        <w:t xml:space="preserve">Las especialidades de combate a que se refiere el parágrafo 2° del artículo </w:t>
      </w:r>
      <w:r>
        <w:fldChar w:fldCharType="begin"/>
      </w:r>
      <w:r>
        <w:instrText>HYPERLINK "http://www.redjurista.com/document.aspx?ajcode=d1790000&amp;arts=54"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Decreto 1790 de 2000, como requisito para ascenso al grado de Sargento Segundo de las Armas en el Ejército, Suboficial Segundo de Infantería de Marina en la Armada y Técnico Segundo del Cuerpo Técnico de Seguridad y Defensa de Bases Aéreas en la Fuerza Aérea, serán las mismas establecidas para los Oficiales en los literales a), b), y c), del artículo </w:t>
      </w:r>
      <w:r>
        <w:fldChar w:fldCharType="begin"/>
      </w:r>
      <w:r>
        <w:instrText>HYPERLINK "http://www.redjurista.com/document.aspx?ajcode=d1070015&amp;arts=2.3.1.1.3.19"</w:instrText>
      </w:r>
      <w:r>
        <w:fldChar w:fldCharType="separate"/>
      </w:r>
      <w:r>
        <w:rPr>
          <w:rFonts w:hAnsi="Arial"/>
          <w:rFonts w:ascii="Arial"/>
          <w:sz w:val="24"/>
          <w:u w:val="single"/>
          <w:color w:val="black"/>
        </w:rPr>
        <w:t>2.3.1.1.3.19</w:t>
      </w:r>
      <w:r>
        <w:fldChar w:fldCharType="end"/>
      </w:r>
      <w:r>
        <w:rPr>
          <w:rFonts w:hAnsi="Arial"/>
          <w:rFonts w:ascii="Arial"/>
          <w:sz w:val="24"/>
          <w:u w:val="none"/>
          <w:color w:val="black"/>
        </w:rPr>
        <w:t xml:space="preserve"> de esta Sección con las variantes apropiadas a los niveles de mando y preparación de los Suboficiales.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393" w:name="SECCIÓN 2.3.1.1.4"/>
      <w:r>
        <w:rPr>
          <w:rFonts w:hAnsi="Arial"/>
          <w:rFonts w:ascii="Arial"/>
          <w:sz w:val="24"/>
          <w:color w:val="navy"/>
        </w:rPr>
        <w:t xml:space="preserve">SECCIÓN 4. </w:t>
      </w:r>
    </w:p>
    <w:p>
      <w:pPr>
        <w:jc w:val="center"/>
      </w:pPr>
      <w:r>
        <w:rPr>
          <w:rFonts w:hAnsi="Arial"/>
          <w:rFonts w:ascii="Arial"/>
          <w:sz w:val="24"/>
          <w:color w:val="navy"/>
        </w:rPr>
        <w:t xml:space="preserve">DE LAS DESTINACIONES, TRASLADOS, COMISIONES Y LICENCIAS.</w:t>
      </w:r>
      <w:bookmarkEnd w:id="6039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394" w:name="2.3.1.1.4.1"/>
      <w:r>
        <w:rPr>
          <w:rFonts w:hAnsi="Arial"/>
          <w:rFonts w:ascii="Arial"/>
          <w:sz w:val="24"/>
          <w:color w:val="navy"/>
        </w:rPr>
        <w:t xml:space="preserve">ARTÍCULO 2.3.1.1.4.1. </w:t>
      </w:r>
      <w:r>
        <w:rPr>
          <w:rFonts w:hAnsi="Arial"/>
          <w:rFonts w:ascii="Arial"/>
          <w:sz w:val="24"/>
          <w:i/>
          <w:color w:val="navy"/>
        </w:rPr>
        <w:t xml:space="preserve">DESTINACIONES, TRASLADOS Y TÉRMINOS.</w:t>
      </w:r>
      <w:bookmarkEnd w:id="60394"/>
      <w:r>
        <w:rPr>
          <w:rFonts w:hAnsi="Arial"/>
          <w:rFonts w:ascii="Arial"/>
          <w:sz w:val="24"/>
          <w:b/>
          <w:i/>
          <w:color w:val="black"/>
        </w:rPr>
        <w:t xml:space="preserve"> </w:t>
      </w:r>
      <w:r>
        <w:rPr>
          <w:rFonts w:hAnsi="Arial"/>
          <w:rFonts w:ascii="Arial"/>
          <w:sz w:val="24"/>
          <w:color w:val="black"/>
        </w:rPr>
        <w:t xml:space="preserve">Las destinaciones y traslados previstos en los literales a) y b) del artículo </w:t>
      </w:r>
      <w:r>
        <w:fldChar w:fldCharType="begin"/>
      </w:r>
      <w:r>
        <w:instrText>HYPERLINK "http://www.redjurista.com/document.aspx?ajcode=d1790000&amp;arts=82"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 1790 de 2000, se entenderán surtidos en las fechas indicadas en los actos administrativos correspondientes.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5" w:name="2.3.1.1.4.2"/>
      <w:r>
        <w:rPr>
          <w:rFonts w:hAnsi="Arial"/>
          <w:rFonts w:ascii="Arial"/>
          <w:sz w:val="24"/>
          <w:color w:val="navy"/>
        </w:rPr>
        <w:t xml:space="preserve">ARTÍCULO 2.3.1.1.4.2. </w:t>
      </w:r>
      <w:r>
        <w:rPr>
          <w:rFonts w:hAnsi="Arial"/>
          <w:rFonts w:ascii="Arial"/>
          <w:sz w:val="24"/>
          <w:i/>
          <w:color w:val="navy"/>
        </w:rPr>
        <w:t xml:space="preserve">PRORROGA DE COMISIONES.</w:t>
      </w:r>
      <w:bookmarkEnd w:id="60395"/>
      <w:r>
        <w:rPr>
          <w:rFonts w:hAnsi="Arial"/>
          <w:rFonts w:ascii="Arial"/>
          <w:sz w:val="24"/>
          <w:b/>
          <w:i/>
          <w:color w:val="black"/>
        </w:rPr>
        <w:t xml:space="preserve"> </w:t>
      </w:r>
      <w:r>
        <w:rPr>
          <w:rFonts w:hAnsi="Arial"/>
          <w:rFonts w:ascii="Arial"/>
          <w:sz w:val="24"/>
          <w:color w:val="black"/>
        </w:rPr>
        <w:t xml:space="preserve">Las prórrogas de las comisiones que sumadas al tiempo fijado inicialmente, excedan los límites señalados en el artículo </w:t>
      </w:r>
      <w:r>
        <w:fldChar w:fldCharType="begin"/>
      </w:r>
      <w:r>
        <w:instrText>HYPERLINK "http://www.redjurista.com/document.aspx?ajcode=d1790000&amp;arts=84"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del Decreto 1790 de 2000, solo podrán ser autorizadas por quien tenga la facultad de conferir la comisión por todo el tiempo resultante de la suma de la comisión inicial y la prórroga o prórrogas.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6" w:name="2.3.1.1.4.3"/>
      <w:r>
        <w:rPr>
          <w:rFonts w:hAnsi="Arial"/>
          <w:rFonts w:ascii="Arial"/>
          <w:sz w:val="24"/>
          <w:color w:val="navy"/>
        </w:rPr>
        <w:t xml:space="preserve">ARTÍCULO 2.3.1.1.4.3. </w:t>
      </w:r>
      <w:r>
        <w:rPr>
          <w:rFonts w:hAnsi="Arial"/>
          <w:rFonts w:ascii="Arial"/>
          <w:sz w:val="24"/>
          <w:i/>
          <w:color w:val="navy"/>
        </w:rPr>
        <w:t xml:space="preserve">COMISIONES DIPLOMÁTICAS.</w:t>
      </w:r>
      <w:bookmarkEnd w:id="60396"/>
      <w:r>
        <w:rPr>
          <w:rFonts w:hAnsi="Arial"/>
          <w:rFonts w:ascii="Arial"/>
          <w:sz w:val="24"/>
          <w:b/>
          <w:i/>
          <w:color w:val="black"/>
        </w:rPr>
        <w:t xml:space="preserve"> </w:t>
      </w:r>
      <w:r>
        <w:rPr>
          <w:rFonts w:hAnsi="Arial"/>
          <w:rFonts w:ascii="Arial"/>
          <w:sz w:val="24"/>
          <w:color w:val="black"/>
        </w:rPr>
        <w:t xml:space="preserve">Para ser destinado en comisión diplomática, además de las condiciones establecidas en los artículos </w:t>
      </w:r>
      <w:r>
        <w:fldChar w:fldCharType="begin"/>
      </w:r>
      <w:r>
        <w:instrText>HYPERLINK "http://www.redjurista.com/document.aspx?ajcode=d1790000&amp;arts=92"</w:instrText>
      </w:r>
      <w:r>
        <w:fldChar w:fldCharType="separate"/>
      </w:r>
      <w:r>
        <w:rPr>
          <w:rFonts w:hAnsi="Arial"/>
          <w:rFonts w:ascii="Arial"/>
          <w:sz w:val="24"/>
          <w:u w:val="single"/>
          <w:color w:val="black"/>
        </w:rPr>
        <w:t>92</w:t>
      </w:r>
      <w:r>
        <w:fldChar w:fldCharType="end"/>
      </w:r>
      <w:r>
        <w:rPr>
          <w:rFonts w:hAnsi="Arial"/>
          <w:rFonts w:ascii="Arial"/>
          <w:sz w:val="24"/>
          <w:u w:val="none"/>
          <w:color w:val="black"/>
        </w:rPr>
        <w:t xml:space="preserve"> a </w:t>
      </w:r>
      <w:r>
        <w:fldChar w:fldCharType="begin"/>
      </w:r>
      <w:r>
        <w:instrText>HYPERLINK "http://www.redjurista.com/document.aspx?ajcode=d1790000&amp;arts=94"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Decreto 1790 de 2000, se exigen los siguientes requisitos:</w:t>
      </w:r>
    </w:p>
    <w:p>
      <w:pPr>
        <w:jc w:val="both"/>
      </w:pPr>
      <w:rPr>
        <w:sz w:val="24"/>
        <w:color w:val="black"/>
      </w:rPr>
    </w:p>
    <w:p>
      <w:pPr>
        <w:jc w:val="both"/>
      </w:pPr>
      <w:r>
        <w:rPr>
          <w:rFonts w:hAnsi="Arial"/>
          <w:rFonts w:ascii="Arial"/>
          <w:sz w:val="24"/>
          <w:color w:val="black"/>
        </w:rPr>
        <w:t xml:space="preserve">a) Estar clasificado en lista número 1, 2 o 3, de acuerdo con el Reglamento de Evaluación y Clasificación para el Personal de las Fuerzas Militares, en cada uno de los tres (3) últimos años de servicio;</w:t>
      </w:r>
    </w:p>
    <w:p>
      <w:pPr>
        <w:jc w:val="both"/>
      </w:pPr>
      <w:rPr>
        <w:sz w:val="24"/>
        <w:color w:val="black"/>
      </w:rPr>
    </w:p>
    <w:p>
      <w:pPr>
        <w:jc w:val="both"/>
      </w:pPr>
      <w:r>
        <w:rPr>
          <w:rFonts w:hAnsi="Arial"/>
          <w:rFonts w:ascii="Arial"/>
          <w:sz w:val="24"/>
          <w:color w:val="black"/>
        </w:rPr>
        <w:t xml:space="preserve">b) Si se trata de una persona casada, que su cónyuge no tenga la nacionalidad del país ante el cual va a ser acreditado como miembro de la representación diplomática colombiana;</w:t>
      </w:r>
    </w:p>
    <w:p>
      <w:pPr>
        <w:jc w:val="both"/>
      </w:pPr>
      <w:rPr>
        <w:sz w:val="24"/>
        <w:color w:val="black"/>
      </w:rPr>
    </w:p>
    <w:p>
      <w:pPr>
        <w:jc w:val="both"/>
      </w:pPr>
      <w:r>
        <w:rPr>
          <w:rFonts w:hAnsi="Arial"/>
          <w:rFonts w:ascii="Arial"/>
          <w:sz w:val="24"/>
          <w:color w:val="black"/>
        </w:rPr>
        <w:t xml:space="preserve">c) No tener solicitud de retiro pendiente.</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comisiones diplomáticas de los Oficiales de las Fuerzas Militares, podrán tener una duración hasta de veinticuatro (24) meses.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7" w:name="2.3.1.1.4.4"/>
      <w:r>
        <w:rPr>
          <w:rFonts w:hAnsi="Arial"/>
          <w:rFonts w:ascii="Arial"/>
          <w:sz w:val="24"/>
          <w:color w:val="navy"/>
        </w:rPr>
        <w:t xml:space="preserve">ARTÍCULO 2.3.1.1.4.4. </w:t>
      </w:r>
      <w:r>
        <w:rPr>
          <w:rFonts w:hAnsi="Arial"/>
          <w:rFonts w:ascii="Arial"/>
          <w:sz w:val="24"/>
          <w:i/>
          <w:color w:val="navy"/>
        </w:rPr>
        <w:t xml:space="preserve">COMISIONES DE ESTUDIOS EN EL EXTERIOR.</w:t>
      </w:r>
      <w:bookmarkEnd w:id="60397"/>
      <w:r>
        <w:rPr>
          <w:rFonts w:hAnsi="Arial"/>
          <w:rFonts w:ascii="Arial"/>
          <w:sz w:val="24"/>
          <w:b/>
          <w:i/>
          <w:color w:val="black"/>
        </w:rPr>
        <w:t xml:space="preserve"> </w:t>
      </w:r>
      <w:r>
        <w:rPr>
          <w:rFonts w:hAnsi="Arial"/>
          <w:rFonts w:ascii="Arial"/>
          <w:sz w:val="24"/>
          <w:color w:val="black"/>
        </w:rPr>
        <w:t xml:space="preserve">Para ser destinados en comisión de estudios en el exterior, los Oficiales y Suboficiales candidatizados por los Comandos de Fuerza, deben reunir los siguientes requisitos:</w:t>
      </w:r>
    </w:p>
    <w:p>
      <w:pPr>
        <w:jc w:val="both"/>
      </w:pPr>
      <w:rPr>
        <w:sz w:val="24"/>
        <w:color w:val="black"/>
      </w:rPr>
    </w:p>
    <w:p>
      <w:pPr>
        <w:jc w:val="both"/>
      </w:pPr>
      <w:r>
        <w:rPr>
          <w:rFonts w:hAnsi="Arial"/>
          <w:rFonts w:ascii="Arial"/>
          <w:sz w:val="24"/>
          <w:color w:val="black"/>
        </w:rPr>
        <w:t xml:space="preserve">a) Estar clasificado en lista 1, 2 o 3, en cada uno de los últimos tres (3) años de servicio;</w:t>
      </w:r>
    </w:p>
    <w:p>
      <w:pPr>
        <w:jc w:val="both"/>
      </w:pPr>
      <w:rPr>
        <w:sz w:val="24"/>
        <w:color w:val="black"/>
      </w:rPr>
    </w:p>
    <w:p>
      <w:pPr>
        <w:jc w:val="both"/>
      </w:pPr>
      <w:r>
        <w:rPr>
          <w:rFonts w:hAnsi="Arial"/>
          <w:rFonts w:ascii="Arial"/>
          <w:sz w:val="24"/>
          <w:color w:val="black"/>
        </w:rPr>
        <w:t xml:space="preserve">b) No tener solicitud de retiro pendiente, ni haberla presentado dentro de los dos (2) años anteriores a la selección;</w:t>
      </w:r>
    </w:p>
    <w:p>
      <w:pPr>
        <w:jc w:val="both"/>
      </w:pPr>
      <w:rPr>
        <w:sz w:val="24"/>
        <w:color w:val="black"/>
      </w:rPr>
    </w:p>
    <w:p>
      <w:pPr>
        <w:jc w:val="both"/>
      </w:pPr>
      <w:r>
        <w:rPr>
          <w:rFonts w:hAnsi="Arial"/>
          <w:rFonts w:ascii="Arial"/>
          <w:sz w:val="24"/>
          <w:color w:val="black"/>
        </w:rPr>
        <w:t xml:space="preserve">c) Haber sobresalido entre sus compañeros, por su desempeño académico en los cursos adelantados en el país;</w:t>
      </w:r>
    </w:p>
    <w:p>
      <w:pPr>
        <w:jc w:val="both"/>
      </w:pPr>
      <w:rPr>
        <w:sz w:val="24"/>
        <w:color w:val="black"/>
      </w:rPr>
    </w:p>
    <w:p>
      <w:pPr>
        <w:jc w:val="both"/>
      </w:pPr>
      <w:r>
        <w:rPr>
          <w:rFonts w:hAnsi="Arial"/>
          <w:rFonts w:ascii="Arial"/>
          <w:sz w:val="24"/>
          <w:color w:val="black"/>
        </w:rPr>
        <w:t xml:space="preserve">d) Haber sobresalido en su desempeño profesional, o en misiones de combate, o en operaciones relacionadas con el mantenimiento o restablecimiento del orden público;</w:t>
      </w:r>
    </w:p>
    <w:p>
      <w:pPr>
        <w:jc w:val="both"/>
      </w:pPr>
      <w:rPr>
        <w:sz w:val="24"/>
        <w:color w:val="black"/>
      </w:rPr>
    </w:p>
    <w:p>
      <w:pPr>
        <w:jc w:val="both"/>
      </w:pPr>
      <w:r>
        <w:rPr>
          <w:rFonts w:hAnsi="Arial"/>
          <w:rFonts w:ascii="Arial"/>
          <w:sz w:val="24"/>
          <w:color w:val="black"/>
        </w:rPr>
        <w:t xml:space="preserve">e) Haber aprobado el examen sobre el idioma correspondiente al país en el cual se va a desempeñar, cuando fuere del caso.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igualdad de condiciones, tendrán prelación para la asignación de estas comisiones, quienes no hayan sido enviados anteriormente.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la selección de candidatos para comisiones de estudios, se debe tener en cuenta que la especialidad del oficial o suboficial guarde relación con el curso que va a adelantar.</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398" w:name="2.3.1.1.4.5"/>
      <w:r>
        <w:rPr>
          <w:rFonts w:hAnsi="Arial"/>
          <w:rFonts w:ascii="Arial"/>
          <w:sz w:val="24"/>
          <w:color w:val="navy"/>
        </w:rPr>
        <w:t xml:space="preserve">ARTÍCULO 2.3.1.1.4.5. </w:t>
      </w:r>
      <w:r>
        <w:rPr>
          <w:rFonts w:hAnsi="Arial"/>
          <w:rFonts w:ascii="Arial"/>
          <w:sz w:val="24"/>
          <w:i/>
          <w:color w:val="navy"/>
        </w:rPr>
        <w:t xml:space="preserve">COMISIONES ADMINISTRATIVAS EN EL EXTERIOR.</w:t>
      </w:r>
      <w:bookmarkEnd w:id="60398"/>
      <w:r>
        <w:rPr>
          <w:rFonts w:hAnsi="Arial"/>
          <w:rFonts w:ascii="Arial"/>
          <w:sz w:val="24"/>
          <w:b/>
          <w:i/>
          <w:color w:val="black"/>
        </w:rPr>
        <w:t xml:space="preserve"> </w:t>
      </w:r>
      <w:r>
        <w:rPr>
          <w:rFonts w:hAnsi="Arial"/>
          <w:rFonts w:ascii="Arial"/>
          <w:sz w:val="24"/>
          <w:color w:val="black"/>
        </w:rPr>
        <w:t xml:space="preserve">Para la asignación de comisiones administrativas en el exterior, los Oficiales y Suboficiales seleccionados por los Comandos de Fuerza, deben llenar los siguientes requisitos:</w:t>
      </w:r>
    </w:p>
    <w:p>
      <w:pPr>
        <w:jc w:val="both"/>
      </w:pPr>
      <w:rPr>
        <w:sz w:val="24"/>
        <w:color w:val="black"/>
      </w:rPr>
    </w:p>
    <w:p>
      <w:pPr>
        <w:jc w:val="both"/>
      </w:pPr>
      <w:r>
        <w:rPr>
          <w:rFonts w:hAnsi="Arial"/>
          <w:rFonts w:ascii="Arial"/>
          <w:sz w:val="24"/>
          <w:color w:val="black"/>
        </w:rPr>
        <w:t xml:space="preserve">a) Estar clasificado en lista 1, 2 o 3, en cada uno de los últimos tres (3) años de servicio;</w:t>
      </w:r>
    </w:p>
    <w:p>
      <w:pPr>
        <w:jc w:val="both"/>
      </w:pPr>
      <w:rPr>
        <w:sz w:val="24"/>
        <w:color w:val="black"/>
      </w:rPr>
    </w:p>
    <w:p>
      <w:pPr>
        <w:jc w:val="both"/>
      </w:pPr>
      <w:r>
        <w:rPr>
          <w:rFonts w:hAnsi="Arial"/>
          <w:rFonts w:ascii="Arial"/>
          <w:sz w:val="24"/>
          <w:color w:val="black"/>
        </w:rPr>
        <w:t xml:space="preserve">b) No tener solicitud de retiro pendiente, ni haberla presentado dentro de los dos (2) años anteriores a la selección;</w:t>
      </w:r>
    </w:p>
    <w:p>
      <w:pPr>
        <w:jc w:val="both"/>
      </w:pPr>
      <w:rPr>
        <w:sz w:val="24"/>
        <w:color w:val="black"/>
      </w:rPr>
    </w:p>
    <w:p>
      <w:pPr>
        <w:jc w:val="both"/>
      </w:pPr>
      <w:r>
        <w:rPr>
          <w:rFonts w:hAnsi="Arial"/>
          <w:rFonts w:ascii="Arial"/>
          <w:sz w:val="24"/>
          <w:color w:val="black"/>
        </w:rPr>
        <w:t xml:space="preserve">c) Haber sobresalido en su desempeño profesional, o en misiones de combate, o en operaciones relacionadas con el mantenimiento o restablecimiento del orden público;</w:t>
      </w:r>
    </w:p>
    <w:p>
      <w:pPr>
        <w:jc w:val="both"/>
      </w:pPr>
      <w:rPr>
        <w:sz w:val="24"/>
        <w:color w:val="black"/>
      </w:rPr>
    </w:p>
    <w:p>
      <w:pPr>
        <w:jc w:val="both"/>
      </w:pPr>
      <w:r>
        <w:rPr>
          <w:rFonts w:hAnsi="Arial"/>
          <w:rFonts w:ascii="Arial"/>
          <w:sz w:val="24"/>
          <w:color w:val="black"/>
        </w:rPr>
        <w:t xml:space="preserve">d) Haber aprobado el examen sobre el idioma correspondiente al país en el cual se va a desempeñar, cuando fuere del caso.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igualdad de condiciones, tendrán prelación para la asignación de estas comisiones, quienes no hayan sido enviados anteriormente.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comisiones administrativas en el exterior podrán tener una duración igual a la establecida para las comisiones diplomáticas.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399" w:name="SECCIÓN 2.3.1.1.5"/>
      <w:r>
        <w:rPr>
          <w:rFonts w:hAnsi="Arial"/>
          <w:rFonts w:ascii="Arial"/>
          <w:sz w:val="24"/>
          <w:color w:val="navy"/>
        </w:rPr>
        <w:t xml:space="preserve">SECCIÓN 5. </w:t>
      </w:r>
    </w:p>
    <w:p>
      <w:pPr>
        <w:jc w:val="center"/>
      </w:pPr>
      <w:r>
        <w:rPr>
          <w:rFonts w:hAnsi="Arial"/>
          <w:rFonts w:ascii="Arial"/>
          <w:sz w:val="24"/>
          <w:color w:val="navy"/>
        </w:rPr>
        <w:t xml:space="preserve">DE LAS RESERVAS DE OFICIALES.</w:t>
      </w:r>
      <w:bookmarkEnd w:id="6039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00" w:name="2.3.1.1.5.1"/>
      <w:r>
        <w:rPr>
          <w:rFonts w:hAnsi="Arial"/>
          <w:rFonts w:ascii="Arial"/>
          <w:sz w:val="24"/>
          <w:color w:val="navy"/>
        </w:rPr>
        <w:t xml:space="preserve">ARTÍCULO 2.3.1.1.5.1 </w:t>
      </w:r>
      <w:r>
        <w:rPr>
          <w:rFonts w:hAnsi="Arial"/>
          <w:rFonts w:ascii="Arial"/>
          <w:sz w:val="24"/>
          <w:i/>
          <w:color w:val="navy"/>
        </w:rPr>
        <w:t xml:space="preserve">RESERVA DE PRIMERA CLASE DE AVIADORES CIVILES.</w:t>
      </w:r>
      <w:bookmarkEnd w:id="60400"/>
      <w:r>
        <w:rPr>
          <w:rFonts w:hAnsi="Arial"/>
          <w:rFonts w:ascii="Arial"/>
          <w:sz w:val="24"/>
          <w:b/>
          <w:i/>
          <w:color w:val="black"/>
        </w:rPr>
        <w:t xml:space="preserve"> </w:t>
      </w:r>
      <w:r>
        <w:rPr>
          <w:rFonts w:hAnsi="Arial"/>
          <w:rFonts w:ascii="Arial"/>
          <w:sz w:val="24"/>
          <w:color w:val="black"/>
        </w:rPr>
        <w:t xml:space="preserve">Los aviadores civiles a que hace referencia el literal f) del artículo </w:t>
      </w:r>
      <w:r>
        <w:fldChar w:fldCharType="begin"/>
      </w:r>
      <w:r>
        <w:instrText>HYPERLINK "http://www.redjurista.com/document.aspx?ajcode=d1790000&amp;arts=121"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del Decreto 1790 de 2000, se les podrá conferir el grado de Teniente de Reserva, siempre y cuando cumplan los siguientes requisitos:</w:t>
      </w:r>
    </w:p>
    <w:p>
      <w:pPr>
        <w:jc w:val="both"/>
      </w:pPr>
      <w:rPr>
        <w:sz w:val="24"/>
        <w:color w:val="black"/>
      </w:rPr>
    </w:p>
    <w:p>
      <w:pPr>
        <w:jc w:val="both"/>
      </w:pPr>
      <w:r>
        <w:rPr>
          <w:rFonts w:hAnsi="Arial"/>
          <w:rFonts w:ascii="Arial"/>
          <w:sz w:val="24"/>
          <w:color w:val="black"/>
        </w:rPr>
        <w:t xml:space="preserve">a) Haber adelantado un curso de orientación militar, de acuerdo a directiva que expida el Comando General de las Fuerzas Militares;</w:t>
      </w:r>
    </w:p>
    <w:p>
      <w:pPr>
        <w:jc w:val="both"/>
      </w:pPr>
      <w:rPr>
        <w:sz w:val="24"/>
        <w:color w:val="black"/>
      </w:rPr>
    </w:p>
    <w:p>
      <w:pPr>
        <w:jc w:val="both"/>
      </w:pPr>
      <w:r>
        <w:rPr>
          <w:rFonts w:hAnsi="Arial"/>
          <w:rFonts w:ascii="Arial"/>
          <w:sz w:val="24"/>
          <w:color w:val="black"/>
        </w:rPr>
        <w:t xml:space="preserve">b) Tener el respectivo título profesional.</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01" w:name="2.3.1.1.5.2"/>
      <w:r>
        <w:rPr>
          <w:rFonts w:hAnsi="Arial"/>
          <w:rFonts w:ascii="Arial"/>
          <w:sz w:val="24"/>
          <w:color w:val="navy"/>
        </w:rPr>
        <w:t xml:space="preserve">ARTÍCULO 2.3.1.1.5.2 </w:t>
      </w:r>
      <w:r>
        <w:rPr>
          <w:rFonts w:hAnsi="Arial"/>
          <w:rFonts w:ascii="Arial"/>
          <w:sz w:val="24"/>
          <w:i/>
          <w:color w:val="navy"/>
        </w:rPr>
        <w:t xml:space="preserve">RESERVA DE PROFESIONALES EGRESADOS DE LA UNIVERSIDAD MILITAR.</w:t>
      </w:r>
      <w:bookmarkEnd w:id="60401"/>
      <w:r>
        <w:rPr>
          <w:rFonts w:hAnsi="Arial"/>
          <w:rFonts w:ascii="Arial"/>
          <w:sz w:val="24"/>
          <w:b/>
          <w:i/>
          <w:color w:val="black"/>
        </w:rPr>
        <w:t xml:space="preserve"> </w:t>
      </w:r>
      <w:r>
        <w:rPr>
          <w:rFonts w:hAnsi="Arial"/>
          <w:rFonts w:ascii="Arial"/>
          <w:sz w:val="24"/>
          <w:color w:val="black"/>
        </w:rPr>
        <w:t xml:space="preserve">A los profesionales egresados de la Universidad Militar, a que hace referencia el literal g) del artículo </w:t>
      </w:r>
      <w:r>
        <w:fldChar w:fldCharType="begin"/>
      </w:r>
      <w:r>
        <w:instrText>HYPERLINK "http://www.redjurista.com/document.aspx?ajcode=d1790000&amp;arts=121"</w:instrText>
      </w:r>
      <w:r>
        <w:fldChar w:fldCharType="separate"/>
      </w:r>
      <w:r>
        <w:rPr>
          <w:rFonts w:hAnsi="Arial"/>
          <w:rFonts w:ascii="Arial"/>
          <w:sz w:val="24"/>
          <w:u w:val="single"/>
          <w:color w:val="black"/>
        </w:rPr>
        <w:t>121</w:t>
      </w:r>
      <w:r>
        <w:fldChar w:fldCharType="end"/>
      </w:r>
      <w:r>
        <w:rPr>
          <w:rFonts w:hAnsi="Arial"/>
          <w:rFonts w:ascii="Arial"/>
          <w:sz w:val="24"/>
          <w:u w:val="none"/>
          <w:color w:val="black"/>
        </w:rPr>
        <w:t xml:space="preserve"> del Decreto 1790 de 2000, se les podrá conferir el grado de Teniente de Reserva, siempre y cuando cumplan los siguientes requisitos:</w:t>
      </w:r>
    </w:p>
    <w:p>
      <w:pPr>
        <w:jc w:val="both"/>
      </w:pPr>
      <w:rPr>
        <w:sz w:val="24"/>
        <w:color w:val="black"/>
      </w:rPr>
    </w:p>
    <w:p>
      <w:pPr>
        <w:jc w:val="both"/>
      </w:pPr>
      <w:r>
        <w:rPr>
          <w:rFonts w:hAnsi="Arial"/>
          <w:rFonts w:ascii="Arial"/>
          <w:sz w:val="24"/>
          <w:color w:val="black"/>
        </w:rPr>
        <w:t xml:space="preserve">a) Haber adelantado instrucción militar a lo largo de su carrera profesional, con base en los programas elaborados por las Fuerzas y aprobados por el Comando General de las Fuerzas Militares;</w:t>
      </w:r>
    </w:p>
    <w:p>
      <w:pPr>
        <w:jc w:val="both"/>
      </w:pPr>
      <w:rPr>
        <w:sz w:val="24"/>
        <w:color w:val="black"/>
      </w:rPr>
    </w:p>
    <w:p>
      <w:pPr>
        <w:jc w:val="both"/>
      </w:pPr>
      <w:r>
        <w:rPr>
          <w:rFonts w:hAnsi="Arial"/>
          <w:rFonts w:ascii="Arial"/>
          <w:sz w:val="24"/>
          <w:color w:val="black"/>
        </w:rPr>
        <w:t xml:space="preserve">b) Certificado de conducta excelente, expedido por el Consejo Académico de la Universidad Militar;</w:t>
      </w:r>
    </w:p>
    <w:p>
      <w:pPr>
        <w:jc w:val="both"/>
      </w:pPr>
      <w:rPr>
        <w:sz w:val="24"/>
        <w:color w:val="black"/>
      </w:rPr>
    </w:p>
    <w:p>
      <w:pPr>
        <w:jc w:val="both"/>
      </w:pPr>
      <w:r>
        <w:rPr>
          <w:rFonts w:hAnsi="Arial"/>
          <w:rFonts w:ascii="Arial"/>
          <w:sz w:val="24"/>
          <w:color w:val="black"/>
        </w:rPr>
        <w:t xml:space="preserve">c) Tener el respectivo título profesional.</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02" w:name="SECCIÓN 2.3.1.1.6"/>
      <w:r>
        <w:rPr>
          <w:rFonts w:hAnsi="Arial"/>
          <w:rFonts w:ascii="Arial"/>
          <w:sz w:val="24"/>
          <w:color w:val="navy"/>
        </w:rPr>
        <w:t xml:space="preserve">SECCIÓN 6. </w:t>
      </w:r>
    </w:p>
    <w:p>
      <w:pPr>
        <w:jc w:val="center"/>
      </w:pPr>
      <w:r>
        <w:rPr>
          <w:rFonts w:hAnsi="Arial"/>
          <w:rFonts w:ascii="Arial"/>
          <w:sz w:val="24"/>
          <w:color w:val="navy"/>
        </w:rPr>
        <w:t xml:space="preserve">NORMAS PARA LOS ALUMNOS DE LAS ESCUELAS DE FORMACIÓN.</w:t>
      </w:r>
      <w:bookmarkEnd w:id="6040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03" w:name="2.3.1.1.6.1"/>
      <w:r>
        <w:rPr>
          <w:rFonts w:hAnsi="Arial"/>
          <w:rFonts w:ascii="Arial"/>
          <w:sz w:val="24"/>
          <w:color w:val="navy"/>
        </w:rPr>
        <w:t xml:space="preserve">ARTÍCULO 2.3.1.1.6.1 </w:t>
      </w:r>
      <w:r>
        <w:rPr>
          <w:rFonts w:hAnsi="Arial"/>
          <w:rFonts w:ascii="Arial"/>
          <w:sz w:val="24"/>
          <w:i/>
          <w:color w:val="navy"/>
        </w:rPr>
        <w:t xml:space="preserve">INDEMNIZACIÓN POR MUERTE.</w:t>
      </w:r>
      <w:bookmarkEnd w:id="60403"/>
      <w:r>
        <w:rPr>
          <w:rFonts w:hAnsi="Arial"/>
          <w:rFonts w:ascii="Arial"/>
          <w:sz w:val="24"/>
          <w:b/>
          <w:i/>
          <w:color w:val="black"/>
        </w:rPr>
        <w:t xml:space="preserve"> </w:t>
      </w:r>
      <w:r>
        <w:rPr>
          <w:rFonts w:hAnsi="Arial"/>
          <w:rFonts w:ascii="Arial"/>
          <w:sz w:val="24"/>
          <w:color w:val="black"/>
        </w:rPr>
        <w:t xml:space="preserve">Para los fines determinados en el artículo </w:t>
      </w:r>
      <w:r>
        <w:fldChar w:fldCharType="begin"/>
      </w:r>
      <w:r>
        <w:instrText>HYPERLINK "http://www.redjurista.com/document.aspx?ajcode=d1790000&amp;arts=145"</w:instrText>
      </w:r>
      <w:r>
        <w:fldChar w:fldCharType="separate"/>
      </w:r>
      <w:r>
        <w:rPr>
          <w:rFonts w:hAnsi="Arial"/>
          <w:rFonts w:ascii="Arial"/>
          <w:sz w:val="24"/>
          <w:u w:val="single"/>
          <w:color w:val="black"/>
        </w:rPr>
        <w:t>145</w:t>
      </w:r>
      <w:r>
        <w:fldChar w:fldCharType="end"/>
      </w:r>
      <w:r>
        <w:rPr>
          <w:rFonts w:hAnsi="Arial"/>
          <w:rFonts w:ascii="Arial"/>
          <w:sz w:val="24"/>
          <w:u w:val="none"/>
          <w:color w:val="black"/>
        </w:rPr>
        <w:t xml:space="preserve"> del Decreto 1790 de 2000, las circunstancias de modo, tiempo y lugar en que se produjo la muerte del alumno de las Escuelas de Formación, deberán calificarse por el Director o Coman-dante de la respectiva Escuela.</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04" w:name="SECCIÓN 2.3.1.1.7"/>
      <w:r>
        <w:rPr>
          <w:rFonts w:hAnsi="Arial"/>
          <w:rFonts w:ascii="Arial"/>
          <w:sz w:val="24"/>
          <w:color w:val="navy"/>
        </w:rPr>
        <w:t xml:space="preserve">SECCIÓN 7. </w:t>
      </w:r>
    </w:p>
    <w:p>
      <w:pPr>
        <w:jc w:val="center"/>
      </w:pPr>
      <w:r>
        <w:rPr>
          <w:rFonts w:hAnsi="Arial"/>
          <w:rFonts w:ascii="Arial"/>
          <w:sz w:val="24"/>
          <w:color w:val="navy"/>
        </w:rPr>
        <w:t xml:space="preserve">DE LOS GRADOS HONORARIOS.</w:t>
      </w:r>
      <w:bookmarkEnd w:id="6040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05" w:name="2.3.1.1.7.1"/>
      <w:r>
        <w:rPr>
          <w:rFonts w:hAnsi="Arial"/>
          <w:rFonts w:ascii="Arial"/>
          <w:sz w:val="24"/>
          <w:color w:val="navy"/>
        </w:rPr>
        <w:t xml:space="preserve">ARTÍCULO 2.3.1.1.7.1 </w:t>
      </w:r>
      <w:r>
        <w:rPr>
          <w:rFonts w:hAnsi="Arial"/>
          <w:rFonts w:ascii="Arial"/>
          <w:sz w:val="24"/>
          <w:i/>
          <w:color w:val="navy"/>
        </w:rPr>
        <w:t xml:space="preserve">GRADOS HONORARIOS.</w:t>
      </w:r>
      <w:bookmarkEnd w:id="60405"/>
      <w:r>
        <w:rPr>
          <w:rFonts w:hAnsi="Arial"/>
          <w:rFonts w:ascii="Arial"/>
          <w:sz w:val="24"/>
          <w:b/>
          <w:i/>
          <w:color w:val="black"/>
        </w:rPr>
        <w:t xml:space="preserve"> </w:t>
      </w:r>
      <w:r>
        <w:rPr>
          <w:rFonts w:hAnsi="Arial"/>
          <w:rFonts w:ascii="Arial"/>
          <w:sz w:val="24"/>
          <w:color w:val="black"/>
        </w:rPr>
        <w:t xml:space="preserve">Para el otorgamiento de los grados militares honorarios a que se refiere el artículo </w:t>
      </w:r>
      <w:r>
        <w:fldChar w:fldCharType="begin"/>
      </w:r>
      <w:r>
        <w:instrText>HYPERLINK "http://www.redjurista.com/document.aspx?ajcode=d1790000&amp;arts=9"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1790 de 2000 se observarán las siguientes normas:</w:t>
      </w:r>
    </w:p>
    <w:p>
      <w:pPr>
        <w:jc w:val="both"/>
      </w:pPr>
      <w:rPr>
        <w:sz w:val="24"/>
        <w:color w:val="black"/>
      </w:rPr>
    </w:p>
    <w:p>
      <w:pPr>
        <w:jc w:val="both"/>
      </w:pPr>
      <w:r>
        <w:rPr>
          <w:rFonts w:hAnsi="Arial"/>
          <w:rFonts w:ascii="Arial"/>
          <w:sz w:val="24"/>
          <w:color w:val="black"/>
        </w:rPr>
        <w:t xml:space="preserve">a) Esta distinción honoraria se podrá conferir hasta el grado de General o Almirante, reservándose estos grados únicamente para los ex Presidentes de la República de Colombia, ex Comandantes Generales de las Fuerzas Militares, ex Jefes de Estado Mayor Conjunto y ex Comandantes de Fuerza;</w:t>
      </w:r>
    </w:p>
    <w:p>
      <w:pPr>
        <w:jc w:val="both"/>
      </w:pPr>
      <w:rPr>
        <w:sz w:val="24"/>
        <w:color w:val="black"/>
      </w:rPr>
    </w:p>
    <w:p>
      <w:pPr>
        <w:jc w:val="both"/>
      </w:pPr>
      <w:r>
        <w:rPr>
          <w:rFonts w:hAnsi="Arial"/>
          <w:rFonts w:ascii="Arial"/>
          <w:sz w:val="24"/>
          <w:color w:val="black"/>
        </w:rPr>
        <w:t xml:space="preserve">b) Las solicitudes para el otorgamiento de grados honorarios en la categoría de Oficiales, junto con los documentos necesarios para comprobar la idoneidad o merecimientos de los candidatos, deberán ser sometidas a la consideración de la Junta Asesora del Ministerio de Defensa, cuyo concepto favorable es requisito indispensable para conceder la distinción;</w:t>
      </w:r>
    </w:p>
    <w:p>
      <w:pPr>
        <w:jc w:val="both"/>
      </w:pPr>
      <w:rPr>
        <w:sz w:val="24"/>
        <w:color w:val="black"/>
      </w:rPr>
    </w:p>
    <w:p>
      <w:pPr>
        <w:jc w:val="both"/>
      </w:pPr>
      <w:r>
        <w:rPr>
          <w:rFonts w:hAnsi="Arial"/>
          <w:rFonts w:ascii="Arial"/>
          <w:sz w:val="24"/>
          <w:color w:val="black"/>
        </w:rPr>
        <w:t xml:space="preserve">c) Las solicitudes para el otorgamiento de grados honorarios en la categoría de Suboficial, deberán ser resueltas por los Comandos de Fuerza, previo estudio de la documentación allegada al efecto por los Comandantes de Unidad o Jefes de repartición que las eleven. Podrán conferirse hasta el grado de Sargento Mayor o su equivalente en la Armada Nacional y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r>
        <w:rPr>
          <w:rFonts w:hAnsi="Arial"/>
          <w:rFonts w:ascii="Arial"/>
          <w:sz w:val="24"/>
          <w:i/>
          <w:color w:val="black"/>
        </w:rPr>
        <w:t xml:space="preserve">(Decreto 319 de 2002 artículo </w:t>
      </w:r>
      <w:r>
        <w:fldChar w:fldCharType="begin"/>
      </w:r>
      <w:r>
        <w:instrText>HYPERLINK "http://www.redjurista.com/document.aspx?ajcode=d0319002&amp;arts=1"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sz w:val="24"/>
        <w:color w:val="black"/>
      </w:rPr>
    </w:p>
    <w:p>
      <w:pPr>
        <w:jc w:val="center"/>
      </w:pPr>
      <w:r>
        <w:rPr>
          <w:rFonts w:hAnsi="Arial"/>
          <w:rFonts w:ascii="Arial"/>
          <w:sz w:val="24"/>
          <w:vanish/>
          <w:color w:val="black"/>
        </w:rPr>
        <w:t>&amp;$</w:t>
      </w:r>
      <w:bookmarkStart w:id="60406" w:name="SECCIÓN 2.3.1.1.8"/>
      <w:r>
        <w:rPr>
          <w:rFonts w:hAnsi="Arial"/>
          <w:rFonts w:ascii="Arial"/>
          <w:sz w:val="24"/>
          <w:color w:val="navy"/>
        </w:rPr>
        <w:t xml:space="preserve">SECCIÓN 8. </w:t>
      </w:r>
    </w:p>
    <w:p>
      <w:pPr>
        <w:jc w:val="center"/>
      </w:pPr>
      <w:r>
        <w:rPr>
          <w:rFonts w:hAnsi="Arial"/>
          <w:rFonts w:ascii="Arial"/>
          <w:sz w:val="24"/>
          <w:color w:val="navy"/>
        </w:rPr>
        <w:t xml:space="preserve">DISPOSICIONES VARIAS.</w:t>
      </w:r>
      <w:bookmarkEnd w:id="6040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07" w:name="2.3.1.1.8.1"/>
      <w:r>
        <w:rPr>
          <w:rFonts w:hAnsi="Arial"/>
          <w:rFonts w:ascii="Arial"/>
          <w:sz w:val="24"/>
          <w:color w:val="navy"/>
        </w:rPr>
        <w:t xml:space="preserve">ARTÍCULO 2.3.1.1.8.1. </w:t>
      </w:r>
      <w:r>
        <w:rPr>
          <w:rFonts w:hAnsi="Arial"/>
          <w:rFonts w:ascii="Arial"/>
          <w:sz w:val="24"/>
          <w:i/>
          <w:color w:val="navy"/>
        </w:rPr>
        <w:t xml:space="preserve">CATEGORÍA DE PROFESORES MILITARES.</w:t>
      </w:r>
      <w:bookmarkEnd w:id="60407"/>
      <w:r>
        <w:rPr>
          <w:rFonts w:hAnsi="Arial"/>
          <w:rFonts w:ascii="Arial"/>
          <w:sz w:val="24"/>
          <w:b/>
          <w:i/>
          <w:color w:val="black"/>
        </w:rPr>
        <w:t xml:space="preserve"> </w:t>
      </w:r>
      <w:r>
        <w:rPr>
          <w:rFonts w:hAnsi="Arial"/>
          <w:rFonts w:ascii="Arial"/>
          <w:sz w:val="24"/>
          <w:color w:val="black"/>
        </w:rPr>
        <w:t xml:space="preserve">Para efectos de lo dispuesto en el artículo </w:t>
      </w:r>
      <w:r>
        <w:fldChar w:fldCharType="begin"/>
      </w:r>
      <w:r>
        <w:instrText>HYPERLINK "http://www.redjurista.com/document.aspx?ajcode=d1790000&amp;arts=150"</w:instrText>
      </w:r>
      <w:r>
        <w:fldChar w:fldCharType="separate"/>
      </w:r>
      <w:r>
        <w:rPr>
          <w:rFonts w:hAnsi="Arial"/>
          <w:rFonts w:ascii="Arial"/>
          <w:sz w:val="24"/>
          <w:u w:val="single"/>
          <w:color w:val="black"/>
        </w:rPr>
        <w:t>150</w:t>
      </w:r>
      <w:r>
        <w:fldChar w:fldCharType="end"/>
      </w:r>
      <w:r>
        <w:rPr>
          <w:rFonts w:hAnsi="Arial"/>
          <w:rFonts w:ascii="Arial"/>
          <w:sz w:val="24"/>
          <w:u w:val="none"/>
          <w:color w:val="black"/>
        </w:rPr>
        <w:t xml:space="preserve"> del Decreto 1790 de 2000, establécese las siguientes categorías de Profesores Militares:</w:t>
      </w:r>
    </w:p>
    <w:p>
      <w:pPr>
        <w:jc w:val="both"/>
      </w:pPr>
      <w:rPr>
        <w:sz w:val="24"/>
        <w:color w:val="black"/>
      </w:rPr>
    </w:p>
    <w:p>
      <w:pPr>
        <w:jc w:val="both"/>
      </w:pPr>
      <w:r>
        <w:rPr>
          <w:rFonts w:hAnsi="Arial"/>
          <w:rFonts w:ascii="Arial"/>
          <w:sz w:val="24"/>
          <w:color w:val="black"/>
        </w:rPr>
        <w:t xml:space="preserve">a) Profesor Militar de Quinta Categoría;</w:t>
      </w:r>
    </w:p>
    <w:p>
      <w:pPr>
        <w:jc w:val="both"/>
      </w:pPr>
      <w:rPr>
        <w:sz w:val="24"/>
        <w:color w:val="black"/>
      </w:rPr>
    </w:p>
    <w:p>
      <w:pPr>
        <w:jc w:val="both"/>
      </w:pPr>
      <w:r>
        <w:rPr>
          <w:rFonts w:hAnsi="Arial"/>
          <w:rFonts w:ascii="Arial"/>
          <w:sz w:val="24"/>
          <w:color w:val="black"/>
        </w:rPr>
        <w:t xml:space="preserve">b) Profesor Militar de Cuarta Categoría;</w:t>
      </w:r>
    </w:p>
    <w:p>
      <w:pPr>
        <w:jc w:val="both"/>
      </w:pPr>
      <w:rPr>
        <w:sz w:val="24"/>
        <w:color w:val="black"/>
      </w:rPr>
    </w:p>
    <w:p>
      <w:pPr>
        <w:jc w:val="both"/>
      </w:pPr>
      <w:r>
        <w:rPr>
          <w:rFonts w:hAnsi="Arial"/>
          <w:rFonts w:ascii="Arial"/>
          <w:sz w:val="24"/>
          <w:color w:val="black"/>
        </w:rPr>
        <w:t xml:space="preserve">c) Profesor Militar de Tercera Categoría;</w:t>
      </w:r>
    </w:p>
    <w:p>
      <w:pPr>
        <w:jc w:val="both"/>
      </w:pPr>
      <w:rPr>
        <w:sz w:val="24"/>
        <w:color w:val="black"/>
      </w:rPr>
    </w:p>
    <w:p>
      <w:pPr>
        <w:jc w:val="both"/>
      </w:pPr>
      <w:r>
        <w:rPr>
          <w:rFonts w:hAnsi="Arial"/>
          <w:rFonts w:ascii="Arial"/>
          <w:sz w:val="24"/>
          <w:color w:val="black"/>
        </w:rPr>
        <w:t xml:space="preserve">d) Profesor Militar de Segunda Categoría;</w:t>
      </w:r>
    </w:p>
    <w:p>
      <w:pPr>
        <w:jc w:val="both"/>
      </w:pPr>
      <w:rPr>
        <w:sz w:val="24"/>
        <w:color w:val="black"/>
      </w:rPr>
    </w:p>
    <w:p>
      <w:pPr>
        <w:jc w:val="both"/>
      </w:pPr>
      <w:r>
        <w:rPr>
          <w:rFonts w:hAnsi="Arial"/>
          <w:rFonts w:ascii="Arial"/>
          <w:sz w:val="24"/>
          <w:color w:val="black"/>
        </w:rPr>
        <w:t xml:space="preserve">e) Profesor Militar de Primera Categoría.</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08" w:name="2.3.1.1.8.2"/>
      <w:r>
        <w:rPr>
          <w:rFonts w:hAnsi="Arial"/>
          <w:rFonts w:ascii="Arial"/>
          <w:sz w:val="24"/>
          <w:color w:val="navy"/>
        </w:rPr>
        <w:t xml:space="preserve">ARTÍCULO 2.3.1.1.8.2. </w:t>
      </w:r>
      <w:r>
        <w:rPr>
          <w:rFonts w:hAnsi="Arial"/>
          <w:rFonts w:ascii="Arial"/>
          <w:sz w:val="24"/>
          <w:i/>
          <w:color w:val="navy"/>
        </w:rPr>
        <w:t xml:space="preserve">PROFESORES DE TIEMPO COMPLETO O INCOMPLETO.</w:t>
      </w:r>
      <w:bookmarkEnd w:id="60408"/>
      <w:r>
        <w:rPr>
          <w:rFonts w:hAnsi="Arial"/>
          <w:rFonts w:ascii="Arial"/>
          <w:sz w:val="24"/>
          <w:b/>
          <w:i/>
          <w:color w:val="black"/>
        </w:rPr>
        <w:t xml:space="preserve"> </w:t>
      </w:r>
      <w:r>
        <w:rPr>
          <w:rFonts w:hAnsi="Arial"/>
          <w:rFonts w:ascii="Arial"/>
          <w:sz w:val="24"/>
          <w:color w:val="black"/>
        </w:rPr>
        <w:t xml:space="preserve">Los Profesores Militares serán de tiempo completo o de tiempo incompleto, cualquiera que sea su categoría. De tiempo completo, aquellos que mediante disposición legal sean destinados a actividad exclusiva de profesorado; y de tiempo incompleto, aquellos que sean nombrados para dictar una o más asignaturas, sin perjuicio de las funciones del cargo que desempeñen.</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09" w:name="2.3.1.1.8.3"/>
      <w:r>
        <w:rPr>
          <w:rFonts w:hAnsi="Arial"/>
          <w:rFonts w:ascii="Arial"/>
          <w:sz w:val="24"/>
          <w:color w:val="navy"/>
        </w:rPr>
        <w:t xml:space="preserve">ARTÍCULO 2.3.1.1.8.3. </w:t>
      </w:r>
      <w:r>
        <w:rPr>
          <w:rFonts w:hAnsi="Arial"/>
          <w:rFonts w:ascii="Arial"/>
          <w:sz w:val="24"/>
          <w:i/>
          <w:color w:val="navy"/>
        </w:rPr>
        <w:t xml:space="preserve">PROFESORES MILITARES DE QUINTA CATEGORÍA.</w:t>
      </w:r>
      <w:bookmarkEnd w:id="60409"/>
      <w:r>
        <w:rPr>
          <w:rFonts w:hAnsi="Arial"/>
          <w:rFonts w:ascii="Arial"/>
          <w:sz w:val="24"/>
          <w:b/>
          <w:i/>
          <w:color w:val="black"/>
        </w:rPr>
        <w:t xml:space="preserve"> </w:t>
      </w:r>
      <w:r>
        <w:rPr>
          <w:rFonts w:hAnsi="Arial"/>
          <w:rFonts w:ascii="Arial"/>
          <w:sz w:val="24"/>
          <w:color w:val="black"/>
        </w:rPr>
        <w:t xml:space="preserve">Podrá ser inscrito como profesor militar de quinta categoría, el Oficial o Suboficial en servicio activo o en retiro que cumpla los siguientes requisitos:</w:t>
      </w:r>
    </w:p>
    <w:p>
      <w:pPr>
        <w:jc w:val="both"/>
      </w:pPr>
      <w:rPr>
        <w:sz w:val="24"/>
        <w:color w:val="black"/>
      </w:rPr>
    </w:p>
    <w:p>
      <w:pPr>
        <w:jc w:val="both"/>
      </w:pPr>
      <w:r>
        <w:rPr>
          <w:rFonts w:hAnsi="Arial"/>
          <w:rFonts w:ascii="Arial"/>
          <w:sz w:val="24"/>
          <w:color w:val="black"/>
        </w:rPr>
        <w:t xml:space="preserve">a) Aprobar un curso de "Preparación de Instructores" con una intensidad mínima de 90 horas, debidamente aprobado por la Jefatura de Educación y Doctrina de la respectiva Fuerza;</w:t>
      </w:r>
    </w:p>
    <w:p>
      <w:pPr>
        <w:jc w:val="both"/>
      </w:pPr>
      <w:rPr>
        <w:sz w:val="24"/>
        <w:color w:val="black"/>
      </w:rPr>
    </w:p>
    <w:p>
      <w:pPr>
        <w:jc w:val="both"/>
      </w:pPr>
      <w:r>
        <w:rPr>
          <w:rFonts w:hAnsi="Arial"/>
          <w:rFonts w:ascii="Arial"/>
          <w:sz w:val="24"/>
          <w:color w:val="black"/>
        </w:rPr>
        <w:t xml:space="preserve">b) Haber desempeñado en forma destacada y por un lapso no inferior a dos (2) años la función de instructor y haber dictado un mínimo de ciento ochenta (180) horas de clase debidamente certificadas, en Institutos de Formación y Centros de Capacitación o Educación de las Fuerzas Militares, previa solicitud favorablemente conceptuada por el respectivo Director.</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También podrán inscribirse en esta categoría, el Oficial o Suboficial que haya dictado un mínimo de doscientas setenta (270) horas de clase en la respectiva especialidad a que aspira, en Institutos de Formación y Centros de Capacitación o Educación de las Fuerzas Militares, previa solicitud favorablemente conceptuada por el respectivo Director.</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0" w:name="2.3.1.1.8.4"/>
      <w:r>
        <w:rPr>
          <w:rFonts w:hAnsi="Arial"/>
          <w:rFonts w:ascii="Arial"/>
          <w:sz w:val="24"/>
          <w:color w:val="navy"/>
        </w:rPr>
        <w:t xml:space="preserve">ARTÍCULO 2.3.1.1.8.4. </w:t>
      </w:r>
      <w:r>
        <w:rPr>
          <w:rFonts w:hAnsi="Arial"/>
          <w:rFonts w:ascii="Arial"/>
          <w:sz w:val="24"/>
          <w:i/>
          <w:color w:val="navy"/>
        </w:rPr>
        <w:t xml:space="preserve">PROFESORES MILITARES DE CUARTA CATEGORÍA.</w:t>
      </w:r>
      <w:bookmarkEnd w:id="60410"/>
      <w:r>
        <w:rPr>
          <w:rFonts w:hAnsi="Arial"/>
          <w:rFonts w:ascii="Arial"/>
          <w:sz w:val="24"/>
          <w:b/>
          <w:i/>
          <w:color w:val="black"/>
        </w:rPr>
        <w:t xml:space="preserve"> </w:t>
      </w:r>
      <w:r>
        <w:rPr>
          <w:rFonts w:hAnsi="Arial"/>
          <w:rFonts w:ascii="Arial"/>
          <w:sz w:val="24"/>
          <w:color w:val="black"/>
        </w:rPr>
        <w:t xml:space="preserve">Para ser profesor militar de cuarta categoría, se requiere haber dictado un mínimo de doscientas setenta (270) horas de clase en la respectiva especialidad, como Profesor de quinta categoría, en Institutos de Formación y Centros de Capacitación o Educación de las Fuerzas Militares.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Podrán inscribirse como Profesores Militares de cuarta categoría los Oficiales diplomados en Estado Mayor y los Oficiales o Suboficiales con título de formación universitaria o los técnicos especializados o tecnólogos, conforme a las normas de educación superior vigentes en todo tiempo, cuando hayan dictado un mínimo de doscientas setenta (270) horas de clase en la respectiva especialidad a que aspiran, en Institutos de Formación y Centros de Capacitación o Educación de las Fuerzas Militares, debidamente certificadas por el respectivo Director.</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1" w:name="2.3.1.1.8.5"/>
      <w:r>
        <w:rPr>
          <w:rFonts w:hAnsi="Arial"/>
          <w:rFonts w:ascii="Arial"/>
          <w:sz w:val="24"/>
          <w:color w:val="navy"/>
        </w:rPr>
        <w:t xml:space="preserve">ARTÍCULO 2.3.1.1.8.5. </w:t>
      </w:r>
      <w:r>
        <w:rPr>
          <w:rFonts w:hAnsi="Arial"/>
          <w:rFonts w:ascii="Arial"/>
          <w:sz w:val="24"/>
          <w:i/>
          <w:color w:val="navy"/>
        </w:rPr>
        <w:t xml:space="preserve">PROFESORES MILITARES DE TERCERA CATEGORÍA.</w:t>
      </w:r>
      <w:bookmarkEnd w:id="60411"/>
      <w:r>
        <w:rPr>
          <w:rFonts w:hAnsi="Arial"/>
          <w:rFonts w:ascii="Arial"/>
          <w:sz w:val="24"/>
          <w:b/>
          <w:i/>
          <w:color w:val="black"/>
        </w:rPr>
        <w:t xml:space="preserve"> </w:t>
      </w:r>
      <w:r>
        <w:rPr>
          <w:rFonts w:hAnsi="Arial"/>
          <w:rFonts w:ascii="Arial"/>
          <w:sz w:val="24"/>
          <w:color w:val="black"/>
        </w:rPr>
        <w:t xml:space="preserve">Para ser profesor militar de tercera categoría, se requiere cumplir los siguientes requisitos:</w:t>
      </w:r>
    </w:p>
    <w:p>
      <w:pPr>
        <w:jc w:val="both"/>
      </w:pPr>
      <w:rPr>
        <w:sz w:val="24"/>
        <w:color w:val="black"/>
      </w:rPr>
    </w:p>
    <w:p>
      <w:pPr>
        <w:jc w:val="both"/>
      </w:pPr>
      <w:r>
        <w:rPr>
          <w:rFonts w:hAnsi="Arial"/>
          <w:rFonts w:ascii="Arial"/>
          <w:sz w:val="24"/>
          <w:color w:val="black"/>
        </w:rPr>
        <w:t xml:space="preserve">a) Haber dictado un mínimo de doscientas setenta (270) horas de clase en la respectiva especialidad, como Profesor de cuarta categoría en Institutos de Formación y Centros de Capacitación o Educación de las Fuerzas Militares;</w:t>
      </w:r>
    </w:p>
    <w:p>
      <w:pPr>
        <w:jc w:val="both"/>
      </w:pPr>
      <w:rPr>
        <w:sz w:val="24"/>
        <w:color w:val="black"/>
      </w:rPr>
    </w:p>
    <w:p>
      <w:pPr>
        <w:jc w:val="both"/>
      </w:pPr>
      <w:r>
        <w:rPr>
          <w:rFonts w:hAnsi="Arial"/>
          <w:rFonts w:ascii="Arial"/>
          <w:sz w:val="24"/>
          <w:color w:val="black"/>
        </w:rPr>
        <w:t xml:space="preserve">b) Tener una especialización en docencia acreditada por un instituto de educación superior.</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Podrán inscribirse como profesores militares de tercera categoría los oficiales diplomados en Estado Mayor o que acrediten título de formación universitaria, conforme a las normas de educación superior vigentes en todo tiempo, que hayan dictado un mínimo de doscientas setenta (270) horas de clase en los cursos de la Escuela Superior de Guerra, en la respectiva especialidad a que aspiran y sean propuestos para el efecto por la Dirección del citado instituto, previo concepto favorable del consejo académico.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2" w:name="2.3.1.1.8.6"/>
      <w:r>
        <w:rPr>
          <w:rFonts w:hAnsi="Arial"/>
          <w:rFonts w:ascii="Arial"/>
          <w:sz w:val="24"/>
          <w:color w:val="navy"/>
        </w:rPr>
        <w:t xml:space="preserve">ARTÍCULO 2.3.1.1.8.6. </w:t>
      </w:r>
      <w:r>
        <w:rPr>
          <w:rFonts w:hAnsi="Arial"/>
          <w:rFonts w:ascii="Arial"/>
          <w:sz w:val="24"/>
          <w:i/>
          <w:color w:val="navy"/>
        </w:rPr>
        <w:t xml:space="preserve">PROFESORES MILITARES DE SEGUNDA CATEGORÍA.</w:t>
      </w:r>
      <w:bookmarkEnd w:id="60412"/>
      <w:r>
        <w:rPr>
          <w:rFonts w:hAnsi="Arial"/>
          <w:rFonts w:ascii="Arial"/>
          <w:sz w:val="24"/>
          <w:b/>
          <w:i/>
          <w:color w:val="black"/>
        </w:rPr>
        <w:t xml:space="preserve"> </w:t>
      </w:r>
      <w:r>
        <w:rPr>
          <w:rFonts w:hAnsi="Arial"/>
          <w:rFonts w:ascii="Arial"/>
          <w:sz w:val="24"/>
          <w:color w:val="black"/>
        </w:rPr>
        <w:t xml:space="preserve">Para ser profesor militar de segunda categoría, se requiere cumplir los siguientes requisitos:</w:t>
      </w:r>
    </w:p>
    <w:p>
      <w:pPr>
        <w:jc w:val="both"/>
      </w:pPr>
      <w:rPr>
        <w:sz w:val="24"/>
        <w:color w:val="black"/>
      </w:rPr>
    </w:p>
    <w:p>
      <w:pPr>
        <w:jc w:val="both"/>
      </w:pPr>
      <w:r>
        <w:rPr>
          <w:rFonts w:hAnsi="Arial"/>
          <w:rFonts w:ascii="Arial"/>
          <w:sz w:val="24"/>
          <w:color w:val="black"/>
        </w:rPr>
        <w:t xml:space="preserve">a) Ser diplomado en Estado Mayor o acreditar título de formación universitaria, conforme a las normas de educación superior vigentes en todo tiempo;</w:t>
      </w:r>
    </w:p>
    <w:p>
      <w:pPr>
        <w:jc w:val="both"/>
      </w:pPr>
      <w:rPr>
        <w:sz w:val="24"/>
        <w:color w:val="black"/>
      </w:rPr>
    </w:p>
    <w:p>
      <w:pPr>
        <w:jc w:val="both"/>
      </w:pPr>
      <w:r>
        <w:rPr>
          <w:rFonts w:hAnsi="Arial"/>
          <w:rFonts w:ascii="Arial"/>
          <w:sz w:val="24"/>
          <w:color w:val="black"/>
        </w:rPr>
        <w:t xml:space="preserve">b) Haber dictado un mínimo de doscientas setenta (270) horas de clase en la respectiva especialidad, como profesor militar de tercera categoría en Institutos de Formación y Centros de Capacitación o Educación de las Fuerzas Militares;</w:t>
      </w:r>
    </w:p>
    <w:p>
      <w:pPr>
        <w:jc w:val="both"/>
      </w:pPr>
      <w:rPr>
        <w:sz w:val="24"/>
        <w:color w:val="black"/>
      </w:rPr>
    </w:p>
    <w:p>
      <w:pPr>
        <w:jc w:val="both"/>
      </w:pPr>
      <w:r>
        <w:rPr>
          <w:rFonts w:hAnsi="Arial"/>
          <w:rFonts w:ascii="Arial"/>
          <w:sz w:val="24"/>
          <w:color w:val="black"/>
        </w:rPr>
        <w:t xml:space="preserve">c) Ser autor de una monografía que sirva de texto base para el estudio de la materia o materias de la especialidad, debidamente aprobada por el Comandante de Fuerza, previo concepto favorable de la Jefatura de Educación y Doctrina de la respectiva Fuerza.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Podrán inscribirse como profesores militares de segunda categoría, los oficiales o suboficiales que acrediten título de "Maestría", conforme a las normas de educación superior vigentes en todo tiempo y que hayan dictado un mínimo de quinientas (500) horas de clase en Institutos de Formación y Centros de Capacitación o Educación de las Fuerzas Militares.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3" w:name="2.3.1.1.8.7"/>
      <w:r>
        <w:rPr>
          <w:rFonts w:hAnsi="Arial"/>
          <w:rFonts w:ascii="Arial"/>
          <w:sz w:val="24"/>
          <w:color w:val="navy"/>
        </w:rPr>
        <w:t xml:space="preserve">ARTÍCULO 2.3.1.1.8.7. </w:t>
      </w:r>
      <w:r>
        <w:rPr>
          <w:rFonts w:hAnsi="Arial"/>
          <w:rFonts w:ascii="Arial"/>
          <w:sz w:val="24"/>
          <w:i/>
          <w:color w:val="navy"/>
        </w:rPr>
        <w:t xml:space="preserve">PROFESORES MILITARES DE PRIMERA CATEGORÍA.</w:t>
      </w:r>
      <w:bookmarkEnd w:id="60413"/>
      <w:r>
        <w:rPr>
          <w:rFonts w:hAnsi="Arial"/>
          <w:rFonts w:ascii="Arial"/>
          <w:sz w:val="24"/>
          <w:b/>
          <w:i/>
          <w:color w:val="black"/>
        </w:rPr>
        <w:t xml:space="preserve"> </w:t>
      </w:r>
      <w:r>
        <w:rPr>
          <w:rFonts w:hAnsi="Arial"/>
          <w:rFonts w:ascii="Arial"/>
          <w:sz w:val="24"/>
          <w:color w:val="black"/>
        </w:rPr>
        <w:t xml:space="preserve">Para ser profesor militar de primera categoría, se requiere cumplir los siguientes requisitos:</w:t>
      </w:r>
    </w:p>
    <w:p>
      <w:pPr>
        <w:jc w:val="both"/>
      </w:pPr>
      <w:rPr>
        <w:sz w:val="24"/>
        <w:color w:val="black"/>
      </w:rPr>
    </w:p>
    <w:p>
      <w:pPr>
        <w:jc w:val="both"/>
      </w:pPr>
      <w:r>
        <w:rPr>
          <w:rFonts w:hAnsi="Arial"/>
          <w:rFonts w:ascii="Arial"/>
          <w:sz w:val="24"/>
          <w:color w:val="black"/>
        </w:rPr>
        <w:t xml:space="preserve">a) Ser diplomado en Estado Mayor, o acreditar título de formación universitaria, conforme a las normas de educación superior vigentes en todo tiempo;</w:t>
      </w:r>
    </w:p>
    <w:p>
      <w:pPr>
        <w:jc w:val="both"/>
      </w:pPr>
      <w:rPr>
        <w:sz w:val="24"/>
        <w:color w:val="black"/>
      </w:rPr>
    </w:p>
    <w:p>
      <w:pPr>
        <w:jc w:val="both"/>
      </w:pPr>
      <w:r>
        <w:rPr>
          <w:rFonts w:hAnsi="Arial"/>
          <w:rFonts w:ascii="Arial"/>
          <w:sz w:val="24"/>
          <w:color w:val="black"/>
        </w:rPr>
        <w:t xml:space="preserve">b) Haber dictado un mínimo de doscientas setenta (270) horas de clase en la respectiva especialidad, como profesor de segunda categoría en institutos de formación o capacitación de las Fuerzas Militares o en centros de educación adscritos a las mismas;</w:t>
      </w:r>
    </w:p>
    <w:p>
      <w:pPr>
        <w:jc w:val="both"/>
      </w:pPr>
      <w:rPr>
        <w:sz w:val="24"/>
        <w:color w:val="black"/>
      </w:rPr>
    </w:p>
    <w:p>
      <w:pPr>
        <w:jc w:val="both"/>
      </w:pPr>
      <w:r>
        <w:rPr>
          <w:rFonts w:hAnsi="Arial"/>
          <w:rFonts w:ascii="Arial"/>
          <w:sz w:val="24"/>
          <w:color w:val="black"/>
        </w:rPr>
        <w:t xml:space="preserve">c) Ser autor de un libro o manual que sirva de texto de estudio en la materia o materias de la especialidad, debidamente aprobado por el Comando General de las Fuerzas Militares, previo concepto favorable del respectivo Comando de Fuerza.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Podrán inscribirse como profesores militares de primera categoría, los oficiales o suboficiales que acrediten título de Doctorado, conforme a las normas de educación superior vigentes en todo tiempo y que hayan dictado un mínimo de quinientas (500) horas de clase en Institutos de Formación y Centros de Capacitación o Educación de las Fuerzas Militares, en la respectiva especialidad a la que aspiran.</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4" w:name="2.3.1.1.8.8"/>
      <w:r>
        <w:rPr>
          <w:rFonts w:hAnsi="Arial"/>
          <w:rFonts w:ascii="Arial"/>
          <w:sz w:val="24"/>
          <w:color w:val="navy"/>
        </w:rPr>
        <w:t xml:space="preserve">ARTÍCULO 2.3.1.1.8.8. </w:t>
      </w:r>
      <w:r>
        <w:rPr>
          <w:rFonts w:hAnsi="Arial"/>
          <w:rFonts w:ascii="Arial"/>
          <w:sz w:val="24"/>
          <w:i/>
          <w:color w:val="navy"/>
        </w:rPr>
        <w:t xml:space="preserve">ACTIVIDADES DOCENTES EN EL EXTRANJERO Y EN UNIVERSIDADES DEL PAÍS.</w:t>
      </w:r>
      <w:bookmarkEnd w:id="60414"/>
      <w:r>
        <w:rPr>
          <w:rFonts w:hAnsi="Arial"/>
          <w:rFonts w:ascii="Arial"/>
          <w:sz w:val="24"/>
          <w:b/>
          <w:i/>
          <w:color w:val="black"/>
        </w:rPr>
        <w:t xml:space="preserve"> </w:t>
      </w:r>
      <w:r>
        <w:rPr>
          <w:rFonts w:hAnsi="Arial"/>
          <w:rFonts w:ascii="Arial"/>
          <w:sz w:val="24"/>
          <w:color w:val="black"/>
        </w:rPr>
        <w:t xml:space="preserve">Los oficiales y suboficiales que desempeñen una función docente como profesores o instructores invitados en escuelas o institutos de las Fuerzas Militares extranjeras, o en universidades del país, tendrán derecho a que se les abonen las horas de clase que dicten para efectos de promoción a la categoría inmediatamente superior, previa certificación y concepto de los respectivos Comandantes, Directores o Rectores.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5" w:name="2.3.1.1.8.9"/>
      <w:r>
        <w:rPr>
          <w:rFonts w:hAnsi="Arial"/>
          <w:rFonts w:ascii="Arial"/>
          <w:sz w:val="24"/>
          <w:color w:val="navy"/>
        </w:rPr>
        <w:t xml:space="preserve">ARTÍCULO 2.3.1.1.8.9. </w:t>
      </w:r>
      <w:r>
        <w:rPr>
          <w:rFonts w:hAnsi="Arial"/>
          <w:rFonts w:ascii="Arial"/>
          <w:sz w:val="24"/>
          <w:i/>
          <w:color w:val="navy"/>
        </w:rPr>
        <w:t xml:space="preserve">RAMAS PARA LA ESPECIALIZACIÓN DE PROFESORES.</w:t>
      </w:r>
      <w:bookmarkEnd w:id="60415"/>
      <w:r>
        <w:rPr>
          <w:rFonts w:hAnsi="Arial"/>
          <w:rFonts w:ascii="Arial"/>
          <w:sz w:val="24"/>
          <w:b/>
          <w:i/>
          <w:color w:val="black"/>
        </w:rPr>
        <w:t xml:space="preserve"> </w:t>
      </w:r>
      <w:r>
        <w:rPr>
          <w:rFonts w:hAnsi="Arial"/>
          <w:rFonts w:ascii="Arial"/>
          <w:sz w:val="24"/>
          <w:color w:val="black"/>
        </w:rPr>
        <w:t xml:space="preserve">Determínase las siguientes grandes ramas para la especialización de oficiales y suboficiales como Profesores Militares: Humanidades, Ciencias Naturales, Ciencias Exactas, Ciencias Sociales, Ciencias Militares, Ciencias Jurídicas, Ciencias Administrativas y Contables, Ciencias de la Salud, Especialidades Técnicas e Idiomas.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6" w:name="2.3.1.1.8.10"/>
      <w:r>
        <w:rPr>
          <w:rFonts w:hAnsi="Arial"/>
          <w:rFonts w:ascii="Arial"/>
          <w:sz w:val="24"/>
          <w:color w:val="navy"/>
        </w:rPr>
        <w:t xml:space="preserve">ARTÍCULO 2.3.1.1.8.10. </w:t>
      </w:r>
      <w:r>
        <w:rPr>
          <w:rFonts w:hAnsi="Arial"/>
          <w:rFonts w:ascii="Arial"/>
          <w:sz w:val="24"/>
          <w:i/>
          <w:color w:val="navy"/>
        </w:rPr>
        <w:t xml:space="preserve">INSCRIPCIÓN COMO PROFESOR MILITAR.</w:t>
      </w:r>
      <w:bookmarkEnd w:id="60416"/>
      <w:r>
        <w:rPr>
          <w:rFonts w:hAnsi="Arial"/>
          <w:rFonts w:ascii="Arial"/>
          <w:sz w:val="24"/>
          <w:b/>
          <w:i/>
          <w:color w:val="black"/>
        </w:rPr>
        <w:t xml:space="preserve"> </w:t>
      </w:r>
      <w:r>
        <w:rPr>
          <w:rFonts w:hAnsi="Arial"/>
          <w:rFonts w:ascii="Arial"/>
          <w:sz w:val="24"/>
          <w:color w:val="black"/>
        </w:rPr>
        <w:t xml:space="preserve">Los oficiales y suboficiales que reúnan los requisitos para ser inscritos como Profesores Militares en cualquiera de las ramas enumeradas en el artículo anterior y dentro de las categorías determinadas en el artículo </w:t>
      </w:r>
      <w:r>
        <w:fldChar w:fldCharType="begin"/>
      </w:r>
      <w:r>
        <w:instrText>HYPERLINK "http://www.redjurista.com/document.aspx?ajcode=d1070015&amp;arts=2.3.1.1.8.1"</w:instrText>
      </w:r>
      <w:r>
        <w:fldChar w:fldCharType="separate"/>
      </w:r>
      <w:r>
        <w:rPr>
          <w:rFonts w:hAnsi="Arial"/>
          <w:rFonts w:ascii="Arial"/>
          <w:sz w:val="24"/>
          <w:u w:val="single"/>
          <w:color w:val="black"/>
        </w:rPr>
        <w:t>2.3.1.1.8.1.</w:t>
      </w:r>
      <w:r>
        <w:fldChar w:fldCharType="end"/>
      </w:r>
      <w:r>
        <w:rPr>
          <w:rFonts w:hAnsi="Arial"/>
          <w:rFonts w:ascii="Arial"/>
          <w:sz w:val="24"/>
          <w:u w:val="none"/>
          <w:color w:val="black"/>
        </w:rPr>
        <w:t xml:space="preserve">, de esta Sección, deberán elevar su solicitud al Comando competente, adjuntando los documentos que acrediten el lleno de tales requisitos.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7" w:name="2.3.1.1.8.11"/>
      <w:r>
        <w:rPr>
          <w:rFonts w:hAnsi="Arial"/>
          <w:rFonts w:ascii="Arial"/>
          <w:sz w:val="24"/>
          <w:color w:val="navy"/>
        </w:rPr>
        <w:t xml:space="preserve">ARTÍCULO 2.3.1.1.8.11. </w:t>
      </w:r>
      <w:r>
        <w:rPr>
          <w:rFonts w:hAnsi="Arial"/>
          <w:rFonts w:ascii="Arial"/>
          <w:sz w:val="24"/>
          <w:i/>
          <w:color w:val="navy"/>
        </w:rPr>
        <w:t xml:space="preserve">AUTORIDADES PARA LA EXPEDICIÓN DE TÍTULOS DE PROFESOR MILITAR.</w:t>
      </w:r>
      <w:bookmarkEnd w:id="60417"/>
      <w:r>
        <w:rPr>
          <w:rFonts w:hAnsi="Arial"/>
          <w:rFonts w:ascii="Arial"/>
          <w:sz w:val="24"/>
          <w:b/>
          <w:i/>
          <w:color w:val="black"/>
        </w:rPr>
        <w:t xml:space="preserve"> </w:t>
      </w:r>
      <w:r>
        <w:rPr>
          <w:rFonts w:hAnsi="Arial"/>
          <w:rFonts w:ascii="Arial"/>
          <w:sz w:val="24"/>
          <w:color w:val="black"/>
        </w:rPr>
        <w:t xml:space="preserve">Los títulos de Profesor Militar serán expedidos por las siguientes autoridades:</w:t>
      </w:r>
    </w:p>
    <w:p>
      <w:pPr>
        <w:jc w:val="both"/>
      </w:pPr>
      <w:rPr>
        <w:sz w:val="24"/>
        <w:color w:val="black"/>
      </w:rPr>
    </w:p>
    <w:p>
      <w:pPr>
        <w:jc w:val="both"/>
      </w:pPr>
      <w:r>
        <w:rPr>
          <w:rFonts w:hAnsi="Arial"/>
          <w:rFonts w:ascii="Arial"/>
          <w:sz w:val="24"/>
          <w:color w:val="black"/>
        </w:rPr>
        <w:t xml:space="preserve">a) Para profesores de Primera y Segunda Categoría, por el Comandante General de las Fuerzas Militares;</w:t>
      </w:r>
    </w:p>
    <w:p>
      <w:pPr>
        <w:jc w:val="both"/>
      </w:pPr>
      <w:rPr>
        <w:sz w:val="24"/>
        <w:color w:val="black"/>
      </w:rPr>
    </w:p>
    <w:p>
      <w:pPr>
        <w:jc w:val="both"/>
      </w:pPr>
      <w:r>
        <w:rPr>
          <w:rFonts w:hAnsi="Arial"/>
          <w:rFonts w:ascii="Arial"/>
          <w:sz w:val="24"/>
          <w:color w:val="black"/>
        </w:rPr>
        <w:t xml:space="preserve">b) Para profesores de Tercera, Cuarta y Quinta Categoría, por los respectivos Comandantes de Fuerza.</w:t>
      </w:r>
    </w:p>
    <w:p>
      <w:pPr>
        <w:jc w:val="both"/>
      </w:pPr>
      <w:rPr>
        <w:sz w:val="24"/>
        <w:color w:val="black"/>
      </w:rPr>
    </w:p>
    <w:p>
      <w:pPr>
        <w:jc w:val="both"/>
      </w:pPr>
      <w:r>
        <w:rPr>
          <w:rFonts w:hAnsi="Arial"/>
          <w:rFonts w:ascii="Arial"/>
          <w:sz w:val="24"/>
          <w:color w:val="black"/>
        </w:rPr>
        <w:t xml:space="preserve">A los Oficiales y Suboficiales inscritos en una cualquiera de las categorías contempladas en el artículo </w:t>
      </w:r>
      <w:r>
        <w:fldChar w:fldCharType="begin"/>
      </w:r>
      <w:r>
        <w:instrText>HYPERLINK "http://www.redjurista.com/document.aspx?ajcode=d1070015&amp;arts=2.3.1.1.8.1"</w:instrText>
      </w:r>
      <w:r>
        <w:fldChar w:fldCharType="separate"/>
      </w:r>
      <w:r>
        <w:rPr>
          <w:rFonts w:hAnsi="Arial"/>
          <w:rFonts w:ascii="Arial"/>
          <w:sz w:val="24"/>
          <w:u w:val="single"/>
          <w:color w:val="black"/>
        </w:rPr>
        <w:t>2.3.1.1.8.1.</w:t>
      </w:r>
      <w:r>
        <w:fldChar w:fldCharType="end"/>
      </w:r>
      <w:r>
        <w:rPr>
          <w:rFonts w:hAnsi="Arial"/>
          <w:rFonts w:ascii="Arial"/>
          <w:sz w:val="24"/>
          <w:u w:val="none"/>
          <w:color w:val="black"/>
        </w:rPr>
        <w:t xml:space="preserve">, de esta Sección, se les expedirá el título correspondiente con indicación de la especialidad, dejando constancia de ello en los respectivos escalafones.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8" w:name="2.3.1.1.8.12"/>
      <w:r>
        <w:rPr>
          <w:rFonts w:hAnsi="Arial"/>
          <w:rFonts w:ascii="Arial"/>
          <w:sz w:val="24"/>
          <w:color w:val="navy"/>
        </w:rPr>
        <w:t xml:space="preserve">ARTÍCULO 2.3.1.1.8.12. </w:t>
      </w:r>
      <w:r>
        <w:rPr>
          <w:rFonts w:hAnsi="Arial"/>
          <w:rFonts w:ascii="Arial"/>
          <w:sz w:val="24"/>
          <w:i/>
          <w:color w:val="navy"/>
        </w:rPr>
        <w:t xml:space="preserve">JUNTAS DE TÍTULOS DE PROFESOR MILITAR.</w:t>
      </w:r>
      <w:bookmarkEnd w:id="60418"/>
      <w:r>
        <w:rPr>
          <w:rFonts w:hAnsi="Arial"/>
          <w:rFonts w:ascii="Arial"/>
          <w:sz w:val="24"/>
          <w:b/>
          <w:i/>
          <w:color w:val="black"/>
        </w:rPr>
        <w:t xml:space="preserve"> </w:t>
      </w:r>
      <w:r>
        <w:rPr>
          <w:rFonts w:hAnsi="Arial"/>
          <w:rFonts w:ascii="Arial"/>
          <w:sz w:val="24"/>
          <w:color w:val="black"/>
        </w:rPr>
        <w:t xml:space="preserve">Los Comandos a que se refiere el artículo anterior, contarán con las siguientes Juntas de Títulos de profesor militar, para el otorgamiento de los respectivos títulos, conformadas por:</w:t>
      </w:r>
    </w:p>
    <w:p>
      <w:pPr>
        <w:jc w:val="both"/>
      </w:pPr>
      <w:rPr>
        <w:sz w:val="24"/>
        <w:color w:val="black"/>
      </w:rPr>
    </w:p>
    <w:p>
      <w:pPr>
        <w:jc w:val="both"/>
      </w:pPr>
      <w:r>
        <w:rPr>
          <w:rFonts w:hAnsi="Arial"/>
          <w:rFonts w:ascii="Arial"/>
          <w:sz w:val="24"/>
          <w:color w:val="black"/>
        </w:rPr>
        <w:t xml:space="preserve">a) A nivel Comando General de las Fuerzas Militares:</w:t>
      </w:r>
    </w:p>
    <w:p>
      <w:pPr>
        <w:jc w:val="both"/>
      </w:pPr>
      <w:rPr>
        <w:sz w:val="24"/>
        <w:color w:val="black"/>
      </w:rPr>
    </w:p>
    <w:p>
      <w:pPr>
        <w:jc w:val="both"/>
      </w:pPr>
      <w:r>
        <w:rPr>
          <w:rFonts w:hAnsi="Arial"/>
          <w:rFonts w:ascii="Arial"/>
          <w:sz w:val="24"/>
          <w:color w:val="black"/>
        </w:rPr>
        <w:t xml:space="preserve">1. Jefe del Estado Mayor Conjunto.</w:t>
      </w:r>
    </w:p>
    <w:p>
      <w:pPr>
        <w:jc w:val="both"/>
      </w:pPr>
      <w:rPr>
        <w:sz w:val="24"/>
        <w:color w:val="black"/>
      </w:rPr>
    </w:p>
    <w:p>
      <w:pPr>
        <w:jc w:val="both"/>
      </w:pPr>
      <w:r>
        <w:rPr>
          <w:rFonts w:hAnsi="Arial"/>
          <w:rFonts w:ascii="Arial"/>
          <w:sz w:val="24"/>
          <w:color w:val="black"/>
        </w:rPr>
        <w:t xml:space="preserve">2. Inspector General de las Fuerzas Militares.</w:t>
      </w:r>
    </w:p>
    <w:p>
      <w:pPr>
        <w:jc w:val="both"/>
      </w:pPr>
      <w:rPr>
        <w:sz w:val="24"/>
        <w:color w:val="black"/>
      </w:rPr>
    </w:p>
    <w:p>
      <w:pPr>
        <w:jc w:val="both"/>
      </w:pPr>
      <w:r>
        <w:rPr>
          <w:rFonts w:hAnsi="Arial"/>
          <w:rFonts w:ascii="Arial"/>
          <w:sz w:val="24"/>
          <w:color w:val="black"/>
        </w:rPr>
        <w:t xml:space="preserve">3. Jefe de Educación y Doctrina del Ejército, Jefe de Desarrollo de Recurso Humano de la Armada y Jefe de Educación Aeronáutica de la Fuerza Aérea.</w:t>
      </w:r>
    </w:p>
    <w:p>
      <w:pPr>
        <w:jc w:val="both"/>
      </w:pPr>
      <w:rPr>
        <w:sz w:val="24"/>
        <w:color w:val="black"/>
      </w:rPr>
    </w:p>
    <w:p>
      <w:pPr>
        <w:jc w:val="both"/>
      </w:pPr>
      <w:r>
        <w:rPr>
          <w:rFonts w:hAnsi="Arial"/>
          <w:rFonts w:ascii="Arial"/>
          <w:sz w:val="24"/>
          <w:color w:val="black"/>
        </w:rPr>
        <w:t xml:space="preserve">4. Jefe del Departamento D-3 del Estado Mayor Conjunto.</w:t>
      </w:r>
    </w:p>
    <w:p>
      <w:pPr>
        <w:jc w:val="both"/>
      </w:pPr>
      <w:rPr>
        <w:sz w:val="24"/>
        <w:color w:val="black"/>
      </w:rPr>
    </w:p>
    <w:p>
      <w:pPr>
        <w:jc w:val="both"/>
      </w:pPr>
      <w:r>
        <w:rPr>
          <w:rFonts w:hAnsi="Arial"/>
          <w:rFonts w:ascii="Arial"/>
          <w:sz w:val="24"/>
          <w:color w:val="black"/>
        </w:rPr>
        <w:t xml:space="preserve">5. Jefe de la División de Instrucción y Entrenamiento del Departamento D-3 del Estado Mayor Conjunto, quien, actuará como Secretario.</w:t>
      </w:r>
    </w:p>
    <w:p>
      <w:pPr>
        <w:jc w:val="both"/>
      </w:pPr>
      <w:rPr>
        <w:sz w:val="24"/>
        <w:color w:val="black"/>
      </w:rPr>
    </w:p>
    <w:p>
      <w:pPr>
        <w:jc w:val="both"/>
      </w:pPr>
      <w:r>
        <w:rPr>
          <w:rFonts w:hAnsi="Arial"/>
          <w:rFonts w:ascii="Arial"/>
          <w:sz w:val="24"/>
          <w:color w:val="black"/>
        </w:rPr>
        <w:t xml:space="preserve">b) A nivel Comando de Fuerza:</w:t>
      </w:r>
    </w:p>
    <w:p>
      <w:pPr>
        <w:jc w:val="both"/>
      </w:pPr>
      <w:rPr>
        <w:sz w:val="24"/>
        <w:color w:val="black"/>
      </w:rPr>
    </w:p>
    <w:p>
      <w:pPr>
        <w:jc w:val="both"/>
      </w:pPr>
      <w:r>
        <w:rPr>
          <w:rFonts w:hAnsi="Arial"/>
          <w:rFonts w:ascii="Arial"/>
          <w:sz w:val="24"/>
          <w:color w:val="black"/>
        </w:rPr>
        <w:t xml:space="preserve">1. Segundo Comandante de la respectiva Fuerza.</w:t>
      </w:r>
    </w:p>
    <w:p>
      <w:pPr>
        <w:jc w:val="both"/>
      </w:pPr>
      <w:rPr>
        <w:sz w:val="24"/>
        <w:color w:val="black"/>
      </w:rPr>
    </w:p>
    <w:p>
      <w:pPr>
        <w:jc w:val="both"/>
      </w:pPr>
      <w:r>
        <w:rPr>
          <w:rFonts w:hAnsi="Arial"/>
          <w:rFonts w:ascii="Arial"/>
          <w:sz w:val="24"/>
          <w:color w:val="black"/>
        </w:rPr>
        <w:t xml:space="preserve">2. Inspector de la respectiva Fuerza.</w:t>
      </w:r>
    </w:p>
    <w:p>
      <w:pPr>
        <w:jc w:val="both"/>
      </w:pPr>
      <w:rPr>
        <w:sz w:val="24"/>
        <w:color w:val="black"/>
      </w:rPr>
    </w:p>
    <w:p>
      <w:pPr>
        <w:jc w:val="both"/>
      </w:pPr>
      <w:r>
        <w:rPr>
          <w:rFonts w:hAnsi="Arial"/>
          <w:rFonts w:ascii="Arial"/>
          <w:sz w:val="24"/>
          <w:color w:val="black"/>
        </w:rPr>
        <w:t xml:space="preserve">3. Jefe de Recursos Humanos o de Desarrollo Humano de la Fuerza a la que pertenece el solicitante.</w:t>
      </w:r>
    </w:p>
    <w:p>
      <w:pPr>
        <w:jc w:val="both"/>
      </w:pPr>
      <w:rPr>
        <w:sz w:val="24"/>
        <w:color w:val="black"/>
      </w:rPr>
    </w:p>
    <w:p>
      <w:pPr>
        <w:jc w:val="both"/>
      </w:pPr>
      <w:r>
        <w:rPr>
          <w:rFonts w:hAnsi="Arial"/>
          <w:rFonts w:ascii="Arial"/>
          <w:sz w:val="24"/>
          <w:color w:val="black"/>
        </w:rPr>
        <w:t xml:space="preserve">4. Jefes o Directores de Instrucción y Entrenamiento del Ejército, Armada Nacional y Fuerza Aérea.</w:t>
      </w:r>
    </w:p>
    <w:p>
      <w:pPr>
        <w:jc w:val="both"/>
      </w:pPr>
      <w:rPr>
        <w:sz w:val="24"/>
        <w:color w:val="black"/>
      </w:rPr>
    </w:p>
    <w:p>
      <w:pPr>
        <w:jc w:val="both"/>
      </w:pPr>
      <w:r>
        <w:rPr>
          <w:rFonts w:hAnsi="Arial"/>
          <w:rFonts w:ascii="Arial"/>
          <w:sz w:val="24"/>
          <w:color w:val="black"/>
        </w:rPr>
        <w:t xml:space="preserve">5. Subjefe de la Dirección de Instrucción y Entrenamiento del Ejército, Jefe de la División de Educación Naval de la Armada Nacional y Jefe de la Sección de Instrucción de la respectiva Jefatura de la Fuerza Aérea, quienes actuarán como Secretarios.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19" w:name="2.3.1.1.8.13"/>
      <w:r>
        <w:rPr>
          <w:rFonts w:hAnsi="Arial"/>
          <w:rFonts w:ascii="Arial"/>
          <w:sz w:val="24"/>
          <w:color w:val="navy"/>
        </w:rPr>
        <w:t xml:space="preserve">ARTÍCULO 2.3.1.1.8.13. </w:t>
      </w:r>
      <w:r>
        <w:rPr>
          <w:rFonts w:hAnsi="Arial"/>
          <w:rFonts w:ascii="Arial"/>
          <w:sz w:val="24"/>
          <w:i/>
          <w:color w:val="navy"/>
        </w:rPr>
        <w:t xml:space="preserve">FUNCIONES DE LAS JUNTAS DE TÍTULOS DE PROFESOR MILITAR.</w:t>
      </w:r>
      <w:bookmarkEnd w:id="60419"/>
      <w:r>
        <w:rPr>
          <w:rFonts w:hAnsi="Arial"/>
          <w:rFonts w:ascii="Arial"/>
          <w:sz w:val="24"/>
          <w:b/>
          <w:i/>
          <w:color w:val="black"/>
        </w:rPr>
        <w:t xml:space="preserve"> </w:t>
      </w:r>
      <w:r>
        <w:rPr>
          <w:rFonts w:hAnsi="Arial"/>
          <w:rFonts w:ascii="Arial"/>
          <w:sz w:val="24"/>
          <w:color w:val="black"/>
        </w:rPr>
        <w:t xml:space="preserve">Son funciones de las Juntas de Títulos de Profesor Militar:</w:t>
      </w:r>
    </w:p>
    <w:p>
      <w:pPr>
        <w:jc w:val="both"/>
      </w:pPr>
      <w:rPr>
        <w:sz w:val="24"/>
        <w:color w:val="black"/>
      </w:rPr>
    </w:p>
    <w:p>
      <w:pPr>
        <w:jc w:val="both"/>
      </w:pPr>
      <w:r>
        <w:rPr>
          <w:rFonts w:hAnsi="Arial"/>
          <w:rFonts w:ascii="Arial"/>
          <w:sz w:val="24"/>
          <w:color w:val="black"/>
        </w:rPr>
        <w:t xml:space="preserve">a) Estudiar las solicitudes que para inscripción o promoción se eleven al respectivo Comando;</w:t>
      </w:r>
    </w:p>
    <w:p>
      <w:pPr>
        <w:jc w:val="both"/>
      </w:pPr>
      <w:rPr>
        <w:sz w:val="24"/>
        <w:color w:val="black"/>
      </w:rPr>
    </w:p>
    <w:p>
      <w:pPr>
        <w:jc w:val="both"/>
      </w:pPr>
      <w:r>
        <w:rPr>
          <w:rFonts w:hAnsi="Arial"/>
          <w:rFonts w:ascii="Arial"/>
          <w:sz w:val="24"/>
          <w:color w:val="black"/>
        </w:rPr>
        <w:t xml:space="preserve">b) Proponer la expedición de los títulos para quienes acrediten el lleno de los correspondientes requisitos;</w:t>
      </w:r>
    </w:p>
    <w:p>
      <w:pPr>
        <w:jc w:val="both"/>
      </w:pPr>
      <w:rPr>
        <w:sz w:val="24"/>
        <w:color w:val="black"/>
      </w:rPr>
    </w:p>
    <w:p>
      <w:pPr>
        <w:jc w:val="both"/>
      </w:pPr>
      <w:r>
        <w:rPr>
          <w:rFonts w:hAnsi="Arial"/>
          <w:rFonts w:ascii="Arial"/>
          <w:sz w:val="24"/>
          <w:color w:val="black"/>
        </w:rPr>
        <w:t xml:space="preserve">c) Llevar el registro de los títulos expedidos.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la Dirección de Instrucción y Entrenamiento de las respectivas fuerzas y en el Departamento D-3 del Estado Mayor Conjunto, se llevará el libro de Registro de Títulos de Profesor Militar y el archivo de todos los documentos relacionados con el otorgamiento de los mismos.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Juntas de títulos académicos de profesor militar, deberán reunirse por lo menos dos (2) veces al año.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0" w:name="2.3.1.1.8.14"/>
      <w:r>
        <w:rPr>
          <w:rFonts w:hAnsi="Arial"/>
          <w:rFonts w:ascii="Arial"/>
          <w:sz w:val="24"/>
          <w:color w:val="navy"/>
        </w:rPr>
        <w:t xml:space="preserve">ARTÍCULO 2.3.1.1.8.14. </w:t>
      </w:r>
      <w:r>
        <w:rPr>
          <w:rFonts w:hAnsi="Arial"/>
          <w:rFonts w:ascii="Arial"/>
          <w:sz w:val="24"/>
          <w:i/>
          <w:color w:val="navy"/>
        </w:rPr>
        <w:t xml:space="preserve">VALIDEZ DE TÍTULOS ANTERIORES.</w:t>
      </w:r>
      <w:bookmarkEnd w:id="60420"/>
      <w:r>
        <w:rPr>
          <w:rFonts w:hAnsi="Arial"/>
          <w:rFonts w:ascii="Arial"/>
          <w:sz w:val="24"/>
          <w:b/>
          <w:i/>
          <w:color w:val="black"/>
        </w:rPr>
        <w:t xml:space="preserve"> </w:t>
      </w:r>
      <w:r>
        <w:rPr>
          <w:rFonts w:hAnsi="Arial"/>
          <w:rFonts w:ascii="Arial"/>
          <w:sz w:val="24"/>
          <w:color w:val="black"/>
        </w:rPr>
        <w:t xml:space="preserve">Los títulos de Profesores Militar que se hayan conferido de acuerdo con normas legales anteriores al 30 de julio de 2002 (entrada en vigencia del Decreto </w:t>
      </w:r>
      <w:r>
        <w:fldChar w:fldCharType="begin"/>
      </w:r>
      <w:r>
        <w:instrText>HYPERLINK "http://www.redjurista.com/document.aspx?ajcode=d1495002&amp;arts=INICIO"</w:instrText>
      </w:r>
      <w:r>
        <w:fldChar w:fldCharType="separate"/>
      </w:r>
      <w:r>
        <w:rPr>
          <w:rFonts w:hAnsi="Arial"/>
          <w:rFonts w:ascii="Arial"/>
          <w:sz w:val="24"/>
          <w:u w:val="single"/>
          <w:color w:val="black"/>
        </w:rPr>
        <w:t>1495</w:t>
      </w:r>
      <w:r>
        <w:fldChar w:fldCharType="end"/>
      </w:r>
      <w:r>
        <w:rPr>
          <w:rFonts w:hAnsi="Arial"/>
          <w:rFonts w:ascii="Arial"/>
          <w:sz w:val="24"/>
          <w:u w:val="none"/>
          <w:color w:val="black"/>
        </w:rPr>
        <w:t xml:space="preserve"> de 2002), conservarán toda su validez.</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1" w:name="2.3.1.1.8.15"/>
      <w:r>
        <w:rPr>
          <w:rFonts w:hAnsi="Arial"/>
          <w:rFonts w:ascii="Arial"/>
          <w:sz w:val="24"/>
          <w:color w:val="navy"/>
        </w:rPr>
        <w:t xml:space="preserve">ARTÍCULO 2.3.1.1.8.15. </w:t>
      </w:r>
      <w:r>
        <w:rPr>
          <w:rFonts w:hAnsi="Arial"/>
          <w:rFonts w:ascii="Arial"/>
          <w:sz w:val="24"/>
          <w:i/>
          <w:color w:val="navy"/>
        </w:rPr>
        <w:t xml:space="preserve">NOMBRAMIENTO Y REMUNERACIÓN DE PROFESORES.</w:t>
      </w:r>
      <w:bookmarkEnd w:id="60421"/>
      <w:r>
        <w:rPr>
          <w:rFonts w:hAnsi="Arial"/>
          <w:rFonts w:ascii="Arial"/>
          <w:sz w:val="24"/>
          <w:b/>
          <w:i/>
          <w:color w:val="black"/>
        </w:rPr>
        <w:t xml:space="preserve"> </w:t>
      </w:r>
      <w:r>
        <w:rPr>
          <w:rFonts w:hAnsi="Arial"/>
          <w:rFonts w:ascii="Arial"/>
          <w:sz w:val="24"/>
          <w:color w:val="black"/>
        </w:rPr>
        <w:t xml:space="preserve">El nombramiento de Profesores Militares titulados o no para ejercer la cátedra en Institutos de Formación y Centros de Capacitación o Educación de las Fuerzas Militares, se hará en todos los casos por Resolución del Ministerio de Defensa, con base en solicitud del Comando General o de los Comandos de Fuerza.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Profesores Militares nombrados en la forma establecida en este artículo, tendrán derecho a que se les pague por cada hora de clase remunerable, de acuerdo con los límites y condiciones que se fijan en los artículos </w:t>
      </w:r>
      <w:r>
        <w:fldChar w:fldCharType="begin"/>
      </w:r>
      <w:r>
        <w:instrText>HYPERLINK "http://www.redjurista.com/document.aspx?ajcode=d1070015&amp;arts=2.3.1.1.8.16"</w:instrText>
      </w:r>
      <w:r>
        <w:fldChar w:fldCharType="separate"/>
      </w:r>
      <w:r>
        <w:rPr>
          <w:rFonts w:hAnsi="Arial"/>
          <w:rFonts w:ascii="Arial"/>
          <w:sz w:val="24"/>
          <w:u w:val="single"/>
          <w:color w:val="black"/>
        </w:rPr>
        <w:t>2.3.1.1.8.16.</w:t>
      </w:r>
      <w:r>
        <w:fldChar w:fldCharType="end"/>
      </w:r>
      <w:r>
        <w:rPr>
          <w:rFonts w:hAnsi="Arial"/>
          <w:rFonts w:ascii="Arial"/>
          <w:sz w:val="24"/>
          <w:u w:val="none"/>
          <w:color w:val="black"/>
        </w:rPr>
        <w:t xml:space="preserve">, </w:t>
      </w:r>
      <w:r>
        <w:fldChar w:fldCharType="begin"/>
      </w:r>
      <w:r>
        <w:instrText>HYPERLINK "http://www.redjurista.com/document.aspx?ajcode=d1070015&amp;arts=2.3.1.1.8.17"</w:instrText>
      </w:r>
      <w:r>
        <w:fldChar w:fldCharType="separate"/>
      </w:r>
      <w:r>
        <w:rPr>
          <w:rFonts w:hAnsi="Arial"/>
          <w:rFonts w:ascii="Arial"/>
          <w:sz w:val="24"/>
          <w:u w:val="single"/>
          <w:color w:val="black"/>
        </w:rPr>
        <w:t>2.3.1.1.8.17.</w:t>
      </w:r>
      <w:r>
        <w:fldChar w:fldCharType="end"/>
      </w:r>
      <w:r>
        <w:rPr>
          <w:rFonts w:hAnsi="Arial"/>
          <w:rFonts w:ascii="Arial"/>
          <w:sz w:val="24"/>
          <w:u w:val="none"/>
          <w:color w:val="black"/>
        </w:rPr>
        <w:t xml:space="preserve">, y </w:t>
      </w:r>
      <w:r>
        <w:fldChar w:fldCharType="begin"/>
      </w:r>
      <w:r>
        <w:instrText>HYPERLINK "http://www.redjurista.com/document.aspx?ajcode=d1070015&amp;arts=2.3.1.1.8.18"</w:instrText>
      </w:r>
      <w:r>
        <w:fldChar w:fldCharType="separate"/>
      </w:r>
      <w:r>
        <w:rPr>
          <w:rFonts w:hAnsi="Arial"/>
          <w:rFonts w:ascii="Arial"/>
          <w:sz w:val="24"/>
          <w:u w:val="single"/>
          <w:color w:val="black"/>
        </w:rPr>
        <w:t>2.3.1.1.8.18.</w:t>
      </w:r>
      <w:r>
        <w:fldChar w:fldCharType="end"/>
      </w:r>
      <w:r>
        <w:rPr>
          <w:rFonts w:hAnsi="Arial"/>
          <w:rFonts w:ascii="Arial"/>
          <w:sz w:val="24"/>
          <w:u w:val="none"/>
          <w:color w:val="black"/>
        </w:rPr>
        <w:t xml:space="preserve">, de esta Sección.</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2" w:name="2.3.1.1.8.16"/>
      <w:r>
        <w:rPr>
          <w:rFonts w:hAnsi="Arial"/>
          <w:rFonts w:ascii="Arial"/>
          <w:sz w:val="24"/>
          <w:color w:val="navy"/>
        </w:rPr>
        <w:t xml:space="preserve">ARTÍCULO 2.3.1.1.8.16. </w:t>
      </w:r>
      <w:r>
        <w:rPr>
          <w:rFonts w:hAnsi="Arial"/>
          <w:rFonts w:ascii="Arial"/>
          <w:sz w:val="24"/>
          <w:i/>
          <w:color w:val="navy"/>
        </w:rPr>
        <w:t xml:space="preserve">REMUNERACIÓN DE PROFESORES DE TIEMPO COMPLETO.</w:t>
      </w:r>
      <w:bookmarkEnd w:id="60422"/>
      <w:r>
        <w:rPr>
          <w:rFonts w:hAnsi="Arial"/>
          <w:rFonts w:ascii="Arial"/>
          <w:sz w:val="24"/>
          <w:b/>
          <w:i/>
          <w:color w:val="black"/>
        </w:rPr>
        <w:t xml:space="preserve"> </w:t>
      </w:r>
      <w:r>
        <w:rPr>
          <w:rFonts w:hAnsi="Arial"/>
          <w:rFonts w:ascii="Arial"/>
          <w:sz w:val="24"/>
          <w:color w:val="black"/>
        </w:rPr>
        <w:t xml:space="preserve">El Profesor Militar de tiempo completo, tendrá derecho a que se le pague la remuneración fijada para su categoría por cada hora de clase, cuando el número total de horas mensuales dictadas sea superior a veinte (20). La liquidación se hará por la cantidad de las horas que exceda a veinte (20) y hasta por un máximo de veinticuatro (24) horas mensuales adicionales. Para fines de remuneración por horas de clase, los Oficiales y Suboficiales de planta de Institutos de Formación y Centros de Capacitación o Educación de las Fuerzas Militares, se considerarán como Profesores de tiempo completo.</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3" w:name="2.3.1.1.8.17"/>
      <w:r>
        <w:rPr>
          <w:rFonts w:hAnsi="Arial"/>
          <w:rFonts w:ascii="Arial"/>
          <w:sz w:val="24"/>
          <w:color w:val="navy"/>
        </w:rPr>
        <w:t xml:space="preserve">ARTÍCULO 2.3.1.1.8.17. </w:t>
      </w:r>
      <w:r>
        <w:rPr>
          <w:rFonts w:hAnsi="Arial"/>
          <w:rFonts w:ascii="Arial"/>
          <w:sz w:val="24"/>
          <w:i/>
          <w:color w:val="navy"/>
        </w:rPr>
        <w:t xml:space="preserve">REMUNERACIÓN DE PROFESORES DE TIEMPO INCOMPLETO.</w:t>
      </w:r>
      <w:bookmarkEnd w:id="60423"/>
      <w:r>
        <w:rPr>
          <w:rFonts w:hAnsi="Arial"/>
          <w:rFonts w:ascii="Arial"/>
          <w:sz w:val="24"/>
          <w:b/>
          <w:i/>
          <w:color w:val="black"/>
        </w:rPr>
        <w:t xml:space="preserve"> </w:t>
      </w:r>
      <w:r>
        <w:rPr>
          <w:rFonts w:hAnsi="Arial"/>
          <w:rFonts w:ascii="Arial"/>
          <w:sz w:val="24"/>
          <w:color w:val="black"/>
        </w:rPr>
        <w:t xml:space="preserve">El Profesor Militar de tiempo incompleto tendrá derecho a que se le pague la remuneración fijada para su categoría por cada hora de clase dictada, sin que el total de horas remuneradas en el mes, en los distintos Institutos de las Fuerzas Militares sobrepase veinticuatro (24).</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4" w:name="2.3.1.1.8.18"/>
      <w:r>
        <w:rPr>
          <w:rFonts w:hAnsi="Arial"/>
          <w:rFonts w:ascii="Arial"/>
          <w:sz w:val="24"/>
          <w:color w:val="navy"/>
        </w:rPr>
        <w:t xml:space="preserve">ARTÍCULO 2.3.1.1.8.18. </w:t>
      </w:r>
      <w:r>
        <w:rPr>
          <w:rFonts w:hAnsi="Arial"/>
          <w:rFonts w:ascii="Arial"/>
          <w:sz w:val="24"/>
          <w:i/>
          <w:color w:val="navy"/>
        </w:rPr>
        <w:t xml:space="preserve">REMUNERACIÓN Y CÓMPUTO DE HORAS DE CLASE A OFICIALES Y SUBOFICIALES NO ESCALAFONADOS COMO PROFESORES MILITARES.</w:t>
      </w:r>
      <w:bookmarkEnd w:id="60424"/>
      <w:r>
        <w:rPr>
          <w:rFonts w:hAnsi="Arial"/>
          <w:rFonts w:ascii="Arial"/>
          <w:sz w:val="24"/>
          <w:b/>
          <w:i/>
          <w:color w:val="black"/>
        </w:rPr>
        <w:t xml:space="preserve"> </w:t>
      </w:r>
      <w:r>
        <w:rPr>
          <w:rFonts w:hAnsi="Arial"/>
          <w:rFonts w:ascii="Arial"/>
          <w:sz w:val="24"/>
          <w:color w:val="black"/>
        </w:rPr>
        <w:t xml:space="preserve">Los Oficiales y Suboficiales que sean nombrados para dictar clases en las Escuelas de Formación o Capacitación de las Fuerzas Militares, sin que tengan la categoría de profesores militares, se considerarán como profesores de Quinta Categoría para los efectos de remuneración y computo de horas de clase dictadas. Si el nombramiento es para la Escuela Superior de Guerra, se considerarán como profesores de Tercera Categoría para los mismos efectos.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5" w:name="2.3.1.1.8.19"/>
      <w:r>
        <w:rPr>
          <w:rFonts w:hAnsi="Arial"/>
          <w:rFonts w:ascii="Arial"/>
          <w:sz w:val="24"/>
          <w:color w:val="navy"/>
        </w:rPr>
        <w:t xml:space="preserve">ARTÍCULO 2.3.1.1.8.19. </w:t>
      </w:r>
      <w:r>
        <w:rPr>
          <w:rFonts w:hAnsi="Arial"/>
          <w:rFonts w:ascii="Arial"/>
          <w:sz w:val="24"/>
          <w:i/>
          <w:color w:val="navy"/>
        </w:rPr>
        <w:t xml:space="preserve">DISTINTIVO DE PROFESOR MILITAR.</w:t>
      </w:r>
      <w:bookmarkEnd w:id="60425"/>
      <w:r>
        <w:rPr>
          <w:rFonts w:hAnsi="Arial"/>
          <w:rFonts w:ascii="Arial"/>
          <w:sz w:val="24"/>
          <w:b/>
          <w:i/>
          <w:color w:val="black"/>
        </w:rPr>
        <w:t xml:space="preserve"> </w:t>
      </w:r>
      <w:r>
        <w:rPr>
          <w:rFonts w:hAnsi="Arial"/>
          <w:rFonts w:ascii="Arial"/>
          <w:sz w:val="24"/>
          <w:color w:val="black"/>
        </w:rPr>
        <w:t xml:space="preserve">El Oficial o Suboficial inscrito como Profesor Militar, podrá usar en la forma determinada por el respectivo Reglamento de Uniformes, el siguiente distintivo que será igual para todas las Fuerzas: un escudo en metal dorado de tres (3) centímetros de alto por dos y medio (21/2) centímetros de ancho, dividido en tres (3) fajas horizontales de igual altura, esmaltadas de arriba hacia abajo con los colores verde oliva, azul marino y azul celeste sobre los cuales irá convenientemente distribuida y en letras doradas la inscripción "Profesor Militar". En la parte superior y unidas al cuerpo del escudo, se colocaran pequeñas estrellas doradas de cinco (5) puntas y de cinco (5) milímetros de diámetro, que indicarán la Categoría del Profesor, así: una (1) estrella para Quinta Categoría; dos (2) para Cuarta; tres (3) para Tercera; cuatro (4) para Segunda y cinco (5) para Primera.</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26" w:name="2.3.1.1.8.20"/>
      <w:r>
        <w:rPr>
          <w:rFonts w:hAnsi="Arial"/>
          <w:rFonts w:ascii="Arial"/>
          <w:sz w:val="24"/>
          <w:color w:val="navy"/>
        </w:rPr>
        <w:t xml:space="preserve">ARTÍCULO 2.3.1.1.8.20. </w:t>
      </w:r>
      <w:r>
        <w:rPr>
          <w:rFonts w:hAnsi="Arial"/>
          <w:rFonts w:ascii="Arial"/>
          <w:sz w:val="24"/>
          <w:i/>
          <w:color w:val="navy"/>
        </w:rPr>
        <w:t xml:space="preserve">PROFESORES MILITARES HONORARIOS.</w:t>
      </w:r>
      <w:bookmarkEnd w:id="60426"/>
      <w:r>
        <w:rPr>
          <w:rFonts w:hAnsi="Arial"/>
          <w:rFonts w:ascii="Arial"/>
          <w:sz w:val="24"/>
          <w:b/>
          <w:i/>
          <w:color w:val="black"/>
        </w:rPr>
        <w:t xml:space="preserve"> </w:t>
      </w:r>
      <w:r>
        <w:rPr>
          <w:rFonts w:hAnsi="Arial"/>
          <w:rFonts w:ascii="Arial"/>
          <w:sz w:val="24"/>
          <w:color w:val="black"/>
        </w:rPr>
        <w:t xml:space="preserve">El Ministerio de Defensa, mediante resolución, podrá nombrar como Profesores Militares Honorarios a los militares y civiles que sean propuestos para el efecto por el Director de la Escuela Superior de Guerra o por los Directores de las Escuelas de Formación o Capacitación de las Fuerzas Militares, quienes deberán sustentar debidamente su propuesta, ante el Comando General de las Fuerzas Militares.</w:t>
      </w:r>
    </w:p>
    <w:p>
      <w:pPr>
        <w:jc w:val="both"/>
      </w:pPr>
      <w:rPr>
        <w:sz w:val="24"/>
        <w:color w:val="black"/>
      </w:rPr>
    </w:p>
    <w:p>
      <w:r>
        <w:rPr>
          <w:rFonts w:hAnsi="Arial"/>
          <w:rFonts w:ascii="Arial"/>
          <w:sz w:val="24"/>
          <w:i/>
          <w:color w:val="black"/>
        </w:rPr>
        <w:t xml:space="preserve">(Decreto 1495 de 2002 artículo </w:t>
      </w:r>
      <w:r>
        <w:fldChar w:fldCharType="begin"/>
      </w:r>
      <w:r>
        <w:instrText>HYPERLINK "http://www.redjurista.com/document.aspx?ajcode=d1495002&amp;arts=59"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27" w:name="SECCIÓN 2.3.1.1.9"/>
      <w:r>
        <w:rPr>
          <w:rFonts w:hAnsi="Arial"/>
          <w:rFonts w:ascii="Arial"/>
          <w:sz w:val="24"/>
          <w:color w:val="navy"/>
        </w:rPr>
        <w:t xml:space="preserve">SECCIÓN 9. </w:t>
      </w:r>
    </w:p>
    <w:p>
      <w:pPr>
        <w:jc w:val="center"/>
      </w:pPr>
      <w:r>
        <w:rPr>
          <w:rFonts w:hAnsi="Arial"/>
          <w:rFonts w:ascii="Arial"/>
          <w:sz w:val="24"/>
          <w:color w:val="navy"/>
        </w:rPr>
        <w:t xml:space="preserve">REGLAMENTACIÓN DEL ARTÍCULO 11 DEL DECRETO LEY 1793 DE 2000.</w:t>
      </w:r>
      <w:bookmarkEnd w:id="6042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28" w:name="2.3.1.1.9.1"/>
      <w:r>
        <w:rPr>
          <w:rFonts w:hAnsi="Arial"/>
          <w:rFonts w:ascii="Arial"/>
          <w:sz w:val="24"/>
          <w:color w:val="navy"/>
        </w:rPr>
        <w:t xml:space="preserve">ARTÍCULO 2.3.1.1.9.1. </w:t>
      </w:r>
      <w:r>
        <w:rPr>
          <w:rFonts w:hAnsi="Arial"/>
          <w:rFonts w:ascii="Arial"/>
          <w:sz w:val="24"/>
          <w:i/>
          <w:color w:val="navy"/>
        </w:rPr>
        <w:t xml:space="preserve">SUSPENSIÓN POR DETENCIÓN PREVENTIVA.</w:t>
      </w:r>
      <w:bookmarkEnd w:id="60428"/>
      <w:r>
        <w:rPr>
          <w:rFonts w:hAnsi="Arial"/>
          <w:rFonts w:ascii="Arial"/>
          <w:sz w:val="24"/>
          <w:b/>
          <w:i/>
          <w:color w:val="black"/>
        </w:rPr>
        <w:t xml:space="preserve"> </w:t>
      </w:r>
      <w:r>
        <w:rPr>
          <w:rFonts w:hAnsi="Arial"/>
          <w:rFonts w:ascii="Arial"/>
          <w:sz w:val="24"/>
          <w:color w:val="black"/>
        </w:rPr>
        <w:t xml:space="preserve">&lt;Ver Notas del Editor&gt; El Soldado Profesional o Infante de Marina Profesional a quien se le profiera la medida de aseguramiento consistente en Detención Preventiva que exceda de 60 días calendario, será suspendido en funciones y atribuciones. Esta se dispondrá por el Comandante de la respectiva Fuerza.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Durante el tiempo de la suspensión el Soldado o Infante de Marina Profesional, percibirá las primas, subsidios y el cincuenta por ciento (50%) del salario mensual devengado. Si fuere absuelto o favorecido con preclusión de la investigación, deberá reintegrársele el porcentaje del salario retenido.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la sentencia o fallo fuere condenatorio las sumas retenidas en desarrollo de lo dispuesto en el presente artículo pasarán a formar parte de los recursos propios de la Caja de Retiro de las Fuerzas Militares.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Cuando el tiempo de la suspensión sea superior al de la condena impuesta por la autoridad competente, se reintegrará el excedente del salario retenido.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Cuando se conceda el derecho de libertad provisional o condena de ejecución condicional no procederá la suspensión de funciones y atribuciones.</w:t>
      </w:r>
    </w:p>
    <w:p>
      <w:pPr>
        <w:jc w:val="both"/>
      </w:pPr>
      <w:rPr>
        <w:sz w:val="24"/>
        <w:color w:val="black"/>
      </w:rPr>
    </w:p>
    <w:p>
      <w:r>
        <w:rPr>
          <w:rFonts w:hAnsi="Arial"/>
          <w:rFonts w:ascii="Arial"/>
          <w:sz w:val="24"/>
          <w:i/>
          <w:color w:val="black"/>
        </w:rPr>
        <w:t xml:space="preserve">(Decreto 2367 de 2012 artículo </w:t>
      </w:r>
      <w:r>
        <w:fldChar w:fldCharType="begin"/>
      </w:r>
      <w:r>
        <w:instrText>HYPERLINK "http://www.redjurista.com/document.aspx?ajcode=d2367012&amp;arts=1"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429" w:name="2.3.1.1.9.2"/>
      <w:r>
        <w:rPr>
          <w:rFonts w:hAnsi="Arial"/>
          <w:rFonts w:ascii="Arial"/>
          <w:sz w:val="24"/>
          <w:color w:val="navy"/>
        </w:rPr>
        <w:t xml:space="preserve">ARTÍCULO 2.3.1.1.9.2. </w:t>
      </w:r>
      <w:r>
        <w:rPr>
          <w:rFonts w:hAnsi="Arial"/>
          <w:rFonts w:ascii="Arial"/>
          <w:sz w:val="24"/>
          <w:i/>
          <w:color w:val="navy"/>
        </w:rPr>
        <w:t xml:space="preserve">LEVANTAMIENTO DE LA SUSPENSIÓN.</w:t>
      </w:r>
      <w:bookmarkEnd w:id="60429"/>
      <w:r>
        <w:rPr>
          <w:rFonts w:hAnsi="Arial"/>
          <w:rFonts w:ascii="Arial"/>
          <w:sz w:val="24"/>
          <w:b/>
          <w:i/>
          <w:color w:val="black"/>
        </w:rPr>
        <w:t xml:space="preserve"> </w:t>
      </w:r>
      <w:r>
        <w:rPr>
          <w:rFonts w:hAnsi="Arial"/>
          <w:rFonts w:ascii="Arial"/>
          <w:sz w:val="24"/>
          <w:color w:val="black"/>
        </w:rPr>
        <w:t xml:space="preserve">&lt;Ver Notas del Editor&gt; Habrá lugar a levantar la suspensión del Soldado o Infante de Marina Profesional, con base en la comunicación de autoridad competente, a solicitud de parte, o de oficio, cuando hubiere sentencia o fallo absolutorio, se hubiesen vencido los términos de la suspensión provisional sin que se haya recibido comunicación de su prórroga, preclusión de la investigación, cesación de procedimiento o revocatoria del auto de detención.</w:t>
      </w:r>
    </w:p>
    <w:p>
      <w:pPr>
        <w:jc w:val="both"/>
      </w:pPr>
      <w:rPr>
        <w:sz w:val="24"/>
        <w:color w:val="black"/>
      </w:rPr>
    </w:p>
    <w:p>
      <w:pPr>
        <w:jc w:val="both"/>
      </w:pPr>
      <w:r>
        <w:rPr>
          <w:rFonts w:hAnsi="Arial"/>
          <w:rFonts w:ascii="Arial"/>
          <w:sz w:val="24"/>
          <w:color w:val="black"/>
        </w:rPr>
        <w:t xml:space="preserve">A partir de la fecha del levantamiento de la suspensión, el Soldado o Infante de Marina Profesional, devengará la totalidad del salario mensual devengado.</w:t>
      </w:r>
    </w:p>
    <w:p>
      <w:pPr>
        <w:jc w:val="both"/>
      </w:pPr>
      <w:rPr>
        <w:sz w:val="24"/>
        <w:color w:val="black"/>
      </w:rPr>
    </w:p>
    <w:p>
      <w:r>
        <w:rPr>
          <w:rFonts w:hAnsi="Arial"/>
          <w:rFonts w:ascii="Arial"/>
          <w:sz w:val="24"/>
          <w:i/>
          <w:color w:val="black"/>
        </w:rPr>
        <w:t xml:space="preserve">(Decreto 2367 de 2012 artículo </w:t>
      </w:r>
      <w:r>
        <w:fldChar w:fldCharType="begin"/>
      </w:r>
      <w:r>
        <w:instrText>HYPERLINK "http://www.redjurista.com/document.aspx?ajcode=d2367012&amp;arts=2"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0430" w:name="2.3.1.1.9.3"/>
      <w:r>
        <w:rPr>
          <w:rFonts w:hAnsi="Arial"/>
          <w:rFonts w:ascii="Arial"/>
          <w:sz w:val="24"/>
          <w:color w:val="navy"/>
        </w:rPr>
        <w:t xml:space="preserve">ARTÍCULO 2.3.1.1.9.3. </w:t>
      </w:r>
      <w:r>
        <w:rPr>
          <w:rFonts w:hAnsi="Arial"/>
          <w:rFonts w:ascii="Arial"/>
          <w:sz w:val="24"/>
          <w:i/>
          <w:color w:val="navy"/>
        </w:rPr>
        <w:t xml:space="preserve">UTILIZACIÓN DEL PERSONAL SUSPENDIDO.</w:t>
      </w:r>
      <w:bookmarkEnd w:id="60430"/>
      <w:r>
        <w:rPr>
          <w:rFonts w:hAnsi="Arial"/>
          <w:rFonts w:ascii="Arial"/>
          <w:sz w:val="24"/>
          <w:b/>
          <w:i/>
          <w:color w:val="black"/>
        </w:rPr>
        <w:t xml:space="preserve"> </w:t>
      </w:r>
      <w:r>
        <w:rPr>
          <w:rFonts w:hAnsi="Arial"/>
          <w:rFonts w:ascii="Arial"/>
          <w:sz w:val="24"/>
          <w:color w:val="black"/>
        </w:rPr>
        <w:t xml:space="preserve">Los Soldados Profesionales o Infantes de Marina Profesionales, que sean suspendidos en el ejercicio de las funciones y atribuciones, previo permiso concedido por el juez de conocimiento o autoridad competente, podrán ser utilizados por los respectivos comandos, conforme a lo dispuesto por la Ley </w:t>
      </w:r>
      <w:r>
        <w:fldChar w:fldCharType="begin"/>
      </w:r>
      <w:r>
        <w:instrText>HYPERLINK "http://www.redjurista.com/document.aspx?ajcode=l0065_93&amp;arts=INICIO"</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trabajo realizado por el personal de Soldados o Infantes de Marina Profesionales, será tenido en cuenta para la redención de la pena.</w:t>
      </w:r>
    </w:p>
    <w:p>
      <w:pPr>
        <w:jc w:val="both"/>
      </w:pPr>
      <w:rPr>
        <w:sz w:val="24"/>
        <w:color w:val="black"/>
      </w:rPr>
    </w:p>
    <w:p>
      <w:r>
        <w:rPr>
          <w:rFonts w:hAnsi="Arial"/>
          <w:rFonts w:ascii="Arial"/>
          <w:sz w:val="24"/>
          <w:i/>
          <w:color w:val="black"/>
        </w:rPr>
        <w:t xml:space="preserve">(Decreto 2367 de 2012 artículo </w:t>
      </w:r>
      <w:r>
        <w:fldChar w:fldCharType="begin"/>
      </w:r>
      <w:r>
        <w:instrText>HYPERLINK "http://www.redjurista.com/document.aspx?ajcode=d2367012&amp;arts=3"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rPr>
        <w:sz w:val="24"/>
        <w:color w:val="black"/>
      </w:rPr>
    </w:p>
    <w:p>
      <w:pPr>
        <w:jc w:val="center"/>
      </w:pPr>
      <w:r>
        <w:rPr>
          <w:rFonts w:hAnsi="Arial"/>
          <w:rFonts w:ascii="Arial"/>
          <w:sz w:val="24"/>
          <w:vanish/>
          <w:color w:val="black"/>
        </w:rPr>
        <w:t>&amp;$</w:t>
      </w:r>
      <w:bookmarkStart w:id="60431" w:name="CAPÍTULO 2.3.1.2"/>
      <w:r>
        <w:rPr>
          <w:rFonts w:hAnsi="Arial"/>
          <w:rFonts w:ascii="Arial"/>
          <w:sz w:val="24"/>
          <w:color w:val="navy"/>
        </w:rPr>
        <w:t xml:space="preserve">CAPÍTULO 2. </w:t>
      </w:r>
    </w:p>
    <w:p>
      <w:pPr>
        <w:jc w:val="center"/>
      </w:pPr>
      <w:r>
        <w:rPr>
          <w:rFonts w:hAnsi="Arial"/>
          <w:rFonts w:ascii="Arial"/>
          <w:sz w:val="24"/>
          <w:color w:val="navy"/>
        </w:rPr>
        <w:t xml:space="preserve">DE LAS PRESTACIONES.</w:t>
      </w:r>
      <w:bookmarkEnd w:id="60431"/>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0432" w:name="SECCIÓN 2.3.1.2.1"/>
      <w:r>
        <w:rPr>
          <w:rFonts w:hAnsi="Arial"/>
          <w:rFonts w:ascii="Arial"/>
          <w:sz w:val="24"/>
          <w:color w:val="navy"/>
        </w:rPr>
        <w:t xml:space="preserve">SECCIÓN 1. </w:t>
      </w:r>
    </w:p>
    <w:p>
      <w:pPr>
        <w:jc w:val="center"/>
      </w:pPr>
      <w:r>
        <w:rPr>
          <w:rFonts w:hAnsi="Arial"/>
          <w:rFonts w:ascii="Arial"/>
          <w:sz w:val="24"/>
          <w:color w:val="navy"/>
        </w:rPr>
        <w:t xml:space="preserve">DE LAS ASIGNACIONES, SUBSIDIOS Y PRIMAS.</w:t>
      </w:r>
      <w:bookmarkEnd w:id="6043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0433" w:name="2.3.1.2.1.1"/>
      <w:r>
        <w:rPr>
          <w:rFonts w:hAnsi="Arial"/>
          <w:rFonts w:ascii="Arial"/>
          <w:sz w:val="24"/>
          <w:color w:val="navy"/>
        </w:rPr>
        <w:t xml:space="preserve">ARTÍCULO 2.3.1.2.1.1. </w:t>
      </w:r>
      <w:r>
        <w:rPr>
          <w:rFonts w:hAnsi="Arial"/>
          <w:rFonts w:ascii="Arial"/>
          <w:sz w:val="24"/>
          <w:i/>
          <w:color w:val="navy"/>
        </w:rPr>
        <w:t xml:space="preserve">LÍMITE DE REMUNERACIONES ESPECIALES.</w:t>
      </w:r>
      <w:bookmarkEnd w:id="60433"/>
      <w:r>
        <w:rPr>
          <w:rFonts w:hAnsi="Arial"/>
          <w:rFonts w:ascii="Arial"/>
          <w:sz w:val="24"/>
          <w:b/>
          <w:i/>
          <w:color w:val="black"/>
        </w:rPr>
        <w:t xml:space="preserve"> </w:t>
      </w:r>
      <w:r>
        <w:rPr>
          <w:rFonts w:hAnsi="Arial"/>
          <w:rFonts w:ascii="Arial"/>
          <w:sz w:val="24"/>
          <w:color w:val="black"/>
        </w:rPr>
        <w:t xml:space="preserve">Los Oficiales y Suboficiales que se encuentren en las situaciones previstas en el artículo </w:t>
      </w:r>
      <w:r>
        <w:fldChar w:fldCharType="begin"/>
      </w:r>
      <w:r>
        <w:instrText>HYPERLINK "http://www.redjurista.com/document.aspx?ajcode=d1211_90&amp;arts=77"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del Decreto 1211 de 1990 tienen la obligación de informar por escrito al Comando de la respectiva Fuerza sobre los ingresos que tendrán en razón del desempeño del cargo, para hacer los ajustes necesarios en las acarreará la acción disciplinaria respectiva.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34" w:name="2.3.1.2.1.2"/>
      <w:r>
        <w:rPr>
          <w:rFonts w:hAnsi="Arial"/>
          <w:rFonts w:ascii="Arial"/>
          <w:sz w:val="24"/>
          <w:color w:val="navy"/>
        </w:rPr>
        <w:t xml:space="preserve">ARTÍCULO 2.3.1.2.1.2. </w:t>
      </w:r>
      <w:r>
        <w:rPr>
          <w:rFonts w:hAnsi="Arial"/>
          <w:rFonts w:ascii="Arial"/>
          <w:sz w:val="24"/>
          <w:i/>
          <w:color w:val="navy"/>
        </w:rPr>
        <w:t xml:space="preserve">SUBSIDIO FAMILIAR.</w:t>
      </w:r>
      <w:bookmarkEnd w:id="60434"/>
      <w:r>
        <w:rPr>
          <w:rFonts w:hAnsi="Arial"/>
          <w:rFonts w:ascii="Arial"/>
          <w:sz w:val="24"/>
          <w:b/>
          <w:i/>
          <w:color w:val="black"/>
        </w:rPr>
        <w:t xml:space="preserve"> </w:t>
      </w:r>
      <w:r>
        <w:rPr>
          <w:rFonts w:hAnsi="Arial"/>
          <w:rFonts w:ascii="Arial"/>
          <w:sz w:val="24"/>
          <w:color w:val="black"/>
        </w:rPr>
        <w:t xml:space="preserve">Para los efectos del reconocimiento del Subsidio Familiar, el interesado formulará por escrito y por conducto regular la solicitud correspondiente al Comando de Fuerza respectivo, acompañando las Actas de Registro Civil debidamente autenticadas, en las que conste el matrimonio válido en Colombia o el nacimiento de cada uno de los hijos.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35" w:name="2.3.1.2.1.3"/>
      <w:r>
        <w:rPr>
          <w:rFonts w:hAnsi="Arial"/>
          <w:rFonts w:ascii="Arial"/>
          <w:sz w:val="24"/>
          <w:color w:val="navy"/>
        </w:rPr>
        <w:t xml:space="preserve">ARTÍCULO 2.3.1.2.1.3. </w:t>
      </w:r>
      <w:r>
        <w:rPr>
          <w:rFonts w:hAnsi="Arial"/>
          <w:rFonts w:ascii="Arial"/>
          <w:sz w:val="24"/>
          <w:i/>
          <w:color w:val="navy"/>
        </w:rPr>
        <w:t xml:space="preserve">DESCUENTO DEL SUBSIDIO FAMILIAR.</w:t>
      </w:r>
      <w:bookmarkEnd w:id="60435"/>
      <w:r>
        <w:rPr>
          <w:rFonts w:hAnsi="Arial"/>
          <w:rFonts w:ascii="Arial"/>
          <w:sz w:val="24"/>
          <w:b/>
          <w:i/>
          <w:color w:val="black"/>
        </w:rPr>
        <w:t xml:space="preserve"> </w:t>
      </w:r>
      <w:r>
        <w:rPr>
          <w:rFonts w:hAnsi="Arial"/>
          <w:rFonts w:ascii="Arial"/>
          <w:sz w:val="24"/>
          <w:color w:val="black"/>
        </w:rPr>
        <w:t xml:space="preserve">Para aplicar el descuento previsto en el artículo </w:t>
      </w:r>
      <w:r>
        <w:fldChar w:fldCharType="begin"/>
      </w:r>
      <w:r>
        <w:instrText>HYPERLINK "http://www.redjurista.com/document.aspx?ajcode=d1211_90&amp;arts=82"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 1211 de 1990 se ordenará previamente por el superior inmediato o por otro cualquiera dentro de la línea de mando que el Oficial o Suboficial infractor rinda un informe sobre la causa o causas de su omisión. Este informe, una vez conocido y conceptuado por el superior inmediato del inculpado, debe remitirse al respectivo Comando de Fuerza, en donde se calificarán las explicaciones dadas por el interesado. Si no se hallaren justificadas se elaborará la disposición de descuento para la firma del Comandante de Fuerza. Las sumas descontadas por este concepto ingresarán a la Caja de Retiro de las Fuerzas Militares.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36" w:name="2.3.1.2.1.4"/>
      <w:r>
        <w:rPr>
          <w:rFonts w:hAnsi="Arial"/>
          <w:rFonts w:ascii="Arial"/>
          <w:sz w:val="24"/>
          <w:color w:val="navy"/>
        </w:rPr>
        <w:t xml:space="preserve">ARTÍCULO 2.3.1.2.1.4. </w:t>
      </w:r>
      <w:r>
        <w:rPr>
          <w:rFonts w:hAnsi="Arial"/>
          <w:rFonts w:ascii="Arial"/>
          <w:sz w:val="24"/>
          <w:i/>
          <w:color w:val="navy"/>
        </w:rPr>
        <w:t xml:space="preserve">PROHIBICIÓN PAGO DOBLE SUBSIDIO FAMILIAR.</w:t>
      </w:r>
      <w:bookmarkEnd w:id="60436"/>
      <w:r>
        <w:rPr>
          <w:rFonts w:hAnsi="Arial"/>
          <w:rFonts w:ascii="Arial"/>
          <w:sz w:val="24"/>
          <w:b/>
          <w:i/>
          <w:color w:val="black"/>
        </w:rPr>
        <w:t xml:space="preserve"> </w:t>
      </w:r>
      <w:r>
        <w:rPr>
          <w:rFonts w:hAnsi="Arial"/>
          <w:rFonts w:ascii="Arial"/>
          <w:sz w:val="24"/>
          <w:color w:val="black"/>
        </w:rPr>
        <w:t xml:space="preserve">Para hacer efectivo el cumplimiento de lo dispuesto en el artículo </w:t>
      </w:r>
      <w:r>
        <w:fldChar w:fldCharType="begin"/>
      </w:r>
      <w:r>
        <w:instrText>HYPERLINK "http://www.redjurista.com/document.aspx?ajcode=d1211_90&amp;arts=83"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del Decreto 1211 de 1990, los Oficiales y Suboficiales de las Fuerzas Militares, deberán demostrar mediante declaración jurada rendida ante el respectivo Comandante de Unidad Táctica o su equivalente, que su cónyuge no tiene relación reglamentaria, ni contrato de trabajo con persona de derecho público. En caso de existir deberá allegarse constancia de que este no percibe subsidio familiar.</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37" w:name="2.3.1.2.1.5"/>
      <w:r>
        <w:rPr>
          <w:rFonts w:hAnsi="Arial"/>
          <w:rFonts w:ascii="Arial"/>
          <w:sz w:val="24"/>
          <w:color w:val="navy"/>
        </w:rPr>
        <w:t xml:space="preserve">ARTÍCULO 2.3.1.2.1.5. </w:t>
      </w:r>
      <w:r>
        <w:rPr>
          <w:rFonts w:hAnsi="Arial"/>
          <w:rFonts w:ascii="Arial"/>
          <w:sz w:val="24"/>
          <w:i/>
          <w:color w:val="navy"/>
        </w:rPr>
        <w:t xml:space="preserve">PRIMA DE BUCERÍA.</w:t>
      </w:r>
      <w:bookmarkEnd w:id="60437"/>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"http://www.redjurista.com/document.aspx?ajcode=d1211_90&amp;arts=88"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Decreto 1211 de 1990, para el pago de la Prima de Bucería a los Oficiales y Suboficiales de la Armada, el tiempo de buceo deberá certificarse por el Comandante que lo ordenó o autorizó, mediante cuadro o planilla explicativa que debe rendirse mensualmente al Comando de la respectiva Fuerza.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38" w:name="2.3.1.2.1.6"/>
      <w:r>
        <w:rPr>
          <w:rFonts w:hAnsi="Arial"/>
          <w:rFonts w:ascii="Arial"/>
          <w:sz w:val="24"/>
          <w:color w:val="navy"/>
        </w:rPr>
        <w:t xml:space="preserve">ARTÍCULO 2.3.1.2.1.6. </w:t>
      </w:r>
      <w:r>
        <w:rPr>
          <w:rFonts w:hAnsi="Arial"/>
          <w:rFonts w:ascii="Arial"/>
          <w:sz w:val="24"/>
          <w:i/>
          <w:color w:val="navy"/>
        </w:rPr>
        <w:t xml:space="preserve">REQUISITOS PARA CLASIFICACIÓN DE BUZOS.</w:t>
      </w:r>
      <w:bookmarkEnd w:id="60438"/>
      <w:r>
        <w:rPr>
          <w:rFonts w:hAnsi="Arial"/>
          <w:rFonts w:ascii="Arial"/>
          <w:sz w:val="24"/>
          <w:b/>
          <w:i/>
          <w:color w:val="black"/>
        </w:rPr>
        <w:t xml:space="preserve"> </w:t>
      </w:r>
      <w:r>
        <w:rPr>
          <w:rFonts w:hAnsi="Arial"/>
          <w:rFonts w:ascii="Arial"/>
          <w:sz w:val="24"/>
          <w:color w:val="black"/>
        </w:rPr>
        <w:t xml:space="preserve">Para ser clasificado como buzos, en las categorías contempladas en el artículo </w:t>
      </w:r>
      <w:r>
        <w:fldChar w:fldCharType="begin"/>
      </w:r>
      <w:r>
        <w:instrText>HYPERLINK "http://www.redjurista.com/document.aspx?ajcode=d1211_90&amp;arts=88"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del Decreto 1211 de 1990, los Oficiales y Suboficiales deben llenar en cada caso los siguientes requisitos:</w:t>
      </w:r>
    </w:p>
    <w:p>
      <w:pPr>
        <w:jc w:val="both"/>
      </w:pPr>
      <w:rPr>
        <w:sz w:val="24"/>
        <w:color w:val="black"/>
      </w:rPr>
    </w:p>
    <w:p>
      <w:pPr>
        <w:jc w:val="both"/>
      </w:pPr>
      <w:r>
        <w:rPr>
          <w:rFonts w:hAnsi="Arial"/>
          <w:rFonts w:ascii="Arial"/>
          <w:sz w:val="24"/>
          <w:color w:val="black"/>
        </w:rPr>
        <w:t xml:space="preserve">a) Para ser clasificado como Buzo de Segunda Clase:</w:t>
      </w:r>
    </w:p>
    <w:p>
      <w:pPr>
        <w:jc w:val="both"/>
      </w:pPr>
      <w:rPr>
        <w:sz w:val="24"/>
        <w:color w:val="black"/>
      </w:rPr>
    </w:p>
    <w:p>
      <w:pPr>
        <w:jc w:val="both"/>
      </w:pPr>
      <w:r>
        <w:rPr>
          <w:rFonts w:hAnsi="Arial"/>
          <w:rFonts w:ascii="Arial"/>
          <w:sz w:val="24"/>
          <w:color w:val="black"/>
        </w:rPr>
        <w:t xml:space="preserve">1. Aprobar los cursos correspondientes en la Escuela de Buceo y Salvamento.</w:t>
      </w:r>
    </w:p>
    <w:p>
      <w:pPr>
        <w:jc w:val="both"/>
      </w:pPr>
      <w:rPr>
        <w:sz w:val="24"/>
        <w:color w:val="black"/>
      </w:rPr>
    </w:p>
    <w:p>
      <w:pPr>
        <w:jc w:val="both"/>
      </w:pPr>
      <w:r>
        <w:rPr>
          <w:rFonts w:hAnsi="Arial"/>
          <w:rFonts w:ascii="Arial"/>
          <w:sz w:val="24"/>
          <w:color w:val="black"/>
        </w:rPr>
        <w:t xml:space="preserve">2. Estar capacitado para ejecutar buceo hasta sesenta (60) pies de profundidad, utilizando los equipos de buceo reglamentarios en la Armada.</w:t>
      </w:r>
    </w:p>
    <w:p>
      <w:pPr>
        <w:jc w:val="both"/>
      </w:pPr>
      <w:rPr>
        <w:sz w:val="24"/>
        <w:color w:val="black"/>
      </w:rPr>
    </w:p>
    <w:p>
      <w:pPr>
        <w:jc w:val="both"/>
      </w:pPr>
      <w:r>
        <w:rPr>
          <w:rFonts w:hAnsi="Arial"/>
          <w:rFonts w:ascii="Arial"/>
          <w:sz w:val="24"/>
          <w:color w:val="black"/>
        </w:rPr>
        <w:t xml:space="preserve">3. Obtener la patente respectiva.</w:t>
      </w:r>
    </w:p>
    <w:p>
      <w:pPr>
        <w:jc w:val="both"/>
      </w:pPr>
      <w:rPr>
        <w:sz w:val="24"/>
        <w:color w:val="black"/>
      </w:rPr>
    </w:p>
    <w:p>
      <w:pPr>
        <w:jc w:val="both"/>
      </w:pPr>
      <w:r>
        <w:rPr>
          <w:rFonts w:hAnsi="Arial"/>
          <w:rFonts w:ascii="Arial"/>
          <w:sz w:val="24"/>
          <w:color w:val="black"/>
        </w:rPr>
        <w:t xml:space="preserve">b) Para ser clasificado como Buzo de Primera Clase:</w:t>
      </w:r>
    </w:p>
    <w:p>
      <w:pPr>
        <w:jc w:val="both"/>
      </w:pPr>
      <w:rPr>
        <w:sz w:val="24"/>
        <w:color w:val="black"/>
      </w:rPr>
    </w:p>
    <w:p>
      <w:pPr>
        <w:jc w:val="both"/>
      </w:pPr>
      <w:r>
        <w:rPr>
          <w:rFonts w:hAnsi="Arial"/>
          <w:rFonts w:ascii="Arial"/>
          <w:sz w:val="24"/>
          <w:color w:val="black"/>
        </w:rPr>
        <w:t xml:space="preserve">1. Haberse desempeñado activamente como Buzo de Segunda Clase, por tiempo no inferior a un (1) año.</w:t>
      </w:r>
    </w:p>
    <w:p>
      <w:pPr>
        <w:jc w:val="both"/>
      </w:pPr>
      <w:rPr>
        <w:sz w:val="24"/>
        <w:color w:val="black"/>
      </w:rPr>
    </w:p>
    <w:p>
      <w:pPr>
        <w:jc w:val="both"/>
      </w:pPr>
      <w:r>
        <w:rPr>
          <w:rFonts w:hAnsi="Arial"/>
          <w:rFonts w:ascii="Arial"/>
          <w:sz w:val="24"/>
          <w:color w:val="black"/>
        </w:rPr>
        <w:t xml:space="preserve">2. Estar capacitado para ejecutar buceo hasta noventa (90) pies de profundidad, con aire o mezclas gaseosas, en todas las clases de equipos reglamentarios de la Armada.</w:t>
      </w:r>
    </w:p>
    <w:p>
      <w:pPr>
        <w:jc w:val="both"/>
      </w:pPr>
      <w:rPr>
        <w:sz w:val="24"/>
        <w:color w:val="black"/>
      </w:rPr>
    </w:p>
    <w:p>
      <w:pPr>
        <w:jc w:val="both"/>
      </w:pPr>
      <w:r>
        <w:rPr>
          <w:rFonts w:hAnsi="Arial"/>
          <w:rFonts w:ascii="Arial"/>
          <w:sz w:val="24"/>
          <w:color w:val="black"/>
        </w:rPr>
        <w:t xml:space="preserve">3. Contar con el concepto favorable de la Escuela de Buceo y Salvamento.</w:t>
      </w:r>
    </w:p>
    <w:p>
      <w:pPr>
        <w:jc w:val="both"/>
      </w:pPr>
      <w:rPr>
        <w:sz w:val="24"/>
        <w:color w:val="black"/>
      </w:rPr>
    </w:p>
    <w:p>
      <w:pPr>
        <w:jc w:val="both"/>
      </w:pPr>
      <w:r>
        <w:rPr>
          <w:rFonts w:hAnsi="Arial"/>
          <w:rFonts w:ascii="Arial"/>
          <w:sz w:val="24"/>
          <w:color w:val="black"/>
        </w:rPr>
        <w:t xml:space="preserve">4. Obtener la patente respectiva.</w:t>
      </w:r>
    </w:p>
    <w:p>
      <w:pPr>
        <w:jc w:val="both"/>
      </w:pPr>
      <w:rPr>
        <w:sz w:val="24"/>
        <w:color w:val="black"/>
      </w:rPr>
    </w:p>
    <w:p>
      <w:pPr>
        <w:jc w:val="both"/>
      </w:pPr>
      <w:r>
        <w:rPr>
          <w:rFonts w:hAnsi="Arial"/>
          <w:rFonts w:ascii="Arial"/>
          <w:sz w:val="24"/>
          <w:color w:val="black"/>
        </w:rPr>
        <w:t xml:space="preserve">c) Para ser clasificado como Buzo Maestro:</w:t>
      </w:r>
    </w:p>
    <w:p>
      <w:pPr>
        <w:jc w:val="both"/>
      </w:pPr>
      <w:rPr>
        <w:sz w:val="24"/>
        <w:color w:val="black"/>
      </w:rPr>
    </w:p>
    <w:p>
      <w:pPr>
        <w:jc w:val="both"/>
      </w:pPr>
      <w:r>
        <w:rPr>
          <w:rFonts w:hAnsi="Arial"/>
          <w:rFonts w:ascii="Arial"/>
          <w:sz w:val="24"/>
          <w:color w:val="black"/>
        </w:rPr>
        <w:t xml:space="preserve">1. Haberse desempeñado activamente como Buzo de Primera Clase por tiempo no inferior a cuatro (4) años.</w:t>
      </w:r>
    </w:p>
    <w:p>
      <w:pPr>
        <w:jc w:val="both"/>
      </w:pPr>
      <w:rPr>
        <w:sz w:val="24"/>
        <w:color w:val="black"/>
      </w:rPr>
    </w:p>
    <w:p>
      <w:pPr>
        <w:jc w:val="both"/>
      </w:pPr>
      <w:r>
        <w:rPr>
          <w:rFonts w:hAnsi="Arial"/>
          <w:rFonts w:ascii="Arial"/>
          <w:sz w:val="24"/>
          <w:color w:val="black"/>
        </w:rPr>
        <w:t xml:space="preserve">2. Haber sido instructor de la Escuela de Buceo y Salvamento por lo menos durante un (1) año.</w:t>
      </w:r>
    </w:p>
    <w:p>
      <w:pPr>
        <w:jc w:val="both"/>
      </w:pPr>
      <w:rPr>
        <w:sz w:val="24"/>
        <w:color w:val="black"/>
      </w:rPr>
    </w:p>
    <w:p>
      <w:pPr>
        <w:jc w:val="both"/>
      </w:pPr>
      <w:r>
        <w:rPr>
          <w:rFonts w:hAnsi="Arial"/>
          <w:rFonts w:ascii="Arial"/>
          <w:sz w:val="24"/>
          <w:color w:val="black"/>
        </w:rPr>
        <w:t xml:space="preserve">3. Contar con el concepto favorable de la citada Escuela.</w:t>
      </w:r>
    </w:p>
    <w:p>
      <w:pPr>
        <w:jc w:val="both"/>
      </w:pPr>
      <w:rPr>
        <w:sz w:val="24"/>
        <w:color w:val="black"/>
      </w:rPr>
    </w:p>
    <w:p>
      <w:pPr>
        <w:jc w:val="both"/>
      </w:pPr>
      <w:r>
        <w:rPr>
          <w:rFonts w:hAnsi="Arial"/>
          <w:rFonts w:ascii="Arial"/>
          <w:sz w:val="24"/>
          <w:color w:val="black"/>
        </w:rPr>
        <w:t xml:space="preserve">4. Obtener la patente respectiva.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39" w:name="2.3.1.2.1.7"/>
      <w:r>
        <w:rPr>
          <w:rFonts w:hAnsi="Arial"/>
          <w:rFonts w:ascii="Arial"/>
          <w:sz w:val="24"/>
          <w:color w:val="navy"/>
        </w:rPr>
        <w:t xml:space="preserve">ARTÍCULO 2.3.1.2.1.7. </w:t>
      </w:r>
      <w:r>
        <w:rPr>
          <w:rFonts w:hAnsi="Arial"/>
          <w:rFonts w:ascii="Arial"/>
          <w:sz w:val="24"/>
          <w:i/>
          <w:color w:val="navy"/>
        </w:rPr>
        <w:t xml:space="preserve">TÍTULO DE COMANDOS.</w:t>
      </w:r>
      <w:bookmarkEnd w:id="60439"/>
      <w:r>
        <w:rPr>
          <w:rFonts w:hAnsi="Arial"/>
          <w:rFonts w:ascii="Arial"/>
          <w:sz w:val="24"/>
          <w:b/>
          <w:i/>
          <w:color w:val="black"/>
        </w:rPr>
        <w:t xml:space="preserve"> </w:t>
      </w:r>
      <w:r>
        <w:rPr>
          <w:rFonts w:hAnsi="Arial"/>
          <w:rFonts w:ascii="Arial"/>
          <w:sz w:val="24"/>
          <w:color w:val="black"/>
        </w:rPr>
        <w:t xml:space="preserve">Se otorgará el título de Comando Especial Terrestre en el Ejército, Comando Anfibio o de selva en la Armada y Comando Especial Aéreo en la Fuerza Aérea, a quienes hubieren adelantado y aprobado tres (3) de los siguientes cursos dentro de cada Fuerza:</w:t>
      </w:r>
    </w:p>
    <w:p>
      <w:pPr>
        <w:jc w:val="both"/>
      </w:pPr>
      <w:rPr>
        <w:sz w:val="24"/>
        <w:color w:val="black"/>
      </w:rPr>
    </w:p>
    <w:p>
      <w:pPr>
        <w:jc w:val="both"/>
      </w:pPr>
      <w:r>
        <w:rPr>
          <w:rFonts w:hAnsi="Arial"/>
          <w:rFonts w:ascii="Arial"/>
          <w:sz w:val="24"/>
          <w:color w:val="black"/>
        </w:rPr>
        <w:t xml:space="preserve">a) En el Ejército: Lancero, Paracaidista Militar, Contraguerrillas y Fuerzas Especiales;</w:t>
      </w:r>
    </w:p>
    <w:p>
      <w:pPr>
        <w:jc w:val="both"/>
      </w:pPr>
      <w:rPr>
        <w:sz w:val="24"/>
        <w:color w:val="black"/>
      </w:rPr>
    </w:p>
    <w:p>
      <w:pPr>
        <w:jc w:val="both"/>
      </w:pPr>
      <w:r>
        <w:rPr>
          <w:rFonts w:hAnsi="Arial"/>
          <w:rFonts w:ascii="Arial"/>
          <w:sz w:val="24"/>
          <w:color w:val="black"/>
        </w:rPr>
        <w:t xml:space="preserve">b) En la Armada: Lancero, Paracaidista, Contraguerrillas, Reconocimiento Anfibio, Demoliciones Submarinas, Fuerzas Especiales, Combate Fluvial y Comando Submarino;</w:t>
      </w:r>
    </w:p>
    <w:p>
      <w:pPr>
        <w:jc w:val="both"/>
      </w:pPr>
      <w:rPr>
        <w:sz w:val="24"/>
        <w:color w:val="black"/>
      </w:rPr>
    </w:p>
    <w:p>
      <w:pPr>
        <w:jc w:val="both"/>
      </w:pPr>
      <w:r>
        <w:rPr>
          <w:rFonts w:hAnsi="Arial"/>
          <w:rFonts w:ascii="Arial"/>
          <w:sz w:val="24"/>
          <w:color w:val="black"/>
        </w:rPr>
        <w:t xml:space="preserve">c) En la Fuerza Aérea: Lancero, Paracaidista Militar, Contraguerrillas y Fuerzas Especiales.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0" w:name="2.3.1.2.1.8"/>
      <w:r>
        <w:rPr>
          <w:rFonts w:hAnsi="Arial"/>
          <w:rFonts w:ascii="Arial"/>
          <w:sz w:val="24"/>
          <w:color w:val="navy"/>
        </w:rPr>
        <w:t xml:space="preserve">ARTÍCULO 2.3.1.2.1.8. </w:t>
      </w:r>
      <w:r>
        <w:rPr>
          <w:rFonts w:hAnsi="Arial"/>
          <w:rFonts w:ascii="Arial"/>
          <w:sz w:val="24"/>
          <w:i/>
          <w:color w:val="navy"/>
        </w:rPr>
        <w:t xml:space="preserve">REQUISITOS PARA DEVENGAR LA PRIMA DE COMANDOS.</w:t>
      </w:r>
      <w:bookmarkEnd w:id="60440"/>
      <w:r>
        <w:rPr>
          <w:rFonts w:hAnsi="Arial"/>
          <w:rFonts w:ascii="Arial"/>
          <w:sz w:val="24"/>
          <w:b/>
          <w:i/>
          <w:color w:val="black"/>
        </w:rPr>
        <w:t xml:space="preserve"> </w:t>
      </w:r>
      <w:r>
        <w:rPr>
          <w:rFonts w:hAnsi="Arial"/>
          <w:rFonts w:ascii="Arial"/>
          <w:sz w:val="24"/>
          <w:color w:val="black"/>
        </w:rPr>
        <w:t xml:space="preserve">El título de Comando Especial Terrestre, Anfibio y Aéreo dará derecho a devengar la prima de que trata el artículo </w:t>
      </w:r>
      <w:r>
        <w:fldChar w:fldCharType="begin"/>
      </w:r>
      <w:r>
        <w:instrText>HYPERLINK "http://www.redjurista.com/document.aspx?ajcode=d1211_90&amp;arts=90"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 1211 de 1990, siempre y cuando el Oficial o Suboficial se desempeñe dentro de una de las especialidades de Combate enumeradas en el artículo anterior y cumpla dentro de ella por orden de autoridad militar, uno cualquiera de los siguientes requisitos:</w:t>
      </w:r>
    </w:p>
    <w:p>
      <w:pPr>
        <w:jc w:val="both"/>
      </w:pPr>
      <w:rPr>
        <w:sz w:val="24"/>
        <w:color w:val="black"/>
      </w:rPr>
    </w:p>
    <w:p>
      <w:pPr>
        <w:jc w:val="both"/>
      </w:pPr>
      <w:r>
        <w:rPr>
          <w:rFonts w:hAnsi="Arial"/>
          <w:rFonts w:ascii="Arial"/>
          <w:sz w:val="24"/>
          <w:color w:val="black"/>
        </w:rPr>
        <w:t xml:space="preserve">a) Efectuar por lo menos un salto mensual en paracaídas, desde aeronaves en vuelo, o dos saltos mensuales desde torres de entrenamiento;</w:t>
      </w:r>
    </w:p>
    <w:p>
      <w:pPr>
        <w:jc w:val="both"/>
      </w:pPr>
      <w:rPr>
        <w:sz w:val="24"/>
        <w:color w:val="black"/>
      </w:rPr>
    </w:p>
    <w:p>
      <w:pPr>
        <w:jc w:val="both"/>
      </w:pPr>
      <w:r>
        <w:rPr>
          <w:rFonts w:hAnsi="Arial"/>
          <w:rFonts w:ascii="Arial"/>
          <w:sz w:val="24"/>
          <w:color w:val="black"/>
        </w:rPr>
        <w:t xml:space="preserve">b) Trabajar en inmersión un mínimo de cinco (5) horas mensuales continuas o discontinuas;</w:t>
      </w:r>
    </w:p>
    <w:p>
      <w:pPr>
        <w:jc w:val="both"/>
      </w:pPr>
      <w:rPr>
        <w:sz w:val="24"/>
        <w:color w:val="black"/>
      </w:rPr>
    </w:p>
    <w:p>
      <w:pPr>
        <w:jc w:val="both"/>
      </w:pPr>
      <w:r>
        <w:rPr>
          <w:rFonts w:hAnsi="Arial"/>
          <w:rFonts w:ascii="Arial"/>
          <w:sz w:val="24"/>
          <w:color w:val="black"/>
        </w:rPr>
        <w:t xml:space="preserve">c) Cumplir por lo menos una misión como integrante de Fuerzas Especiales durante el mes.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la cancelación de la Prima de Comandos, las Unidades que tengan Oficiales y Suboficiales con derecho a ella, pasarán mensualmente la correspondiente relación al respectivo Comando de Fuerza para su revisión y liquidación a través de las nóminas mensuales elaboradas por la División de Informática del Ministerio de Defensa.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1" w:name="2.3.1.2.1.9"/>
      <w:r>
        <w:rPr>
          <w:rFonts w:hAnsi="Arial"/>
          <w:rFonts w:ascii="Arial"/>
          <w:sz w:val="24"/>
          <w:color w:val="navy"/>
        </w:rPr>
        <w:t xml:space="preserve">ARTÍCULO 2.3.1.2.1.9. </w:t>
      </w:r>
      <w:r>
        <w:rPr>
          <w:rFonts w:hAnsi="Arial"/>
          <w:rFonts w:ascii="Arial"/>
          <w:sz w:val="24"/>
          <w:i/>
          <w:color w:val="navy"/>
        </w:rPr>
        <w:t xml:space="preserve">PRIMA DE ESPECIALISTA PARA SUBOFICIALES.</w:t>
      </w:r>
      <w:bookmarkEnd w:id="60441"/>
      <w:r>
        <w:rPr>
          <w:rFonts w:hAnsi="Arial"/>
          <w:rFonts w:ascii="Arial"/>
          <w:sz w:val="24"/>
          <w:b/>
          <w:i/>
          <w:color w:val="black"/>
        </w:rPr>
        <w:t xml:space="preserve"> </w:t>
      </w:r>
      <w:r>
        <w:rPr>
          <w:rFonts w:hAnsi="Arial"/>
          <w:rFonts w:ascii="Arial"/>
          <w:sz w:val="24"/>
          <w:color w:val="black"/>
        </w:rPr>
        <w:t xml:space="preserve">Los Suboficiales que se refiere el inciso 1o del artículo </w:t>
      </w:r>
      <w:r>
        <w:fldChar w:fldCharType="begin"/>
      </w:r>
      <w:r>
        <w:instrText>HYPERLINK "http://www.redjurista.com/document.aspx?ajcode=d1211_90&amp;arts=91"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del Decreto 1211 de 1990, tienen derecho a devengar la Prima de Especialista establecida en el citado artículo, cuando reúnan cualquiera de las siguientes condiciones:</w:t>
      </w:r>
    </w:p>
    <w:p>
      <w:pPr>
        <w:jc w:val="both"/>
      </w:pPr>
      <w:rPr>
        <w:sz w:val="24"/>
        <w:color w:val="black"/>
      </w:rPr>
    </w:p>
    <w:p>
      <w:pPr>
        <w:jc w:val="both"/>
      </w:pPr>
      <w:r>
        <w:rPr>
          <w:rFonts w:hAnsi="Arial"/>
          <w:rFonts w:ascii="Arial"/>
          <w:sz w:val="24"/>
          <w:color w:val="black"/>
        </w:rPr>
        <w:t xml:space="preserve">a) Que hayan adelantado y aprobado un curso de especialización técnica en Escuelas de las Fuerzas Militares o en Institutos similares de otros países o centros oficiales o privados de enseñanza, aprobados por el Ministerio de Educación Nacional, con una duración mínima de mil seiscientas (1.600) horas de clase o cuarenta y ocho (48) semanas de instrucción;</w:t>
      </w:r>
    </w:p>
    <w:p>
      <w:pPr>
        <w:jc w:val="both"/>
      </w:pPr>
      <w:rPr>
        <w:sz w:val="24"/>
        <w:color w:val="black"/>
      </w:rPr>
    </w:p>
    <w:p>
      <w:pPr>
        <w:jc w:val="both"/>
      </w:pPr>
      <w:r>
        <w:rPr>
          <w:rFonts w:hAnsi="Arial"/>
          <w:rFonts w:ascii="Arial"/>
          <w:sz w:val="24"/>
          <w:color w:val="black"/>
        </w:rPr>
        <w:t xml:space="preserve">b) Que acrediten, mediante título expedido por autoridad militar competente o por centros docentes legalmente autorizados, una de las siguientes especialidades: Contabilidad, Radio Técnica, Mecánica, Música, Electrónica, Electricidad, Operación de Tractores, Motoniveladoras, Cargadores, Moto Traillas, Palagrúas y demás maquinaria pesada de construcción;</w:t>
      </w:r>
    </w:p>
    <w:p>
      <w:pPr>
        <w:jc w:val="both"/>
      </w:pPr>
      <w:rPr>
        <w:sz w:val="24"/>
        <w:color w:val="black"/>
      </w:rPr>
    </w:p>
    <w:p>
      <w:pPr>
        <w:jc w:val="both"/>
      </w:pPr>
      <w:r>
        <w:rPr>
          <w:rFonts w:hAnsi="Arial"/>
          <w:rFonts w:ascii="Arial"/>
          <w:sz w:val="24"/>
          <w:color w:val="black"/>
        </w:rPr>
        <w:t xml:space="preserve">c) Que hayan aprobado el curso y obtenido el distintivo correspondiente a una o varias de las especialidades de Lancero, Paracaidista, Contraguerrillas, Inteligencia, Operaciones Sicológicas, Fuerzas Especiales, Reconocimiento Anfibio, Demolición Submarina, Combate Fluvial, Comando Submarino, siempre y cuando presten sus servicios en la Escuela de la especialidad o en el mando e instrucción de tropas dentro de Unidades Tácticas de Combate o en Operaciones Especiales.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prima de Especialista se pagará a los Suboficiales que reúnan los requisitos a que se refieren los literales a) y b) del presente artículo, solamente mientras se desempeñen en la respectiva especialidad técnica.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No se consideran especialidades técnicas, aquellas labores administrativas, operacionales, de mando o de instrucción, que ordinariamente correspondan a los Suboficiales en las distintas Unidades y organizaciones militares y que pueden ser apropiadamente desempeñadas por individuos desprovistos de título de técnico o especialista que se exige para el goce de la prima.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42" w:name="2.3.1.2.1.10"/>
      <w:r>
        <w:rPr>
          <w:rFonts w:hAnsi="Arial"/>
          <w:rFonts w:ascii="Arial"/>
          <w:sz w:val="24"/>
          <w:color w:val="navy"/>
        </w:rPr>
        <w:t xml:space="preserve">ARTÍCULO 2.3.1.2.1.10. </w:t>
      </w:r>
      <w:r>
        <w:rPr>
          <w:rFonts w:hAnsi="Arial"/>
          <w:rFonts w:ascii="Arial"/>
          <w:sz w:val="24"/>
          <w:i/>
          <w:color w:val="navy"/>
        </w:rPr>
        <w:t xml:space="preserve">SUSPENSIÓN DE LA PRIMA DE ESPECIALISTA.</w:t>
      </w:r>
      <w:bookmarkEnd w:id="60442"/>
      <w:r>
        <w:rPr>
          <w:rFonts w:hAnsi="Arial"/>
          <w:rFonts w:ascii="Arial"/>
          <w:sz w:val="24"/>
          <w:b/>
          <w:i/>
          <w:color w:val="black"/>
        </w:rPr>
        <w:t xml:space="preserve"> </w:t>
      </w:r>
      <w:r>
        <w:rPr>
          <w:rFonts w:hAnsi="Arial"/>
          <w:rFonts w:ascii="Arial"/>
          <w:sz w:val="24"/>
          <w:color w:val="black"/>
        </w:rPr>
        <w:t xml:space="preserve">Cuando un Suboficial a quien se haya reconocido la Prima de Especialista pase a desempeñar cargos o funciones ajenas a la especialidad técnica que dio origen al reconocimiento, el Comando de la respectiva Fuerza debe dar aviso inmediato a la División de Informática del Ministerio de Defensa para que suspenda el pago de la Prima.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3" w:name="2.3.1.2.1.11"/>
      <w:r>
        <w:rPr>
          <w:rFonts w:hAnsi="Arial"/>
          <w:rFonts w:ascii="Arial"/>
          <w:sz w:val="24"/>
          <w:color w:val="navy"/>
        </w:rPr>
        <w:t xml:space="preserve">ARTÍCULO 2.3.1.2.1.11. </w:t>
      </w:r>
      <w:r>
        <w:rPr>
          <w:rFonts w:hAnsi="Arial"/>
          <w:rFonts w:ascii="Arial"/>
          <w:sz w:val="24"/>
          <w:i/>
          <w:color w:val="navy"/>
        </w:rPr>
        <w:t xml:space="preserve">REQUISITOS PARA EL RECONOCIMIENTO DE LA PRIMA DE INSTALACIÓN.</w:t>
      </w:r>
      <w:bookmarkEnd w:id="60443"/>
      <w:r>
        <w:rPr>
          <w:rFonts w:hAnsi="Arial"/>
          <w:rFonts w:ascii="Arial"/>
          <w:sz w:val="24"/>
          <w:b/>
          <w:i/>
          <w:color w:val="black"/>
        </w:rPr>
        <w:t xml:space="preserve"> </w:t>
      </w:r>
      <w:r>
        <w:rPr>
          <w:rFonts w:hAnsi="Arial"/>
          <w:rFonts w:ascii="Arial"/>
          <w:sz w:val="24"/>
          <w:color w:val="black"/>
        </w:rPr>
        <w:t xml:space="preserve">Para el reconocimiento de la prima de instalación de que trata el artículo </w:t>
      </w:r>
      <w:r>
        <w:fldChar w:fldCharType="begin"/>
      </w:r>
      <w:r>
        <w:instrText>HYPERLINK "http://www.redjurista.com/document.aspx?ajcode=d1211_90&amp;arts=94"</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del Decreto 1211 de 1990, los Oficiales y Suboficiales de las Fuerzas Militares que sean trasladados dentro del país, deben elevar solicitud escrita al respectivo Comando de Fuerza y si fueren casados o viudos con hijos, acompañarla de un certificado expedido por el Comandante o Jefe de la Unidad o repartición de destino, en el cual conste que el solicitante instaló su familia en la nueva sede, o que tuvo que cambiarla de guarnición o lugar de residencia.</w:t>
      </w:r>
    </w:p>
    <w:p>
      <w:pPr>
        <w:jc w:val="both"/>
      </w:pPr>
      <w:rPr>
        <w:sz w:val="24"/>
        <w:color w:val="black"/>
      </w:rPr>
    </w:p>
    <w:p>
      <w:pPr>
        <w:jc w:val="both"/>
      </w:pPr>
      <w:r>
        <w:rPr>
          <w:rFonts w:hAnsi="Arial"/>
          <w:rFonts w:ascii="Arial"/>
          <w:sz w:val="24"/>
          <w:color w:val="black"/>
        </w:rPr>
        <w:t xml:space="preserve">Si el traslado fuere al exterior o del exterior al país, el viaje e instalación de la familia se comprobarán mediante certificación expedida por el Superior inmediato dentro de la organización de destino o por el Agregado Militar, Naval o Aéreo, acreditado ante el respectivo país o por el Agente Diplomático o Consular Colombiano más cercano a la nueva sede.</w:t>
      </w:r>
    </w:p>
    <w:p>
      <w:pPr>
        <w:jc w:val="both"/>
      </w:pPr>
      <w:rPr>
        <w:sz w:val="24"/>
        <w:color w:val="black"/>
      </w:rPr>
    </w:p>
    <w:p>
      <w:pPr>
        <w:jc w:val="both"/>
      </w:pPr>
      <w:r>
        <w:rPr>
          <w:rFonts w:hAnsi="Arial"/>
          <w:rFonts w:ascii="Arial"/>
          <w:sz w:val="24"/>
          <w:color w:val="black"/>
        </w:rPr>
        <w:t xml:space="preserve">Cuando por exigencias especiales del servicio, el Oficial o Suboficial no pueda llevar su familia a la nueva guarnición, deberá acompañar a su solicitud un certificado expedido por el respectivo Comandante de Unidad en el que se haga constar claramente esta circunstancia.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el reconocimiento y pago de la citada prima a los Oficiales y Suboficiales casados o viudos con hijos a su cargo, se tendrá en cuenta los haberes para la época en que se cause la novedad fiscal en la respectiva disposición sin incluir las primas de navidad, de servicio anual y vacacional.</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44" w:name="2.3.1.2.1.12"/>
      <w:r>
        <w:rPr>
          <w:rFonts w:hAnsi="Arial"/>
          <w:rFonts w:ascii="Arial"/>
          <w:sz w:val="24"/>
          <w:color w:val="navy"/>
        </w:rPr>
        <w:t xml:space="preserve">ARTÍCULO 2.3.1.2.1.12. </w:t>
      </w:r>
      <w:r>
        <w:rPr>
          <w:rFonts w:hAnsi="Arial"/>
          <w:rFonts w:ascii="Arial"/>
          <w:sz w:val="24"/>
          <w:i/>
          <w:color w:val="navy"/>
        </w:rPr>
        <w:t xml:space="preserve">PRIMA DE NAVIDAD EN EL EXTERIOR.</w:t>
      </w:r>
      <w:bookmarkEnd w:id="60444"/>
      <w:r>
        <w:rPr>
          <w:rFonts w:hAnsi="Arial"/>
          <w:rFonts w:ascii="Arial"/>
          <w:sz w:val="24"/>
          <w:b/>
          <w:i/>
          <w:color w:val="black"/>
        </w:rPr>
        <w:t xml:space="preserve"> </w:t>
      </w:r>
      <w:r>
        <w:rPr>
          <w:rFonts w:hAnsi="Arial"/>
          <w:rFonts w:ascii="Arial"/>
          <w:sz w:val="24"/>
          <w:color w:val="black"/>
        </w:rPr>
        <w:t xml:space="preserve">La prima de navidad de que trata el parágrafo 2o del artículo </w:t>
      </w:r>
      <w:r>
        <w:fldChar w:fldCharType="begin"/>
      </w:r>
      <w:r>
        <w:instrText>HYPERLINK "http://www.redjurista.com/document.aspx?ajcode=d1211_90&amp;arts=95"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del Decreto 1211 de 1990, sólo se liquidará y pagará en la forma allí establecida, cuando el Oficial o Suboficial que cumpla la comisión permanente en el exterior se encuentre en desempeño de ella el 30 de noviembre del respectivo año.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5" w:name="2.3.1.2.1.13"/>
      <w:r>
        <w:rPr>
          <w:rFonts w:hAnsi="Arial"/>
          <w:rFonts w:ascii="Arial"/>
          <w:sz w:val="24"/>
          <w:color w:val="navy"/>
        </w:rPr>
        <w:t xml:space="preserve">ARTÍCULO 2.3.1.2.1.13. </w:t>
      </w:r>
      <w:r>
        <w:rPr>
          <w:rFonts w:hAnsi="Arial"/>
          <w:rFonts w:ascii="Arial"/>
          <w:sz w:val="24"/>
          <w:i/>
          <w:color w:val="navy"/>
        </w:rPr>
        <w:t xml:space="preserve">PRIMA PARA OFICIALES DEL CUERPO ADMINISTRATIVO.</w:t>
      </w:r>
      <w:bookmarkEnd w:id="60445"/>
      <w:r>
        <w:rPr>
          <w:rFonts w:hAnsi="Arial"/>
          <w:rFonts w:ascii="Arial"/>
          <w:sz w:val="24"/>
          <w:b/>
          <w:i/>
          <w:color w:val="black"/>
        </w:rPr>
        <w:t xml:space="preserve"> </w:t>
      </w:r>
      <w:r>
        <w:rPr>
          <w:rFonts w:hAnsi="Arial"/>
          <w:rFonts w:ascii="Arial"/>
          <w:sz w:val="24"/>
          <w:color w:val="black"/>
        </w:rPr>
        <w:t xml:space="preserve">Para el reconocimiento y pago de la prima para Oficiales del Cuerpo Administrativo, los interesados deberán cumplir los siguientes requisitos:</w:t>
      </w:r>
    </w:p>
    <w:p>
      <w:pPr>
        <w:jc w:val="both"/>
      </w:pPr>
      <w:rPr>
        <w:sz w:val="24"/>
        <w:color w:val="black"/>
      </w:rPr>
    </w:p>
    <w:p>
      <w:pPr>
        <w:jc w:val="both"/>
      </w:pPr>
      <w:r>
        <w:rPr>
          <w:rFonts w:hAnsi="Arial"/>
          <w:rFonts w:ascii="Arial"/>
          <w:sz w:val="24"/>
          <w:color w:val="black"/>
        </w:rPr>
        <w:t xml:space="preserve">a) Solicitud por escrito a los respectivos Comandos de Fuerza;</w:t>
      </w:r>
    </w:p>
    <w:p>
      <w:pPr>
        <w:jc w:val="both"/>
      </w:pPr>
      <w:rPr>
        <w:sz w:val="24"/>
        <w:color w:val="black"/>
      </w:rPr>
    </w:p>
    <w:p>
      <w:pPr>
        <w:jc w:val="both"/>
      </w:pPr>
      <w:r>
        <w:rPr>
          <w:rFonts w:hAnsi="Arial"/>
          <w:rFonts w:ascii="Arial"/>
          <w:sz w:val="24"/>
          <w:color w:val="black"/>
        </w:rPr>
        <w:t xml:space="preserve">b) Certificación del Comandante o Jefe de la repartición, en que conste que el Oficial labora en su especialidad profesional un tiempo mínimo igual al que rige para los demás Oficiales.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No se considerarán especialidades profesionales, aquellas labores que pueden ser apropiadamente desempeñadas por Oficiales desprovistos del título de formación universitaria.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46" w:name="2.3.1.2.1.14"/>
      <w:r>
        <w:rPr>
          <w:rFonts w:hAnsi="Arial"/>
          <w:rFonts w:ascii="Arial"/>
          <w:sz w:val="24"/>
          <w:color w:val="navy"/>
        </w:rPr>
        <w:t xml:space="preserve">ARTÍCULO 2.3.1.2.1.14. </w:t>
      </w:r>
      <w:r>
        <w:rPr>
          <w:rFonts w:hAnsi="Arial"/>
          <w:rFonts w:ascii="Arial"/>
          <w:sz w:val="24"/>
          <w:i/>
          <w:color w:val="navy"/>
        </w:rPr>
        <w:t xml:space="preserve">SUSPENSIÓN DE LA PRIMA PARA OFICIALES DEL CUERPO ADMINISTRATIVO.</w:t>
      </w:r>
      <w:bookmarkEnd w:id="60446"/>
      <w:r>
        <w:rPr>
          <w:rFonts w:hAnsi="Arial"/>
          <w:rFonts w:ascii="Arial"/>
          <w:sz w:val="24"/>
          <w:b/>
          <w:i/>
          <w:color w:val="black"/>
        </w:rPr>
        <w:t xml:space="preserve"> </w:t>
      </w:r>
      <w:r>
        <w:rPr>
          <w:rFonts w:hAnsi="Arial"/>
          <w:rFonts w:ascii="Arial"/>
          <w:sz w:val="24"/>
          <w:color w:val="black"/>
        </w:rPr>
        <w:t xml:space="preserve">Los Oficiales del Cuerpo Administrativo, a quienes se reconozca la prima de que trata el artículo </w:t>
      </w:r>
      <w:r>
        <w:fldChar w:fldCharType="begin"/>
      </w:r>
      <w:r>
        <w:instrText>HYPERLINK "http://www.redjurista.com/document.aspx?ajcode=d1211_90&amp;arts=96"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Decreto 1211 de 1990, están obligados a solicitar la suspensión de la misma, a partir del momento en que dejen de reunir cualquiera de los requisitos establecidos para el efecto. Quienes no cumplieren esta obligación, deberán pagar al Tesoro Público, Ministerio de Defensa Nacional, una suma igual a lo indebidamente recibido por tal concepto, sin perjuicio de la acción disciplinaria que corresponda al caso; dicha suma será descontable de los haberes o prestaciones sociales del Oficial, mediante resolución del Comando de Fuerza e ingresará a la Caja de Retiro de las Fuerzas Militares.</w:t>
      </w:r>
    </w:p>
    <w:p>
      <w:pPr>
        <w:jc w:val="both"/>
      </w:pPr>
      <w:rPr>
        <w:sz w:val="24"/>
        <w:color w:val="black"/>
      </w:rPr>
    </w:p>
    <w:p>
      <w:pPr>
        <w:jc w:val="both"/>
      </w:pPr>
      <w:r>
        <w:rPr>
          <w:rFonts w:hAnsi="Arial"/>
          <w:rFonts w:ascii="Arial"/>
          <w:sz w:val="24"/>
          <w:color w:val="black"/>
        </w:rPr>
        <w:t xml:space="preserve">Los Comandantes o Jefes de los Oficiales que disfruten de la prima citada, deben velar por el permanente cumplimiento de los requisitos establecidos en el artículo </w:t>
      </w:r>
      <w:r>
        <w:fldChar w:fldCharType="begin"/>
      </w:r>
      <w:r>
        <w:instrText>HYPERLINK "http://www.redjurista.com/document.aspx?ajcode=d1211_90&amp;arts=96"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Decreto 1211 de 1990, y en el artículo </w:t>
      </w:r>
      <w:r>
        <w:fldChar w:fldCharType="begin"/>
      </w:r>
      <w:r>
        <w:instrText>HYPERLINK "http://www.redjurista.com/document.aspx?ajcode=d1070015&amp;arts=2.3.1.2.1.13"</w:instrText>
      </w:r>
      <w:r>
        <w:fldChar w:fldCharType="separate"/>
      </w:r>
      <w:r>
        <w:rPr>
          <w:rFonts w:hAnsi="Arial"/>
          <w:rFonts w:ascii="Arial"/>
          <w:sz w:val="24"/>
          <w:u w:val="single"/>
          <w:color w:val="black"/>
        </w:rPr>
        <w:t>2.3.1.2.1.13</w:t>
      </w:r>
      <w:r>
        <w:fldChar w:fldCharType="end"/>
      </w:r>
      <w:r>
        <w:rPr>
          <w:rFonts w:hAnsi="Arial"/>
          <w:rFonts w:ascii="Arial"/>
          <w:sz w:val="24"/>
          <w:u w:val="none"/>
          <w:color w:val="black"/>
        </w:rPr>
        <w:t xml:space="preserve"> de este Capítulo. Cuando no se cumplieren, deben solicitar al respectivo Comando de Fuerza, la suspensión inmediata del pago de la prima y el reintegro a que hubiere lugar, de acuerdo con lo estipulado en el inciso segundo de este artículo.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7" w:name="2.3.1.2.1.15"/>
      <w:r>
        <w:rPr>
          <w:rFonts w:hAnsi="Arial"/>
          <w:rFonts w:ascii="Arial"/>
          <w:sz w:val="24"/>
          <w:color w:val="navy"/>
        </w:rPr>
        <w:t xml:space="preserve">ARTÍCULO 2.3.1.2.1.15. </w:t>
      </w:r>
      <w:r>
        <w:rPr>
          <w:rFonts w:hAnsi="Arial"/>
          <w:rFonts w:ascii="Arial"/>
          <w:sz w:val="24"/>
          <w:i/>
          <w:color w:val="navy"/>
        </w:rPr>
        <w:t xml:space="preserve">PRIMA DE SALTO.</w:t>
      </w:r>
      <w:bookmarkEnd w:id="60447"/>
      <w:r>
        <w:rPr>
          <w:rFonts w:hAnsi="Arial"/>
          <w:rFonts w:ascii="Arial"/>
          <w:sz w:val="24"/>
          <w:b/>
          <w:i/>
          <w:color w:val="black"/>
        </w:rPr>
        <w:t xml:space="preserve"> </w:t>
      </w:r>
      <w:r>
        <w:rPr>
          <w:rFonts w:hAnsi="Arial"/>
          <w:rFonts w:ascii="Arial"/>
          <w:sz w:val="24"/>
          <w:color w:val="black"/>
        </w:rPr>
        <w:t xml:space="preserve">El personal de las Fuerzas Militares que como consecuencia del entrenamiento en paracaídas desde una aeronave en vuelo, ordenado por autoridad competente, se inhabilite físicamente para continuar saltando de acuerdo a concepto de la Sanidad Militar de la respectiva Fuerza y tenga contabilizados ciento veinte (120) saltos o más, tendrá derecho a seguir percibiendo esta prima, en el porcentaje que tenga reconocido, sin necesidad de efectuar salto alguno.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8" w:name="2.3.1.2.1.16"/>
      <w:r>
        <w:rPr>
          <w:rFonts w:hAnsi="Arial"/>
          <w:rFonts w:ascii="Arial"/>
          <w:sz w:val="24"/>
          <w:color w:val="navy"/>
        </w:rPr>
        <w:t xml:space="preserve">ARTÍCULO 2.3.1.2.1.16. </w:t>
      </w:r>
      <w:r>
        <w:rPr>
          <w:rFonts w:hAnsi="Arial"/>
          <w:rFonts w:ascii="Arial"/>
          <w:sz w:val="24"/>
          <w:i/>
          <w:color w:val="navy"/>
        </w:rPr>
        <w:t xml:space="preserve">RECONOCIMIENTO Y PAGO DE LA PRIMA DE VACACIONES.</w:t>
      </w:r>
      <w:bookmarkEnd w:id="60448"/>
      <w:r>
        <w:rPr>
          <w:rFonts w:hAnsi="Arial"/>
          <w:rFonts w:ascii="Arial"/>
          <w:sz w:val="24"/>
          <w:b/>
          <w:i/>
          <w:color w:val="black"/>
        </w:rPr>
        <w:t xml:space="preserve"> </w:t>
      </w:r>
      <w:r>
        <w:rPr>
          <w:rFonts w:hAnsi="Arial"/>
          <w:rFonts w:ascii="Arial"/>
          <w:sz w:val="24"/>
          <w:color w:val="black"/>
        </w:rPr>
        <w:t xml:space="preserve">El reconocimiento y pago de la prima de vacaciones de que trata el artículo </w:t>
      </w:r>
      <w:r>
        <w:fldChar w:fldCharType="begin"/>
      </w:r>
      <w:r>
        <w:instrText>HYPERLINK "http://www.redjurista.com/document.aspx?ajcode=d1211_90&amp;arts=102"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Decreto 1211 de 1990, se efectuará a través de las nóminas mensuales elaboradas por la División de Informática del Ministerio de Defensa, con base en los turnos de vacaciones aprobados por el Comando General de las Fuerzas Militares, por los Comandos de Fuerza y por la Secretaría General del Ministerio de Defensa. Estos turnos, una vez comunicados a la mencionada División, no podrán ser modificados sino por circunstancias insuperables del servicio y con el expreso consentimiento de la autoridad que les impartió su aprobación, la cual debe dar aviso oportuno a la Sección de Sistemas de la respectiva Fuerza para los fines pertinentes.</w:t>
      </w:r>
    </w:p>
    <w:p>
      <w:pPr>
        <w:jc w:val="both"/>
      </w:pPr>
      <w:rPr>
        <w:sz w:val="24"/>
        <w:color w:val="black"/>
      </w:rPr>
    </w:p>
    <w:p>
      <w:pPr>
        <w:jc w:val="both"/>
      </w:pPr>
      <w:r>
        <w:rPr>
          <w:rFonts w:hAnsi="Arial"/>
          <w:rFonts w:ascii="Arial"/>
          <w:sz w:val="24"/>
          <w:color w:val="black"/>
        </w:rPr>
        <w:t xml:space="preserve">La prima de vacaciones debe liquidarse en la nómina correspondiente al mes inmediatamente anterior a aquel en que los interesados vayan a disfrutar de sus vacaciones anuales.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reconocimiento y pago de la prima de vacaciones de los Oficiales y Suboficiales que desempeñen cargos en la Justicia Penal Militar y en su Ministerio Público, se regirán por las disposiciones vigentes sobre la materia.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por cualquier circunstancia el Oficial o Suboficial reciba en el mismo año calendario más de una prima vacacional, estará obligado a reintegrar el valor o las excedentes dentro de los treinta (30) días siguientes a su recibo. El incumplimiento de esta obligación conlleva el descuento de una suma equivalente a lo recibido en exceso, sin perjuicio de la acción disciplinaria que corresponda al caso. Los dineros recaudados por este concepto se incorporarán al presupuesto del Ministerio de Defensa Nacional.</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49" w:name="2.3.1.2.1.17"/>
      <w:r>
        <w:rPr>
          <w:rFonts w:hAnsi="Arial"/>
          <w:rFonts w:ascii="Arial"/>
          <w:sz w:val="24"/>
          <w:color w:val="navy"/>
        </w:rPr>
        <w:t xml:space="preserve">ARTÍCULO 2.3.1.2.1.17. </w:t>
      </w:r>
      <w:r>
        <w:rPr>
          <w:rFonts w:hAnsi="Arial"/>
          <w:rFonts w:ascii="Arial"/>
          <w:sz w:val="24"/>
          <w:i/>
          <w:color w:val="navy"/>
        </w:rPr>
        <w:t xml:space="preserve">DOTACIÓN ANUAL, INICIAL Y ADICIONAL DE VESTUARIO Y EQUIPO.</w:t>
      </w:r>
      <w:bookmarkEnd w:id="60449"/>
      <w:r>
        <w:rPr>
          <w:rFonts w:hAnsi="Arial"/>
          <w:rFonts w:ascii="Arial"/>
          <w:sz w:val="24"/>
          <w:b/>
          <w:i/>
          <w:color w:val="black"/>
        </w:rPr>
        <w:t xml:space="preserve"> </w:t>
      </w:r>
      <w:r>
        <w:rPr>
          <w:rFonts w:hAnsi="Arial"/>
          <w:rFonts w:ascii="Arial"/>
          <w:sz w:val="24"/>
          <w:color w:val="black"/>
        </w:rPr>
        <w:t xml:space="preserve">El Oficial o Suboficial en servicio activo, tendrá derecho a una partida anual de vestuario, así: Oficiales Generales y de Insignia el 47% del sueldo básico de un General; Oficiales Superiores el 55% del sueldo básico de un Coronel; Oficiales Subalternos el 45% del sueldo básico de un Coronel; Sargento Mayor; Suboficiales (SS., CP., CS.) el 66% del sueldo básico de un Sargento Mayor.</w:t>
      </w:r>
    </w:p>
    <w:p>
      <w:pPr>
        <w:jc w:val="both"/>
      </w:pPr>
      <w:rPr>
        <w:sz w:val="24"/>
        <w:color w:val="black"/>
      </w:rPr>
    </w:p>
    <w:p>
      <w:pPr>
        <w:jc w:val="both"/>
      </w:pPr>
      <w:r>
        <w:rPr>
          <w:rFonts w:hAnsi="Arial"/>
          <w:rFonts w:ascii="Arial"/>
          <w:sz w:val="24"/>
          <w:color w:val="black"/>
        </w:rPr>
        <w:t xml:space="preserve">Esta partida es acumulable de un (1) año para otro, pero no es reconocible en dinero. El derecho a hacer uso de ella se pierde a partir de la fecha de la disposición que cause el retiro del servicio activo o la separación del Oficial o Suboficial.</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0" w:name="2.3.1.2.1.18"/>
      <w:r>
        <w:rPr>
          <w:rFonts w:hAnsi="Arial"/>
          <w:rFonts w:ascii="Arial"/>
          <w:sz w:val="24"/>
          <w:color w:val="navy"/>
        </w:rPr>
        <w:t xml:space="preserve">ARTÍCULO 2.3.1.2.1.18. </w:t>
      </w:r>
      <w:r>
        <w:rPr>
          <w:rFonts w:hAnsi="Arial"/>
          <w:rFonts w:ascii="Arial"/>
          <w:sz w:val="24"/>
          <w:i/>
          <w:color w:val="navy"/>
        </w:rPr>
        <w:t xml:space="preserve">COMPRA DE ELEMENTOS.</w:t>
      </w:r>
      <w:bookmarkEnd w:id="60450"/>
      <w:r>
        <w:rPr>
          <w:rFonts w:hAnsi="Arial"/>
          <w:rFonts w:ascii="Arial"/>
          <w:sz w:val="24"/>
          <w:b/>
          <w:i/>
          <w:color w:val="black"/>
        </w:rPr>
        <w:t xml:space="preserve"> </w:t>
      </w:r>
      <w:r>
        <w:rPr>
          <w:rFonts w:hAnsi="Arial"/>
          <w:rFonts w:ascii="Arial"/>
          <w:sz w:val="24"/>
          <w:color w:val="black"/>
        </w:rPr>
        <w:t xml:space="preserve">Los Oficiales y Suboficiales que hayan agotado la partida anual fijada, podrán adquirir prendas de vestuario y equipo en los respectivos Almacenes Militares, mediante el pago previo de su valor de acuerdo con reglamentación expedida por los Comandos de Fuerza.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51" w:name="SECCIÓN 2.3.1.2.2"/>
      <w:r>
        <w:rPr>
          <w:rFonts w:hAnsi="Arial"/>
          <w:rFonts w:ascii="Arial"/>
          <w:sz w:val="24"/>
          <w:color w:val="navy"/>
        </w:rPr>
        <w:t xml:space="preserve">SECCIÓN 2. </w:t>
      </w:r>
    </w:p>
    <w:p>
      <w:pPr>
        <w:jc w:val="center"/>
      </w:pPr>
      <w:r>
        <w:rPr>
          <w:rFonts w:hAnsi="Arial"/>
          <w:rFonts w:ascii="Arial"/>
          <w:sz w:val="24"/>
          <w:color w:val="navy"/>
        </w:rPr>
        <w:t xml:space="preserve">DE LAS PRESTACIONES EN ACTIVIDAD, EN RETIRO, POR SEPARACIÓN, POR INCAPACIDAD E INVALIDEZ, POR MUERTE, POR DESAPARICIÓN Y CAUTIVERIO.</w:t>
      </w:r>
      <w:bookmarkEnd w:id="60451"/>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0452" w:name="SUBSECCIÓN 2.3.1.2.2.1"/>
      <w:r>
        <w:rPr>
          <w:rFonts w:hAnsi="Arial"/>
          <w:rFonts w:ascii="Arial"/>
          <w:sz w:val="24"/>
          <w:color w:val="navy"/>
        </w:rPr>
        <w:t xml:space="preserve">SUBSECCIÓN 1. </w:t>
      </w:r>
    </w:p>
    <w:p>
      <w:pPr>
        <w:jc w:val="center"/>
      </w:pPr>
      <w:r>
        <w:rPr>
          <w:rFonts w:hAnsi="Arial"/>
          <w:rFonts w:ascii="Arial"/>
          <w:sz w:val="24"/>
          <w:color w:val="navy"/>
        </w:rPr>
        <w:t xml:space="preserve">DE LAS PRESTACIONES EN ACTIVIDAD.</w:t>
      </w:r>
      <w:bookmarkEnd w:id="604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53" w:name="2.3.1.2.2.1.1"/>
      <w:r>
        <w:rPr>
          <w:rFonts w:hAnsi="Arial"/>
          <w:rFonts w:ascii="Arial"/>
          <w:sz w:val="24"/>
          <w:color w:val="navy"/>
        </w:rPr>
        <w:t xml:space="preserve">ARTÍCULO 2.3.1.2.2.1.1. </w:t>
      </w:r>
      <w:r>
        <w:rPr>
          <w:rFonts w:hAnsi="Arial"/>
          <w:rFonts w:ascii="Arial"/>
          <w:sz w:val="24"/>
          <w:i/>
          <w:color w:val="navy"/>
        </w:rPr>
        <w:t xml:space="preserve">SERVICIOS MÉDICO-ASISTENCIALES.</w:t>
      </w:r>
      <w:bookmarkEnd w:id="60453"/>
      <w:r>
        <w:rPr>
          <w:rFonts w:hAnsi="Arial"/>
          <w:rFonts w:ascii="Arial"/>
          <w:sz w:val="24"/>
          <w:b/>
          <w:i/>
          <w:color w:val="black"/>
        </w:rPr>
        <w:t xml:space="preserve"> </w:t>
      </w:r>
      <w:r>
        <w:rPr>
          <w:rFonts w:hAnsi="Arial"/>
          <w:rFonts w:ascii="Arial"/>
          <w:sz w:val="24"/>
          <w:color w:val="black"/>
        </w:rPr>
        <w:t xml:space="preserve">Para la prestación de los servicios médico-asistenciales previstos en el artículo </w:t>
      </w:r>
      <w:r>
        <w:fldChar w:fldCharType="begin"/>
      </w:r>
      <w:r>
        <w:instrText>HYPERLINK "http://www.redjurista.com/document.aspx?ajcode=d1211_90&amp;arts=149"</w:instrText>
      </w:r>
      <w:r>
        <w:fldChar w:fldCharType="separate"/>
      </w:r>
      <w:r>
        <w:rPr>
          <w:rFonts w:hAnsi="Arial"/>
          <w:rFonts w:ascii="Arial"/>
          <w:sz w:val="24"/>
          <w:u w:val="single"/>
          <w:color w:val="black"/>
        </w:rPr>
        <w:t>149</w:t>
      </w:r>
      <w:r>
        <w:fldChar w:fldCharType="end"/>
      </w:r>
      <w:r>
        <w:rPr>
          <w:rFonts w:hAnsi="Arial"/>
          <w:rFonts w:ascii="Arial"/>
          <w:sz w:val="24"/>
          <w:u w:val="none"/>
          <w:color w:val="black"/>
        </w:rPr>
        <w:t xml:space="preserve"> del Decreto 1211 de 1990, los Departamentos o Direcciones de Personal de los Comandos de Fuerza expedirán carnés de identificación a las personas que tengan el carácter de cónyuge, hijos dependientes económicamente del Oficial o Suboficial, para cuyo efecto se observarán las siguientes normas:</w:t>
      </w:r>
    </w:p>
    <w:p>
      <w:pPr>
        <w:jc w:val="both"/>
      </w:pPr>
      <w:rPr>
        <w:sz w:val="24"/>
        <w:color w:val="black"/>
      </w:rPr>
    </w:p>
    <w:p>
      <w:pPr>
        <w:jc w:val="both"/>
      </w:pPr>
      <w:r>
        <w:rPr>
          <w:rFonts w:hAnsi="Arial"/>
          <w:rFonts w:ascii="Arial"/>
          <w:sz w:val="24"/>
          <w:color w:val="black"/>
        </w:rPr>
        <w:t xml:space="preserve">a) El carné debe expedirse individualmente a cada uno de los beneficiarios e incluir su fotografía, salvo para niños menores de dos (2) años; tendrá una vigencia igual a tiempo mínimo de servicio en cada grado;</w:t>
      </w:r>
    </w:p>
    <w:p>
      <w:pPr>
        <w:jc w:val="both"/>
      </w:pPr>
      <w:rPr>
        <w:sz w:val="24"/>
        <w:color w:val="black"/>
      </w:rPr>
    </w:p>
    <w:p>
      <w:pPr>
        <w:jc w:val="both"/>
      </w:pPr>
      <w:r>
        <w:rPr>
          <w:rFonts w:hAnsi="Arial"/>
          <w:rFonts w:ascii="Arial"/>
          <w:sz w:val="24"/>
          <w:color w:val="black"/>
        </w:rPr>
        <w:t xml:space="preserve">b) El valor de cada carné, determinado por el Comando General de las Fuerzas Militares, debe ser cubierto por el beneficiario o por el causante de la prestación en el momento de solicitarlo;</w:t>
      </w:r>
    </w:p>
    <w:p>
      <w:pPr>
        <w:jc w:val="both"/>
      </w:pPr>
      <w:rPr>
        <w:sz w:val="24"/>
        <w:color w:val="black"/>
      </w:rPr>
    </w:p>
    <w:p>
      <w:pPr>
        <w:jc w:val="both"/>
      </w:pPr>
      <w:r>
        <w:rPr>
          <w:rFonts w:hAnsi="Arial"/>
          <w:rFonts w:ascii="Arial"/>
          <w:sz w:val="24"/>
          <w:color w:val="black"/>
        </w:rPr>
        <w:t xml:space="preserve">c) La dependencia económica y demás condiciones que deben reunir los hijos para la prestación de los servicios médico-asistenciales de que trata este artículo, deberán comprobarse mediante la presentación de los siguientes documentos:</w:t>
      </w:r>
    </w:p>
    <w:p>
      <w:pPr>
        <w:jc w:val="both"/>
      </w:pPr>
      <w:rPr>
        <w:sz w:val="24"/>
        <w:color w:val="black"/>
      </w:rPr>
    </w:p>
    <w:p>
      <w:pPr>
        <w:jc w:val="both"/>
      </w:pPr>
      <w:r>
        <w:rPr>
          <w:rFonts w:hAnsi="Arial"/>
          <w:rFonts w:ascii="Arial"/>
          <w:sz w:val="24"/>
          <w:color w:val="black"/>
        </w:rPr>
        <w:t xml:space="preserve">1. En el caso de las hijas de que trata el artículo </w:t>
      </w:r>
      <w:r>
        <w:fldChar w:fldCharType="begin"/>
      </w:r>
      <w:r>
        <w:instrText>HYPERLINK "http://www.redjurista.com/document.aspx?ajcode=d1211_90&amp;arts=250"</w:instrText>
      </w:r>
      <w:r>
        <w:fldChar w:fldCharType="separate"/>
      </w:r>
      <w:r>
        <w:rPr>
          <w:rFonts w:hAnsi="Arial"/>
          <w:rFonts w:ascii="Arial"/>
          <w:sz w:val="24"/>
          <w:u w:val="single"/>
          <w:color w:val="black"/>
        </w:rPr>
        <w:t>250</w:t>
      </w:r>
      <w:r>
        <w:fldChar w:fldCharType="end"/>
      </w:r>
      <w:r>
        <w:rPr>
          <w:rFonts w:hAnsi="Arial"/>
          <w:rFonts w:ascii="Arial"/>
          <w:sz w:val="24"/>
          <w:u w:val="none"/>
          <w:color w:val="black"/>
        </w:rPr>
        <w:t xml:space="preserve"> del Decreto 1211 de 1990, partida de nacimiento con nota marginal de no haber contraído matrimonio y declaración juramentada ante Juez Civil o Notario sobre su permanencia en este estado. La declaración será rendida por el Oficial o Suboficial o por la hija si es mayor de edad.</w:t>
      </w:r>
    </w:p>
    <w:p>
      <w:pPr>
        <w:jc w:val="both"/>
      </w:pPr>
      <w:rPr>
        <w:sz w:val="24"/>
        <w:color w:val="black"/>
      </w:rPr>
    </w:p>
    <w:p>
      <w:pPr>
        <w:jc w:val="both"/>
      </w:pPr>
      <w:r>
        <w:rPr>
          <w:rFonts w:hAnsi="Arial"/>
          <w:rFonts w:ascii="Arial"/>
          <w:sz w:val="24"/>
          <w:color w:val="black"/>
        </w:rPr>
        <w:t xml:space="preserve">2. En caso de los hijos inválidos, certificación expedida por los organismos señalados en el parágrafo 2o del artículo </w:t>
      </w:r>
      <w:r>
        <w:fldChar w:fldCharType="begin"/>
      </w:r>
      <w:r>
        <w:instrText>HYPERLINK "http://www.redjurista.com/document.aspx?ajcode=d1211_90&amp;arts=176"</w:instrText>
      </w:r>
      <w:r>
        <w:fldChar w:fldCharType="separate"/>
      </w:r>
      <w:r>
        <w:rPr>
          <w:rFonts w:hAnsi="Arial"/>
          <w:rFonts w:ascii="Arial"/>
          <w:sz w:val="24"/>
          <w:u w:val="single"/>
          <w:color w:val="black"/>
        </w:rPr>
        <w:t>176</w:t>
      </w:r>
      <w:r>
        <w:fldChar w:fldCharType="end"/>
      </w:r>
      <w:r>
        <w:rPr>
          <w:rFonts w:hAnsi="Arial"/>
          <w:rFonts w:ascii="Arial"/>
          <w:sz w:val="24"/>
          <w:u w:val="none"/>
          <w:color w:val="black"/>
        </w:rPr>
        <w:t xml:space="preserve"> del Decreto 1211 de 1990.</w:t>
      </w:r>
    </w:p>
    <w:p>
      <w:pPr>
        <w:jc w:val="both"/>
      </w:pPr>
      <w:rPr>
        <w:sz w:val="24"/>
        <w:color w:val="black"/>
      </w:rPr>
    </w:p>
    <w:p>
      <w:pPr>
        <w:jc w:val="both"/>
      </w:pPr>
      <w:r>
        <w:rPr>
          <w:rFonts w:hAnsi="Arial"/>
          <w:rFonts w:ascii="Arial"/>
          <w:sz w:val="24"/>
          <w:color w:val="black"/>
        </w:rPr>
        <w:t xml:space="preserve">3. En el caso de los estudiantes mayores de 21 años, certificación expedida por la Dirección o Secretaría del respectivo plantel educativo, con indicación de la correspondiente intensidad horaria semanal, que no podrá ser inferior a cuatro (4) horas diarias.</w:t>
      </w:r>
    </w:p>
    <w:p>
      <w:pPr>
        <w:jc w:val="both"/>
      </w:pPr>
      <w:rPr>
        <w:sz w:val="24"/>
        <w:color w:val="black"/>
      </w:rPr>
    </w:p>
    <w:p>
      <w:pPr>
        <w:jc w:val="both"/>
      </w:pPr>
      <w:r>
        <w:rPr>
          <w:rFonts w:hAnsi="Arial"/>
          <w:rFonts w:ascii="Arial"/>
          <w:sz w:val="24"/>
          <w:color w:val="black"/>
        </w:rPr>
        <w:t xml:space="preserve">d) Los carnés correspondientes a hijos del causante caducarán de manera automática en la fecha en que cumplan 21 años de edad. Se exceptúan de esta norma las hijas de que trata el artículo </w:t>
      </w:r>
      <w:r>
        <w:fldChar w:fldCharType="begin"/>
      </w:r>
      <w:r>
        <w:instrText>HYPERLINK "http://www.redjurista.com/document.aspx?ajcode=d1211_90&amp;arts=250"</w:instrText>
      </w:r>
      <w:r>
        <w:fldChar w:fldCharType="separate"/>
      </w:r>
      <w:r>
        <w:rPr>
          <w:rFonts w:hAnsi="Arial"/>
          <w:rFonts w:ascii="Arial"/>
          <w:sz w:val="24"/>
          <w:u w:val="single"/>
          <w:color w:val="black"/>
        </w:rPr>
        <w:t>250</w:t>
      </w:r>
      <w:r>
        <w:fldChar w:fldCharType="end"/>
      </w:r>
      <w:r>
        <w:rPr>
          <w:rFonts w:hAnsi="Arial"/>
          <w:rFonts w:ascii="Arial"/>
          <w:sz w:val="24"/>
          <w:u w:val="none"/>
          <w:color w:val="black"/>
        </w:rPr>
        <w:t xml:space="preserve"> del Decreto 1211 de 1990, los inválidos, los estudiantes hasta los 24 años de edad, siempre y cuando su dependencia económica del Oficial o Suboficial sea debidamente comprobada;</w:t>
      </w:r>
    </w:p>
    <w:p>
      <w:pPr>
        <w:jc w:val="both"/>
      </w:pPr>
      <w:rPr>
        <w:sz w:val="24"/>
        <w:color w:val="black"/>
      </w:rPr>
    </w:p>
    <w:p>
      <w:pPr>
        <w:jc w:val="both"/>
      </w:pPr>
      <w:r>
        <w:rPr>
          <w:rFonts w:hAnsi="Arial"/>
          <w:rFonts w:ascii="Arial"/>
          <w:sz w:val="24"/>
          <w:color w:val="black"/>
        </w:rPr>
        <w:t xml:space="preserve">e) Al retiro del servicio activo del Oficial o Suboficial los Departamentos y Direcciones de Personal de los Comandos de Fuerza deben exigir la devolución de los carnés correspondientes, expidiendo constancia escrita y detallada de tal devolución;</w:t>
      </w:r>
    </w:p>
    <w:p>
      <w:pPr>
        <w:jc w:val="both"/>
      </w:pPr>
      <w:rPr>
        <w:sz w:val="24"/>
        <w:color w:val="black"/>
      </w:rPr>
    </w:p>
    <w:p>
      <w:pPr>
        <w:jc w:val="both"/>
      </w:pPr>
      <w:r>
        <w:rPr>
          <w:rFonts w:hAnsi="Arial"/>
          <w:rFonts w:ascii="Arial"/>
          <w:sz w:val="24"/>
          <w:color w:val="black"/>
        </w:rPr>
        <w:t xml:space="preserve">f) La constancia a que se refiere el literal anterior será válida para la prestación de los servicios médico-asistenciales del causante y a sus beneficiarios durante los (3) meses de alta que establece la ley. Dicha constancia también será la base para la expedición de los nuevos carnés por parte de la Caja de Retiro de las Fuerzas Militares o del Fondo Asistencial de Pensionados del Ministerio de Defensa, cuando fuere del caso.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Quienes hayan ingresado a la institución como Oficiales y Suboficiales antes de la vigencia del Decreto </w:t>
      </w:r>
      <w:r>
        <w:fldChar w:fldCharType="begin"/>
      </w:r>
      <w:r>
        <w:instrText>HYPERLINK "http://www.redjurista.com/document.aspx?ajcode=d0095_89&amp;arts=INICIO"</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1989, comprobarán la dependencia económica de los padres mediante la presentación de los siguientes documentos:</w:t>
      </w:r>
    </w:p>
    <w:p>
      <w:pPr>
        <w:jc w:val="both"/>
      </w:pPr>
      <w:rPr>
        <w:sz w:val="24"/>
        <w:color w:val="black"/>
      </w:rPr>
    </w:p>
    <w:p>
      <w:pPr>
        <w:jc w:val="both"/>
      </w:pPr>
      <w:r>
        <w:rPr>
          <w:rFonts w:hAnsi="Arial"/>
          <w:rFonts w:ascii="Arial"/>
          <w:sz w:val="24"/>
          <w:color w:val="black"/>
        </w:rPr>
        <w:t xml:space="preserve">1. Declaración juramentada del Oficial y Suboficial y de los respectivos beneficiarios (padres), rendida ante un Juez o Notario competente, en la que conste que estos dependen económicamente de aquél y no están amparados por los servicios médico-asistenciales de cualquier otra entidad pública o privada.</w:t>
      </w:r>
    </w:p>
    <w:p>
      <w:pPr>
        <w:jc w:val="both"/>
      </w:pPr>
      <w:rPr>
        <w:sz w:val="24"/>
        <w:color w:val="black"/>
      </w:rPr>
    </w:p>
    <w:p>
      <w:pPr>
        <w:jc w:val="both"/>
      </w:pPr>
      <w:r>
        <w:rPr>
          <w:rFonts w:hAnsi="Arial"/>
          <w:rFonts w:ascii="Arial"/>
          <w:sz w:val="24"/>
          <w:color w:val="black"/>
        </w:rPr>
        <w:t xml:space="preserve">2. Certificación expedida por la Administración de Impuestos Nacionales, en el sentido de que los padres del Oficial o Suboficial no han declarado renta ni patrimonio en los últimos dos (2) años.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documentos probatorios de las situaciones a que se refiere este artículo no deben tener más de tres (3) meses de expedidos por la respectiva entidad o autoridad y se exigirán para la expedición inicial de los carnés, sin perjuicio del derecho que asiste a los Departamentos y Direcciones de Personal para exigirlos periódicamente o eventualmente como medio probatorio de la continuidad de tales situaciones, ni de la obligación que los interesados tienen de dar aviso oportuno sobre las modificaciones que se presenten.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Autorízase a los Comandos de Fuerza para exigir las pruebas complementarias que estimen necesarias.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4" w:name="2.3.1.2.2.1.2"/>
      <w:r>
        <w:rPr>
          <w:rFonts w:hAnsi="Arial"/>
          <w:rFonts w:ascii="Arial"/>
          <w:sz w:val="24"/>
          <w:color w:val="navy"/>
        </w:rPr>
        <w:t xml:space="preserve">ARTÍCULO 2.3.1.2.2.1.2. </w:t>
      </w:r>
      <w:r>
        <w:rPr>
          <w:rFonts w:hAnsi="Arial"/>
          <w:rFonts w:ascii="Arial"/>
          <w:sz w:val="24"/>
          <w:i/>
          <w:color w:val="navy"/>
        </w:rPr>
        <w:t xml:space="preserve">PRESTACIÓN DE SERVICIOS POR OTRAS ENTIDADES.</w:t>
      </w:r>
      <w:bookmarkEnd w:id="60454"/>
      <w:r>
        <w:rPr>
          <w:rFonts w:hAnsi="Arial"/>
          <w:rFonts w:ascii="Arial"/>
          <w:sz w:val="24"/>
          <w:b/>
          <w:i/>
          <w:color w:val="black"/>
        </w:rPr>
        <w:t xml:space="preserve"> </w:t>
      </w:r>
      <w:r>
        <w:rPr>
          <w:rFonts w:hAnsi="Arial"/>
          <w:rFonts w:ascii="Arial"/>
          <w:sz w:val="24"/>
          <w:color w:val="black"/>
        </w:rPr>
        <w:t xml:space="preserve">Cuando la Unidad Médica de una guarnición militar no esté en capacidad de prestar el servicio requerido, el Ministerio de Defensa Nacional podrá contratar los servicios de profesionales o entidades particulares, para atender tales necesidades.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5" w:name="2.3.1.2.2.1.3"/>
      <w:r>
        <w:rPr>
          <w:rFonts w:hAnsi="Arial"/>
          <w:rFonts w:ascii="Arial"/>
          <w:sz w:val="24"/>
          <w:color w:val="navy"/>
        </w:rPr>
        <w:t xml:space="preserve">ARTÍCULO 2.3.1.2.2.1.3. </w:t>
      </w:r>
      <w:r>
        <w:rPr>
          <w:rFonts w:hAnsi="Arial"/>
          <w:rFonts w:ascii="Arial"/>
          <w:sz w:val="24"/>
          <w:i/>
          <w:color w:val="navy"/>
        </w:rPr>
        <w:t xml:space="preserve">ATENCIÓN A CASOS DE URGENCIA.</w:t>
      </w:r>
      <w:bookmarkEnd w:id="60455"/>
      <w:r>
        <w:rPr>
          <w:rFonts w:hAnsi="Arial"/>
          <w:rFonts w:ascii="Arial"/>
          <w:sz w:val="24"/>
          <w:b/>
          <w:i/>
          <w:color w:val="black"/>
        </w:rPr>
        <w:t xml:space="preserve"> </w:t>
      </w:r>
      <w:r>
        <w:rPr>
          <w:rFonts w:hAnsi="Arial"/>
          <w:rFonts w:ascii="Arial"/>
          <w:sz w:val="24"/>
          <w:color w:val="black"/>
        </w:rPr>
        <w:t xml:space="preserve">En casos de urgencia los cuales deben ser plenamente comprobados, los beneficiarios podrán solicitar los servicios asistenciales de la guarnición militar de la entidad médica autorizada o de cualquiera otra persona natural o jurídica del lugar en que se encontraren en el momento de requerirlos. El beneficiario de la atención de urgencia o sus familiares están en la obligación de informar a la guarnición militar o a la Jefatura de Sanidad de la respectiva Fuerza, la ocurrencia de los hechos, dentro de los cinco (5) días siguientes a su acaecimiento.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Se consideran casos de urgencia, los determinados por accidente o enfermedades repentinas con manifestaciones graves o alarmantes y las complicaciones súbitas que surjan dentro de un tratamiento médico o quirúrgico.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6" w:name="2.3.1.2.2.1.4"/>
      <w:r>
        <w:rPr>
          <w:rFonts w:hAnsi="Arial"/>
          <w:rFonts w:ascii="Arial"/>
          <w:sz w:val="24"/>
          <w:color w:val="navy"/>
        </w:rPr>
        <w:t xml:space="preserve">ARTÍCULO 2.3.1.2.2.1.4. </w:t>
      </w:r>
      <w:r>
        <w:rPr>
          <w:rFonts w:hAnsi="Arial"/>
          <w:rFonts w:ascii="Arial"/>
          <w:sz w:val="24"/>
          <w:i/>
          <w:color w:val="navy"/>
        </w:rPr>
        <w:t xml:space="preserve">TRAMITACIÓN DE CUENTAS DE COBRO.</w:t>
      </w:r>
      <w:bookmarkEnd w:id="60456"/>
      <w:r>
        <w:rPr>
          <w:rFonts w:hAnsi="Arial"/>
          <w:rFonts w:ascii="Arial"/>
          <w:sz w:val="24"/>
          <w:b/>
          <w:i/>
          <w:color w:val="black"/>
        </w:rPr>
        <w:t xml:space="preserve"> </w:t>
      </w:r>
      <w:r>
        <w:rPr>
          <w:rFonts w:hAnsi="Arial"/>
          <w:rFonts w:ascii="Arial"/>
          <w:sz w:val="24"/>
          <w:color w:val="black"/>
        </w:rPr>
        <w:t xml:space="preserve">Para el reconocimiento y pago de los servicios prestados por los profesionales y las entidades particulares de que tratan los artículos </w:t>
      </w:r>
      <w:r>
        <w:fldChar w:fldCharType="begin"/>
      </w:r>
      <w:r>
        <w:instrText>HYPERLINK "http://www.redjurista.com/document.aspx?ajcode=d1070015&amp;arts=2.3.1.2.2.1.2"</w:instrText>
      </w:r>
      <w:r>
        <w:fldChar w:fldCharType="separate"/>
      </w:r>
      <w:r>
        <w:rPr>
          <w:rFonts w:hAnsi="Arial"/>
          <w:rFonts w:ascii="Arial"/>
          <w:sz w:val="24"/>
          <w:u w:val="single"/>
          <w:color w:val="black"/>
        </w:rPr>
        <w:t>2.3.1.2.2.1.2.</w:t>
      </w:r>
      <w:r>
        <w:fldChar w:fldCharType="end"/>
      </w:r>
      <w:r>
        <w:rPr>
          <w:rFonts w:hAnsi="Arial"/>
          <w:rFonts w:ascii="Arial"/>
          <w:sz w:val="24"/>
          <w:u w:val="none"/>
          <w:color w:val="black"/>
        </w:rPr>
        <w:t xml:space="preserve">, y </w:t>
      </w:r>
      <w:r>
        <w:fldChar w:fldCharType="begin"/>
      </w:r>
      <w:r>
        <w:instrText>HYPERLINK "http://www.redjurista.com/document.aspx?ajcode=d1070015&amp;arts=2.3.1.2.2.1.3"</w:instrText>
      </w:r>
      <w:r>
        <w:fldChar w:fldCharType="separate"/>
      </w:r>
      <w:r>
        <w:rPr>
          <w:rFonts w:hAnsi="Arial"/>
          <w:rFonts w:ascii="Arial"/>
          <w:sz w:val="24"/>
          <w:u w:val="single"/>
          <w:color w:val="black"/>
        </w:rPr>
        <w:t>2.3.1.2.2.1.3.</w:t>
      </w:r>
      <w:r>
        <w:fldChar w:fldCharType="end"/>
      </w:r>
      <w:r>
        <w:rPr>
          <w:rFonts w:hAnsi="Arial"/>
          <w:rFonts w:ascii="Arial"/>
          <w:sz w:val="24"/>
          <w:u w:val="none"/>
          <w:color w:val="black"/>
        </w:rPr>
        <w:t xml:space="preserve">, de la presente Subsección, deberán formularse y tramitarse las correspondientes cuentas de cobro de acuerdo con los procedimientos administrativos vigentes.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valor de los servicios a que se refiere el presente artículo, sólo se reconocerá y pagará cuando el carné del paciente se encuentre vigente al momento de requerirlos. El lleno de este requisito debe ser verificado en cada caso por la entidad tramitadora de la cuenta y por la respectiva Jefatura de Sanidad.</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7" w:name="2.3.1.2.2.1.5"/>
      <w:r>
        <w:rPr>
          <w:rFonts w:hAnsi="Arial"/>
          <w:rFonts w:ascii="Arial"/>
          <w:sz w:val="24"/>
          <w:color w:val="navy"/>
        </w:rPr>
        <w:t xml:space="preserve">ARTÍCULO 2.3.1.2.2.1.5. </w:t>
      </w:r>
      <w:r>
        <w:rPr>
          <w:rFonts w:hAnsi="Arial"/>
          <w:rFonts w:ascii="Arial"/>
          <w:sz w:val="24"/>
          <w:i/>
          <w:color w:val="navy"/>
        </w:rPr>
        <w:t xml:space="preserve">NO UTILIZACIÓN DE SERVICIOS.</w:t>
      </w:r>
      <w:bookmarkEnd w:id="60457"/>
      <w:r>
        <w:rPr>
          <w:rFonts w:hAnsi="Arial"/>
          <w:rFonts w:ascii="Arial"/>
          <w:sz w:val="24"/>
          <w:b/>
          <w:i/>
          <w:color w:val="black"/>
        </w:rPr>
        <w:t xml:space="preserve"> </w:t>
      </w:r>
      <w:r>
        <w:rPr>
          <w:rFonts w:hAnsi="Arial"/>
          <w:rFonts w:ascii="Arial"/>
          <w:sz w:val="24"/>
          <w:color w:val="black"/>
        </w:rPr>
        <w:t xml:space="preserve">Cuando los beneficiarios del Oficial o Suboficial no utilicen los servicios asistenciales de la Sanidad Militar o de las personas o entidades particulares autorizadas para prestarlos, el Ministerio de Defensa quedará exonerado de toda responsabilidad y no cubrirá cuenta alguna por concepto de servicios substitutivos de los anteriores. Se exceptúan de esta norma, los casos de urgencias que deban ser atendidos por personas o entidades diferentes de acuerdo con lo previsto en el artículo </w:t>
      </w:r>
      <w:r>
        <w:fldChar w:fldCharType="begin"/>
      </w:r>
      <w:r>
        <w:instrText>HYPERLINK "http://www.redjurista.com/document.aspx?ajcode=d1070015&amp;arts=2.3.1.2.2.1.3"</w:instrText>
      </w:r>
      <w:r>
        <w:fldChar w:fldCharType="separate"/>
      </w:r>
      <w:r>
        <w:rPr>
          <w:rFonts w:hAnsi="Arial"/>
          <w:rFonts w:ascii="Arial"/>
          <w:sz w:val="24"/>
          <w:u w:val="single"/>
          <w:color w:val="black"/>
        </w:rPr>
        <w:t>2.3.1.2.2.1.3.</w:t>
      </w:r>
      <w:r>
        <w:fldChar w:fldCharType="end"/>
      </w:r>
      <w:r>
        <w:rPr>
          <w:rFonts w:hAnsi="Arial"/>
          <w:rFonts w:ascii="Arial"/>
          <w:sz w:val="24"/>
          <w:u w:val="none"/>
          <w:color w:val="black"/>
        </w:rPr>
        <w:t xml:space="preserve">, de la presente Subsección.</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8" w:name="2.3.1.2.2.1.6"/>
      <w:r>
        <w:rPr>
          <w:rFonts w:hAnsi="Arial"/>
          <w:rFonts w:ascii="Arial"/>
          <w:sz w:val="24"/>
          <w:color w:val="navy"/>
        </w:rPr>
        <w:t xml:space="preserve">ARTÍCULO 2.3.1.2.2.1.6. </w:t>
      </w:r>
      <w:r>
        <w:rPr>
          <w:rFonts w:hAnsi="Arial"/>
          <w:rFonts w:ascii="Arial"/>
          <w:sz w:val="24"/>
          <w:i/>
          <w:color w:val="navy"/>
        </w:rPr>
        <w:t xml:space="preserve">ATENCIÓN A ENFERMOS ESPECIALES.</w:t>
      </w:r>
      <w:bookmarkEnd w:id="60458"/>
      <w:r>
        <w:rPr>
          <w:rFonts w:hAnsi="Arial"/>
          <w:rFonts w:ascii="Arial"/>
          <w:sz w:val="24"/>
          <w:b/>
          <w:i/>
          <w:color w:val="black"/>
        </w:rPr>
        <w:t xml:space="preserve"> </w:t>
      </w:r>
      <w:r>
        <w:rPr>
          <w:rFonts w:hAnsi="Arial"/>
          <w:rFonts w:ascii="Arial"/>
          <w:sz w:val="24"/>
          <w:color w:val="black"/>
        </w:rPr>
        <w:t xml:space="preserve">Los servicios médicos, quirúrgicos, farmacéuticos, hospitalarios y afines de que trata este capítulo, están destinados a la atención de las enfermedades y accidentes comunes del personal con derecho a ellos. La atención de pacientes afectados por enfermedades infectocontagiosas o que impongan su aislamiento permanente o prolongado, se prestará en los lugares especialmente establecidos o autorizados para ello por el Ministerio de Salud, con cargo al Ministerio de Defensa.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"http://www.redjurista.com/document.aspx?ajcode=d0989_92&amp;arts=91"</w:instrText>
      </w:r>
      <w:r>
        <w:fldChar w:fldCharType="separate"/>
      </w:r>
      <w:r>
        <w:rPr>
          <w:rFonts w:hAnsi="Arial"/>
          <w:rFonts w:ascii="Arial"/>
          <w:sz w:val="24"/>
          <w:i/>
          <w:u w:val="single"/>
          <w:color w:val="black"/>
        </w:rPr>
        <w:t>91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59" w:name="2.3.1.2.2.1.7"/>
      <w:r>
        <w:rPr>
          <w:rFonts w:hAnsi="Arial"/>
          <w:rFonts w:ascii="Arial"/>
          <w:sz w:val="24"/>
          <w:color w:val="navy"/>
        </w:rPr>
        <w:t xml:space="preserve">ARTÍCULO 2.3.1.2.2.1.7. </w:t>
      </w:r>
      <w:r>
        <w:rPr>
          <w:rFonts w:hAnsi="Arial"/>
          <w:rFonts w:ascii="Arial"/>
          <w:sz w:val="24"/>
          <w:i/>
          <w:color w:val="navy"/>
        </w:rPr>
        <w:t xml:space="preserve">SANCIÓN POR NO UTILIZACIÓN DE SERVICIOS.</w:t>
      </w:r>
      <w:bookmarkEnd w:id="60459"/>
      <w:r>
        <w:rPr>
          <w:rFonts w:hAnsi="Arial"/>
          <w:rFonts w:ascii="Arial"/>
          <w:sz w:val="24"/>
          <w:b/>
          <w:i/>
          <w:color w:val="black"/>
        </w:rPr>
        <w:t xml:space="preserve"> </w:t>
      </w:r>
      <w:r>
        <w:rPr>
          <w:rFonts w:hAnsi="Arial"/>
          <w:rFonts w:ascii="Arial"/>
          <w:sz w:val="24"/>
          <w:color w:val="black"/>
        </w:rPr>
        <w:t xml:space="preserve">Serán de cargo del causante los gastos de preparación de salas de cirugía o consultorios especializados, con base en tarifas fijadas por los establecimientos hospitalarios de las Fuerzas Militares o por las clínicas particulares autorizadas, cuando sin motivo plenamente justificado el paciente deje de concurrir a la cita que se le da para una intervención quirúrgica o consulta especial.</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"http://www.redjurista.com/document.aspx?ajcode=d0989_92&amp;arts=92"</w:instrText>
      </w:r>
      <w:r>
        <w:fldChar w:fldCharType="separate"/>
      </w:r>
      <w:r>
        <w:rPr>
          <w:rFonts w:hAnsi="Arial"/>
          <w:rFonts w:ascii="Arial"/>
          <w:sz w:val="24"/>
          <w:i/>
          <w:u w:val="single"/>
          <w:color w:val="black"/>
        </w:rPr>
        <w:t>92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0" w:name="2.3.1.2.2.1.8"/>
      <w:r>
        <w:rPr>
          <w:rFonts w:hAnsi="Arial"/>
          <w:rFonts w:ascii="Arial"/>
          <w:sz w:val="24"/>
          <w:color w:val="navy"/>
        </w:rPr>
        <w:t xml:space="preserve">ARTÍCULO 2.3.1.2.2.1.8. </w:t>
      </w:r>
      <w:r>
        <w:rPr>
          <w:rFonts w:hAnsi="Arial"/>
          <w:rFonts w:ascii="Arial"/>
          <w:sz w:val="24"/>
          <w:i/>
          <w:color w:val="navy"/>
        </w:rPr>
        <w:t xml:space="preserve">PAGO POR SERVICIOS INDEBIDOS.</w:t>
      </w:r>
      <w:bookmarkEnd w:id="60460"/>
      <w:r>
        <w:rPr>
          <w:rFonts w:hAnsi="Arial"/>
          <w:rFonts w:ascii="Arial"/>
          <w:sz w:val="24"/>
          <w:b/>
          <w:i/>
          <w:color w:val="black"/>
        </w:rPr>
        <w:t xml:space="preserve"> </w:t>
      </w:r>
      <w:r>
        <w:rPr>
          <w:rFonts w:hAnsi="Arial"/>
          <w:rFonts w:ascii="Arial"/>
          <w:sz w:val="24"/>
          <w:color w:val="black"/>
        </w:rPr>
        <w:t xml:space="preserve">El Oficial o Suboficial que obtuviere carné para la prestación de servicios asistenciales a personas sin derecho a ellos, o que hiciere prestar a sus familiares servicios que no les correspondan legalmente, pagará con destino al Hospital Militar Central o la Sanidad de la Fuerza en cuyos dispensarios, unidades médicas o entidades autorizadas se hayan prestado dichos servicios, una suma equivalente al valor fijado para ellos en la correspondiente institución hospitalaria o en la escala de tarifas establecidas por la autoridad competente, sin perjuicio de la acción disciplinaria respectiva.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"http://www.redjurista.com/document.aspx?ajcode=d0989_92&amp;arts=93"</w:instrText>
      </w:r>
      <w:r>
        <w:fldChar w:fldCharType="separate"/>
      </w:r>
      <w:r>
        <w:rPr>
          <w:rFonts w:hAnsi="Arial"/>
          <w:rFonts w:ascii="Arial"/>
          <w:sz w:val="24"/>
          <w:i/>
          <w:u w:val="single"/>
          <w:color w:val="black"/>
        </w:rPr>
        <w:t>93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61" w:name="2.3.1.2.2.1.9"/>
      <w:r>
        <w:rPr>
          <w:rFonts w:hAnsi="Arial"/>
          <w:rFonts w:ascii="Arial"/>
          <w:sz w:val="24"/>
          <w:color w:val="navy"/>
        </w:rPr>
        <w:t xml:space="preserve">ARTÍCULO 2.3.1.2.2.1.9. </w:t>
      </w:r>
      <w:r>
        <w:rPr>
          <w:rFonts w:hAnsi="Arial"/>
          <w:rFonts w:ascii="Arial"/>
          <w:sz w:val="24"/>
          <w:i/>
          <w:color w:val="navy"/>
        </w:rPr>
        <w:t xml:space="preserve">ANTICIPO DE CESANTÍA.</w:t>
      </w:r>
      <w:bookmarkEnd w:id="60461"/>
      <w:r>
        <w:rPr>
          <w:rFonts w:hAnsi="Arial"/>
          <w:rFonts w:ascii="Arial"/>
          <w:sz w:val="24"/>
          <w:b/>
          <w:i/>
          <w:color w:val="black"/>
        </w:rPr>
        <w:t xml:space="preserve"> </w:t>
      </w:r>
      <w:r>
        <w:rPr>
          <w:rFonts w:hAnsi="Arial"/>
          <w:rFonts w:ascii="Arial"/>
          <w:sz w:val="24"/>
          <w:color w:val="black"/>
        </w:rPr>
        <w:t xml:space="preserve">El anticipo de cesantía de que trata el artículo </w:t>
      </w:r>
      <w:r>
        <w:fldChar w:fldCharType="begin"/>
      </w:r>
      <w:r>
        <w:instrText>HYPERLINK "http://www.redjurista.com/document.aspx?ajcode=d1211_90&amp;arts=153"</w:instrText>
      </w:r>
      <w:r>
        <w:fldChar w:fldCharType="separate"/>
      </w:r>
      <w:r>
        <w:rPr>
          <w:rFonts w:hAnsi="Arial"/>
          <w:rFonts w:ascii="Arial"/>
          <w:sz w:val="24"/>
          <w:u w:val="single"/>
          <w:color w:val="black"/>
        </w:rPr>
        <w:t>153</w:t>
      </w:r>
      <w:r>
        <w:fldChar w:fldCharType="end"/>
      </w:r>
      <w:r>
        <w:rPr>
          <w:rFonts w:hAnsi="Arial"/>
          <w:rFonts w:ascii="Arial"/>
          <w:sz w:val="24"/>
          <w:u w:val="none"/>
          <w:color w:val="black"/>
        </w:rPr>
        <w:t xml:space="preserve"> del Decreto 1211 de 1990, sólo se liquidará y pagará al Oficial o Suboficial que lo solicite cuando así lo autorice el Ministerio de Defensa con base en las correspondientes disponibilidades presupuestales y a petición escrita del interesado, la cual puede ser formulada directamente o por conducto de la Caja de Vivienda Militar.</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"http://www.redjurista.com/document.aspx?ajcode=d0989_92&amp;arts=94"</w:instrText>
      </w:r>
      <w:r>
        <w:fldChar w:fldCharType="separate"/>
      </w:r>
      <w:r>
        <w:rPr>
          <w:rFonts w:hAnsi="Arial"/>
          <w:rFonts w:ascii="Arial"/>
          <w:sz w:val="24"/>
          <w:i/>
          <w:u w:val="single"/>
          <w:color w:val="black"/>
        </w:rPr>
        <w:t>94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2" w:name="2.3.1.2.2.1.10"/>
      <w:r>
        <w:rPr>
          <w:rFonts w:hAnsi="Arial"/>
          <w:rFonts w:ascii="Arial"/>
          <w:sz w:val="24"/>
          <w:color w:val="navy"/>
        </w:rPr>
        <w:t xml:space="preserve">ARTÍCULO 2.3.1.2.2.1.10. </w:t>
      </w:r>
      <w:r>
        <w:rPr>
          <w:rFonts w:hAnsi="Arial"/>
          <w:rFonts w:ascii="Arial"/>
          <w:sz w:val="24"/>
          <w:i/>
          <w:color w:val="navy"/>
        </w:rPr>
        <w:t xml:space="preserve">SOLICITUD DIRECTA DEL ANTICIPO.</w:t>
      </w:r>
      <w:bookmarkEnd w:id="60462"/>
      <w:r>
        <w:rPr>
          <w:rFonts w:hAnsi="Arial"/>
          <w:rFonts w:ascii="Arial"/>
          <w:sz w:val="24"/>
          <w:b/>
          <w:i/>
          <w:color w:val="black"/>
        </w:rPr>
        <w:t xml:space="preserve"> </w:t>
      </w:r>
      <w:r>
        <w:rPr>
          <w:rFonts w:hAnsi="Arial"/>
          <w:rFonts w:ascii="Arial"/>
          <w:sz w:val="24"/>
          <w:color w:val="black"/>
        </w:rPr>
        <w:t xml:space="preserve">Cuando el Oficial o Suboficial solicite directamente la liquidación del anticipo de cesantía debe presentar los siguientes documentos:</w:t>
      </w:r>
    </w:p>
    <w:p>
      <w:pPr>
        <w:jc w:val="both"/>
      </w:pPr>
      <w:rPr>
        <w:sz w:val="24"/>
        <w:color w:val="black"/>
      </w:rPr>
    </w:p>
    <w:p>
      <w:pPr>
        <w:jc w:val="both"/>
      </w:pPr>
      <w:r>
        <w:rPr>
          <w:rFonts w:hAnsi="Arial"/>
          <w:rFonts w:ascii="Arial"/>
          <w:sz w:val="24"/>
          <w:color w:val="black"/>
        </w:rPr>
        <w:t xml:space="preserve">a) Memorial petitorio del anticipo, con indicación de su cuantía y el fin a que será destinado;</w:t>
      </w:r>
    </w:p>
    <w:p>
      <w:pPr>
        <w:jc w:val="both"/>
      </w:pPr>
      <w:rPr>
        <w:sz w:val="24"/>
        <w:color w:val="black"/>
      </w:rPr>
    </w:p>
    <w:p>
      <w:pPr>
        <w:jc w:val="both"/>
      </w:pPr>
      <w:r>
        <w:rPr>
          <w:rFonts w:hAnsi="Arial"/>
          <w:rFonts w:ascii="Arial"/>
          <w:sz w:val="24"/>
          <w:color w:val="black"/>
        </w:rPr>
        <w:t xml:space="preserve">b) Cuando se trate de compra de lote, casa o apartamento:</w:t>
      </w:r>
    </w:p>
    <w:p>
      <w:pPr>
        <w:jc w:val="both"/>
      </w:pPr>
      <w:rPr>
        <w:sz w:val="24"/>
        <w:color w:val="black"/>
      </w:rPr>
    </w:p>
    <w:p>
      <w:pPr>
        <w:jc w:val="both"/>
      </w:pPr>
      <w:r>
        <w:rPr>
          <w:rFonts w:hAnsi="Arial"/>
          <w:rFonts w:ascii="Arial"/>
          <w:sz w:val="24"/>
          <w:color w:val="black"/>
        </w:rPr>
        <w:t xml:space="preserve">1. Copia del contrato de promesa de compraventa, debidamente autenticado.</w:t>
      </w:r>
    </w:p>
    <w:p>
      <w:pPr>
        <w:jc w:val="both"/>
      </w:pPr>
      <w:rPr>
        <w:sz w:val="24"/>
        <w:color w:val="black"/>
      </w:rPr>
    </w:p>
    <w:p>
      <w:pPr>
        <w:jc w:val="both"/>
      </w:pPr>
      <w:r>
        <w:rPr>
          <w:rFonts w:hAnsi="Arial"/>
          <w:rFonts w:ascii="Arial"/>
          <w:sz w:val="24"/>
          <w:color w:val="black"/>
        </w:rPr>
        <w:t xml:space="preserve">2. Certificado de Libertad y Tradición o copia del Folio de Matrícula Inmobiliaria correspondiente al inmueble materia del contrato.</w:t>
      </w:r>
    </w:p>
    <w:p>
      <w:pPr>
        <w:jc w:val="both"/>
      </w:pPr>
      <w:rPr>
        <w:sz w:val="24"/>
        <w:color w:val="black"/>
      </w:rPr>
    </w:p>
    <w:p>
      <w:pPr>
        <w:jc w:val="both"/>
      </w:pPr>
      <w:r>
        <w:rPr>
          <w:rFonts w:hAnsi="Arial"/>
          <w:rFonts w:ascii="Arial"/>
          <w:sz w:val="24"/>
          <w:color w:val="black"/>
        </w:rPr>
        <w:t xml:space="preserve">c) Cuando se trate de construcción de vivienda:</w:t>
      </w:r>
    </w:p>
    <w:p>
      <w:pPr>
        <w:jc w:val="both"/>
      </w:pPr>
      <w:rPr>
        <w:sz w:val="24"/>
        <w:color w:val="black"/>
      </w:rPr>
    </w:p>
    <w:p>
      <w:pPr>
        <w:jc w:val="both"/>
      </w:pPr>
      <w:r>
        <w:rPr>
          <w:rFonts w:hAnsi="Arial"/>
          <w:rFonts w:ascii="Arial"/>
          <w:sz w:val="24"/>
          <w:color w:val="black"/>
        </w:rPr>
        <w:t xml:space="preserve">1. Certificado de Libertad y Tradición del lote, expedido por la correspondiente Oficina de Registro de Instrumentos Públicos.</w:t>
      </w:r>
    </w:p>
    <w:p>
      <w:pPr>
        <w:jc w:val="both"/>
      </w:pPr>
      <w:rPr>
        <w:sz w:val="24"/>
        <w:color w:val="black"/>
      </w:rPr>
    </w:p>
    <w:p>
      <w:pPr>
        <w:jc w:val="both"/>
      </w:pPr>
      <w:r>
        <w:rPr>
          <w:rFonts w:hAnsi="Arial"/>
          <w:rFonts w:ascii="Arial"/>
          <w:sz w:val="24"/>
          <w:color w:val="black"/>
        </w:rPr>
        <w:t xml:space="preserve">2. Planos de la construcción y presupuesto de la misma, elaborado por una institución oficial de vivienda o por una cooperativa o banco, o por un ingeniero o arquitecto, debidamente licenciado para el ejercicio de su profesión, que se comprometa formalmente a realizar los trabajos de construcción.</w:t>
      </w:r>
    </w:p>
    <w:p>
      <w:pPr>
        <w:jc w:val="both"/>
      </w:pPr>
      <w:rPr>
        <w:sz w:val="24"/>
        <w:color w:val="black"/>
      </w:rPr>
    </w:p>
    <w:p>
      <w:pPr>
        <w:jc w:val="both"/>
      </w:pPr>
      <w:r>
        <w:rPr>
          <w:rFonts w:hAnsi="Arial"/>
          <w:rFonts w:ascii="Arial"/>
          <w:sz w:val="24"/>
          <w:color w:val="black"/>
        </w:rPr>
        <w:t xml:space="preserve">d) Cuando se trate de ampliación, reparación o reconstrucción de vivienda propia, se la presentación del Certificado de Libertad y Tradición o copia del Folio de Matrícula Inmobiliaria;</w:t>
      </w:r>
    </w:p>
    <w:p>
      <w:pPr>
        <w:jc w:val="both"/>
      </w:pPr>
      <w:rPr>
        <w:sz w:val="24"/>
        <w:color w:val="black"/>
      </w:rPr>
    </w:p>
    <w:p>
      <w:pPr>
        <w:jc w:val="both"/>
      </w:pPr>
      <w:r>
        <w:rPr>
          <w:rFonts w:hAnsi="Arial"/>
          <w:rFonts w:ascii="Arial"/>
          <w:sz w:val="24"/>
          <w:color w:val="black"/>
        </w:rPr>
        <w:t xml:space="preserve">e) Cuando se trate de liberación de gravámenes hipotecarios que afecten el inmueble de habitación propio o del cónyuge:</w:t>
      </w:r>
    </w:p>
    <w:p>
      <w:pPr>
        <w:jc w:val="both"/>
      </w:pPr>
      <w:rPr>
        <w:sz w:val="24"/>
        <w:color w:val="black"/>
      </w:rPr>
    </w:p>
    <w:p>
      <w:pPr>
        <w:jc w:val="both"/>
      </w:pPr>
      <w:r>
        <w:rPr>
          <w:rFonts w:hAnsi="Arial"/>
          <w:rFonts w:ascii="Arial"/>
          <w:sz w:val="24"/>
          <w:color w:val="black"/>
        </w:rPr>
        <w:t xml:space="preserve">1. Copia debidamente registrada de la escritura pública por medio de la cual se constituyó el gravamen hipotecario con la finalidad exclusiva de satisfacer el pago total o parcial del inmueble hipotecado.</w:t>
      </w:r>
    </w:p>
    <w:p>
      <w:pPr>
        <w:jc w:val="both"/>
      </w:pPr>
      <w:rPr>
        <w:sz w:val="24"/>
        <w:color w:val="black"/>
      </w:rPr>
    </w:p>
    <w:p>
      <w:pPr>
        <w:jc w:val="both"/>
      </w:pPr>
      <w:r>
        <w:rPr>
          <w:rFonts w:hAnsi="Arial"/>
          <w:rFonts w:ascii="Arial"/>
          <w:sz w:val="24"/>
          <w:color w:val="black"/>
        </w:rPr>
        <w:t xml:space="preserve">2. Certificado de Libertad y Tradición expedido por la correspondiente Oficina de Registro de Instrumentos Públicos en la cual se incluya la información relacionada con la cuantía y vigencia del crédito hipotecario que pesa sobre la propiedad.</w:t>
      </w:r>
    </w:p>
    <w:p>
      <w:pPr>
        <w:jc w:val="both"/>
      </w:pPr>
      <w:rPr>
        <w:sz w:val="24"/>
        <w:color w:val="black"/>
      </w:rPr>
    </w:p>
    <w:p>
      <w:pPr>
        <w:jc w:val="both"/>
      </w:pPr>
      <w:r>
        <w:rPr>
          <w:rFonts w:hAnsi="Arial"/>
          <w:rFonts w:ascii="Arial"/>
          <w:sz w:val="24"/>
          <w:color w:val="black"/>
        </w:rPr>
        <w:t xml:space="preserve">f) Cuando se trate de calamidad doméstica o extrema necesidad, deberá entenderse como el infortunio o mal que alcanza a la persona o a su hogar; certificadas por el Jefe de Personal de la respectiva Unidad o dependencia.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todos los casos a que se refieren los literales anteriores, se requerirá además, la presentación de los siguientes certificados:</w:t>
      </w:r>
    </w:p>
    <w:p>
      <w:pPr>
        <w:jc w:val="both"/>
      </w:pPr>
      <w:rPr>
        <w:sz w:val="24"/>
        <w:color w:val="black"/>
      </w:rPr>
    </w:p>
    <w:p>
      <w:pPr>
        <w:jc w:val="both"/>
      </w:pPr>
      <w:r>
        <w:rPr>
          <w:rFonts w:hAnsi="Arial"/>
          <w:rFonts w:ascii="Arial"/>
          <w:sz w:val="24"/>
          <w:color w:val="black"/>
        </w:rPr>
        <w:t xml:space="preserve">1. Servicios en el Ministerio de Defensa, liquidados hasta la fecha de la solicitud.</w:t>
      </w:r>
    </w:p>
    <w:p>
      <w:pPr>
        <w:jc w:val="both"/>
      </w:pPr>
      <w:rPr>
        <w:sz w:val="24"/>
        <w:color w:val="black"/>
      </w:rPr>
    </w:p>
    <w:p>
      <w:pPr>
        <w:jc w:val="both"/>
      </w:pPr>
      <w:r>
        <w:rPr>
          <w:rFonts w:hAnsi="Arial"/>
          <w:rFonts w:ascii="Arial"/>
          <w:sz w:val="24"/>
          <w:color w:val="black"/>
        </w:rPr>
        <w:t xml:space="preserve">2. Últimos haberes mensuales percibidos.</w:t>
      </w:r>
    </w:p>
    <w:p>
      <w:pPr>
        <w:jc w:val="both"/>
      </w:pPr>
      <w:rPr>
        <w:sz w:val="24"/>
        <w:color w:val="black"/>
      </w:rPr>
    </w:p>
    <w:p>
      <w:pPr>
        <w:jc w:val="both"/>
      </w:pPr>
      <w:r>
        <w:rPr>
          <w:rFonts w:hAnsi="Arial"/>
          <w:rFonts w:ascii="Arial"/>
          <w:sz w:val="24"/>
          <w:color w:val="black"/>
        </w:rPr>
        <w:t xml:space="preserve">3. Constancia de aprobación del grado por el Senado de la República, cuando el solicitante sea un Oficial General o de Insignia.</w:t>
      </w:r>
    </w:p>
    <w:p>
      <w:pPr>
        <w:jc w:val="both"/>
      </w:pPr>
      <w:rPr>
        <w:sz w:val="24"/>
        <w:color w:val="black"/>
      </w:rPr>
    </w:p>
    <w:p>
      <w:pPr>
        <w:jc w:val="both"/>
      </w:pPr>
      <w:r>
        <w:rPr>
          <w:rFonts w:hAnsi="Arial"/>
          <w:rFonts w:ascii="Arial"/>
          <w:sz w:val="24"/>
          <w:color w:val="black"/>
        </w:rPr>
        <w:t xml:space="preserve">4. Fotocopia de la cédula de ciudadanía.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"http://www.redjurista.com/document.aspx?ajcode=d0989_92&amp;arts=95"</w:instrText>
      </w:r>
      <w:r>
        <w:fldChar w:fldCharType="separate"/>
      </w:r>
      <w:r>
        <w:rPr>
          <w:rFonts w:hAnsi="Arial"/>
          <w:rFonts w:ascii="Arial"/>
          <w:sz w:val="24"/>
          <w:i/>
          <w:u w:val="single"/>
          <w:color w:val="black"/>
        </w:rPr>
        <w:t>95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3" w:name="2.3.1.2.2.1.11"/>
      <w:r>
        <w:rPr>
          <w:rFonts w:hAnsi="Arial"/>
          <w:rFonts w:ascii="Arial"/>
          <w:sz w:val="24"/>
          <w:color w:val="navy"/>
        </w:rPr>
        <w:t xml:space="preserve">ARTÍCULO 2.3.1.2.2.1.11. </w:t>
      </w:r>
      <w:r>
        <w:rPr>
          <w:rFonts w:hAnsi="Arial"/>
          <w:rFonts w:ascii="Arial"/>
          <w:sz w:val="24"/>
          <w:i/>
          <w:color w:val="navy"/>
        </w:rPr>
        <w:t xml:space="preserve">SOLICITUD POR CONDUCTO DE LA CAJA DE VIVIENDA MILITAR.</w:t>
      </w:r>
      <w:bookmarkEnd w:id="60463"/>
      <w:r>
        <w:rPr>
          <w:rFonts w:hAnsi="Arial"/>
          <w:rFonts w:ascii="Arial"/>
          <w:sz w:val="24"/>
          <w:b/>
          <w:i/>
          <w:color w:val="black"/>
        </w:rPr>
        <w:t xml:space="preserve"> </w:t>
      </w:r>
      <w:r>
        <w:rPr>
          <w:rFonts w:hAnsi="Arial"/>
          <w:rFonts w:ascii="Arial"/>
          <w:sz w:val="24"/>
          <w:color w:val="black"/>
        </w:rPr>
        <w:t xml:space="preserve">Cuando la solicitud de liquidación del anticipo de cesantía se haga por conducto de la Caja de Vivienda Militar, el interesado deberá presentar los documentos que esta entidad exija; a su vez la solicitud de la Vivienda Militar al Ministerio de Defensa, deberá ir acompañada de la siguiente documentación:</w:t>
      </w:r>
    </w:p>
    <w:p>
      <w:pPr>
        <w:jc w:val="both"/>
      </w:pPr>
      <w:rPr>
        <w:sz w:val="24"/>
        <w:color w:val="black"/>
      </w:rPr>
    </w:p>
    <w:p>
      <w:pPr>
        <w:jc w:val="both"/>
      </w:pPr>
      <w:r>
        <w:rPr>
          <w:rFonts w:hAnsi="Arial"/>
          <w:rFonts w:ascii="Arial"/>
          <w:sz w:val="24"/>
          <w:color w:val="black"/>
        </w:rPr>
        <w:t xml:space="preserve">a) Memorial petitorio del anticipo de cesantía, con indicación de su cuantía y del fin al cual será destinado;</w:t>
      </w:r>
    </w:p>
    <w:p>
      <w:pPr>
        <w:jc w:val="both"/>
      </w:pPr>
      <w:rPr>
        <w:sz w:val="24"/>
        <w:color w:val="black"/>
      </w:rPr>
    </w:p>
    <w:p>
      <w:pPr>
        <w:jc w:val="both"/>
      </w:pPr>
      <w:r>
        <w:rPr>
          <w:rFonts w:hAnsi="Arial"/>
          <w:rFonts w:ascii="Arial"/>
          <w:sz w:val="24"/>
          <w:color w:val="black"/>
        </w:rPr>
        <w:t xml:space="preserve">b) Constancia sobre el préstamo que la Caja haya otorgado al interesado;</w:t>
      </w:r>
    </w:p>
    <w:p>
      <w:pPr>
        <w:jc w:val="both"/>
      </w:pPr>
      <w:rPr>
        <w:sz w:val="24"/>
        <w:color w:val="black"/>
      </w:rPr>
    </w:p>
    <w:p>
      <w:pPr>
        <w:jc w:val="both"/>
      </w:pPr>
      <w:r>
        <w:rPr>
          <w:rFonts w:hAnsi="Arial"/>
          <w:rFonts w:ascii="Arial"/>
          <w:sz w:val="24"/>
          <w:color w:val="black"/>
        </w:rPr>
        <w:t xml:space="preserve">c) Certificación sobre los haberes devengados por el interesado en el último mes;</w:t>
      </w:r>
    </w:p>
    <w:p>
      <w:pPr>
        <w:jc w:val="both"/>
      </w:pPr>
      <w:rPr>
        <w:sz w:val="24"/>
        <w:color w:val="black"/>
      </w:rPr>
    </w:p>
    <w:p>
      <w:pPr>
        <w:jc w:val="both"/>
      </w:pPr>
      <w:r>
        <w:rPr>
          <w:rFonts w:hAnsi="Arial"/>
          <w:rFonts w:ascii="Arial"/>
          <w:sz w:val="24"/>
          <w:color w:val="black"/>
        </w:rPr>
        <w:t xml:space="preserve">d) Certificación sobre tiempo de servicio en las Fuerzas Militares;</w:t>
      </w:r>
    </w:p>
    <w:p>
      <w:pPr>
        <w:jc w:val="both"/>
      </w:pPr>
      <w:rPr>
        <w:sz w:val="24"/>
        <w:color w:val="black"/>
      </w:rPr>
    </w:p>
    <w:p>
      <w:pPr>
        <w:jc w:val="both"/>
      </w:pPr>
      <w:r>
        <w:rPr>
          <w:rFonts w:hAnsi="Arial"/>
          <w:rFonts w:ascii="Arial"/>
          <w:sz w:val="24"/>
          <w:color w:val="black"/>
        </w:rPr>
        <w:t xml:space="preserve">e) Autorización conferida por el interesado a la Caja de Vivienda Militar, para solicitar y obtener el pago del anticipo;</w:t>
      </w:r>
    </w:p>
    <w:p>
      <w:pPr>
        <w:jc w:val="both"/>
      </w:pPr>
      <w:rPr>
        <w:sz w:val="24"/>
        <w:color w:val="black"/>
      </w:rPr>
    </w:p>
    <w:p>
      <w:pPr>
        <w:jc w:val="both"/>
      </w:pPr>
      <w:r>
        <w:rPr>
          <w:rFonts w:hAnsi="Arial"/>
          <w:rFonts w:ascii="Arial"/>
          <w:sz w:val="24"/>
          <w:color w:val="black"/>
        </w:rPr>
        <w:t xml:space="preserve">f) Fotocopia de la cédula de ciudadanía.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"http://www.redjurista.com/document.aspx?ajcode=d0989_92&amp;arts=96"</w:instrText>
      </w:r>
      <w:r>
        <w:fldChar w:fldCharType="separate"/>
      </w:r>
      <w:r>
        <w:rPr>
          <w:rFonts w:hAnsi="Arial"/>
          <w:rFonts w:ascii="Arial"/>
          <w:sz w:val="24"/>
          <w:i/>
          <w:u w:val="single"/>
          <w:color w:val="black"/>
        </w:rPr>
        <w:t>96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4" w:name="2.3.1.2.2.1.12"/>
      <w:r>
        <w:rPr>
          <w:rFonts w:hAnsi="Arial"/>
          <w:rFonts w:ascii="Arial"/>
          <w:sz w:val="24"/>
          <w:color w:val="navy"/>
        </w:rPr>
        <w:t xml:space="preserve">ARTÍCULO 2.3.1.2.2.1.12. </w:t>
      </w:r>
      <w:r>
        <w:rPr>
          <w:rFonts w:hAnsi="Arial"/>
          <w:rFonts w:ascii="Arial"/>
          <w:sz w:val="24"/>
          <w:i/>
          <w:color w:val="navy"/>
        </w:rPr>
        <w:t xml:space="preserve">PREPARACIÓN DE LOS TURNOS DE VACACIONES.</w:t>
      </w:r>
      <w:bookmarkEnd w:id="60464"/>
      <w:r>
        <w:rPr>
          <w:rFonts w:hAnsi="Arial"/>
          <w:rFonts w:ascii="Arial"/>
          <w:sz w:val="24"/>
          <w:b/>
          <w:i/>
          <w:color w:val="black"/>
        </w:rPr>
        <w:t xml:space="preserve"> </w:t>
      </w:r>
      <w:r>
        <w:rPr>
          <w:rFonts w:hAnsi="Arial"/>
          <w:rFonts w:ascii="Arial"/>
          <w:sz w:val="24"/>
          <w:color w:val="black"/>
        </w:rPr>
        <w:t xml:space="preserve">En desarrollo de lo dispuesto en el artículo </w:t>
      </w:r>
      <w:r>
        <w:fldChar w:fldCharType="begin"/>
      </w:r>
      <w:r>
        <w:instrText>HYPERLINK "http://www.redjurista.com/document.aspx?ajcode=d1211_90&amp;arts=154"</w:instrText>
      </w:r>
      <w:r>
        <w:fldChar w:fldCharType="separate"/>
      </w:r>
      <w:r>
        <w:rPr>
          <w:rFonts w:hAnsi="Arial"/>
          <w:rFonts w:ascii="Arial"/>
          <w:sz w:val="24"/>
          <w:u w:val="single"/>
          <w:color w:val="black"/>
        </w:rPr>
        <w:t>154</w:t>
      </w:r>
      <w:r>
        <w:fldChar w:fldCharType="end"/>
      </w:r>
      <w:r>
        <w:rPr>
          <w:rFonts w:hAnsi="Arial"/>
          <w:rFonts w:ascii="Arial"/>
          <w:sz w:val="24"/>
          <w:u w:val="none"/>
          <w:color w:val="black"/>
        </w:rPr>
        <w:t xml:space="preserve"> del Decreto 1211 de 1990, en el mes de noviembre de cada año los Comandos de Fuerza prepararán una relación de los Oficiales y Suboficiales con derecho a hacer uso de vacaciones dentro del año inmediatamente siguiente, indicando las fechas en que adquieren tal derecho. Las partes pertinentes de esta relación, se difundirán por conducto regular a las Unidades y reparticiones en que tales Oficiales y Suboficiales prestan sus servicios.</w:t>
      </w:r>
    </w:p>
    <w:p>
      <w:pPr>
        <w:jc w:val="both"/>
      </w:pPr>
      <w:rPr>
        <w:sz w:val="24"/>
        <w:color w:val="black"/>
      </w:rPr>
    </w:p>
    <w:p>
      <w:pPr>
        <w:jc w:val="both"/>
      </w:pPr>
      <w:r>
        <w:rPr>
          <w:rFonts w:hAnsi="Arial"/>
          <w:rFonts w:ascii="Arial"/>
          <w:sz w:val="24"/>
          <w:color w:val="black"/>
        </w:rPr>
        <w:t xml:space="preserve">Con base en dicha relación, las Unidades y reparticiones que más adelante se enumeran, procederán a elaborar los turnos anuales de vacaciones para el personal de Oficiales y Suboficiales de su dependencia, los cuales remitirán para fines de aprobación y control al Comando de la respectiva Fuerza. Aprobados los turnos por los Comandos de Fuerza se publicarán por las órdenes del día de los Comandos, Unidades y reparticiones interesados, así:</w:t>
      </w:r>
    </w:p>
    <w:p>
      <w:pPr>
        <w:jc w:val="both"/>
      </w:pPr>
      <w:rPr>
        <w:sz w:val="24"/>
        <w:color w:val="black"/>
      </w:rPr>
    </w:p>
    <w:p>
      <w:pPr>
        <w:jc w:val="both"/>
      </w:pPr>
      <w:r>
        <w:rPr>
          <w:rFonts w:hAnsi="Arial"/>
          <w:rFonts w:ascii="Arial"/>
          <w:sz w:val="24"/>
          <w:color w:val="black"/>
        </w:rPr>
        <w:t xml:space="preserve">a) Comando General de las Fuerzas Militares;</w:t>
      </w:r>
    </w:p>
    <w:p>
      <w:pPr>
        <w:jc w:val="both"/>
      </w:pPr>
      <w:rPr>
        <w:sz w:val="24"/>
        <w:color w:val="black"/>
      </w:rPr>
    </w:p>
    <w:p>
      <w:pPr>
        <w:jc w:val="both"/>
      </w:pPr>
      <w:r>
        <w:rPr>
          <w:rFonts w:hAnsi="Arial"/>
          <w:rFonts w:ascii="Arial"/>
          <w:sz w:val="24"/>
          <w:color w:val="black"/>
        </w:rPr>
        <w:t xml:space="preserve">b) Comandos de Fuerza;</w:t>
      </w:r>
    </w:p>
    <w:p>
      <w:pPr>
        <w:jc w:val="both"/>
      </w:pPr>
      <w:rPr>
        <w:sz w:val="24"/>
        <w:color w:val="black"/>
      </w:rPr>
    </w:p>
    <w:p>
      <w:pPr>
        <w:jc w:val="both"/>
      </w:pPr>
      <w:r>
        <w:rPr>
          <w:rFonts w:hAnsi="Arial"/>
          <w:rFonts w:ascii="Arial"/>
          <w:sz w:val="24"/>
          <w:color w:val="black"/>
        </w:rPr>
        <w:t xml:space="preserve">c) Escuela Superior de Guerra;</w:t>
      </w:r>
    </w:p>
    <w:p>
      <w:pPr>
        <w:jc w:val="both"/>
      </w:pPr>
      <w:rPr>
        <w:sz w:val="24"/>
        <w:color w:val="black"/>
      </w:rPr>
    </w:p>
    <w:p>
      <w:pPr>
        <w:jc w:val="both"/>
      </w:pPr>
      <w:r>
        <w:rPr>
          <w:rFonts w:hAnsi="Arial"/>
          <w:rFonts w:ascii="Arial"/>
          <w:sz w:val="24"/>
          <w:color w:val="black"/>
        </w:rPr>
        <w:t xml:space="preserve">d) Secretaría General del Ministerio de Defensa;</w:t>
      </w:r>
    </w:p>
    <w:p>
      <w:pPr>
        <w:jc w:val="both"/>
      </w:pPr>
      <w:rPr>
        <w:sz w:val="24"/>
        <w:color w:val="black"/>
      </w:rPr>
    </w:p>
    <w:p>
      <w:pPr>
        <w:jc w:val="both"/>
      </w:pPr>
      <w:r>
        <w:rPr>
          <w:rFonts w:hAnsi="Arial"/>
          <w:rFonts w:ascii="Arial"/>
          <w:sz w:val="24"/>
          <w:color w:val="black"/>
        </w:rPr>
        <w:t xml:space="preserve">e) Entidades descentralizadas adscritas o vinculadas al Ministerio de Defensa;</w:t>
      </w:r>
    </w:p>
    <w:p>
      <w:pPr>
        <w:jc w:val="both"/>
      </w:pPr>
      <w:rPr>
        <w:sz w:val="24"/>
        <w:color w:val="black"/>
      </w:rPr>
    </w:p>
    <w:p>
      <w:pPr>
        <w:jc w:val="both"/>
      </w:pPr>
      <w:r>
        <w:rPr>
          <w:rFonts w:hAnsi="Arial"/>
          <w:rFonts w:ascii="Arial"/>
          <w:sz w:val="24"/>
          <w:color w:val="black"/>
        </w:rPr>
        <w:t xml:space="preserve">f) Comandos de Unidad Operativa, Fuerza Naval y Comandos Aéreos;</w:t>
      </w:r>
    </w:p>
    <w:p>
      <w:pPr>
        <w:jc w:val="both"/>
      </w:pPr>
      <w:rPr>
        <w:sz w:val="24"/>
        <w:color w:val="black"/>
      </w:rPr>
    </w:p>
    <w:p>
      <w:pPr>
        <w:jc w:val="both"/>
      </w:pPr>
      <w:r>
        <w:rPr>
          <w:rFonts w:hAnsi="Arial"/>
          <w:rFonts w:ascii="Arial"/>
          <w:sz w:val="24"/>
          <w:color w:val="black"/>
        </w:rPr>
        <w:t xml:space="preserve">g) Institutos de Formación y Capacitación de Oficiales y Suboficiales;</w:t>
      </w:r>
    </w:p>
    <w:p>
      <w:pPr>
        <w:jc w:val="both"/>
      </w:pPr>
      <w:rPr>
        <w:sz w:val="24"/>
        <w:color w:val="black"/>
      </w:rPr>
    </w:p>
    <w:p>
      <w:pPr>
        <w:jc w:val="both"/>
      </w:pPr>
      <w:r>
        <w:rPr>
          <w:rFonts w:hAnsi="Arial"/>
          <w:rFonts w:ascii="Arial"/>
          <w:sz w:val="24"/>
          <w:color w:val="black"/>
        </w:rPr>
        <w:t xml:space="preserve">h) Comandos de Batallón, Base Naval o Fluvial, Unidad a Flote, Apostadero Naval y Grupo Aéreo.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"http://www.redjurista.com/document.aspx?ajcode=d0989_92&amp;arts=97"</w:instrText>
      </w:r>
      <w:r>
        <w:fldChar w:fldCharType="separate"/>
      </w:r>
      <w:r>
        <w:rPr>
          <w:rFonts w:hAnsi="Arial"/>
          <w:rFonts w:ascii="Arial"/>
          <w:sz w:val="24"/>
          <w:i/>
          <w:u w:val="single"/>
          <w:color w:val="black"/>
        </w:rPr>
        <w:t>97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5" w:name="2.3.1.2.2.1.13"/>
      <w:r>
        <w:rPr>
          <w:rFonts w:hAnsi="Arial"/>
          <w:rFonts w:ascii="Arial"/>
          <w:sz w:val="24"/>
          <w:color w:val="navy"/>
        </w:rPr>
        <w:t xml:space="preserve">ARTÍCULO 2.3.1.2.2.1.13. </w:t>
      </w:r>
      <w:r>
        <w:rPr>
          <w:rFonts w:hAnsi="Arial"/>
          <w:rFonts w:ascii="Arial"/>
          <w:sz w:val="24"/>
          <w:i/>
          <w:color w:val="navy"/>
        </w:rPr>
        <w:t xml:space="preserve">OBLIGATORIEDAD DE LAS VACACIONES Y TIEMPO PARA DISFRUTARLAS.</w:t>
      </w:r>
      <w:bookmarkEnd w:id="60465"/>
      <w:r>
        <w:rPr>
          <w:rFonts w:hAnsi="Arial"/>
          <w:rFonts w:ascii="Arial"/>
          <w:sz w:val="24"/>
          <w:b/>
          <w:i/>
          <w:color w:val="black"/>
        </w:rPr>
        <w:t xml:space="preserve"> </w:t>
      </w:r>
      <w:r>
        <w:rPr>
          <w:rFonts w:hAnsi="Arial"/>
          <w:rFonts w:ascii="Arial"/>
          <w:sz w:val="24"/>
          <w:color w:val="black"/>
        </w:rPr>
        <w:t xml:space="preserve">El personal de Oficiales y Suboficiales de las Fuerzas Militares podrá disfrutar sus vacaciones en cualquier momento mientras permanezcan en servicio activo. El reconocimiento y pago de las vacaciones causadas y no disfrutadas, se continuará haciendo exigible a partir de la fecha en la que los oficiales y suboficiales sean retirados o se retiren del servicio activo, sin perjuicio de lo establecido en el artículo </w:t>
      </w:r>
      <w:r>
        <w:fldChar w:fldCharType="begin"/>
      </w:r>
      <w:r>
        <w:instrText>HYPERLINK "http://www.redjurista.com/document.aspx?ajcode=d1211_90&amp;arts=174"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del Decreto-ley 1211 de 1990.</w:t>
      </w:r>
    </w:p>
    <w:p>
      <w:pPr>
        <w:jc w:val="both"/>
      </w:pPr>
      <w:rPr>
        <w:sz w:val="24"/>
        <w:color w:val="black"/>
      </w:rPr>
    </w:p>
    <w:p>
      <w:pPr>
        <w:jc w:val="both"/>
      </w:pPr>
      <w:r>
        <w:rPr>
          <w:rFonts w:hAnsi="Arial"/>
          <w:rFonts w:ascii="Arial"/>
          <w:sz w:val="24"/>
          <w:color w:val="black"/>
        </w:rPr>
        <w:t xml:space="preserve">Las entidades que de acuerdo con el artículo anterior tienen a su cargo la preparación de los turnos de vacaciones y el control de su ejecución o cumplimiento, no podrán introducirles modificaciones sin la expresa autorización del respectivo Comando de Fuerza. Se exceptúa de esta norma el Comando General de las fuerzas Militares, el cual deberá en todo caso informar a la Fuerza interesada sobre las modificaciones que autorice u ordene.</w:t>
      </w:r>
    </w:p>
    <w:p>
      <w:pPr>
        <w:jc w:val="both"/>
      </w:pPr>
      <w:rPr>
        <w:sz w:val="24"/>
        <w:color w:val="black"/>
      </w:rPr>
    </w:p>
    <w:p>
      <w:pPr>
        <w:jc w:val="both"/>
      </w:pPr>
      <w:r>
        <w:rPr>
          <w:rFonts w:hAnsi="Arial"/>
          <w:rFonts w:ascii="Arial"/>
          <w:sz w:val="24"/>
          <w:i/>
          <w:color w:val="black"/>
        </w:rPr>
        <w:t xml:space="preserve">(Decreto 989 de 1992 artículo </w:t>
      </w:r>
      <w:r>
        <w:fldChar w:fldCharType="begin"/>
      </w:r>
      <w:r>
        <w:instrText>HYPERLINK "http://www.redjurista.com/document.aspx?ajcode=d0989_92&amp;arts=98"</w:instrText>
      </w:r>
      <w:r>
        <w:fldChar w:fldCharType="separate"/>
      </w:r>
      <w:r>
        <w:rPr>
          <w:rFonts w:hAnsi="Arial"/>
          <w:rFonts w:ascii="Arial"/>
          <w:sz w:val="24"/>
          <w:i/>
          <w:u w:val="single"/>
          <w:color w:val="black"/>
        </w:rPr>
        <w:t>98</w:t>
      </w:r>
      <w:r>
        <w:fldChar w:fldCharType="end"/>
      </w:r>
      <w:r>
        <w:rPr>
          <w:rFonts w:hAnsi="Arial"/>
          <w:rFonts w:ascii="Arial"/>
          <w:sz w:val="24"/>
          <w:i/>
          <w:u w:val="none"/>
          <w:color w:val="black"/>
        </w:rPr>
        <w:t xml:space="preserve">, modificado por el artículo </w:t>
      </w:r>
      <w:r>
        <w:fldChar w:fldCharType="begin"/>
      </w:r>
      <w:r>
        <w:instrText>HYPERLINK "http://www.redjurista.com/document.aspx?ajcode=d3663007&amp;arts=1"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3663 de 2007)</w:t>
      </w:r>
    </w:p>
    <w:p>
      <w:pPr>
        <w:jc w:val="both"/>
      </w:pPr>
      <w:rPr>
        <w:sz w:val="24"/>
        <w:color w:val="black"/>
      </w:rPr>
    </w:p>
    <w:p>
      <w:pPr>
        <w:jc w:val="both"/>
      </w:pPr>
      <w:r>
        <w:rPr>
          <w:rFonts w:hAnsi="Arial"/>
          <w:rFonts w:ascii="Arial"/>
          <w:sz w:val="24"/>
          <w:vanish/>
          <w:color w:val="black"/>
        </w:rPr>
        <w:t>&amp;$</w:t>
      </w:r>
      <w:bookmarkStart w:id="60466" w:name="2.3.1.2.2.1.14"/>
      <w:r>
        <w:rPr>
          <w:rFonts w:hAnsi="Arial"/>
          <w:rFonts w:ascii="Arial"/>
          <w:sz w:val="24"/>
          <w:color w:val="navy"/>
        </w:rPr>
        <w:t xml:space="preserve">ARTÍCULO 2.3.1.2.2.1.14. </w:t>
      </w:r>
      <w:r>
        <w:rPr>
          <w:rFonts w:hAnsi="Arial"/>
          <w:rFonts w:ascii="Arial"/>
          <w:sz w:val="24"/>
          <w:i/>
          <w:color w:val="navy"/>
        </w:rPr>
        <w:t xml:space="preserve">AÑO DE SERVICIO CUMPLIDO O CONTINUO.</w:t>
      </w:r>
      <w:bookmarkEnd w:id="60466"/>
      <w:r>
        <w:rPr>
          <w:rFonts w:hAnsi="Arial"/>
          <w:rFonts w:ascii="Arial"/>
          <w:sz w:val="24"/>
          <w:b/>
          <w:i/>
          <w:color w:val="black"/>
        </w:rPr>
        <w:t xml:space="preserve"> </w:t>
      </w:r>
      <w:r>
        <w:rPr>
          <w:rFonts w:hAnsi="Arial"/>
          <w:rFonts w:ascii="Arial"/>
          <w:sz w:val="24"/>
          <w:color w:val="black"/>
        </w:rPr>
        <w:t xml:space="preserve">Se entiende como año cumplido de servicio el contado a partir de la fecha de ingreso de la persona al Escalafón de Oficiales y Suboficiales, hasta el día anterior a la misma fecha del año siguiente.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Para los efectos de este artículo, se computarán los lapsos servidos como empleado civil del Ramo de Defensa con anterioridad al escalafonamiento, sin solución de continuidad.</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No se consideran como de servicios, el lapso que exceda de los primeros sesenta (60) días en las licencias sin derecho a sueldo, las licencias especiales, ni la separación temporal.</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"http://www.redjurista.com/document.aspx?ajcode=d0989_92&amp;arts=99"</w:instrText>
      </w:r>
      <w:r>
        <w:fldChar w:fldCharType="separate"/>
      </w:r>
      <w:r>
        <w:rPr>
          <w:rFonts w:hAnsi="Arial"/>
          <w:rFonts w:ascii="Arial"/>
          <w:sz w:val="24"/>
          <w:i/>
          <w:u w:val="single"/>
          <w:color w:val="black"/>
        </w:rPr>
        <w:t>99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67" w:name="2.3.1.2.2.1.15"/>
      <w:r>
        <w:rPr>
          <w:rFonts w:hAnsi="Arial"/>
          <w:rFonts w:ascii="Arial"/>
          <w:sz w:val="24"/>
          <w:color w:val="navy"/>
        </w:rPr>
        <w:t xml:space="preserve">ARTÍCULO 2.3.1.2.2.1.15. </w:t>
      </w:r>
      <w:r>
        <w:rPr>
          <w:rFonts w:hAnsi="Arial"/>
          <w:rFonts w:ascii="Arial"/>
          <w:sz w:val="24"/>
          <w:i/>
          <w:color w:val="navy"/>
        </w:rPr>
        <w:t xml:space="preserve">VACACIONES DEL PERSONAL EN COMISIÓN EN OTRAS ENTIDADES.</w:t>
      </w:r>
      <w:bookmarkEnd w:id="60467"/>
      <w:r>
        <w:rPr>
          <w:rFonts w:hAnsi="Arial"/>
          <w:rFonts w:ascii="Arial"/>
          <w:sz w:val="24"/>
          <w:b/>
          <w:i/>
          <w:color w:val="black"/>
        </w:rPr>
        <w:t xml:space="preserve"> </w:t>
      </w:r>
      <w:r>
        <w:rPr>
          <w:rFonts w:hAnsi="Arial"/>
          <w:rFonts w:ascii="Arial"/>
          <w:sz w:val="24"/>
          <w:color w:val="black"/>
        </w:rPr>
        <w:t xml:space="preserve">Los Oficiales y Suboficiales de las Fuerzas Militares en actividad, cuando presten sus servicios en comisión en otras dependencias del Estado, disfrutarán de sus vacaciones anuales de acuerdo con las necesidades de la respectiva dependencia, la cual debe expedir con destino al Comando de la Fuerza interesada una certificación sobre la época y circunstancia en que el comisionado hace uso de tales vacaciones.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"http://www.redjurista.com/document.aspx?ajcode=d0989_92&amp;arts=100"</w:instrText>
      </w:r>
      <w:r>
        <w:fldChar w:fldCharType="separate"/>
      </w:r>
      <w:r>
        <w:rPr>
          <w:rFonts w:hAnsi="Arial"/>
          <w:rFonts w:ascii="Arial"/>
          <w:sz w:val="24"/>
          <w:i/>
          <w:u w:val="single"/>
          <w:color w:val="black"/>
        </w:rPr>
        <w:t>100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8" w:name="2.3.1.2.2.1.16"/>
      <w:r>
        <w:rPr>
          <w:rFonts w:hAnsi="Arial"/>
          <w:rFonts w:ascii="Arial"/>
          <w:sz w:val="24"/>
          <w:color w:val="navy"/>
        </w:rPr>
        <w:t xml:space="preserve">ARTÍCULO 2.3.1.2.2.1.16 </w:t>
      </w:r>
      <w:r>
        <w:rPr>
          <w:rFonts w:hAnsi="Arial"/>
          <w:rFonts w:ascii="Arial"/>
          <w:sz w:val="24"/>
          <w:i/>
          <w:color w:val="navy"/>
        </w:rPr>
        <w:t xml:space="preserve">SUSPENSIÓN, GOCE DE VACACIONES.</w:t>
      </w:r>
      <w:bookmarkEnd w:id="60468"/>
      <w:r>
        <w:rPr>
          <w:rFonts w:hAnsi="Arial"/>
          <w:rFonts w:ascii="Arial"/>
          <w:sz w:val="24"/>
          <w:b/>
          <w:i/>
          <w:color w:val="black"/>
        </w:rPr>
        <w:t xml:space="preserve"> </w:t>
      </w:r>
      <w:r>
        <w:rPr>
          <w:rFonts w:hAnsi="Arial"/>
          <w:rFonts w:ascii="Arial"/>
          <w:sz w:val="24"/>
          <w:color w:val="black"/>
        </w:rPr>
        <w:t xml:space="preserve">Cuando por necesidades del servicio y con la autorización del Comando General o de los Comandos de Fuerza, se suspenda a un Oficial o Suboficial el goce de sus vacaciones anuales tendrá derecho a continuarlas una vez desaparezca la causa de la interrupción, por el tiempo que esté pendiente.</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"http://www.redjurista.com/document.aspx?ajcode=d0989_92&amp;arts=101"</w:instrText>
      </w:r>
      <w:r>
        <w:fldChar w:fldCharType="separate"/>
      </w:r>
      <w:r>
        <w:rPr>
          <w:rFonts w:hAnsi="Arial"/>
          <w:rFonts w:ascii="Arial"/>
          <w:sz w:val="24"/>
          <w:i/>
          <w:u w:val="single"/>
          <w:color w:val="black"/>
        </w:rPr>
        <w:t>101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69" w:name="2.3.1.2.2.1.17"/>
      <w:r>
        <w:rPr>
          <w:rFonts w:hAnsi="Arial"/>
          <w:rFonts w:ascii="Arial"/>
          <w:sz w:val="24"/>
          <w:color w:val="navy"/>
        </w:rPr>
        <w:t xml:space="preserve">ARTÍCULO 2.3.1.2.2.1.17. </w:t>
      </w:r>
      <w:r>
        <w:rPr>
          <w:rFonts w:hAnsi="Arial"/>
          <w:rFonts w:ascii="Arial"/>
          <w:sz w:val="24"/>
          <w:i/>
          <w:color w:val="navy"/>
        </w:rPr>
        <w:t xml:space="preserve">VACACIONES DEL COMANDANTE GENERAL DE LAS FUERZAS MILITARES, COMANDANTES DE FUERZA Y OTROS.</w:t>
      </w:r>
      <w:bookmarkEnd w:id="60469"/>
      <w:r>
        <w:rPr>
          <w:rFonts w:hAnsi="Arial"/>
          <w:rFonts w:ascii="Arial"/>
          <w:sz w:val="24"/>
          <w:b/>
          <w:i/>
          <w:color w:val="black"/>
        </w:rPr>
        <w:t xml:space="preserve"> </w:t>
      </w:r>
      <w:r>
        <w:rPr>
          <w:rFonts w:hAnsi="Arial"/>
          <w:rFonts w:ascii="Arial"/>
          <w:sz w:val="24"/>
          <w:color w:val="black"/>
        </w:rPr>
        <w:t xml:space="preserve">El Ministro de Defensa determinará la época del año en que el Comandante General de las Fuerzas Militares puede hacer uso de vacaciones. Este último, a su vez, fijará las fechas en que deben disfrutar de vacaciones los Comandantes de Fuerza, el Jefe del Estado Mayor Conjunto el Director de la Escuela Superior de Guerra.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"http://www.redjurista.com/document.aspx?ajcode=d0989_92&amp;arts=102"</w:instrText>
      </w:r>
      <w:r>
        <w:fldChar w:fldCharType="separate"/>
      </w:r>
      <w:r>
        <w:rPr>
          <w:rFonts w:hAnsi="Arial"/>
          <w:rFonts w:ascii="Arial"/>
          <w:sz w:val="24"/>
          <w:i/>
          <w:u w:val="single"/>
          <w:color w:val="black"/>
        </w:rPr>
        <w:t>102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0" w:name="2.3.1.2.2.1.18"/>
      <w:r>
        <w:rPr>
          <w:rFonts w:hAnsi="Arial"/>
          <w:rFonts w:ascii="Arial"/>
          <w:sz w:val="24"/>
          <w:color w:val="navy"/>
        </w:rPr>
        <w:t xml:space="preserve">ARTÍCULO 2.3.1.2.2.1.18. </w:t>
      </w:r>
      <w:r>
        <w:rPr>
          <w:rFonts w:hAnsi="Arial"/>
          <w:rFonts w:ascii="Arial"/>
          <w:sz w:val="24"/>
          <w:i/>
          <w:color w:val="navy"/>
        </w:rPr>
        <w:t xml:space="preserve">VACACIONES DEL PERSONAL EN COMISIÓN EN EL EXTERIOR.</w:t>
      </w:r>
      <w:bookmarkEnd w:id="60470"/>
      <w:r>
        <w:rPr>
          <w:rFonts w:hAnsi="Arial"/>
          <w:rFonts w:ascii="Arial"/>
          <w:sz w:val="24"/>
          <w:b/>
          <w:i/>
          <w:color w:val="black"/>
        </w:rPr>
        <w:t xml:space="preserve"> </w:t>
      </w:r>
      <w:r>
        <w:rPr>
          <w:rFonts w:hAnsi="Arial"/>
          <w:rFonts w:ascii="Arial"/>
          <w:sz w:val="24"/>
          <w:color w:val="black"/>
        </w:rPr>
        <w:t xml:space="preserve">Las vacaciones del personal de Oficiales y Suboficiales que se encuentren en comisión de estudios, administrativas o de tratamiento médico en el exterior, serán autorizadas por los respectivos Comandos de Fuerza. Cuando se trate de comisiones diplomáticas, las vacaciones serán autorizadas por el Comando General de las Fuerzas Militares.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"http://www.redjurista.com/document.aspx?ajcode=d0989_92&amp;arts=103"</w:instrText>
      </w:r>
      <w:r>
        <w:fldChar w:fldCharType="separate"/>
      </w:r>
      <w:r>
        <w:rPr>
          <w:rFonts w:hAnsi="Arial"/>
          <w:rFonts w:ascii="Arial"/>
          <w:sz w:val="24"/>
          <w:i/>
          <w:u w:val="single"/>
          <w:color w:val="black"/>
        </w:rPr>
        <w:t>103</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71" w:name="SUBSECCIÓN 2.3.1.2.2.2"/>
      <w:r>
        <w:rPr>
          <w:rFonts w:hAnsi="Arial"/>
          <w:rFonts w:ascii="Arial"/>
          <w:sz w:val="24"/>
          <w:color w:val="navy"/>
        </w:rPr>
        <w:t xml:space="preserve">SUBSECCIÓN 2. </w:t>
      </w:r>
    </w:p>
    <w:p>
      <w:pPr>
        <w:jc w:val="center"/>
      </w:pPr>
      <w:r>
        <w:rPr>
          <w:rFonts w:hAnsi="Arial"/>
          <w:rFonts w:ascii="Arial"/>
          <w:sz w:val="24"/>
          <w:color w:val="navy"/>
        </w:rPr>
        <w:t xml:space="preserve">PRESTACIÓN POR RETIRO.</w:t>
      </w:r>
      <w:bookmarkEnd w:id="6047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72" w:name="2.3.1.2.2.2.1"/>
      <w:r>
        <w:rPr>
          <w:rFonts w:hAnsi="Arial"/>
          <w:rFonts w:ascii="Arial"/>
          <w:sz w:val="24"/>
          <w:color w:val="navy"/>
        </w:rPr>
        <w:t xml:space="preserve">ARTÍCULO 2.3.1.2.2.2.1. </w:t>
      </w:r>
      <w:r>
        <w:rPr>
          <w:rFonts w:hAnsi="Arial"/>
          <w:rFonts w:ascii="Arial"/>
          <w:sz w:val="24"/>
          <w:i/>
          <w:color w:val="navy"/>
        </w:rPr>
        <w:t xml:space="preserve">SERVICIOS MÉDICO-ASISTENCIALES EN RETIRO.</w:t>
      </w:r>
      <w:bookmarkEnd w:id="60472"/>
      <w:r>
        <w:rPr>
          <w:rFonts w:hAnsi="Arial"/>
          <w:rFonts w:ascii="Arial"/>
          <w:sz w:val="24"/>
          <w:b/>
          <w:i/>
          <w:color w:val="black"/>
        </w:rPr>
        <w:t xml:space="preserve"> </w:t>
      </w:r>
      <w:r>
        <w:rPr>
          <w:rFonts w:hAnsi="Arial"/>
          <w:rFonts w:ascii="Arial"/>
          <w:sz w:val="24"/>
          <w:color w:val="black"/>
        </w:rPr>
        <w:t xml:space="preserve">Para prestación de los servicios médico-asistenciales consagrados en el artículo </w:t>
      </w:r>
      <w:r>
        <w:fldChar w:fldCharType="begin"/>
      </w:r>
      <w:r>
        <w:instrText>HYPERLINK "http://www.redjurista.com/document.aspx?ajcode=d1211_90&amp;arts=176"</w:instrText>
      </w:r>
      <w:r>
        <w:fldChar w:fldCharType="separate"/>
      </w:r>
      <w:r>
        <w:rPr>
          <w:rFonts w:hAnsi="Arial"/>
          <w:rFonts w:ascii="Arial"/>
          <w:sz w:val="24"/>
          <w:u w:val="single"/>
          <w:color w:val="black"/>
        </w:rPr>
        <w:t>176</w:t>
      </w:r>
      <w:r>
        <w:fldChar w:fldCharType="end"/>
      </w:r>
      <w:r>
        <w:rPr>
          <w:rFonts w:hAnsi="Arial"/>
          <w:rFonts w:ascii="Arial"/>
          <w:sz w:val="24"/>
          <w:u w:val="none"/>
          <w:color w:val="black"/>
        </w:rPr>
        <w:t xml:space="preserve"> del Decreto 1211 de 1990, a favor de las personas allí mencionadas, regirán las mismas normas establecidas en los artículos </w:t>
      </w:r>
      <w:r>
        <w:fldChar w:fldCharType="begin"/>
      </w:r>
      <w:r>
        <w:instrText>HYPERLINK "http://www.redjurista.com/document.aspx?ajcode=d1070015&amp;arts=2.3.1.2.2.1.1"</w:instrText>
      </w:r>
      <w:r>
        <w:fldChar w:fldCharType="separate"/>
      </w:r>
      <w:r>
        <w:rPr>
          <w:rFonts w:hAnsi="Arial"/>
          <w:rFonts w:ascii="Arial"/>
          <w:sz w:val="24"/>
          <w:u w:val="single"/>
          <w:color w:val="black"/>
        </w:rPr>
        <w:t>2.3.1.2.2.1.1.</w:t>
      </w:r>
      <w:r>
        <w:fldChar w:fldCharType="end"/>
      </w:r>
      <w:r>
        <w:rPr>
          <w:rFonts w:hAnsi="Arial"/>
          <w:rFonts w:ascii="Arial"/>
          <w:sz w:val="24"/>
          <w:u w:val="none"/>
          <w:color w:val="black"/>
        </w:rPr>
        <w:t xml:space="preserve">, a </w:t>
      </w:r>
      <w:r>
        <w:fldChar w:fldCharType="begin"/>
      </w:r>
      <w:r>
        <w:instrText>HYPERLINK "http://www.redjurista.com/document.aspx?ajcode=d1070015&amp;arts=2.3.1.2.2.1.8"</w:instrText>
      </w:r>
      <w:r>
        <w:fldChar w:fldCharType="separate"/>
      </w:r>
      <w:r>
        <w:rPr>
          <w:rFonts w:hAnsi="Arial"/>
          <w:rFonts w:ascii="Arial"/>
          <w:sz w:val="24"/>
          <w:u w:val="single"/>
          <w:color w:val="black"/>
        </w:rPr>
        <w:t>2.3.1.2.2.1.8.</w:t>
      </w:r>
      <w:r>
        <w:fldChar w:fldCharType="end"/>
      </w:r>
      <w:r>
        <w:rPr>
          <w:rFonts w:hAnsi="Arial"/>
          <w:rFonts w:ascii="Arial"/>
          <w:sz w:val="24"/>
          <w:u w:val="none"/>
          <w:color w:val="black"/>
        </w:rPr>
        <w:t xml:space="preserve">, de la presente Sección, con la salvedad de que la expedición de carnés de identidad y la exigencia de las respectivas pruebas estarán a cargo de la Caja de Retiro de las Fuerzas Militares, si se trata de personas en goce de asignación de retiro, o del Fondo Asistencial de Pensionados del Ministerio de Defensa Nacional, si se trata de personas en goce de pensión pagadera por el Tesoro Público.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"http://www.redjurista.com/document.aspx?ajcode=d0989_92&amp;arts=104"</w:instrText>
      </w:r>
      <w:r>
        <w:fldChar w:fldCharType="separate"/>
      </w:r>
      <w:r>
        <w:rPr>
          <w:rFonts w:hAnsi="Arial"/>
          <w:rFonts w:ascii="Arial"/>
          <w:sz w:val="24"/>
          <w:i/>
          <w:u w:val="single"/>
          <w:color w:val="black"/>
        </w:rPr>
        <w:t>104</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73" w:name="SUBSECCIÓN 2.3.1.2.2.3"/>
      <w:r>
        <w:rPr>
          <w:rFonts w:hAnsi="Arial"/>
          <w:rFonts w:ascii="Arial"/>
          <w:sz w:val="24"/>
          <w:color w:val="navy"/>
        </w:rPr>
        <w:t xml:space="preserve">SUBSECCIÓN 3. </w:t>
      </w:r>
    </w:p>
    <w:p>
      <w:pPr>
        <w:jc w:val="center"/>
      </w:pPr>
      <w:r>
        <w:rPr>
          <w:rFonts w:hAnsi="Arial"/>
          <w:rFonts w:ascii="Arial"/>
          <w:sz w:val="24"/>
          <w:color w:val="navy"/>
        </w:rPr>
        <w:t xml:space="preserve">PRESTACIÓN POR MUERTE.</w:t>
      </w:r>
      <w:bookmarkEnd w:id="6047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74" w:name="2.3.1.2.2.3.1"/>
      <w:r>
        <w:rPr>
          <w:rFonts w:hAnsi="Arial"/>
          <w:rFonts w:ascii="Arial"/>
          <w:sz w:val="24"/>
          <w:color w:val="navy"/>
        </w:rPr>
        <w:t xml:space="preserve">ARTÍCULO 2.3.1.2.2.3.1. </w:t>
      </w:r>
      <w:r>
        <w:rPr>
          <w:rFonts w:hAnsi="Arial"/>
          <w:rFonts w:ascii="Arial"/>
          <w:sz w:val="24"/>
          <w:i/>
          <w:color w:val="navy"/>
        </w:rPr>
        <w:t xml:space="preserve">DEPENDENCIA ECONÓMICA DE BENEFICIARIOS.</w:t>
      </w:r>
      <w:bookmarkEnd w:id="60474"/>
      <w:r>
        <w:rPr>
          <w:rFonts w:hAnsi="Arial"/>
          <w:rFonts w:ascii="Arial"/>
          <w:sz w:val="24"/>
          <w:b/>
          <w:i/>
          <w:color w:val="black"/>
        </w:rPr>
        <w:t xml:space="preserve"> </w:t>
      </w:r>
      <w:r>
        <w:rPr>
          <w:rFonts w:hAnsi="Arial"/>
          <w:rFonts w:ascii="Arial"/>
          <w:sz w:val="24"/>
          <w:color w:val="black"/>
        </w:rPr>
        <w:t xml:space="preserve">La carencia de medios de subsistencia y la dependencia económica como condición para el reconocimiento y pago de las prestaciones a favor de los hermanos menores de 18 años de edad del Oficial o Suboficial, deberá comprobarse mediante la presentación de copia auténtica de la última declaración de renta de la persona o personas que pretendan la prestación, o certificación de la respectiva Administración de Hacienda en el sentido de que no declaran renta ni patrimonio y declaración juramentada en donde deberá expresarse que al fallecimiento del causante el peticionario dependía económicamente de este.</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"http://www.redjurista.com/document.aspx?ajcode=d0989_92&amp;arts=105"</w:instrText>
      </w:r>
      <w:r>
        <w:fldChar w:fldCharType="separate"/>
      </w:r>
      <w:r>
        <w:rPr>
          <w:rFonts w:hAnsi="Arial"/>
          <w:rFonts w:ascii="Arial"/>
          <w:sz w:val="24"/>
          <w:i/>
          <w:u w:val="single"/>
          <w:color w:val="black"/>
        </w:rPr>
        <w:t>105</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5" w:name="2.3.1.2.2.3.2"/>
      <w:r>
        <w:rPr>
          <w:rFonts w:hAnsi="Arial"/>
          <w:rFonts w:ascii="Arial"/>
          <w:sz w:val="24"/>
          <w:color w:val="navy"/>
        </w:rPr>
        <w:t xml:space="preserve">ARTÍCULO 2.3.1.2.2.3.2. </w:t>
      </w:r>
      <w:r>
        <w:rPr>
          <w:rFonts w:hAnsi="Arial"/>
          <w:rFonts w:ascii="Arial"/>
          <w:sz w:val="24"/>
          <w:i/>
          <w:color w:val="navy"/>
        </w:rPr>
        <w:t xml:space="preserve">TRES MESES DE ALTA POR FALLECIMIENTO.</w:t>
      </w:r>
      <w:bookmarkEnd w:id="60475"/>
      <w:r>
        <w:rPr>
          <w:rFonts w:hAnsi="Arial"/>
          <w:rFonts w:ascii="Arial"/>
          <w:sz w:val="24"/>
          <w:b/>
          <w:i/>
          <w:color w:val="black"/>
        </w:rPr>
        <w:t xml:space="preserve"> </w:t>
      </w:r>
      <w:r>
        <w:rPr>
          <w:rFonts w:hAnsi="Arial"/>
          <w:rFonts w:ascii="Arial"/>
          <w:sz w:val="24"/>
          <w:color w:val="black"/>
        </w:rPr>
        <w:t xml:space="preserve">El pago de los haberes correspondientes a los tres (3) meses de alta consagrados en el artículo </w:t>
      </w:r>
      <w:r>
        <w:fldChar w:fldCharType="begin"/>
      </w:r>
      <w:r>
        <w:instrText>HYPERLINK "http://www.redjurista.com/document.aspx?ajcode=d1211_90&amp;arts=186"</w:instrText>
      </w:r>
      <w:r>
        <w:fldChar w:fldCharType="separate"/>
      </w:r>
      <w:r>
        <w:rPr>
          <w:rFonts w:hAnsi="Arial"/>
          <w:rFonts w:ascii="Arial"/>
          <w:sz w:val="24"/>
          <w:u w:val="single"/>
          <w:color w:val="black"/>
        </w:rPr>
        <w:t>186</w:t>
      </w:r>
      <w:r>
        <w:fldChar w:fldCharType="end"/>
      </w:r>
      <w:r>
        <w:rPr>
          <w:rFonts w:hAnsi="Arial"/>
          <w:rFonts w:ascii="Arial"/>
          <w:sz w:val="24"/>
          <w:u w:val="none"/>
          <w:color w:val="black"/>
        </w:rPr>
        <w:t xml:space="preserve"> del Decreto 1211 de 1990, así como los haberes de actividad, asignación de retiro o pensión, dejados de cobrar por el causante, se ordenarán por las autoridades correspondientes a favor de los beneficiarios, dentro del orden preferencial establecido en el artículo </w:t>
      </w:r>
      <w:r>
        <w:fldChar w:fldCharType="begin"/>
      </w:r>
      <w:r>
        <w:instrText>HYPERLINK "http://www.redjurista.com/document.aspx?ajcode=d1211_90&amp;arts=185"</w:instrText>
      </w:r>
      <w:r>
        <w:fldChar w:fldCharType="separate"/>
      </w:r>
      <w:r>
        <w:rPr>
          <w:rFonts w:hAnsi="Arial"/>
          <w:rFonts w:ascii="Arial"/>
          <w:sz w:val="24"/>
          <w:u w:val="single"/>
          <w:color w:val="black"/>
        </w:rPr>
        <w:t>185</w:t>
      </w:r>
      <w:r>
        <w:fldChar w:fldCharType="end"/>
      </w:r>
      <w:r>
        <w:rPr>
          <w:rFonts w:hAnsi="Arial"/>
          <w:rFonts w:ascii="Arial"/>
          <w:sz w:val="24"/>
          <w:u w:val="none"/>
          <w:color w:val="black"/>
        </w:rPr>
        <w:t xml:space="preserve"> del Decreto citado y de acuerdo con los datos aportados por la respectiva Hoja de Vida o antecedentes prestaciones.</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"http://www.redjurista.com/document.aspx?ajcode=d0989_92&amp;arts=106"</w:instrText>
      </w:r>
      <w:r>
        <w:fldChar w:fldCharType="separate"/>
      </w:r>
      <w:r>
        <w:rPr>
          <w:rFonts w:hAnsi="Arial"/>
          <w:rFonts w:ascii="Arial"/>
          <w:sz w:val="24"/>
          <w:i/>
          <w:u w:val="single"/>
          <w:color w:val="black"/>
        </w:rPr>
        <w:t>106</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6" w:name="2.3.1.2.2.3.3"/>
      <w:r>
        <w:rPr>
          <w:rFonts w:hAnsi="Arial"/>
          <w:rFonts w:ascii="Arial"/>
          <w:sz w:val="24"/>
          <w:color w:val="navy"/>
        </w:rPr>
        <w:t xml:space="preserve">ARTÍCULO 2.3.1.2.2.3.3. </w:t>
      </w:r>
      <w:r>
        <w:rPr>
          <w:rFonts w:hAnsi="Arial"/>
          <w:rFonts w:ascii="Arial"/>
          <w:sz w:val="24"/>
          <w:i/>
          <w:color w:val="navy"/>
        </w:rPr>
        <w:t xml:space="preserve">PASAJES Y PRIMA DE INSTALACIÓN PARA FAMILIARES DE PERSONAL FALLECIDO EN EL EXTERIOR.</w:t>
      </w:r>
      <w:bookmarkEnd w:id="60476"/>
      <w:r>
        <w:rPr>
          <w:rFonts w:hAnsi="Arial"/>
          <w:rFonts w:ascii="Arial"/>
          <w:sz w:val="24"/>
          <w:b/>
          <w:i/>
          <w:color w:val="black"/>
        </w:rPr>
        <w:t xml:space="preserve"> </w:t>
      </w:r>
      <w:r>
        <w:rPr>
          <w:rFonts w:hAnsi="Arial"/>
          <w:rFonts w:ascii="Arial"/>
          <w:sz w:val="24"/>
          <w:color w:val="black"/>
        </w:rPr>
        <w:t xml:space="preserve">El derecho consagrado en el parágrafo del artículo </w:t>
      </w:r>
      <w:r>
        <w:fldChar w:fldCharType="begin"/>
      </w:r>
      <w:r>
        <w:instrText>HYPERLINK "http://www.redjurista.com/document.aspx?ajcode=d1211_90&amp;arts=187"</w:instrText>
      </w:r>
      <w:r>
        <w:fldChar w:fldCharType="separate"/>
      </w:r>
      <w:r>
        <w:rPr>
          <w:rFonts w:hAnsi="Arial"/>
          <w:rFonts w:ascii="Arial"/>
          <w:sz w:val="24"/>
          <w:u w:val="single"/>
          <w:color w:val="black"/>
        </w:rPr>
        <w:t>187</w:t>
      </w:r>
      <w:r>
        <w:fldChar w:fldCharType="end"/>
      </w:r>
      <w:r>
        <w:rPr>
          <w:rFonts w:hAnsi="Arial"/>
          <w:rFonts w:ascii="Arial"/>
          <w:sz w:val="24"/>
          <w:u w:val="none"/>
          <w:color w:val="black"/>
        </w:rPr>
        <w:t xml:space="preserve"> del Decreto 1211 de 1990, sobre pasajes y prima de instalación para el cónyuge e hijos del Oficial o Suboficial en servicio activo que falleciere en el exterior, sólo se refiere a los necesarios para su regreso a Colombia, siempre y cuando hubiesen estado residiendo con el Oficial o Suboficial en el lugar de su deceso y este hubiere ocurrido durante el desempeño de una comisión del servicio.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"http://www.redjurista.com/document.aspx?ajcode=d0989_92&amp;arts=107"</w:instrText>
      </w:r>
      <w:r>
        <w:fldChar w:fldCharType="separate"/>
      </w:r>
      <w:r>
        <w:rPr>
          <w:rFonts w:hAnsi="Arial"/>
          <w:rFonts w:ascii="Arial"/>
          <w:sz w:val="24"/>
          <w:i/>
          <w:u w:val="single"/>
          <w:color w:val="black"/>
        </w:rPr>
        <w:t>107</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7" w:name="2.3.1.2.2.3.4"/>
      <w:r>
        <w:rPr>
          <w:rFonts w:hAnsi="Arial"/>
          <w:rFonts w:ascii="Arial"/>
          <w:sz w:val="24"/>
          <w:color w:val="navy"/>
        </w:rPr>
        <w:t xml:space="preserve">ARTÍCULO 2.3.1.2.2.3.4. </w:t>
      </w:r>
      <w:r>
        <w:rPr>
          <w:rFonts w:hAnsi="Arial"/>
          <w:rFonts w:ascii="Arial"/>
          <w:sz w:val="24"/>
          <w:i/>
          <w:color w:val="navy"/>
        </w:rPr>
        <w:t xml:space="preserve">COMPROBACIÓN DE SITUACIONES PARA GOCE DE PENSIÓN.</w:t>
      </w:r>
      <w:bookmarkEnd w:id="60477"/>
      <w:r>
        <w:rPr>
          <w:rFonts w:hAnsi="Arial"/>
          <w:rFonts w:ascii="Arial"/>
          <w:sz w:val="24"/>
          <w:b/>
          <w:i/>
          <w:color w:val="black"/>
        </w:rPr>
        <w:t xml:space="preserve"> </w:t>
      </w:r>
      <w:r>
        <w:rPr>
          <w:rFonts w:hAnsi="Arial"/>
          <w:rFonts w:ascii="Arial"/>
          <w:sz w:val="24"/>
          <w:color w:val="black"/>
        </w:rPr>
        <w:t xml:space="preserve">Los beneficiarios de pensiones otorgadas por fallecimiento de Oficiales y Suboficiales en servicio activo o en goce de asignación de retiro o pensión, para mantener el derecho a disfrutar de tal prestación, deberán demostrar ante la correspondiente entidad pagadora que no han incurrido en las causales de extinción previstas en el artículo </w:t>
      </w:r>
      <w:r>
        <w:fldChar w:fldCharType="begin"/>
      </w:r>
      <w:r>
        <w:instrText>HYPERLINK "http://www.redjurista.com/document.aspx?ajcode=d1211_90&amp;arts=188"</w:instrText>
      </w:r>
      <w:r>
        <w:fldChar w:fldCharType="separate"/>
      </w:r>
      <w:r>
        <w:rPr>
          <w:rFonts w:hAnsi="Arial"/>
          <w:rFonts w:ascii="Arial"/>
          <w:sz w:val="24"/>
          <w:u w:val="single"/>
          <w:color w:val="black"/>
        </w:rPr>
        <w:t>188</w:t>
      </w:r>
      <w:r>
        <w:fldChar w:fldCharType="end"/>
      </w:r>
      <w:r>
        <w:rPr>
          <w:rFonts w:hAnsi="Arial"/>
          <w:rFonts w:ascii="Arial"/>
          <w:sz w:val="24"/>
          <w:u w:val="none"/>
          <w:color w:val="black"/>
        </w:rPr>
        <w:t xml:space="preserve"> del Decreto 1211 de 1990, mediante declaración semestral juramentada y rendida ante Juez Civil o Notario y mediante las pruebas legales adicionales que la entidad pagadora exija.</w:t>
      </w:r>
    </w:p>
    <w:p>
      <w:pPr>
        <w:jc w:val="both"/>
      </w:pPr>
      <w:rPr>
        <w:sz w:val="24"/>
        <w:color w:val="black"/>
      </w:rPr>
    </w:p>
    <w:p>
      <w:pPr>
        <w:jc w:val="both"/>
      </w:pPr>
      <w:r>
        <w:rPr>
          <w:rFonts w:hAnsi="Arial"/>
          <w:rFonts w:ascii="Arial"/>
          <w:sz w:val="24"/>
          <w:color w:val="black"/>
        </w:rPr>
        <w:t xml:space="preserve">Cuando se trate de comprobar la dependencia económica a que se refiere el citado artículo </w:t>
      </w:r>
      <w:r>
        <w:fldChar w:fldCharType="begin"/>
      </w:r>
      <w:r>
        <w:instrText>HYPERLINK "http://www.redjurista.com/document.aspx?ajcode=d1211_90&amp;arts=188"</w:instrText>
      </w:r>
      <w:r>
        <w:fldChar w:fldCharType="separate"/>
      </w:r>
      <w:r>
        <w:rPr>
          <w:rFonts w:hAnsi="Arial"/>
          <w:rFonts w:ascii="Arial"/>
          <w:sz w:val="24"/>
          <w:u w:val="single"/>
          <w:color w:val="black"/>
        </w:rPr>
        <w:t>188</w:t>
      </w:r>
      <w:r>
        <w:fldChar w:fldCharType="end"/>
      </w:r>
      <w:r>
        <w:rPr>
          <w:rFonts w:hAnsi="Arial"/>
          <w:rFonts w:ascii="Arial"/>
          <w:sz w:val="24"/>
          <w:u w:val="none"/>
          <w:color w:val="black"/>
        </w:rPr>
        <w:t xml:space="preserve"> del Decreto 1211 de 1990, en la correspondiente declaración juramentada deberá expresarse que al fallecimiento del causante, el beneficiario carecía de medios propios de subsistencia. Las condiciones adicionales que deban rendir los hijos mayores de 21 años para el disfrute de pensión o cuota pensional se comprobarán mediante la presentación de los siguientes documentos:</w:t>
      </w:r>
    </w:p>
    <w:p>
      <w:pPr>
        <w:jc w:val="both"/>
      </w:pPr>
      <w:rPr>
        <w:sz w:val="24"/>
        <w:color w:val="black"/>
      </w:rPr>
    </w:p>
    <w:p>
      <w:pPr>
        <w:jc w:val="both"/>
      </w:pPr>
      <w:r>
        <w:rPr>
          <w:rFonts w:hAnsi="Arial"/>
          <w:rFonts w:ascii="Arial"/>
          <w:sz w:val="24"/>
          <w:color w:val="black"/>
        </w:rPr>
        <w:t xml:space="preserve">a) Las hijas, de que trata el artículo </w:t>
      </w:r>
      <w:r>
        <w:fldChar w:fldCharType="begin"/>
      </w:r>
      <w:r>
        <w:instrText>HYPERLINK "http://www.redjurista.com/document.aspx?ajcode=d1211_90&amp;arts=250"</w:instrText>
      </w:r>
      <w:r>
        <w:fldChar w:fldCharType="separate"/>
      </w:r>
      <w:r>
        <w:rPr>
          <w:rFonts w:hAnsi="Arial"/>
          <w:rFonts w:ascii="Arial"/>
          <w:sz w:val="24"/>
          <w:u w:val="single"/>
          <w:color w:val="black"/>
        </w:rPr>
        <w:t>250</w:t>
      </w:r>
      <w:r>
        <w:fldChar w:fldCharType="end"/>
      </w:r>
      <w:r>
        <w:rPr>
          <w:rFonts w:hAnsi="Arial"/>
          <w:rFonts w:ascii="Arial"/>
          <w:sz w:val="24"/>
          <w:u w:val="none"/>
          <w:color w:val="black"/>
        </w:rPr>
        <w:t xml:space="preserve"> del Decreto 1211 de 1990, partida de nacimiento con nota marginal de no haber contraído matrimonio</w:t>
      </w:r>
    </w:p>
    <w:p>
      <w:pPr>
        <w:jc w:val="both"/>
      </w:pPr>
      <w:rPr>
        <w:sz w:val="24"/>
        <w:color w:val="black"/>
      </w:rPr>
    </w:p>
    <w:p>
      <w:pPr>
        <w:jc w:val="both"/>
      </w:pPr>
      <w:r>
        <w:rPr>
          <w:rFonts w:hAnsi="Arial"/>
          <w:rFonts w:ascii="Arial"/>
          <w:sz w:val="24"/>
          <w:color w:val="black"/>
        </w:rPr>
        <w:t xml:space="preserve">b) Si se trata de hijos inválidos, certificación de la invalidez expedida por los organismos señaladas en el Parágrafo 2o del artículo </w:t>
      </w:r>
      <w:r>
        <w:fldChar w:fldCharType="begin"/>
      </w:r>
      <w:r>
        <w:instrText>HYPERLINK "http://www.redjurista.com/document.aspx?ajcode=d1211_90&amp;arts=176"</w:instrText>
      </w:r>
      <w:r>
        <w:fldChar w:fldCharType="separate"/>
      </w:r>
      <w:r>
        <w:rPr>
          <w:rFonts w:hAnsi="Arial"/>
          <w:rFonts w:ascii="Arial"/>
          <w:sz w:val="24"/>
          <w:u w:val="single"/>
          <w:color w:val="black"/>
        </w:rPr>
        <w:t>176</w:t>
      </w:r>
      <w:r>
        <w:fldChar w:fldCharType="end"/>
      </w:r>
      <w:r>
        <w:rPr>
          <w:rFonts w:hAnsi="Arial"/>
          <w:rFonts w:ascii="Arial"/>
          <w:sz w:val="24"/>
          <w:u w:val="none"/>
          <w:color w:val="black"/>
        </w:rPr>
        <w:t xml:space="preserve"> del Decreto 1211 de 1990;</w:t>
      </w:r>
    </w:p>
    <w:p>
      <w:pPr>
        <w:jc w:val="both"/>
      </w:pPr>
      <w:rPr>
        <w:sz w:val="24"/>
        <w:color w:val="black"/>
      </w:rPr>
    </w:p>
    <w:p>
      <w:pPr>
        <w:jc w:val="both"/>
      </w:pPr>
      <w:r>
        <w:rPr>
          <w:rFonts w:hAnsi="Arial"/>
          <w:rFonts w:ascii="Arial"/>
          <w:sz w:val="24"/>
          <w:color w:val="black"/>
        </w:rPr>
        <w:t xml:space="preserve">c) Si se trata de estudiantes mayores de 21 años y menores de 24, certificación expedida por la Dirección o Secretaría del respectivo plantel educativo, con indicación de la correspondiente intensidad horaria diaria o semanal, que no podrá ser inferior a cuatro (4) horas diarias o veinte (20) horas semanales.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beneficiarios de las pensiones a que se refiere el presente artículo, están en la obligación de dar aviso a la entidad pagadora de cualquier hecho que constituya causal de extinción de la pensión de que disfrutan o de cualquiera de sus cuotas partes, dentro de los treinta (30) días siguientes a la fecha de ocurrencia del hecho. Quienes incumplieren esta obligación y continuaren percibiendo la pensión o la cuota parte respectiva, deberán cubrir a la entidad pagadora una suma equivalente a lo indebidamente recibido por tal concepto, suma que será exigible por la vía judicial, sin perjuicio de la acción penal que corresponda al caso.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"http://www.redjurista.com/document.aspx?ajcode=d0989_92&amp;arts=108"</w:instrText>
      </w:r>
      <w:r>
        <w:fldChar w:fldCharType="separate"/>
      </w:r>
      <w:r>
        <w:rPr>
          <w:rFonts w:hAnsi="Arial"/>
          <w:rFonts w:ascii="Arial"/>
          <w:sz w:val="24"/>
          <w:i/>
          <w:u w:val="single"/>
          <w:color w:val="black"/>
        </w:rPr>
        <w:t>108</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8" w:name="2.3.1.2.2.3.5"/>
      <w:r>
        <w:rPr>
          <w:rFonts w:hAnsi="Arial"/>
          <w:rFonts w:ascii="Arial"/>
          <w:sz w:val="24"/>
          <w:color w:val="navy"/>
        </w:rPr>
        <w:t xml:space="preserve">ARTÍCULO 2.3.1.2.2.3.5. </w:t>
      </w:r>
      <w:r>
        <w:rPr>
          <w:rFonts w:hAnsi="Arial"/>
          <w:rFonts w:ascii="Arial"/>
          <w:sz w:val="24"/>
          <w:i/>
          <w:color w:val="navy"/>
        </w:rPr>
        <w:t xml:space="preserve">SERVICIOS MÉDICO-ASISTENCIALES PARA FAMILIARES DE PERSONAL FALLECIDO EN ACTIVIDAD.</w:t>
      </w:r>
      <w:bookmarkEnd w:id="60478"/>
      <w:r>
        <w:rPr>
          <w:rFonts w:hAnsi="Arial"/>
          <w:rFonts w:ascii="Arial"/>
          <w:sz w:val="24"/>
          <w:b/>
          <w:i/>
          <w:color w:val="black"/>
        </w:rPr>
        <w:t xml:space="preserve"> </w:t>
      </w:r>
      <w:r>
        <w:rPr>
          <w:rFonts w:hAnsi="Arial"/>
          <w:rFonts w:ascii="Arial"/>
          <w:sz w:val="24"/>
          <w:color w:val="black"/>
        </w:rPr>
        <w:t xml:space="preserve">Para la prestación de los servicios médico-asistenciales a los beneficiarios de que trata el artículo </w:t>
      </w:r>
      <w:r>
        <w:fldChar w:fldCharType="begin"/>
      </w:r>
      <w:r>
        <w:instrText>HYPERLINK "http://www.redjurista.com/document.aspx?ajcode=d1211_90&amp;arts=194"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del Decreto 1211 de 1990 regirán las mismas normas consignadas en los artículos </w:t>
      </w:r>
      <w:r>
        <w:fldChar w:fldCharType="begin"/>
      </w:r>
      <w:r>
        <w:instrText>HYPERLINK "http://www.redjurista.com/document.aspx?ajcode=d1070015&amp;arts=2.3.1.2.2.1.1"</w:instrText>
      </w:r>
      <w:r>
        <w:fldChar w:fldCharType="separate"/>
      </w:r>
      <w:r>
        <w:rPr>
          <w:rFonts w:hAnsi="Arial"/>
          <w:rFonts w:ascii="Arial"/>
          <w:sz w:val="24"/>
          <w:u w:val="single"/>
          <w:color w:val="black"/>
        </w:rPr>
        <w:t>2.3.1.2.2.1.1.</w:t>
      </w:r>
      <w:r>
        <w:fldChar w:fldCharType="end"/>
      </w:r>
      <w:r>
        <w:rPr>
          <w:rFonts w:hAnsi="Arial"/>
          <w:rFonts w:ascii="Arial"/>
          <w:sz w:val="24"/>
          <w:u w:val="none"/>
          <w:color w:val="black"/>
        </w:rPr>
        <w:t xml:space="preserve">, a </w:t>
      </w:r>
      <w:r>
        <w:fldChar w:fldCharType="begin"/>
      </w:r>
      <w:r>
        <w:instrText>HYPERLINK "http://www.redjurista.com/document.aspx?ajcode=d1070015&amp;arts=2.3.1.2.2.1.8"</w:instrText>
      </w:r>
      <w:r>
        <w:fldChar w:fldCharType="separate"/>
      </w:r>
      <w:r>
        <w:rPr>
          <w:rFonts w:hAnsi="Arial"/>
          <w:rFonts w:ascii="Arial"/>
          <w:sz w:val="24"/>
          <w:u w:val="single"/>
          <w:color w:val="black"/>
        </w:rPr>
        <w:t>2.3.1.2.2.1.8.</w:t>
      </w:r>
      <w:r>
        <w:fldChar w:fldCharType="end"/>
      </w:r>
      <w:r>
        <w:rPr>
          <w:rFonts w:hAnsi="Arial"/>
          <w:rFonts w:ascii="Arial"/>
          <w:sz w:val="24"/>
          <w:u w:val="none"/>
          <w:color w:val="black"/>
        </w:rPr>
        <w:t xml:space="preserve">, de la presente Sección, con la salvedad de que los servicios especiales y la expedición de carnés de identificación, estarán a cargo del Fondo Asistencial de Pensionados del Ministerio de Defensa.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79" w:name="2.3.1.2.2.3.6"/>
      <w:r>
        <w:rPr>
          <w:rFonts w:hAnsi="Arial"/>
          <w:rFonts w:ascii="Arial"/>
          <w:sz w:val="24"/>
          <w:color w:val="navy"/>
        </w:rPr>
        <w:t xml:space="preserve">ARTÍCULO 2.3.1.2.2.3.6. </w:t>
      </w:r>
      <w:r>
        <w:rPr>
          <w:rFonts w:hAnsi="Arial"/>
          <w:rFonts w:ascii="Arial"/>
          <w:sz w:val="24"/>
          <w:i/>
          <w:color w:val="navy"/>
        </w:rPr>
        <w:t xml:space="preserve">SERVICIOS MÉDICO-ASISTENCIALES PARA FAMILIARES DE PERSONAL FALLECIDO EN GOCE DE ASIGNACIÓN DE RETIRO O PENSIÓN.</w:t>
      </w:r>
      <w:bookmarkEnd w:id="60479"/>
      <w:r>
        <w:rPr>
          <w:rFonts w:hAnsi="Arial"/>
          <w:rFonts w:ascii="Arial"/>
          <w:sz w:val="24"/>
          <w:b/>
          <w:i/>
          <w:color w:val="black"/>
        </w:rPr>
        <w:t xml:space="preserve"> </w:t>
      </w:r>
      <w:r>
        <w:rPr>
          <w:rFonts w:hAnsi="Arial"/>
          <w:rFonts w:ascii="Arial"/>
          <w:sz w:val="24"/>
          <w:color w:val="black"/>
        </w:rPr>
        <w:t xml:space="preserve">Para la prestación de los servicios médico-asistenciales a los beneficiarios de que trata el artículo </w:t>
      </w:r>
      <w:r>
        <w:fldChar w:fldCharType="begin"/>
      </w:r>
      <w:r>
        <w:instrText>HYPERLINK "http://www.redjurista.com/document.aspx?ajcode=d1211_90&amp;arts=196"</w:instrText>
      </w:r>
      <w:r>
        <w:fldChar w:fldCharType="separate"/>
      </w:r>
      <w:r>
        <w:rPr>
          <w:rFonts w:hAnsi="Arial"/>
          <w:rFonts w:ascii="Arial"/>
          <w:sz w:val="24"/>
          <w:u w:val="single"/>
          <w:color w:val="black"/>
        </w:rPr>
        <w:t>196</w:t>
      </w:r>
      <w:r>
        <w:fldChar w:fldCharType="end"/>
      </w:r>
      <w:r>
        <w:rPr>
          <w:rFonts w:hAnsi="Arial"/>
          <w:rFonts w:ascii="Arial"/>
          <w:sz w:val="24"/>
          <w:u w:val="none"/>
          <w:color w:val="black"/>
        </w:rPr>
        <w:t xml:space="preserve"> del Decreto 1211 de 1990, regirán las mismas normas consagradas en los artículos </w:t>
      </w:r>
      <w:r>
        <w:fldChar w:fldCharType="begin"/>
      </w:r>
      <w:r>
        <w:instrText>HYPERLINK "http://www.redjurista.com/document.aspx?ajcode=d1070015&amp;arts=2.3.1.2.2.1.1"</w:instrText>
      </w:r>
      <w:r>
        <w:fldChar w:fldCharType="separate"/>
      </w:r>
      <w:r>
        <w:rPr>
          <w:rFonts w:hAnsi="Arial"/>
          <w:rFonts w:ascii="Arial"/>
          <w:sz w:val="24"/>
          <w:u w:val="single"/>
          <w:color w:val="black"/>
        </w:rPr>
        <w:t>2.3.1.2.2.1.1.</w:t>
      </w:r>
      <w:r>
        <w:fldChar w:fldCharType="end"/>
      </w:r>
      <w:r>
        <w:rPr>
          <w:rFonts w:hAnsi="Arial"/>
          <w:rFonts w:ascii="Arial"/>
          <w:sz w:val="24"/>
          <w:u w:val="none"/>
          <w:color w:val="black"/>
        </w:rPr>
        <w:t xml:space="preserve">, a </w:t>
      </w:r>
      <w:r>
        <w:fldChar w:fldCharType="begin"/>
      </w:r>
      <w:r>
        <w:instrText>HYPERLINK "http://www.redjurista.com/document.aspx?ajcode=d1070015&amp;arts=2.3.1.2.2.1.8"</w:instrText>
      </w:r>
      <w:r>
        <w:fldChar w:fldCharType="separate"/>
      </w:r>
      <w:r>
        <w:rPr>
          <w:rFonts w:hAnsi="Arial"/>
          <w:rFonts w:ascii="Arial"/>
          <w:sz w:val="24"/>
          <w:u w:val="single"/>
          <w:color w:val="black"/>
        </w:rPr>
        <w:t>2.3.1.2.2.1.8.</w:t>
      </w:r>
      <w:r>
        <w:fldChar w:fldCharType="end"/>
      </w:r>
      <w:r>
        <w:rPr>
          <w:rFonts w:hAnsi="Arial"/>
          <w:rFonts w:ascii="Arial"/>
          <w:sz w:val="24"/>
          <w:u w:val="none"/>
          <w:color w:val="black"/>
        </w:rPr>
        <w:t xml:space="preserve">, de la presente Sección. La expedición de carnés de identidad estará a cargo de la Caja de Retiro de las Fuerzas Militares o del Fondo Asistencial de Pensionados del Ministerio de Defensa, según se trate de pensiones pagaderas por la citada Caja o por el Tesoro Público.</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80" w:name="SUBSECCIÓN 2.3.1.2.2.4"/>
      <w:r>
        <w:rPr>
          <w:rFonts w:hAnsi="Arial"/>
          <w:rFonts w:ascii="Arial"/>
          <w:sz w:val="24"/>
          <w:color w:val="navy"/>
        </w:rPr>
        <w:t xml:space="preserve">SUBSECCIÓN 4. </w:t>
      </w:r>
    </w:p>
    <w:p>
      <w:pPr>
        <w:jc w:val="center"/>
      </w:pPr>
      <w:r>
        <w:rPr>
          <w:rFonts w:hAnsi="Arial"/>
          <w:rFonts w:ascii="Arial"/>
          <w:sz w:val="24"/>
          <w:color w:val="navy"/>
        </w:rPr>
        <w:t xml:space="preserve">DESAPARECIDOS Y PRISIONEROS.</w:t>
      </w:r>
      <w:bookmarkEnd w:id="6048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81" w:name="2.3.1.2.2.4.1"/>
      <w:r>
        <w:rPr>
          <w:rFonts w:hAnsi="Arial"/>
          <w:rFonts w:ascii="Arial"/>
          <w:sz w:val="24"/>
          <w:color w:val="navy"/>
        </w:rPr>
        <w:t xml:space="preserve">ARTÍCULO 2.3.1.2.2.4.1. </w:t>
      </w:r>
      <w:r>
        <w:rPr>
          <w:rFonts w:hAnsi="Arial"/>
          <w:rFonts w:ascii="Arial"/>
          <w:sz w:val="24"/>
          <w:i/>
          <w:color w:val="navy"/>
        </w:rPr>
        <w:t xml:space="preserve">PROCEDIMIENTO EN CASO DE DESAPARECIMIENTO.</w:t>
      </w:r>
      <w:bookmarkEnd w:id="60481"/>
      <w:r>
        <w:rPr>
          <w:rFonts w:hAnsi="Arial"/>
          <w:rFonts w:ascii="Arial"/>
          <w:sz w:val="24"/>
          <w:b/>
          <w:i/>
          <w:color w:val="black"/>
        </w:rPr>
        <w:t xml:space="preserve"> </w:t>
      </w:r>
      <w:r>
        <w:rPr>
          <w:rFonts w:hAnsi="Arial"/>
          <w:rFonts w:ascii="Arial"/>
          <w:sz w:val="24"/>
          <w:color w:val="black"/>
        </w:rPr>
        <w:t xml:space="preserve">Cuando un Oficial o Suboficial de las Fuerzas Militares, en servicio activo, desaparezca en las circunstancias previstas en el artículo </w:t>
      </w:r>
      <w:r>
        <w:fldChar w:fldCharType="begin"/>
      </w:r>
      <w:r>
        <w:instrText>HYPERLINK "http://www.redjurista.com/document.aspx?ajcode=d1211_90&amp;arts=197"</w:instrText>
      </w:r>
      <w:r>
        <w:fldChar w:fldCharType="separate"/>
      </w:r>
      <w:r>
        <w:rPr>
          <w:rFonts w:hAnsi="Arial"/>
          <w:rFonts w:ascii="Arial"/>
          <w:sz w:val="24"/>
          <w:u w:val="single"/>
          <w:color w:val="black"/>
        </w:rPr>
        <w:t>197</w:t>
      </w:r>
      <w:r>
        <w:fldChar w:fldCharType="end"/>
      </w:r>
      <w:r>
        <w:rPr>
          <w:rFonts w:hAnsi="Arial"/>
          <w:rFonts w:ascii="Arial"/>
          <w:sz w:val="24"/>
          <w:u w:val="none"/>
          <w:color w:val="black"/>
        </w:rPr>
        <w:t xml:space="preserve"> del Decreto 1211 de 1990 se procederá de la siguiente manera:</w:t>
      </w:r>
    </w:p>
    <w:p>
      <w:pPr>
        <w:jc w:val="both"/>
      </w:pPr>
      <w:rPr>
        <w:sz w:val="24"/>
        <w:color w:val="black"/>
      </w:rPr>
    </w:p>
    <w:p>
      <w:pPr>
        <w:jc w:val="both"/>
      </w:pPr>
      <w:r>
        <w:rPr>
          <w:rFonts w:hAnsi="Arial"/>
          <w:rFonts w:ascii="Arial"/>
          <w:sz w:val="24"/>
          <w:color w:val="black"/>
        </w:rPr>
        <w:t xml:space="preserve">a) Transcurridos treinta (30) días de la última noticia del desaparecido, el Comandante o Jefe de la respectiva Unidad o repartición, designará un funcionario para que adelante la investigación;</w:t>
      </w:r>
    </w:p>
    <w:p>
      <w:pPr>
        <w:jc w:val="both"/>
      </w:pPr>
      <w:rPr>
        <w:sz w:val="24"/>
        <w:color w:val="black"/>
      </w:rPr>
    </w:p>
    <w:p>
      <w:pPr>
        <w:jc w:val="both"/>
      </w:pPr>
      <w:r>
        <w:rPr>
          <w:rFonts w:hAnsi="Arial"/>
          <w:rFonts w:ascii="Arial"/>
          <w:sz w:val="24"/>
          <w:color w:val="black"/>
        </w:rPr>
        <w:t xml:space="preserve">b) El funcionario instructor, dentro de un término no mayor de ocho (8) días hábiles, practicará las diligencias que considere pertinentes, para determinar las circunstancias en que tuvo ocurrencia la desaparición;</w:t>
      </w:r>
    </w:p>
    <w:p>
      <w:pPr>
        <w:jc w:val="both"/>
      </w:pPr>
      <w:rPr>
        <w:sz w:val="24"/>
        <w:color w:val="black"/>
      </w:rPr>
    </w:p>
    <w:p>
      <w:pPr>
        <w:jc w:val="both"/>
      </w:pPr>
      <w:r>
        <w:rPr>
          <w:rFonts w:hAnsi="Arial"/>
          <w:rFonts w:ascii="Arial"/>
          <w:sz w:val="24"/>
          <w:color w:val="black"/>
        </w:rPr>
        <w:t xml:space="preserve">c) Vencido el término a que se refiere el literal anterior, el Instructor remitirá el informativo al Superior que ordenó la investigación, quien deberá emitir concepto dentro de los tres (3) días siguientes al recibo de las diligencias. Hecho lo anterior el informativo será enviado al Comando de la Fuerza respectiva.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82" w:name="2.3.1.2.2.4.2"/>
      <w:r>
        <w:rPr>
          <w:rFonts w:hAnsi="Arial"/>
          <w:rFonts w:ascii="Arial"/>
          <w:sz w:val="24"/>
          <w:color w:val="navy"/>
        </w:rPr>
        <w:t xml:space="preserve">ARTÍCULO 2.3.1.2.2.4.2. </w:t>
      </w:r>
      <w:r>
        <w:rPr>
          <w:rFonts w:hAnsi="Arial"/>
          <w:rFonts w:ascii="Arial"/>
          <w:sz w:val="24"/>
          <w:i/>
          <w:color w:val="navy"/>
        </w:rPr>
        <w:t>APARECIMIENTO.</w:t>
      </w:r>
      <w:bookmarkEnd w:id="60482"/>
      <w:r>
        <w:rPr>
          <w:rFonts w:hAnsi="Arial"/>
          <w:rFonts w:ascii="Arial"/>
          <w:sz w:val="24"/>
          <w:b/>
          <w:i/>
          <w:color w:val="black"/>
        </w:rPr>
        <w:t xml:space="preserve"> </w:t>
      </w:r>
      <w:r>
        <w:rPr>
          <w:rFonts w:hAnsi="Arial"/>
          <w:rFonts w:ascii="Arial"/>
          <w:sz w:val="24"/>
          <w:color w:val="black"/>
        </w:rPr>
        <w:t xml:space="preserve">Si el presunto desaparecido, apareciere o se tuviere noticias ciertas de su existencia, el Comando de la Fuerza a que pertenece ordenará adelantar una investigación de carácter administrativo, con el objeto de precisar:</w:t>
      </w:r>
    </w:p>
    <w:p>
      <w:pPr>
        <w:jc w:val="both"/>
      </w:pPr>
      <w:rPr>
        <w:sz w:val="24"/>
        <w:color w:val="black"/>
      </w:rPr>
    </w:p>
    <w:p>
      <w:pPr>
        <w:jc w:val="both"/>
      </w:pPr>
      <w:r>
        <w:rPr>
          <w:rFonts w:hAnsi="Arial"/>
          <w:rFonts w:ascii="Arial"/>
          <w:sz w:val="24"/>
          <w:color w:val="black"/>
        </w:rPr>
        <w:t xml:space="preserve">a) La identidad del aparecido, acerca de la cual debe obtenerse plena certeza, a través de la utilización de medios técnicos apropiados de identificación;</w:t>
      </w:r>
    </w:p>
    <w:p>
      <w:pPr>
        <w:jc w:val="both"/>
      </w:pPr>
      <w:rPr>
        <w:sz w:val="24"/>
        <w:color w:val="black"/>
      </w:rPr>
    </w:p>
    <w:p>
      <w:pPr>
        <w:jc w:val="both"/>
      </w:pPr>
      <w:r>
        <w:rPr>
          <w:rFonts w:hAnsi="Arial"/>
          <w:rFonts w:ascii="Arial"/>
          <w:sz w:val="24"/>
          <w:color w:val="black"/>
        </w:rPr>
        <w:t xml:space="preserve">b) Las actividades desarrolladas por el individuo durante el tiempo comprendido entre la fecha de su desaparición y la de su aparición.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Si en la investigación administrativa se llegaren a establecer acciones u omisiones que deban ser investigadas por la Justicia Penal Militar o por la Ordinaria, se compulsará copia del expediente administrativo a fin de que se adelante el proceso a que haya lugar.</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83" w:name="2.3.1.2.2.4.3"/>
      <w:r>
        <w:rPr>
          <w:rFonts w:hAnsi="Arial"/>
          <w:rFonts w:ascii="Arial"/>
          <w:sz w:val="24"/>
          <w:color w:val="navy"/>
        </w:rPr>
        <w:t xml:space="preserve">ARTÍCULO 2.3.1.2.2.4.3. </w:t>
      </w:r>
      <w:r>
        <w:rPr>
          <w:rFonts w:hAnsi="Arial"/>
          <w:rFonts w:ascii="Arial"/>
          <w:sz w:val="24"/>
          <w:i/>
          <w:color w:val="navy"/>
        </w:rPr>
        <w:t xml:space="preserve">FALLO Y SANCIONES.</w:t>
      </w:r>
      <w:bookmarkEnd w:id="60483"/>
      <w:r>
        <w:rPr>
          <w:rFonts w:hAnsi="Arial"/>
          <w:rFonts w:ascii="Arial"/>
          <w:sz w:val="24"/>
          <w:b/>
          <w:i/>
          <w:color w:val="black"/>
        </w:rPr>
        <w:t xml:space="preserve"> </w:t>
      </w:r>
      <w:r>
        <w:rPr>
          <w:rFonts w:hAnsi="Arial"/>
          <w:rFonts w:ascii="Arial"/>
          <w:sz w:val="24"/>
          <w:color w:val="black"/>
        </w:rPr>
        <w:t xml:space="preserve">Si el proceso penal culmina con fallo condenatorio para la persona aparecida, se cambiará la causal de baja por presunción de muerte a que se refiere el parágrafo del artículo </w:t>
      </w:r>
      <w:r>
        <w:fldChar w:fldCharType="begin"/>
      </w:r>
      <w:r>
        <w:instrText>HYPERLINK "http://www.redjurista.com/document.aspx?ajcode=d1211_90&amp;arts=197"</w:instrText>
      </w:r>
      <w:r>
        <w:fldChar w:fldCharType="separate"/>
      </w:r>
      <w:r>
        <w:rPr>
          <w:rFonts w:hAnsi="Arial"/>
          <w:rFonts w:ascii="Arial"/>
          <w:sz w:val="24"/>
          <w:u w:val="single"/>
          <w:color w:val="black"/>
        </w:rPr>
        <w:t>197</w:t>
      </w:r>
      <w:r>
        <w:fldChar w:fldCharType="end"/>
      </w:r>
      <w:r>
        <w:rPr>
          <w:rFonts w:hAnsi="Arial"/>
          <w:rFonts w:ascii="Arial"/>
          <w:sz w:val="24"/>
          <w:u w:val="none"/>
          <w:color w:val="black"/>
        </w:rPr>
        <w:t xml:space="preserve"> del Decreto 1211 de 1990, en el evento de que ella se hubiere dispuesto, por la que resulte del respectivo fallo y se dará aplicación a lo dispuesto en el artículo </w:t>
      </w:r>
      <w:r>
        <w:fldChar w:fldCharType="begin"/>
      </w:r>
      <w:r>
        <w:instrText>HYPERLINK "http://www.redjurista.com/document.aspx?ajcode=d1211_90&amp;arts=199"</w:instrText>
      </w:r>
      <w:r>
        <w:fldChar w:fldCharType="separate"/>
      </w:r>
      <w:r>
        <w:rPr>
          <w:rFonts w:hAnsi="Arial"/>
          <w:rFonts w:ascii="Arial"/>
          <w:sz w:val="24"/>
          <w:u w:val="single"/>
          <w:color w:val="black"/>
        </w:rPr>
        <w:t>199</w:t>
      </w:r>
      <w:r>
        <w:fldChar w:fldCharType="end"/>
      </w:r>
      <w:r>
        <w:rPr>
          <w:rFonts w:hAnsi="Arial"/>
          <w:rFonts w:ascii="Arial"/>
          <w:sz w:val="24"/>
          <w:u w:val="none"/>
          <w:color w:val="black"/>
        </w:rPr>
        <w:t xml:space="preserve"> del mismo decreto.</w:t>
      </w:r>
    </w:p>
    <w:p>
      <w:pPr>
        <w:jc w:val="both"/>
      </w:pPr>
      <w:rPr>
        <w:sz w:val="24"/>
        <w:color w:val="black"/>
      </w:rPr>
    </w:p>
    <w:p>
      <w:pPr>
        <w:jc w:val="both"/>
      </w:pPr>
      <w:r>
        <w:rPr>
          <w:rFonts w:hAnsi="Arial"/>
          <w:rFonts w:ascii="Arial"/>
          <w:sz w:val="24"/>
          <w:color w:val="black"/>
        </w:rPr>
        <w:t xml:space="preserve">Si el fallo es absolutorio, el Ministerio de Defensa declarará sin valor ni efecto las disposiciones que se hubieren dictado con ocasión del desaparecimiento. En este caso, el tiempo transcurrido entre la desaparición y la aparición se considerará de actividad para todos los efectos, incluyendo el derecho a los haberes mensuales correspondientes al grado, previo reintegro del monto de las prestaciones sociales que se hubieren podido reconocer a los beneficiarios, conforme a lo establecido en los artículos </w:t>
      </w:r>
      <w:r>
        <w:fldChar w:fldCharType="begin"/>
      </w:r>
      <w:r>
        <w:instrText>HYPERLINK "http://www.redjurista.com/document.aspx?ajcode=d1211_90&amp;arts=197"</w:instrText>
      </w:r>
      <w:r>
        <w:fldChar w:fldCharType="separate"/>
      </w:r>
      <w:r>
        <w:rPr>
          <w:rFonts w:hAnsi="Arial"/>
          <w:rFonts w:ascii="Arial"/>
          <w:sz w:val="24"/>
          <w:u w:val="single"/>
          <w:color w:val="black"/>
        </w:rPr>
        <w:t>197</w:t>
      </w:r>
      <w:r>
        <w:fldChar w:fldCharType="end"/>
      </w:r>
      <w:r>
        <w:rPr>
          <w:rFonts w:hAnsi="Arial"/>
          <w:rFonts w:ascii="Arial"/>
          <w:sz w:val="24"/>
          <w:u w:val="none"/>
          <w:color w:val="black"/>
        </w:rPr>
        <w:t xml:space="preserve"> y </w:t>
      </w:r>
      <w:r>
        <w:fldChar w:fldCharType="begin"/>
      </w:r>
      <w:r>
        <w:instrText>HYPERLINK "http://www.redjurista.com/document.aspx?ajcode=d1211_90&amp;arts=198"</w:instrText>
      </w:r>
      <w:r>
        <w:fldChar w:fldCharType="separate"/>
      </w:r>
      <w:r>
        <w:rPr>
          <w:rFonts w:hAnsi="Arial"/>
          <w:rFonts w:ascii="Arial"/>
          <w:sz w:val="24"/>
          <w:u w:val="single"/>
          <w:color w:val="black"/>
        </w:rPr>
        <w:t>198</w:t>
      </w:r>
      <w:r>
        <w:fldChar w:fldCharType="end"/>
      </w:r>
      <w:r>
        <w:rPr>
          <w:rFonts w:hAnsi="Arial"/>
          <w:rFonts w:ascii="Arial"/>
          <w:sz w:val="24"/>
          <w:u w:val="none"/>
          <w:color w:val="black"/>
        </w:rPr>
        <w:t xml:space="preserve"> del Decreto 1211 de 1990.</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el reintegro dispuesto en el inciso segundo de este artículo no fuere posible por razones de fuerza mayor plenamente comprobadas, el valor correspondiente se descontará de los haberes y prestaciones sociales del causante en la forma que determine el Ministerio de Defensa.</w:t>
      </w:r>
    </w:p>
    <w:p>
      <w:pPr>
        <w:jc w:val="both"/>
      </w:pPr>
      <w:rPr>
        <w:sz w:val="24"/>
        <w:color w:val="black"/>
      </w:rPr>
    </w:p>
    <w:p>
      <w:r>
        <w:rPr>
          <w:rFonts w:hAnsi="Arial"/>
          <w:rFonts w:ascii="Arial"/>
          <w:sz w:val="24"/>
          <w:i/>
          <w:color w:val="black"/>
        </w:rPr>
        <w:t xml:space="preserve">(Decreto 989 de 1992 artículo </w:t>
      </w:r>
      <w:r>
        <w:fldChar w:fldCharType="begin"/>
      </w:r>
      <w:r>
        <w:instrText>HYPERLINK "http://www.redjurista.com/document.aspx?ajcode=d0989_92&amp;arts=114"</w:instrText>
      </w:r>
      <w:r>
        <w:fldChar w:fldCharType="separate"/>
      </w:r>
      <w:r>
        <w:rPr>
          <w:rFonts w:hAnsi="Arial"/>
          <w:rFonts w:ascii="Arial"/>
          <w:sz w:val="24"/>
          <w:i/>
          <w:u w:val="single"/>
          <w:color w:val="black"/>
        </w:rPr>
        <w:t>114</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84" w:name="CAPÍTULO 2.3.1.3"/>
      <w:r>
        <w:rPr>
          <w:rFonts w:hAnsi="Arial"/>
          <w:rFonts w:ascii="Arial"/>
          <w:sz w:val="24"/>
          <w:color w:val="navy"/>
        </w:rPr>
        <w:t xml:space="preserve">CAPÍTULO 3. </w:t>
      </w:r>
    </w:p>
    <w:p>
      <w:pPr>
        <w:jc w:val="center"/>
      </w:pPr>
      <w:r>
        <w:rPr>
          <w:rFonts w:hAnsi="Arial"/>
          <w:rFonts w:ascii="Arial"/>
          <w:sz w:val="24"/>
          <w:color w:val="navy"/>
        </w:rPr>
        <w:t xml:space="preserve">NORMAS SOBRE CONDECORACIONES MILITARES.</w:t>
      </w:r>
      <w:bookmarkEnd w:id="60484"/>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0485" w:name="SECCIÓN 2.3.1.3.1"/>
      <w:r>
        <w:rPr>
          <w:rFonts w:hAnsi="Arial"/>
          <w:rFonts w:ascii="Arial"/>
          <w:sz w:val="24"/>
          <w:color w:val="navy"/>
        </w:rPr>
        <w:t xml:space="preserve">SECCIÓN 1. </w:t>
      </w:r>
    </w:p>
    <w:p>
      <w:pPr>
        <w:jc w:val="center"/>
      </w:pPr>
      <w:r>
        <w:rPr>
          <w:rFonts w:hAnsi="Arial"/>
          <w:rFonts w:ascii="Arial"/>
          <w:sz w:val="24"/>
          <w:color w:val="navy"/>
        </w:rPr>
        <w:t>GENERALIDADES.</w:t>
      </w:r>
      <w:bookmarkEnd w:id="6048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86" w:name="2.3.1.3.1.1"/>
      <w:r>
        <w:rPr>
          <w:rFonts w:hAnsi="Arial"/>
          <w:rFonts w:ascii="Arial"/>
          <w:sz w:val="24"/>
          <w:color w:val="navy"/>
        </w:rPr>
        <w:t xml:space="preserve">ARTÍCULO 2.3.1.3.1.1. </w:t>
      </w:r>
      <w:r>
        <w:rPr>
          <w:rFonts w:hAnsi="Arial"/>
          <w:rFonts w:ascii="Arial"/>
          <w:sz w:val="24"/>
          <w:i/>
          <w:color w:val="navy"/>
        </w:rPr>
        <w:t xml:space="preserve">OBJETO Y ALCANCE.</w:t>
      </w:r>
      <w:bookmarkEnd w:id="60486"/>
      <w:r>
        <w:rPr>
          <w:rFonts w:hAnsi="Arial"/>
          <w:rFonts w:ascii="Arial"/>
          <w:sz w:val="24"/>
          <w:b/>
          <w:i/>
          <w:color w:val="black"/>
        </w:rPr>
        <w:t xml:space="preserve"> </w:t>
      </w:r>
      <w:r>
        <w:rPr>
          <w:rFonts w:hAnsi="Arial"/>
          <w:rFonts w:ascii="Arial"/>
          <w:sz w:val="24"/>
          <w:color w:val="black"/>
        </w:rPr>
        <w:t xml:space="preserve">El presente Capítulo, tiene por objeto regular el otorgamiento, promoción y uso de las condecoraciones militares; establecer su clasificación, precedencia y características generales, así como las circunstancias por las cuales se pierde el derecho a usarlas.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487" w:name="2.3.1.3.1.2"/>
      <w:r>
        <w:rPr>
          <w:rFonts w:hAnsi="Arial"/>
          <w:rFonts w:ascii="Arial"/>
          <w:sz w:val="24"/>
          <w:color w:val="navy"/>
        </w:rPr>
        <w:t xml:space="preserve">ARTÍCULO 2.3.1.3.1.2. </w:t>
      </w:r>
      <w:r>
        <w:rPr>
          <w:rFonts w:hAnsi="Arial"/>
          <w:rFonts w:ascii="Arial"/>
          <w:sz w:val="24"/>
          <w:i/>
          <w:color w:val="navy"/>
        </w:rPr>
        <w:t>PROPÓSITO.</w:t>
      </w:r>
      <w:bookmarkEnd w:id="60487"/>
      <w:r>
        <w:rPr>
          <w:rFonts w:hAnsi="Arial"/>
          <w:rFonts w:ascii="Arial"/>
          <w:sz w:val="24"/>
          <w:b/>
          <w:i/>
          <w:color w:val="black"/>
        </w:rPr>
        <w:t xml:space="preserve"> </w:t>
      </w:r>
      <w:r>
        <w:rPr>
          <w:rFonts w:hAnsi="Arial"/>
          <w:rFonts w:ascii="Arial"/>
          <w:sz w:val="24"/>
          <w:color w:val="black"/>
        </w:rPr>
        <w:t xml:space="preserve">El propósito que se persigue al conferir las condecoraciones en las Fuerzas Militares, es el de honrar públicamente a sus integrantes y personal ajeno a ellas, que se destaquen por actos de valor y servicios distinguidos en guerra internacional, estados de excepción, virtudes militares y profesionales de carácter excepcional; consagración al estudio y a la investigación en beneficio de las instituciones militares y en servicios extraordinarios al conjunto de estas o a cualquiera de sus componentes.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488" w:name="2.3.1.3.1.3"/>
      <w:r>
        <w:rPr>
          <w:rFonts w:hAnsi="Arial"/>
          <w:rFonts w:ascii="Arial"/>
          <w:sz w:val="24"/>
          <w:color w:val="navy"/>
        </w:rPr>
        <w:t xml:space="preserve">ARTÍCULO 2.3.1.3.1.3. </w:t>
      </w:r>
      <w:r>
        <w:rPr>
          <w:rFonts w:hAnsi="Arial"/>
          <w:rFonts w:ascii="Arial"/>
          <w:sz w:val="24"/>
          <w:i/>
          <w:color w:val="navy"/>
        </w:rPr>
        <w:t xml:space="preserve">CREACIÓN O SUPRESIÓN DE CONDECORACIONES.</w:t>
      </w:r>
      <w:bookmarkEnd w:id="60488"/>
      <w:r>
        <w:rPr>
          <w:rFonts w:hAnsi="Arial"/>
          <w:rFonts w:ascii="Arial"/>
          <w:sz w:val="24"/>
          <w:b/>
          <w:i/>
          <w:color w:val="black"/>
        </w:rPr>
        <w:t xml:space="preserve"> </w:t>
      </w:r>
      <w:r>
        <w:rPr>
          <w:rFonts w:hAnsi="Arial"/>
          <w:rFonts w:ascii="Arial"/>
          <w:sz w:val="24"/>
          <w:color w:val="black"/>
        </w:rPr>
        <w:t xml:space="preserve">Solamente el Gobierno Nacional por Decreto puede crear o suprimir condecoraciones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"http://www.redjurista.com/document.aspx?ajcode=d4444010&amp;arts=226"</w:instrText>
      </w:r>
      <w:r>
        <w:fldChar w:fldCharType="separate"/>
      </w:r>
      <w:r>
        <w:rPr>
          <w:rFonts w:hAnsi="Arial"/>
          <w:rFonts w:ascii="Arial"/>
          <w:sz w:val="24"/>
          <w:i/>
          <w:u w:val="single"/>
          <w:color w:val="black"/>
        </w:rPr>
        <w:t>226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489" w:name="2.3.1.3.1.4"/>
      <w:r>
        <w:rPr>
          <w:rFonts w:hAnsi="Arial"/>
          <w:rFonts w:ascii="Arial"/>
          <w:sz w:val="24"/>
          <w:color w:val="navy"/>
        </w:rPr>
        <w:t xml:space="preserve">ARTÍCULO 2.3.1.3.1.4. </w:t>
      </w:r>
      <w:r>
        <w:rPr>
          <w:rFonts w:hAnsi="Arial"/>
          <w:rFonts w:ascii="Arial"/>
          <w:sz w:val="24"/>
          <w:i/>
          <w:color w:val="navy"/>
        </w:rPr>
        <w:t xml:space="preserve">IMPOSICIÓN Y USO.</w:t>
      </w:r>
      <w:bookmarkEnd w:id="60489"/>
      <w:r>
        <w:rPr>
          <w:rFonts w:hAnsi="Arial"/>
          <w:rFonts w:ascii="Arial"/>
          <w:sz w:val="24"/>
          <w:b/>
          <w:i/>
          <w:color w:val="black"/>
        </w:rPr>
        <w:t xml:space="preserve"> </w:t>
      </w:r>
      <w:r>
        <w:rPr>
          <w:rFonts w:hAnsi="Arial"/>
          <w:rFonts w:ascii="Arial"/>
          <w:sz w:val="24"/>
          <w:color w:val="black"/>
        </w:rPr>
        <w:t xml:space="preserve">Las condecoraciones militares se impondrán por el Gobierno Nacional o autoridad que en cada caso se indique, de acuerdo con las normas de este Capítulo o disposiciones de creación, y en concordancia con el Reglamento de Protocolo y Ceremonial Militar. Su uso se regulará por las disposiciones vigentes sobre uniformes para cada una de las Fuerzas.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No se impondrán Condecoraciones Militares en Ceremonias sin la previa expedición del acto administrativo que la confiera.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Es deber de todo militar usar las condecoraciones que se le hayan conferido, de acuerdo con lo prescrito en los Reglamentos de Protocolo, Ceremonial Militar y Uniformes e Insignias de cada una de las Fuerzas Militares y a las disposiciones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"http://www.redjurista.com/document.aspx?ajcode=d4444010&amp;arts=219"</w:instrText>
      </w:r>
      <w:r>
        <w:fldChar w:fldCharType="separate"/>
      </w:r>
      <w:r>
        <w:rPr>
          <w:rFonts w:hAnsi="Arial"/>
          <w:rFonts w:ascii="Arial"/>
          <w:sz w:val="24"/>
          <w:i/>
          <w:u w:val="single"/>
          <w:color w:val="black"/>
        </w:rPr>
        <w:t>219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Para tener derecho al uso de las condecoraciones conferidas por Gobiernos extranjeros, es indispensable elevar solicitud al Comando de Fuerza, acompañada de copia del documento que la confiere, con el objeto de obtener autorización para su aceptación y uso por parte del Gobierno Nacional, de conformidad con lo previsto en el artículo </w:t>
      </w:r>
      <w:r>
        <w:fldChar w:fldCharType="begin"/>
      </w:r>
      <w:r>
        <w:instrText>HYPERLINK "http://www.redjurista.com/document.aspx?ajcode=cons_p91&amp;arts=129"</w:instrText>
      </w:r>
      <w:r>
        <w:fldChar w:fldCharType="separate"/>
      </w:r>
      <w:r>
        <w:rPr>
          <w:rFonts w:hAnsi="Arial"/>
          <w:rFonts w:ascii="Arial"/>
          <w:sz w:val="24"/>
          <w:u w:val="single"/>
          <w:color w:val="black"/>
        </w:rPr>
        <w:t>129</w:t>
      </w:r>
      <w:r>
        <w:fldChar w:fldCharType="end"/>
      </w:r>
      <w:r>
        <w:rPr>
          <w:rFonts w:hAnsi="Arial"/>
          <w:rFonts w:ascii="Arial"/>
          <w:sz w:val="24"/>
          <w:u w:val="none"/>
          <w:color w:val="black"/>
        </w:rPr>
        <w:t xml:space="preserve"> de la Constitución Política de Colombia.</w:t>
      </w:r>
    </w:p>
    <w:p>
      <w:pPr>
        <w:jc w:val="both"/>
      </w:pPr>
      <w:rPr>
        <w:sz w:val="24"/>
        <w:color w:val="black"/>
      </w:rPr>
    </w:p>
    <w:p>
      <w:r>
        <w:rPr>
          <w:rFonts w:hAnsi="Arial"/>
          <w:rFonts w:ascii="Arial"/>
          <w:sz w:val="24"/>
          <w:i/>
          <w:color w:val="black"/>
        </w:rPr>
        <w:t xml:space="preserve">(Decreto 4444 de 2010 artículo </w:t>
      </w:r>
      <w:r>
        <w:fldChar w:fldCharType="begin"/>
      </w:r>
      <w:r>
        <w:instrText>HYPERLINK "http://www.redjurista.com/document.aspx?ajcode=d4444010&amp;arts=221"</w:instrText>
      </w:r>
      <w:r>
        <w:fldChar w:fldCharType="separate"/>
      </w:r>
      <w:r>
        <w:rPr>
          <w:rFonts w:hAnsi="Arial"/>
          <w:rFonts w:ascii="Arial"/>
          <w:sz w:val="24"/>
          <w:i/>
          <w:u w:val="single"/>
          <w:color w:val="black"/>
        </w:rPr>
        <w:t>221</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90" w:name="2.3.1.3.1.5"/>
      <w:r>
        <w:rPr>
          <w:rFonts w:hAnsi="Arial"/>
          <w:rFonts w:ascii="Arial"/>
          <w:sz w:val="24"/>
          <w:color w:val="navy"/>
        </w:rPr>
        <w:t xml:space="preserve">ARTÍCULO 2.3.1.3.1.5. </w:t>
      </w:r>
      <w:r>
        <w:rPr>
          <w:rFonts w:hAnsi="Arial"/>
          <w:rFonts w:ascii="Arial"/>
          <w:sz w:val="24"/>
          <w:i/>
          <w:color w:val="navy"/>
        </w:rPr>
        <w:t xml:space="preserve">PERSONAL AL CUAL PUEDEN CONFERIRSE.</w:t>
      </w:r>
      <w:bookmarkEnd w:id="60490"/>
      <w:r>
        <w:rPr>
          <w:rFonts w:hAnsi="Arial"/>
          <w:rFonts w:ascii="Arial"/>
          <w:sz w:val="24"/>
          <w:b/>
          <w:i/>
          <w:color w:val="black"/>
        </w:rPr>
        <w:t xml:space="preserve"> </w:t>
      </w:r>
      <w:r>
        <w:rPr>
          <w:rFonts w:hAnsi="Arial"/>
          <w:rFonts w:ascii="Arial"/>
          <w:sz w:val="24"/>
          <w:color w:val="black"/>
        </w:rPr>
        <w:t xml:space="preserve">Las condecoraciones militares podrán conferirse a los miembros activos y retirados de las Fuerzas Militares, Policía Nacional, autoridades civiles y eclesiásticas tanto nacionales como extranjeras, unidades militares, entidades públicas o privadas, servidores públicos y a particulares, en la categoría que corresponda a cada jerarquía, dignidad, posición, acto o merecimiento, de acuerdo con lo estipulado para cada evento en este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491" w:name="2.3.1.3.1.6"/>
      <w:r>
        <w:rPr>
          <w:rFonts w:hAnsi="Arial"/>
          <w:rFonts w:ascii="Arial"/>
          <w:sz w:val="24"/>
          <w:color w:val="navy"/>
        </w:rPr>
        <w:t xml:space="preserve">ARTÍCULO 2.3.1.3.1.6. </w:t>
      </w:r>
      <w:r>
        <w:rPr>
          <w:rFonts w:hAnsi="Arial"/>
          <w:rFonts w:ascii="Arial"/>
          <w:sz w:val="24"/>
          <w:i/>
          <w:color w:val="navy"/>
        </w:rPr>
        <w:t xml:space="preserve">VALOR INTRÍNSECO.</w:t>
      </w:r>
      <w:bookmarkEnd w:id="60491"/>
      <w:r>
        <w:rPr>
          <w:rFonts w:hAnsi="Arial"/>
          <w:rFonts w:ascii="Arial"/>
          <w:sz w:val="24"/>
          <w:b/>
          <w:i/>
          <w:color w:val="black"/>
        </w:rPr>
        <w:t xml:space="preserve"> </w:t>
      </w:r>
      <w:r>
        <w:rPr>
          <w:rFonts w:hAnsi="Arial"/>
          <w:rFonts w:ascii="Arial"/>
          <w:sz w:val="24"/>
          <w:color w:val="black"/>
        </w:rPr>
        <w:t xml:space="preserve">Dentro de la escala de premios y distinciones, las condecoraciones ocupan el más alto lugar. Es indispensable por lo tanto, que los Comandantes estudien a fondo las solicitudes que les corresponda tramitar, con el fin de no desvirtuar, ni demeritar el alto honor que se consagra en ellas y garantizar su destino en quien las merezca plenamente.</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492" w:name="2.3.1.3.1.7"/>
      <w:r>
        <w:rPr>
          <w:rFonts w:hAnsi="Arial"/>
          <w:rFonts w:ascii="Arial"/>
          <w:sz w:val="24"/>
          <w:color w:val="navy"/>
        </w:rPr>
        <w:t xml:space="preserve">ARTÍCULO 2.3.1.3.1.7. </w:t>
      </w:r>
      <w:r>
        <w:rPr>
          <w:rFonts w:hAnsi="Arial"/>
          <w:rFonts w:ascii="Arial"/>
          <w:sz w:val="24"/>
          <w:i/>
          <w:color w:val="navy"/>
        </w:rPr>
        <w:t>REGISTRO.</w:t>
      </w:r>
      <w:bookmarkEnd w:id="60492"/>
      <w:r>
        <w:rPr>
          <w:rFonts w:hAnsi="Arial"/>
          <w:rFonts w:ascii="Arial"/>
          <w:sz w:val="24"/>
          <w:b/>
          <w:i/>
          <w:color w:val="black"/>
        </w:rPr>
        <w:t xml:space="preserve"> </w:t>
      </w:r>
      <w:r>
        <w:rPr>
          <w:rFonts w:hAnsi="Arial"/>
          <w:rFonts w:ascii="Arial"/>
          <w:sz w:val="24"/>
          <w:color w:val="black"/>
        </w:rPr>
        <w:t xml:space="preserve">En las Jefaturas de Desarrollo Humano de cada una de las Fuerzas, o quien haga sus veces, debe llevarse el registro de las condecoraciones conferidas y enviar copia a la Jefatura de Desarrollo Humano Conjunto J-1 del Comando General de las Fuerzas Militares, o quien haga sus veces.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"http://www.redjurista.com/document.aspx?ajcode=d4444010&amp;arts=220"</w:instrText>
      </w:r>
      <w:r>
        <w:fldChar w:fldCharType="separate"/>
      </w:r>
      <w:r>
        <w:rPr>
          <w:rFonts w:hAnsi="Arial"/>
          <w:rFonts w:ascii="Arial"/>
          <w:sz w:val="24"/>
          <w:i/>
          <w:u w:val="single"/>
          <w:color w:val="black"/>
        </w:rPr>
        <w:t>220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493" w:name="2.3.1.3.1.8"/>
      <w:r>
        <w:rPr>
          <w:rFonts w:hAnsi="Arial"/>
          <w:rFonts w:ascii="Arial"/>
          <w:sz w:val="24"/>
          <w:color w:val="navy"/>
        </w:rPr>
        <w:t xml:space="preserve">ARTÍCULO 2.3.1.3.1.8. </w:t>
      </w:r>
      <w:r>
        <w:rPr>
          <w:rFonts w:hAnsi="Arial"/>
          <w:rFonts w:ascii="Arial"/>
          <w:sz w:val="24"/>
          <w:i/>
          <w:color w:val="navy"/>
        </w:rPr>
        <w:t>PROHIBICIÓN.</w:t>
      </w:r>
      <w:bookmarkEnd w:id="60493"/>
      <w:r>
        <w:rPr>
          <w:rFonts w:hAnsi="Arial"/>
          <w:rFonts w:ascii="Arial"/>
          <w:sz w:val="24"/>
          <w:b/>
          <w:i/>
          <w:color w:val="black"/>
        </w:rPr>
        <w:t xml:space="preserve"> </w:t>
      </w:r>
      <w:r>
        <w:rPr>
          <w:rFonts w:hAnsi="Arial"/>
          <w:rFonts w:ascii="Arial"/>
          <w:sz w:val="24"/>
          <w:color w:val="black"/>
        </w:rPr>
        <w:t xml:space="preserve">Queda prohibido el uso de las condecoraciones diferentes a:</w:t>
      </w:r>
    </w:p>
    <w:p>
      <w:pPr>
        <w:jc w:val="both"/>
      </w:pPr>
      <w:rPr>
        <w:sz w:val="24"/>
        <w:color w:val="black"/>
      </w:rPr>
    </w:p>
    <w:p>
      <w:pPr>
        <w:jc w:val="both"/>
      </w:pPr>
      <w:r>
        <w:rPr>
          <w:rFonts w:hAnsi="Arial"/>
          <w:rFonts w:ascii="Arial"/>
          <w:sz w:val="24"/>
          <w:color w:val="black"/>
        </w:rPr>
        <w:t xml:space="preserve">a) Condecoraciones militares establecidas en el presente Capítulo, Orden por la Libertad Personal, orden Estrella de la Policía y Cruz al Mérito Policial.</w:t>
      </w:r>
    </w:p>
    <w:p>
      <w:pPr>
        <w:jc w:val="both"/>
      </w:pPr>
      <w:rPr>
        <w:sz w:val="24"/>
        <w:color w:val="black"/>
      </w:rPr>
    </w:p>
    <w:p>
      <w:pPr>
        <w:jc w:val="both"/>
      </w:pPr>
      <w:r>
        <w:rPr>
          <w:rFonts w:hAnsi="Arial"/>
          <w:rFonts w:ascii="Arial"/>
          <w:sz w:val="24"/>
          <w:color w:val="black"/>
        </w:rPr>
        <w:t xml:space="preserve">b) Condecoraciones conferidas con anterioridad por el Gobierno Nacional (Boyacá - San Carlos - Orden Militar 13 de junio - Orden Nacional al Mérito - Coronel Guillermo Fergusson).</w:t>
      </w:r>
    </w:p>
    <w:p>
      <w:pPr>
        <w:jc w:val="both"/>
      </w:pPr>
      <w:rPr>
        <w:sz w:val="24"/>
        <w:color w:val="black"/>
      </w:rPr>
    </w:p>
    <w:p>
      <w:pPr>
        <w:jc w:val="both"/>
      </w:pPr>
      <w:r>
        <w:rPr>
          <w:rFonts w:hAnsi="Arial"/>
          <w:rFonts w:ascii="Arial"/>
          <w:sz w:val="24"/>
          <w:color w:val="black"/>
        </w:rPr>
        <w:t xml:space="preserve">c) Condecoraciones conferidas por el Congreso de la República.</w:t>
      </w:r>
    </w:p>
    <w:p>
      <w:pPr>
        <w:jc w:val="both"/>
      </w:pPr>
      <w:rPr>
        <w:sz w:val="24"/>
        <w:color w:val="black"/>
      </w:rPr>
    </w:p>
    <w:p>
      <w:pPr>
        <w:jc w:val="both"/>
      </w:pPr>
      <w:r>
        <w:rPr>
          <w:rFonts w:hAnsi="Arial"/>
          <w:rFonts w:ascii="Arial"/>
          <w:sz w:val="24"/>
          <w:color w:val="black"/>
        </w:rPr>
        <w:t xml:space="preserve">d) Condecoraciones de países extranjeros debidamente autorizadas.</w:t>
      </w:r>
    </w:p>
    <w:p>
      <w:pPr>
        <w:jc w:val="both"/>
      </w:pPr>
      <w:rPr>
        <w:sz w:val="24"/>
        <w:color w:val="black"/>
      </w:rPr>
    </w:p>
    <w:p>
      <w:pPr>
        <w:jc w:val="both"/>
      </w:pPr>
      <w:r>
        <w:rPr>
          <w:rFonts w:hAnsi="Arial"/>
          <w:rFonts w:ascii="Arial"/>
          <w:sz w:val="24"/>
          <w:color w:val="black"/>
        </w:rPr>
        <w:t xml:space="preserve">e) Condecoraciones otorgadas por Fuerzas Multinacionales con misiones específicas de la Organización de las Naciones Unidas (ONU).</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condecoraciones militares que hayan sido conferidas de acuerdo con las normas legales anteriores al 29 de noviembre de 2010 (entrada en vigencia del Decreto </w:t>
      </w:r>
      <w:r>
        <w:fldChar w:fldCharType="begin"/>
      </w:r>
      <w:r>
        <w:instrText>HYPERLINK "http://www.redjurista.com/document.aspx?ajcode=d4444010&amp;arts=INICIO"</w:instrText>
      </w:r>
      <w:r>
        <w:fldChar w:fldCharType="separate"/>
      </w:r>
      <w:r>
        <w:rPr>
          <w:rFonts w:hAnsi="Arial"/>
          <w:rFonts w:ascii="Arial"/>
          <w:sz w:val="24"/>
          <w:u w:val="single"/>
          <w:color w:val="black"/>
        </w:rPr>
        <w:t>4444</w:t>
      </w:r>
      <w:r>
        <w:fldChar w:fldCharType="end"/>
      </w:r>
      <w:r>
        <w:rPr>
          <w:rFonts w:hAnsi="Arial"/>
          <w:rFonts w:ascii="Arial"/>
          <w:sz w:val="24"/>
          <w:u w:val="none"/>
          <w:color w:val="black"/>
        </w:rPr>
        <w:t xml:space="preserve"> de 2010), conservarán toda su vigencia.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medallas cívicas o de entidades públicas o privadas como Gobernaciones, Alcaldías, Corporaciones Departamentales y Municipales, asociaciones Militares o civiles y demás, no podrán usarse en uniformes Militares.</w:t>
      </w:r>
    </w:p>
    <w:p>
      <w:pPr>
        <w:jc w:val="both"/>
      </w:pPr>
      <w:rPr>
        <w:sz w:val="24"/>
        <w:color w:val="black"/>
      </w:rPr>
    </w:p>
    <w:p>
      <w:r>
        <w:rPr>
          <w:rFonts w:hAnsi="Arial"/>
          <w:rFonts w:ascii="Arial"/>
          <w:sz w:val="24"/>
          <w:i/>
          <w:color w:val="black"/>
        </w:rPr>
        <w:t xml:space="preserve">(Decreto 4444 de 2010 artículo </w:t>
      </w:r>
      <w:r>
        <w:fldChar w:fldCharType="begin"/>
      </w:r>
      <w:r>
        <w:instrText>HYPERLINK "http://www.redjurista.com/document.aspx?ajcode=d4444010&amp;arts=222"</w:instrText>
      </w:r>
      <w:r>
        <w:fldChar w:fldCharType="separate"/>
      </w:r>
      <w:r>
        <w:rPr>
          <w:rFonts w:hAnsi="Arial"/>
          <w:rFonts w:ascii="Arial"/>
          <w:sz w:val="24"/>
          <w:i/>
          <w:u w:val="single"/>
          <w:color w:val="black"/>
        </w:rPr>
        <w:t>222</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94" w:name="2.3.1.3.1.9"/>
      <w:r>
        <w:rPr>
          <w:rFonts w:hAnsi="Arial"/>
          <w:rFonts w:ascii="Arial"/>
          <w:sz w:val="24"/>
          <w:color w:val="navy"/>
        </w:rPr>
        <w:t xml:space="preserve">ARTÍCULO 2.3.1.3.1.9. </w:t>
      </w:r>
      <w:r>
        <w:rPr>
          <w:rFonts w:hAnsi="Arial"/>
          <w:rFonts w:ascii="Arial"/>
          <w:sz w:val="24"/>
          <w:i/>
          <w:color w:val="navy"/>
        </w:rPr>
        <w:t xml:space="preserve">PÉRDIDA DEL DERECHO AL USO.</w:t>
      </w:r>
      <w:bookmarkEnd w:id="60494"/>
      <w:r>
        <w:rPr>
          <w:rFonts w:hAnsi="Arial"/>
          <w:rFonts w:ascii="Arial"/>
          <w:sz w:val="24"/>
          <w:b/>
          <w:i/>
          <w:color w:val="black"/>
        </w:rPr>
        <w:t xml:space="preserve"> </w:t>
      </w:r>
      <w:r>
        <w:rPr>
          <w:rFonts w:hAnsi="Arial"/>
          <w:rFonts w:ascii="Arial"/>
          <w:sz w:val="24"/>
          <w:color w:val="black"/>
        </w:rPr>
        <w:t xml:space="preserve">Se pierde el derecho al uso de las condecoraciones por las siguientes causas:</w:t>
      </w:r>
    </w:p>
    <w:p>
      <w:pPr>
        <w:jc w:val="both"/>
      </w:pPr>
      <w:rPr>
        <w:sz w:val="24"/>
        <w:color w:val="black"/>
      </w:rPr>
    </w:p>
    <w:p>
      <w:pPr>
        <w:jc w:val="both"/>
      </w:pPr>
      <w:r>
        <w:rPr>
          <w:rFonts w:hAnsi="Arial"/>
          <w:rFonts w:ascii="Arial"/>
          <w:sz w:val="24"/>
          <w:color w:val="black"/>
        </w:rPr>
        <w:t xml:space="preserve">a) Los militares en servicio activo o en retiro, por haber sido condenados por delitos dolosos a la pena de prisión por la Justicia Penal Militar o la ordinaria, o por haber sido separados en forma absoluta de las Fuerzas Militares por conductas indebidas.</w:t>
      </w:r>
    </w:p>
    <w:p>
      <w:pPr>
        <w:jc w:val="both"/>
      </w:pPr>
      <w:rPr>
        <w:sz w:val="24"/>
        <w:color w:val="black"/>
      </w:rPr>
    </w:p>
    <w:p>
      <w:pPr>
        <w:jc w:val="both"/>
      </w:pPr>
      <w:r>
        <w:rPr>
          <w:rFonts w:hAnsi="Arial"/>
          <w:rFonts w:ascii="Arial"/>
          <w:sz w:val="24"/>
          <w:color w:val="black"/>
        </w:rPr>
        <w:t xml:space="preserve">b) Para los servidores públicos del sector Defensa y los particulares, por haber sido retirado del servicio como consecuencia de investigación penal o disciplinaria, o por haber sido condenado por delitos dolosos a la pena principal de prisión por la justicia ordinaria.</w:t>
      </w:r>
    </w:p>
    <w:p>
      <w:pPr>
        <w:jc w:val="both"/>
      </w:pPr>
      <w:rPr>
        <w:sz w:val="24"/>
        <w:color w:val="black"/>
      </w:rPr>
    </w:p>
    <w:p>
      <w:r>
        <w:rPr>
          <w:rFonts w:hAnsi="Arial"/>
          <w:rFonts w:ascii="Arial"/>
          <w:sz w:val="24"/>
          <w:i/>
          <w:color w:val="black"/>
        </w:rPr>
        <w:t xml:space="preserve">(Decreto 4444 de 2010 artículo </w:t>
      </w:r>
      <w:r>
        <w:fldChar w:fldCharType="begin"/>
      </w:r>
      <w:r>
        <w:instrText>HYPERLINK "http://www.redjurista.com/document.aspx?ajcode=d4444010&amp;arts=223"</w:instrText>
      </w:r>
      <w:r>
        <w:fldChar w:fldCharType="separate"/>
      </w:r>
      <w:r>
        <w:rPr>
          <w:rFonts w:hAnsi="Arial"/>
          <w:rFonts w:ascii="Arial"/>
          <w:sz w:val="24"/>
          <w:i/>
          <w:u w:val="single"/>
          <w:color w:val="black"/>
        </w:rPr>
        <w:t>223</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95" w:name="2.3.1.3.1.10"/>
      <w:r>
        <w:rPr>
          <w:rFonts w:hAnsi="Arial"/>
          <w:rFonts w:ascii="Arial"/>
          <w:sz w:val="24"/>
          <w:color w:val="navy"/>
        </w:rPr>
        <w:t xml:space="preserve">ARTÍCULO 2.3.1.3.1.10. </w:t>
      </w:r>
      <w:r>
        <w:rPr>
          <w:rFonts w:hAnsi="Arial"/>
          <w:rFonts w:ascii="Arial"/>
          <w:sz w:val="24"/>
          <w:i/>
          <w:color w:val="navy"/>
        </w:rPr>
        <w:t xml:space="preserve">USO SIN DERECHO.</w:t>
      </w:r>
      <w:bookmarkEnd w:id="60495"/>
      <w:r>
        <w:rPr>
          <w:rFonts w:hAnsi="Arial"/>
          <w:rFonts w:ascii="Arial"/>
          <w:sz w:val="24"/>
          <w:b/>
          <w:i/>
          <w:color w:val="black"/>
        </w:rPr>
        <w:t xml:space="preserve"> </w:t>
      </w:r>
      <w:r>
        <w:rPr>
          <w:rFonts w:hAnsi="Arial"/>
          <w:rFonts w:ascii="Arial"/>
          <w:sz w:val="24"/>
          <w:color w:val="black"/>
        </w:rPr>
        <w:t xml:space="preserve">El miembro de las Fuerzas Militares que sin derecho, use condecoraciones o lo haga en categorías diferentes a aquellas a las que le han sido otorgadas y que en el presente Capítulo se autorizan, incurrirá en las sanciones de conformidad con las normas legales vigentes.</w:t>
      </w:r>
    </w:p>
    <w:p>
      <w:pPr>
        <w:jc w:val="both"/>
      </w:pPr>
      <w:rPr>
        <w:sz w:val="24"/>
        <w:color w:val="black"/>
      </w:rPr>
    </w:p>
    <w:p>
      <w:r>
        <w:rPr>
          <w:rFonts w:hAnsi="Arial"/>
          <w:rFonts w:ascii="Arial"/>
          <w:sz w:val="24"/>
          <w:i/>
          <w:color w:val="black"/>
        </w:rPr>
        <w:t xml:space="preserve">(Decreto 4444 de 2010 artículo </w:t>
      </w:r>
      <w:r>
        <w:fldChar w:fldCharType="begin"/>
      </w:r>
      <w:r>
        <w:instrText>HYPERLINK "http://www.redjurista.com/document.aspx?ajcode=d4444010&amp;arts=224"</w:instrText>
      </w:r>
      <w:r>
        <w:fldChar w:fldCharType="separate"/>
      </w:r>
      <w:r>
        <w:rPr>
          <w:rFonts w:hAnsi="Arial"/>
          <w:rFonts w:ascii="Arial"/>
          <w:sz w:val="24"/>
          <w:i/>
          <w:u w:val="single"/>
          <w:color w:val="black"/>
        </w:rPr>
        <w:t>224</w:t>
      </w:r>
      <w:r>
        <w:fldChar w:fldCharType="end"/>
      </w:r>
      <w:r>
        <w:rPr>
          <w:rFonts w:hAnsi="Arial"/>
          <w:rFonts w:ascii="Arial"/>
          <w:sz w:val="24"/>
          <w:i/>
          <w:u w:val="none"/>
          <w:color w:val="black"/>
        </w:rPr>
        <w:t>)</w:t>
      </w:r>
    </w:p>
    <w:p>
      <w:rPr>
        <w:sz w:val="24"/>
        <w:color w:val="black"/>
      </w:rPr>
    </w:p>
    <w:p>
      <w:pPr>
        <w:jc w:val="both"/>
      </w:pPr>
      <w:r>
        <w:rPr>
          <w:rFonts w:hAnsi="Arial"/>
          <w:rFonts w:ascii="Arial"/>
          <w:sz w:val="24"/>
          <w:vanish/>
          <w:color w:val="black"/>
        </w:rPr>
        <w:t>&amp;$</w:t>
      </w:r>
      <w:bookmarkStart w:id="60496" w:name="2.3.1.3.1.11"/>
      <w:r>
        <w:rPr>
          <w:rFonts w:hAnsi="Arial"/>
          <w:rFonts w:ascii="Arial"/>
          <w:sz w:val="24"/>
          <w:color w:val="navy"/>
        </w:rPr>
        <w:t xml:space="preserve">ARTÍCULO 2.3.1.3.1.11. </w:t>
      </w:r>
      <w:r>
        <w:rPr>
          <w:rFonts w:hAnsi="Arial"/>
          <w:rFonts w:ascii="Arial"/>
          <w:sz w:val="24"/>
          <w:i/>
          <w:color w:val="navy"/>
        </w:rPr>
        <w:t>PLAGIOS.</w:t>
      </w:r>
      <w:bookmarkEnd w:id="60496"/>
      <w:r>
        <w:rPr>
          <w:rFonts w:hAnsi="Arial"/>
          <w:rFonts w:ascii="Arial"/>
          <w:sz w:val="24"/>
          <w:b/>
          <w:i/>
          <w:color w:val="black"/>
        </w:rPr>
        <w:t xml:space="preserve"> </w:t>
      </w:r>
      <w:r>
        <w:rPr>
          <w:rFonts w:hAnsi="Arial"/>
          <w:rFonts w:ascii="Arial"/>
          <w:sz w:val="24"/>
          <w:color w:val="black"/>
        </w:rPr>
        <w:t xml:space="preserve">La autoridad militar que cree premios o distinciones que imiten o plagien las condecoraciones consagradas en el presente Capítulo, será sancionada de conformidad con las leyes y demás disposiciones vigentes.</w:t>
      </w:r>
    </w:p>
    <w:p>
      <w:pPr>
        <w:jc w:val="both"/>
      </w:pPr>
      <w:rPr>
        <w:sz w:val="24"/>
        <w:color w:val="black"/>
      </w:rPr>
    </w:p>
    <w:p>
      <w:r>
        <w:rPr>
          <w:rFonts w:hAnsi="Arial"/>
          <w:rFonts w:ascii="Arial"/>
          <w:sz w:val="24"/>
          <w:i/>
          <w:color w:val="black"/>
        </w:rPr>
        <w:t xml:space="preserve">(Decreto 4444 de 2010 artículo </w:t>
      </w:r>
      <w:r>
        <w:fldChar w:fldCharType="begin"/>
      </w:r>
      <w:r>
        <w:instrText>HYPERLINK "http://www.redjurista.com/document.aspx?ajcode=d4444010&amp;arts=225"</w:instrText>
      </w:r>
      <w:r>
        <w:fldChar w:fldCharType="separate"/>
      </w:r>
      <w:r>
        <w:rPr>
          <w:rFonts w:hAnsi="Arial"/>
          <w:rFonts w:ascii="Arial"/>
          <w:sz w:val="24"/>
          <w:i/>
          <w:u w:val="single"/>
          <w:color w:val="black"/>
        </w:rPr>
        <w:t>225</w:t>
      </w:r>
      <w:r>
        <w:fldChar w:fldCharType="end"/>
      </w:r>
      <w:r>
        <w:rPr>
          <w:rFonts w:hAnsi="Arial"/>
          <w:rFonts w:ascii="Arial"/>
          <w:sz w:val="24"/>
          <w:i/>
          <w:u w:val="none"/>
          <w:color w:val="black"/>
        </w:rPr>
        <w:t>)</w:t>
      </w:r>
    </w:p>
    <w:p>
      <w:rPr>
        <w:sz w:val="24"/>
        <w:color w:val="black"/>
      </w:rPr>
    </w:p>
    <w:p>
      <w:pPr>
        <w:jc w:val="center"/>
      </w:pPr>
      <w:r>
        <w:rPr>
          <w:rFonts w:hAnsi="Arial"/>
          <w:rFonts w:ascii="Arial"/>
          <w:sz w:val="24"/>
          <w:vanish/>
          <w:color w:val="black"/>
        </w:rPr>
        <w:t>&amp;$</w:t>
      </w:r>
      <w:bookmarkStart w:id="60497" w:name="SECCIÓN 2.3.1.3.2"/>
      <w:r>
        <w:rPr>
          <w:rFonts w:hAnsi="Arial"/>
          <w:rFonts w:ascii="Arial"/>
          <w:sz w:val="24"/>
          <w:color w:val="navy"/>
        </w:rPr>
        <w:t xml:space="preserve">SECCIÓN 2. </w:t>
      </w:r>
    </w:p>
    <w:p>
      <w:pPr>
        <w:jc w:val="center"/>
      </w:pPr>
      <w:r>
        <w:rPr>
          <w:rFonts w:hAnsi="Arial"/>
          <w:rFonts w:ascii="Arial"/>
          <w:sz w:val="24"/>
          <w:color w:val="navy"/>
        </w:rPr>
        <w:t xml:space="preserve">CLASIFICACIÓN, PRECEDENCIA Y CARACTERÍSTICAS GENERALES DE LAS CONDECORACIONES.</w:t>
      </w:r>
      <w:bookmarkEnd w:id="6049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498" w:name="2.3.1.3.2.1"/>
      <w:r>
        <w:rPr>
          <w:rFonts w:hAnsi="Arial"/>
          <w:rFonts w:ascii="Arial"/>
          <w:sz w:val="24"/>
          <w:color w:val="navy"/>
        </w:rPr>
        <w:t xml:space="preserve">ARTÍCULO 2.3.1.3.2.1. </w:t>
      </w:r>
      <w:r>
        <w:rPr>
          <w:rFonts w:hAnsi="Arial"/>
          <w:rFonts w:ascii="Arial"/>
          <w:sz w:val="24"/>
          <w:i/>
          <w:color w:val="navy"/>
        </w:rPr>
        <w:t xml:space="preserve">CLASIFICACIÓN DE LAS CONDECORACIONES.</w:t>
      </w:r>
      <w:bookmarkEnd w:id="60498"/>
      <w:r>
        <w:rPr>
          <w:rFonts w:hAnsi="Arial"/>
          <w:rFonts w:ascii="Arial"/>
          <w:sz w:val="24"/>
          <w:b/>
          <w:i/>
          <w:color w:val="black"/>
        </w:rPr>
        <w:t xml:space="preserve"> </w:t>
      </w:r>
      <w:r>
        <w:rPr>
          <w:rFonts w:hAnsi="Arial"/>
          <w:rFonts w:ascii="Arial"/>
          <w:sz w:val="24"/>
          <w:color w:val="black"/>
        </w:rPr>
        <w:t xml:space="preserve">Las condecoraciones militares se clasifican y denominan de la siguiente forma:</w:t>
      </w:r>
    </w:p>
    <w:p>
      <w:pPr>
        <w:jc w:val="both"/>
      </w:pPr>
      <w:rPr>
        <w:sz w:val="24"/>
        <w:color w:val="black"/>
      </w:rPr>
    </w:p>
    <w:p>
      <w:pPr>
        <w:jc w:val="both"/>
      </w:pPr>
      <w:r>
        <w:rPr>
          <w:rFonts w:hAnsi="Arial"/>
          <w:rFonts w:ascii="Arial"/>
          <w:sz w:val="24"/>
          <w:color w:val="black"/>
        </w:rPr>
        <w:t xml:space="preserve">a) Por actos de valor y servicios distinguidos en guerra internacional, estados de excepción o en orden público:</w:t>
      </w:r>
    </w:p>
    <w:p>
      <w:pPr>
        <w:jc w:val="both"/>
      </w:pPr>
      <w:rPr>
        <w:sz w:val="24"/>
        <w:color w:val="black"/>
      </w:rPr>
    </w:p>
    <w:p>
      <w:pPr>
        <w:jc w:val="both"/>
      </w:pPr>
      <w:r>
        <w:rPr>
          <w:rFonts w:hAnsi="Arial"/>
          <w:rFonts w:ascii="Arial"/>
          <w:sz w:val="24"/>
          <w:color w:val="black"/>
        </w:rPr>
        <w:t xml:space="preserve">1. Orden Militar de "San Mateo".</w:t>
      </w:r>
    </w:p>
    <w:p>
      <w:pPr>
        <w:jc w:val="both"/>
      </w:pPr>
      <w:r>
        <w:rPr>
          <w:rFonts w:hAnsi="Arial"/>
          <w:rFonts w:ascii="Arial"/>
          <w:sz w:val="24"/>
          <w:color w:val="black"/>
        </w:rPr>
        <w:t xml:space="preserve">2. Medalla Servicios en "Guerra Internacional".</w:t>
      </w:r>
    </w:p>
    <w:p>
      <w:pPr>
        <w:jc w:val="both"/>
      </w:pPr>
      <w:r>
        <w:rPr>
          <w:rFonts w:hAnsi="Arial"/>
          <w:rFonts w:ascii="Arial"/>
          <w:sz w:val="24"/>
          <w:color w:val="black"/>
        </w:rPr>
        <w:t xml:space="preserve">3. Medalla Militar "Al Valor".</w:t>
      </w:r>
    </w:p>
    <w:p>
      <w:pPr>
        <w:jc w:val="both"/>
      </w:pPr>
      <w:r>
        <w:rPr>
          <w:rFonts w:hAnsi="Arial"/>
          <w:rFonts w:ascii="Arial"/>
          <w:sz w:val="24"/>
          <w:color w:val="black"/>
        </w:rPr>
        <w:t xml:space="preserve">4. Medalla Militar "Herido en Acción".</w:t>
      </w:r>
    </w:p>
    <w:p>
      <w:pPr>
        <w:jc w:val="both"/>
      </w:pPr>
      <w:r>
        <w:rPr>
          <w:rFonts w:hAnsi="Arial"/>
          <w:rFonts w:ascii="Arial"/>
          <w:sz w:val="24"/>
          <w:color w:val="black"/>
        </w:rPr>
        <w:t xml:space="preserve">5. Medalla Servicios Distinguidos en "Orden Público".</w:t>
      </w:r>
    </w:p>
    <w:p>
      <w:pPr>
        <w:jc w:val="both"/>
      </w:pPr>
      <w:r>
        <w:rPr>
          <w:rFonts w:hAnsi="Arial"/>
          <w:rFonts w:ascii="Arial"/>
          <w:sz w:val="24"/>
          <w:color w:val="black"/>
        </w:rPr>
        <w:t xml:space="preserve">6. Medalla Militar "Campaña del Sur".</w:t>
      </w:r>
    </w:p>
    <w:p>
      <w:pPr>
        <w:jc w:val="both"/>
      </w:pPr>
      <w:r>
        <w:rPr>
          <w:rFonts w:hAnsi="Arial"/>
          <w:rFonts w:ascii="Arial"/>
          <w:sz w:val="24"/>
          <w:color w:val="black"/>
        </w:rPr>
        <w:t xml:space="preserve">7. Medalla "Servicios Distinguidos en Operaciones Especiales".</w:t>
      </w:r>
    </w:p>
    <w:p>
      <w:pPr>
        <w:jc w:val="both"/>
      </w:pPr>
      <w:r>
        <w:rPr>
          <w:rFonts w:hAnsi="Arial"/>
          <w:rFonts w:ascii="Arial"/>
          <w:sz w:val="24"/>
          <w:color w:val="black"/>
        </w:rPr>
        <w:t xml:space="preserve">8. Medalla "Servicios Distinguidos en Operaciones Contraterrorismo".</w:t>
      </w:r>
    </w:p>
    <w:p>
      <w:pPr>
        <w:jc w:val="both"/>
      </w:pPr>
      <w:rPr>
        <w:sz w:val="24"/>
        <w:color w:val="black"/>
      </w:rPr>
    </w:p>
    <w:p>
      <w:pPr>
        <w:jc w:val="both"/>
      </w:pPr>
      <w:r>
        <w:rPr>
          <w:rFonts w:hAnsi="Arial"/>
          <w:rFonts w:ascii="Arial"/>
          <w:sz w:val="24"/>
          <w:color w:val="black"/>
        </w:rPr>
        <w:t xml:space="preserve">b) Por virtudes militares y profesionales de carácter excepcional:</w:t>
      </w:r>
    </w:p>
    <w:p>
      <w:pPr>
        <w:jc w:val="both"/>
      </w:pPr>
      <w:rPr>
        <w:sz w:val="24"/>
        <w:color w:val="black"/>
      </w:rPr>
    </w:p>
    <w:p>
      <w:pPr>
        <w:jc w:val="both"/>
      </w:pPr>
      <w:r>
        <w:rPr>
          <w:rFonts w:hAnsi="Arial"/>
          <w:rFonts w:ascii="Arial"/>
          <w:sz w:val="24"/>
          <w:color w:val="black"/>
        </w:rPr>
        <w:t xml:space="preserve">1. Orden del Mérito Militar "Antonio Nariño".</w:t>
      </w:r>
    </w:p>
    <w:p>
      <w:pPr>
        <w:jc w:val="both"/>
      </w:pPr>
      <w:r>
        <w:rPr>
          <w:rFonts w:hAnsi="Arial"/>
          <w:rFonts w:ascii="Arial"/>
          <w:sz w:val="24"/>
          <w:color w:val="black"/>
        </w:rPr>
        <w:t xml:space="preserve">2. Orden del Mérito Militar "José María Córdova".</w:t>
      </w:r>
    </w:p>
    <w:p>
      <w:pPr>
        <w:jc w:val="both"/>
      </w:pPr>
      <w:r>
        <w:rPr>
          <w:rFonts w:hAnsi="Arial"/>
          <w:rFonts w:ascii="Arial"/>
          <w:sz w:val="24"/>
          <w:color w:val="black"/>
        </w:rPr>
        <w:t xml:space="preserve">3. Orden del Mérito Naval "Almirante Padilla".</w:t>
      </w:r>
    </w:p>
    <w:p>
      <w:pPr>
        <w:jc w:val="both"/>
      </w:pPr>
      <w:r>
        <w:rPr>
          <w:rFonts w:hAnsi="Arial"/>
          <w:rFonts w:ascii="Arial"/>
          <w:sz w:val="24"/>
          <w:color w:val="black"/>
        </w:rPr>
        <w:t xml:space="preserve">4. Cruz de la Fuerza Aérea al "Mérito Aeronáutico".</w:t>
      </w:r>
    </w:p>
    <w:p>
      <w:pPr>
        <w:jc w:val="both"/>
      </w:pPr>
      <w:r>
        <w:rPr>
          <w:rFonts w:hAnsi="Arial"/>
          <w:rFonts w:ascii="Arial"/>
          <w:sz w:val="24"/>
          <w:color w:val="black"/>
        </w:rPr>
        <w:t xml:space="preserve">5. Orden del Mérito Sanitario "José Fernández Madrid".</w:t>
      </w:r>
    </w:p>
    <w:p>
      <w:pPr>
        <w:jc w:val="both"/>
      </w:pPr>
      <w:r>
        <w:rPr>
          <w:rFonts w:hAnsi="Arial"/>
          <w:rFonts w:ascii="Arial"/>
          <w:sz w:val="24"/>
          <w:color w:val="black"/>
        </w:rPr>
        <w:t xml:space="preserve">6. Medalla Militar "Soldado Juan Bautista Solarte Obando".</w:t>
      </w:r>
    </w:p>
    <w:p>
      <w:pPr>
        <w:jc w:val="both"/>
        <w:outlineLvl w:val="1"/>
      </w:pPr>
      <w:r>
        <w:rPr>
          <w:rFonts w:hAnsi="Arial"/>
          <w:rFonts w:ascii="Arial"/>
          <w:sz w:val="24"/>
          <w:color w:val="black"/>
        </w:rPr>
        <w:t xml:space="preserve">7. Orden del Mérito Militar al “Mando”. &lt;Adicionada por el artículo </w:t>
      </w:r>
      <w:r>
        <w:fldChar w:fldCharType="begin"/>
      </w:r>
      <w:r>
        <w:instrText>HYPERLINK "http://www.redjurista.com/document.aspx?ajcode=d2226023&amp;arts=2"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2226 de 2023&gt; </w:t>
      </w:r>
    </w:p>
    <w:p>
      <w:pPr>
        <w:jc w:val="both"/>
        <w:outlineLvl w:val="1"/>
      </w:pPr>
      <w:rPr>
        <w:sz w:val="24"/>
        <w:color w:val="black"/>
      </w:rPr>
    </w:p>
    <w:p>
      <w:pPr>
        <w:jc w:val="both"/>
        <w:outlineLvl w:val="1"/>
      </w:pPr>
      <w:r>
        <w:rPr>
          <w:rFonts w:hAnsi="Arial"/>
          <w:rFonts w:ascii="Arial"/>
          <w:sz w:val="24"/>
          <w:color w:val="black"/>
        </w:rPr>
        <w:t xml:space="preserve">c) Por servicios distinguidos prestados a la Institución Militar:</w:t>
      </w:r>
    </w:p>
    <w:p>
      <w:pPr>
        <w:jc w:val="both"/>
        <w:outlineLvl w:val="1"/>
      </w:pPr>
      <w:rPr>
        <w:sz w:val="24"/>
        <w:color w:val="black"/>
      </w:rPr>
    </w:p>
    <w:p>
      <w:pPr>
        <w:jc w:val="both"/>
        <w:outlineLvl w:val="1"/>
      </w:pPr>
      <w:r>
        <w:rPr>
          <w:rFonts w:hAnsi="Arial"/>
          <w:rFonts w:ascii="Arial"/>
          <w:sz w:val="24"/>
          <w:color w:val="black"/>
        </w:rPr>
        <w:t xml:space="preserve">1. Ministerio de Defensa Nacional.</w:t>
      </w:r>
    </w:p>
    <w:p>
      <w:pPr>
        <w:jc w:val="both"/>
        <w:outlineLvl w:val="1"/>
      </w:pPr>
      <w:rPr>
        <w:sz w:val="24"/>
        <w:color w:val="black"/>
      </w:rPr>
    </w:p>
    <w:p>
      <w:pPr>
        <w:jc w:val="both"/>
        <w:outlineLvl w:val="1"/>
      </w:pPr>
      <w:r>
        <w:rPr>
          <w:rFonts w:hAnsi="Arial"/>
          <w:rFonts w:ascii="Arial"/>
          <w:sz w:val="24"/>
          <w:color w:val="black"/>
        </w:rPr>
        <w:t xml:space="preserve">a) Medalla Militar Ministerio de Defensa Nacional;</w:t>
      </w:r>
    </w:p>
    <w:p>
      <w:pPr>
        <w:jc w:val="both"/>
        <w:outlineLvl w:val="1"/>
      </w:pPr>
      <w:r>
        <w:rPr>
          <w:rFonts w:hAnsi="Arial"/>
          <w:rFonts w:ascii="Arial"/>
          <w:sz w:val="24"/>
          <w:color w:val="black"/>
        </w:rPr>
        <w:t xml:space="preserve">b) Medalla Servicios Distinguidos a la Justicia Penal Militar.</w:t>
      </w:r>
    </w:p>
    <w:p>
      <w:pPr>
        <w:jc w:val="both"/>
        <w:outlineLvl w:val="1"/>
      </w:pPr>
      <w:rPr>
        <w:sz w:val="24"/>
        <w:color w:val="black"/>
      </w:rPr>
    </w:p>
    <w:p>
      <w:pPr>
        <w:jc w:val="both"/>
        <w:outlineLvl w:val="1"/>
      </w:pPr>
      <w:r>
        <w:rPr>
          <w:rFonts w:hAnsi="Arial"/>
          <w:rFonts w:ascii="Arial"/>
          <w:sz w:val="24"/>
          <w:color w:val="black"/>
        </w:rPr>
        <w:t xml:space="preserve">2. Comando General Fuerzas Militares.</w:t>
      </w:r>
    </w:p>
    <w:p>
      <w:pPr>
        <w:jc w:val="both"/>
        <w:outlineLvl w:val="1"/>
      </w:pPr>
      <w:rPr>
        <w:sz w:val="24"/>
        <w:color w:val="black"/>
      </w:rPr>
    </w:p>
    <w:p>
      <w:pPr>
        <w:jc w:val="both"/>
        <w:outlineLvl w:val="1"/>
      </w:pPr>
      <w:r>
        <w:rPr>
          <w:rFonts w:hAnsi="Arial"/>
          <w:rFonts w:ascii="Arial"/>
          <w:sz w:val="24"/>
          <w:color w:val="black"/>
        </w:rPr>
        <w:t xml:space="preserve">a) Medalla Militar "Fe en la Causa"</w:t>
      </w:r>
    </w:p>
    <w:p>
      <w:pPr>
        <w:jc w:val="both"/>
        <w:outlineLvl w:val="1"/>
      </w:pPr>
      <w:r>
        <w:rPr>
          <w:rFonts w:hAnsi="Arial"/>
          <w:rFonts w:ascii="Arial"/>
          <w:sz w:val="24"/>
          <w:color w:val="black"/>
        </w:rPr>
        <w:t xml:space="preserve">b) Medalla Militar "Servicios Distinguidos a las Fuerzas Militares de Colombia";</w:t>
      </w:r>
    </w:p>
    <w:p>
      <w:pPr>
        <w:jc w:val="both"/>
        <w:outlineLvl w:val="1"/>
      </w:pPr>
      <w:r>
        <w:rPr>
          <w:rFonts w:hAnsi="Arial"/>
          <w:rFonts w:ascii="Arial"/>
          <w:sz w:val="24"/>
          <w:color w:val="black"/>
        </w:rPr>
        <w:t xml:space="preserve">c) Medalla Militar "Escuela Superior de Guerra";</w:t>
      </w:r>
    </w:p>
    <w:p>
      <w:pPr>
        <w:jc w:val="both"/>
        <w:outlineLvl w:val="1"/>
      </w:pPr>
      <w:r>
        <w:rPr>
          <w:rFonts w:hAnsi="Arial"/>
          <w:rFonts w:ascii="Arial"/>
          <w:sz w:val="24"/>
          <w:color w:val="black"/>
        </w:rPr>
        <w:t xml:space="preserve">d) Medalla Militar "Al Mérito de la Reserva";</w:t>
      </w:r>
    </w:p>
    <w:p>
      <w:pPr>
        <w:jc w:val="both"/>
        <w:outlineLvl w:val="1"/>
      </w:pPr>
      <w:r>
        <w:rPr>
          <w:rFonts w:hAnsi="Arial"/>
          <w:rFonts w:ascii="Arial"/>
          <w:sz w:val="24"/>
          <w:color w:val="black"/>
        </w:rPr>
        <w:t xml:space="preserve">e) Medalla Militar "General José Hilario López Valdés".</w:t>
      </w:r>
    </w:p>
    <w:p>
      <w:pPr>
        <w:jc w:val="both"/>
        <w:outlineLvl w:val="1"/>
      </w:pPr>
      <w:r>
        <w:rPr>
          <w:rFonts w:hAnsi="Arial"/>
          <w:rFonts w:ascii="Arial"/>
          <w:sz w:val="24"/>
          <w:color w:val="black"/>
        </w:rPr>
        <w:t xml:space="preserve">f) Medalla Militar "Cruz de Plata en Operaciones Especiales".</w:t>
      </w:r>
    </w:p>
    <w:p>
      <w:pPr>
        <w:jc w:val="both"/>
        <w:outlineLvl w:val="1"/>
      </w:pPr>
      <w:r>
        <w:rPr>
          <w:rFonts w:hAnsi="Arial"/>
          <w:rFonts w:ascii="Arial"/>
          <w:sz w:val="24"/>
          <w:color w:val="black"/>
        </w:rPr>
        <w:t xml:space="preserve">g) Medalla Militar "Bicentenario de los Ingenieros Militares"</w:t>
      </w:r>
    </w:p>
    <w:p>
      <w:pPr>
        <w:jc w:val="both"/>
        <w:outlineLvl w:val="1"/>
      </w:pPr>
      <w:r>
        <w:rPr>
          <w:rFonts w:hAnsi="Arial"/>
          <w:rFonts w:ascii="Arial"/>
          <w:sz w:val="24"/>
          <w:color w:val="black"/>
        </w:rPr>
        <w:t xml:space="preserve">h) Medalla Militar Desminado “Soldado Profesional Wilson de Jesús Martínez Jaraba”. </w:t>
      </w:r>
      <w:r>
        <w:rPr>
          <w:rFonts w:hAnsi="Arial"/>
          <w:rFonts w:ascii="Arial"/>
          <w:color w:val="black"/>
        </w:rPr>
        <w:t xml:space="preserve">&lt;Medalla adicionada por el artículo </w:t>
      </w:r>
      <w:r>
        <w:fldChar w:fldCharType="begin"/>
      </w:r>
      <w:r>
        <w:instrText>HYPERLINK "http://www.redjurista.com/document.aspx?ajcode=d0592019&amp;arts=2"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592 de 2019&gt;</w:t>
      </w:r>
      <w:r>
        <w:rPr>
          <w:rFonts w:hAnsi="Arial"/>
          <w:rFonts w:ascii="Arial"/>
          <w:sz w:val="24"/>
          <w:u w:val="none"/>
          <w:color w:val="black"/>
        </w:rPr>
        <w:t xml:space="preserve"> </w:t>
      </w:r>
    </w:p>
    <w:p>
      <w:pPr>
        <w:jc w:val="both"/>
        <w:outlineLvl w:val="1"/>
      </w:pPr>
      <w:r>
        <w:rPr>
          <w:rFonts w:hAnsi="Arial"/>
          <w:rFonts w:ascii="Arial"/>
          <w:sz w:val="24"/>
          <w:color w:val="black"/>
        </w:rPr>
        <w:t xml:space="preserve">i) Medalla Militar “Simona Amaya” </w:t>
      </w:r>
      <w:r>
        <w:rPr>
          <w:rFonts w:hAnsi="Arial"/>
          <w:rFonts w:ascii="Arial"/>
          <w:color w:val="black"/>
        </w:rPr>
        <w:t xml:space="preserve">&lt;Medalla adicionada por el artículo </w:t>
      </w:r>
      <w:r>
        <w:fldChar w:fldCharType="begin"/>
      </w:r>
      <w:r>
        <w:instrText>HYPERLINK "http://www.redjurista.com/document.aspx?ajcode=d0247021&amp;arts=2"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247 de 2021&gt; </w:t>
      </w:r>
    </w:p>
    <w:p>
      <w:pPr>
        <w:jc w:val="both"/>
        <w:outlineLvl w:val="1"/>
      </w:pPr>
      <w:rPr>
        <w:sz w:val="24"/>
        <w:color w:val="black"/>
      </w:rPr>
    </w:p>
    <w:p>
      <w:pPr>
        <w:jc w:val="both"/>
        <w:outlineLvl w:val="1"/>
      </w:pPr>
      <w:r>
        <w:rPr>
          <w:rFonts w:hAnsi="Arial"/>
          <w:rFonts w:ascii="Arial"/>
          <w:sz w:val="24"/>
          <w:color w:val="black"/>
        </w:rPr>
        <w:t xml:space="preserve">3. Ejército Nacional.</w:t>
      </w:r>
    </w:p>
    <w:p>
      <w:pPr>
        <w:jc w:val="both"/>
        <w:outlineLvl w:val="1"/>
      </w:pPr>
      <w:rPr>
        <w:sz w:val="24"/>
        <w:color w:val="black"/>
      </w:rPr>
    </w:p>
    <w:p>
      <w:pPr>
        <w:jc w:val="both"/>
        <w:outlineLvl w:val="1"/>
      </w:pPr>
      <w:r>
        <w:rPr>
          <w:rFonts w:hAnsi="Arial"/>
          <w:rFonts w:ascii="Arial"/>
          <w:sz w:val="24"/>
          <w:color w:val="black"/>
        </w:rPr>
        <w:t xml:space="preserve">a) Medalla "Fe en la Causa"</w:t>
      </w:r>
    </w:p>
    <w:p>
      <w:pPr>
        <w:jc w:val="both"/>
        <w:outlineLvl w:val="1"/>
      </w:pPr>
      <w:r>
        <w:rPr>
          <w:rFonts w:hAnsi="Arial"/>
          <w:rFonts w:ascii="Arial"/>
          <w:sz w:val="24"/>
          <w:color w:val="black"/>
        </w:rPr>
        <w:t xml:space="preserve">b) Medalla Militar "Escuela Militar de Cadetes";</w:t>
      </w:r>
    </w:p>
    <w:p>
      <w:pPr>
        <w:jc w:val="both"/>
        <w:outlineLvl w:val="1"/>
      </w:pPr>
      <w:r>
        <w:rPr>
          <w:rFonts w:hAnsi="Arial"/>
          <w:rFonts w:ascii="Arial"/>
          <w:sz w:val="24"/>
          <w:color w:val="black"/>
        </w:rPr>
        <w:t xml:space="preserve">c) Medalla Militar "Centenario Escuela Militar de Cadetes General Jose María Córdova";</w:t>
      </w:r>
    </w:p>
    <w:p>
      <w:pPr>
        <w:jc w:val="both"/>
        <w:outlineLvl w:val="1"/>
      </w:pPr>
      <w:r>
        <w:rPr>
          <w:rFonts w:hAnsi="Arial"/>
          <w:rFonts w:ascii="Arial"/>
          <w:sz w:val="24"/>
          <w:color w:val="black"/>
        </w:rPr>
        <w:t xml:space="preserve">d) Medalla Militar "Escuela de Armas y Servicios José Celestino Mutis Bossio";</w:t>
      </w:r>
    </w:p>
    <w:p>
      <w:pPr>
        <w:jc w:val="both"/>
        <w:outlineLvl w:val="1"/>
      </w:pPr>
      <w:r>
        <w:rPr>
          <w:rFonts w:hAnsi="Arial"/>
          <w:rFonts w:ascii="Arial"/>
          <w:sz w:val="24"/>
          <w:color w:val="black"/>
        </w:rPr>
        <w:t xml:space="preserve">e) Medalla "Batalla de Ayacucho";</w:t>
      </w:r>
    </w:p>
    <w:p>
      <w:pPr>
        <w:jc w:val="both"/>
        <w:outlineLvl w:val="1"/>
      </w:pPr>
      <w:r>
        <w:rPr>
          <w:rFonts w:hAnsi="Arial"/>
          <w:rFonts w:ascii="Arial"/>
          <w:sz w:val="24"/>
          <w:color w:val="black"/>
        </w:rPr>
        <w:t xml:space="preserve">f) Medalla "San Jorge";</w:t>
      </w:r>
    </w:p>
    <w:p>
      <w:pPr>
        <w:jc w:val="both"/>
        <w:outlineLvl w:val="1"/>
      </w:pPr>
      <w:r>
        <w:rPr>
          <w:rFonts w:hAnsi="Arial"/>
          <w:rFonts w:ascii="Arial"/>
          <w:sz w:val="24"/>
          <w:color w:val="black"/>
        </w:rPr>
        <w:t xml:space="preserve">g) Medalla "Santa Bárbara";</w:t>
      </w:r>
    </w:p>
    <w:p>
      <w:pPr>
        <w:jc w:val="both"/>
        <w:outlineLvl w:val="1"/>
      </w:pPr>
      <w:r>
        <w:rPr>
          <w:rFonts w:hAnsi="Arial"/>
          <w:rFonts w:ascii="Arial"/>
          <w:sz w:val="24"/>
          <w:color w:val="black"/>
        </w:rPr>
        <w:t xml:space="preserve">h) Medalla "Torre de Castilla";</w:t>
      </w:r>
    </w:p>
    <w:p>
      <w:pPr>
        <w:jc w:val="both"/>
        <w:outlineLvl w:val="1"/>
      </w:pPr>
      <w:r>
        <w:rPr>
          <w:rFonts w:hAnsi="Arial"/>
          <w:rFonts w:ascii="Arial"/>
          <w:sz w:val="24"/>
          <w:color w:val="black"/>
        </w:rPr>
        <w:t xml:space="preserve">i) Medalla "Brigadier General Ricardo Charry Solano";</w:t>
      </w:r>
    </w:p>
    <w:p>
      <w:pPr>
        <w:jc w:val="both"/>
        <w:outlineLvl w:val="1"/>
      </w:pPr>
      <w:r>
        <w:rPr>
          <w:rFonts w:hAnsi="Arial"/>
          <w:rFonts w:ascii="Arial"/>
          <w:sz w:val="24"/>
          <w:color w:val="black"/>
        </w:rPr>
        <w:t xml:space="preserve">j) Medalla al Mérito Logístico y Administrativo "General Francisco de Paula Santander";</w:t>
      </w:r>
    </w:p>
    <w:p>
      <w:pPr>
        <w:jc w:val="both"/>
        <w:outlineLvl w:val="1"/>
      </w:pPr>
      <w:r>
        <w:rPr>
          <w:rFonts w:hAnsi="Arial"/>
          <w:rFonts w:ascii="Arial"/>
          <w:sz w:val="24"/>
          <w:color w:val="black"/>
        </w:rPr>
        <w:t xml:space="preserve">k) Medalla "Guardia Presidencial";</w:t>
      </w:r>
    </w:p>
    <w:p>
      <w:pPr>
        <w:jc w:val="both"/>
        <w:outlineLvl w:val="1"/>
      </w:pPr>
      <w:r>
        <w:rPr>
          <w:rFonts w:hAnsi="Arial"/>
          <w:rFonts w:ascii="Arial"/>
          <w:sz w:val="24"/>
          <w:color w:val="black"/>
        </w:rPr>
        <w:t xml:space="preserve">l) Medalla Policía Militar "General Tomás Cipriano de Mosquera";</w:t>
      </w:r>
    </w:p>
    <w:p>
      <w:pPr>
        <w:jc w:val="both"/>
        <w:outlineLvl w:val="1"/>
      </w:pPr>
      <w:r>
        <w:rPr>
          <w:rFonts w:hAnsi="Arial"/>
          <w:rFonts w:ascii="Arial"/>
          <w:sz w:val="24"/>
          <w:color w:val="black"/>
        </w:rPr>
        <w:t xml:space="preserve">m)Medalla "Escuela de Lanceros";</w:t>
      </w:r>
    </w:p>
    <w:p>
      <w:pPr>
        <w:jc w:val="both"/>
        <w:outlineLvl w:val="1"/>
      </w:pPr>
      <w:r>
        <w:rPr>
          <w:rFonts w:hAnsi="Arial"/>
          <w:rFonts w:ascii="Arial"/>
          <w:sz w:val="24"/>
          <w:color w:val="black"/>
        </w:rPr>
        <w:t xml:space="preserve">n) Medalla "San Gabriel";</w:t>
      </w:r>
    </w:p>
    <w:p>
      <w:pPr>
        <w:jc w:val="both"/>
        <w:outlineLvl w:val="1"/>
      </w:pPr>
      <w:r>
        <w:rPr>
          <w:rFonts w:hAnsi="Arial"/>
          <w:rFonts w:ascii="Arial"/>
          <w:sz w:val="24"/>
          <w:color w:val="black"/>
        </w:rPr>
        <w:t xml:space="preserve">ñ) Medalla Militar Escuela de Suboficiales del Ejército "Sargento Inocencio Chincá";</w:t>
      </w:r>
    </w:p>
    <w:p>
      <w:pPr>
        <w:jc w:val="both"/>
        <w:outlineLvl w:val="1"/>
      </w:pPr>
      <w:r>
        <w:rPr>
          <w:rFonts w:hAnsi="Arial"/>
          <w:rFonts w:ascii="Arial"/>
          <w:sz w:val="24"/>
          <w:color w:val="black"/>
        </w:rPr>
        <w:t xml:space="preserve">o) Medalla Militar "San Miguel Arcángel";</w:t>
      </w:r>
    </w:p>
    <w:p>
      <w:pPr>
        <w:jc w:val="both"/>
        <w:outlineLvl w:val="1"/>
      </w:pPr>
      <w:r>
        <w:rPr>
          <w:rFonts w:hAnsi="Arial"/>
          <w:rFonts w:ascii="Arial"/>
          <w:sz w:val="24"/>
          <w:color w:val="black"/>
        </w:rPr>
        <w:t xml:space="preserve">p) Medalla Militar "Honor al Deber Cumplido";</w:t>
      </w:r>
    </w:p>
    <w:p>
      <w:pPr>
        <w:jc w:val="both"/>
        <w:outlineLvl w:val="1"/>
      </w:pPr>
      <w:r>
        <w:rPr>
          <w:rFonts w:hAnsi="Arial"/>
          <w:rFonts w:ascii="Arial"/>
          <w:sz w:val="24"/>
          <w:color w:val="black"/>
        </w:rPr>
        <w:t xml:space="preserve">q) Medalla Militar Escuela de Soldados Profesionales "Teniente General Gustavo Rojas Pinilla";</w:t>
      </w:r>
    </w:p>
    <w:p>
      <w:pPr>
        <w:jc w:val="both"/>
        <w:outlineLvl w:val="1"/>
      </w:pPr>
      <w:r>
        <w:rPr>
          <w:rFonts w:hAnsi="Arial"/>
          <w:rFonts w:ascii="Arial"/>
          <w:sz w:val="24"/>
          <w:color w:val="black"/>
        </w:rPr>
        <w:t xml:space="preserve">r) Medalla Militar "Servicios Meritorios Inteligencia Militar Guardián de la Patria";</w:t>
      </w:r>
    </w:p>
    <w:p>
      <w:pPr>
        <w:jc w:val="both"/>
        <w:outlineLvl w:val="1"/>
      </w:pPr>
      <w:r>
        <w:rPr>
          <w:rFonts w:hAnsi="Arial"/>
          <w:rFonts w:ascii="Arial"/>
          <w:sz w:val="24"/>
          <w:color w:val="black"/>
        </w:rPr>
        <w:t xml:space="preserve">s) Medalla Militar "Servicios Distinguidos en Operaciones de Aviación";</w:t>
      </w:r>
    </w:p>
    <w:p>
      <w:pPr>
        <w:jc w:val="both"/>
        <w:outlineLvl w:val="1"/>
      </w:pPr>
      <w:r>
        <w:rPr>
          <w:rFonts w:hAnsi="Arial"/>
          <w:rFonts w:ascii="Arial"/>
          <w:sz w:val="24"/>
          <w:color w:val="black"/>
        </w:rPr>
        <w:t xml:space="preserve">t) Medalla Centenario "Servicios Distinguidos a Reclutamiento Simona Duque de Alzate".</w:t>
      </w:r>
    </w:p>
    <w:p>
      <w:pPr>
        <w:jc w:val="both"/>
        <w:outlineLvl w:val="1"/>
      </w:pPr>
      <w:r>
        <w:rPr>
          <w:rFonts w:hAnsi="Arial"/>
          <w:rFonts w:ascii="Arial"/>
          <w:sz w:val="24"/>
          <w:color w:val="black"/>
        </w:rPr>
        <w:t xml:space="preserve">u) Medalla "San Rafael Arcángel"</w:t>
      </w:r>
    </w:p>
    <w:p>
      <w:pPr>
        <w:jc w:val="both"/>
        <w:outlineLvl w:val="1"/>
      </w:pPr>
      <w:r>
        <w:rPr>
          <w:rFonts w:hAnsi="Arial"/>
          <w:rFonts w:ascii="Arial"/>
          <w:sz w:val="24"/>
          <w:color w:val="black"/>
        </w:rPr>
        <w:t xml:space="preserve">v) Medalla Militar "Guardia de Honor de Colombia"</w:t>
      </w:r>
    </w:p>
    <w:p>
      <w:pPr>
        <w:jc w:val="both"/>
        <w:outlineLvl w:val="1"/>
      </w:pPr>
      <w:r>
        <w:rPr>
          <w:rFonts w:hAnsi="Arial"/>
          <w:rFonts w:ascii="Arial"/>
          <w:sz w:val="24"/>
          <w:color w:val="black"/>
        </w:rPr>
        <w:t xml:space="preserve">w) Medalla Militar "Servicios Distinguidos en Operaciones Contra el Narcotráfico en Categoría Única"</w:t>
      </w:r>
    </w:p>
    <w:p>
      <w:pPr>
        <w:jc w:val="both"/>
        <w:outlineLvl w:val="1"/>
      </w:pPr>
      <w:r>
        <w:rPr>
          <w:rFonts w:hAnsi="Arial"/>
          <w:rFonts w:ascii="Arial"/>
          <w:sz w:val="24"/>
          <w:color w:val="black"/>
        </w:rPr>
        <w:t xml:space="preserve">x) Medalla Militar “Bicentenario de la Campaña Libertadora”. </w:t>
      </w:r>
      <w:r>
        <w:rPr>
          <w:rFonts w:hAnsi="Arial"/>
          <w:rFonts w:ascii="Arial"/>
          <w:color w:val="black"/>
        </w:rPr>
        <w:t xml:space="preserve">&lt;Medalla adicionada por el artículo </w:t>
      </w:r>
      <w:r>
        <w:fldChar w:fldCharType="begin"/>
      </w:r>
      <w:r>
        <w:instrText>HYPERLINK "http://www.redjurista.com/document.aspx?ajcode=d1181019&amp;arts=3"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1181 de 2019&gt;</w:t>
      </w:r>
    </w:p>
    <w:p>
      <w:pPr>
        <w:jc w:val="both"/>
        <w:outlineLvl w:val="1"/>
      </w:pPr>
      <w:r>
        <w:rPr>
          <w:rFonts w:hAnsi="Arial"/>
          <w:rFonts w:ascii="Arial"/>
          <w:sz w:val="24"/>
          <w:color w:val="black"/>
        </w:rPr>
        <w:t xml:space="preserve">y) Medalla Militar “Bicentenario de la Caballería”. </w:t>
      </w:r>
      <w:r>
        <w:rPr>
          <w:rFonts w:hAnsi="Arial"/>
          <w:rFonts w:ascii="Arial"/>
          <w:color w:val="black"/>
        </w:rPr>
        <w:t xml:space="preserve">&lt;Medalla adicionada por el artículo </w:t>
      </w:r>
      <w:r>
        <w:fldChar w:fldCharType="begin"/>
      </w:r>
      <w:r>
        <w:instrText>HYPERLINK "http://www.redjurista.com/document.aspx?ajcode=d1181019&amp;arts=3"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1181 de 2019&gt;</w:t>
      </w:r>
    </w:p>
    <w:p>
      <w:pPr>
        <w:jc w:val="both"/>
        <w:outlineLvl w:val="1"/>
      </w:pPr>
      <w:r>
        <w:rPr>
          <w:rFonts w:hAnsi="Arial"/>
          <w:rFonts w:ascii="Arial"/>
          <w:sz w:val="24"/>
          <w:color w:val="black"/>
        </w:rPr>
        <w:t xml:space="preserve">z) Medalla Militar “Protectores de la Espada del Libertador”. </w:t>
      </w:r>
      <w:r>
        <w:rPr>
          <w:rFonts w:hAnsi="Arial"/>
          <w:rFonts w:ascii="Arial"/>
          <w:color w:val="black"/>
        </w:rPr>
        <w:t xml:space="preserve">&lt;Medalla adicionada por el artículo </w:t>
      </w:r>
      <w:r>
        <w:fldChar w:fldCharType="begin"/>
      </w:r>
      <w:r>
        <w:instrText>HYPERLINK "http://www.redjurista.com/document.aspx?ajcode=d0093021&amp;arts=2"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93 de 2021&gt;</w:t>
      </w:r>
    </w:p>
    <w:p>
      <w:pPr>
        <w:jc w:val="both"/>
        <w:outlineLvl w:val="1"/>
      </w:pPr>
      <w:r>
        <w:rPr>
          <w:rFonts w:hAnsi="Arial"/>
          <w:rFonts w:ascii="Arial"/>
          <w:sz w:val="24"/>
          <w:color w:val="black"/>
        </w:rPr>
        <w:t xml:space="preserve">aa) Medalla Militar “Bicentenario de la Logística Militar”. </w:t>
      </w:r>
      <w:r>
        <w:rPr>
          <w:rFonts w:hAnsi="Arial"/>
          <w:rFonts w:ascii="Arial"/>
          <w:color w:val="black"/>
        </w:rPr>
        <w:t xml:space="preserve">&lt;Medalla adicionada por el artículo </w:t>
      </w:r>
      <w:r>
        <w:fldChar w:fldCharType="begin"/>
      </w:r>
      <w:r>
        <w:instrText>HYPERLINK "http://www.redjurista.com/document.aspx?ajcode=d1428021&amp;arts=2"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1428 de 2021&gt;  </w:t>
      </w:r>
    </w:p>
    <w:p>
      <w:pPr>
        <w:jc w:val="both"/>
        <w:keepNext/>
        <w:outlineLvl w:val="1"/>
      </w:pPr>
      <w:rPr>
        <w:color w:val="black"/>
      </w:rPr>
    </w:p>
    <w:p>
      <w:pPr>
        <w:jc w:val="both"/>
        <w:keepNext/>
        <w:outlineLvl w:val="1"/>
      </w:pPr>
      <w:r>
        <w:rPr>
          <w:rFonts w:hAnsi="Arial"/>
          <w:rFonts w:ascii="Arial"/>
          <w:sz w:val="24"/>
          <w:color w:val="black"/>
        </w:rPr>
        <w:t xml:space="preserve">4. Armada Nacional.</w:t>
      </w:r>
    </w:p>
    <w:p>
      <w:pPr>
        <w:jc w:val="both"/>
        <w:keepNext/>
        <w:outlineLvl w:val="1"/>
      </w:pPr>
      <w:rPr>
        <w:sz w:val="24"/>
        <w:color w:val="black"/>
      </w:rPr>
    </w:p>
    <w:p>
      <w:pPr>
        <w:jc w:val="both"/>
        <w:keepNext/>
        <w:outlineLvl w:val="1"/>
      </w:pPr>
      <w:r>
        <w:rPr>
          <w:rFonts w:hAnsi="Arial"/>
          <w:rFonts w:ascii="Arial"/>
          <w:sz w:val="24"/>
          <w:color w:val="black"/>
        </w:rPr>
        <w:t xml:space="preserve">a) Medalla Servicios Distinguidos a la Armada Nacional;</w:t>
      </w:r>
    </w:p>
    <w:p>
      <w:pPr>
        <w:jc w:val="both"/>
        <w:keepNext/>
        <w:outlineLvl w:val="1"/>
      </w:pPr>
      <w:r>
        <w:rPr>
          <w:rFonts w:hAnsi="Arial"/>
          <w:rFonts w:ascii="Arial"/>
          <w:sz w:val="24"/>
          <w:color w:val="black"/>
        </w:rPr>
        <w:t xml:space="preserve">b) Medalla Servicios Distinguidos a la "Escuela Naval de Cadetes Almirante Padilla";</w:t>
      </w:r>
    </w:p>
    <w:p>
      <w:pPr>
        <w:jc w:val="both"/>
        <w:keepNext/>
        <w:outlineLvl w:val="1"/>
      </w:pPr>
      <w:r>
        <w:rPr>
          <w:rFonts w:hAnsi="Arial"/>
          <w:rFonts w:ascii="Arial"/>
          <w:sz w:val="24"/>
          <w:color w:val="black"/>
        </w:rPr>
        <w:t xml:space="preserve">c) Medalla Militar "Fe en la Causa" de la Armada Nacional;</w:t>
      </w:r>
    </w:p>
    <w:p>
      <w:pPr>
        <w:jc w:val="both"/>
        <w:keepNext/>
        <w:outlineLvl w:val="1"/>
      </w:pPr>
      <w:r>
        <w:rPr>
          <w:rFonts w:hAnsi="Arial"/>
          <w:rFonts w:ascii="Arial"/>
          <w:sz w:val="24"/>
          <w:color w:val="black"/>
        </w:rPr>
        <w:t xml:space="preserve">d) Medalla Servicios Distinguidos a la "Escuela Naval de Suboficiales";</w:t>
      </w:r>
    </w:p>
    <w:p>
      <w:pPr>
        <w:jc w:val="both"/>
        <w:keepNext/>
        <w:outlineLvl w:val="1"/>
      </w:pPr>
      <w:r>
        <w:rPr>
          <w:rFonts w:hAnsi="Arial"/>
          <w:rFonts w:ascii="Arial"/>
          <w:sz w:val="24"/>
          <w:color w:val="black"/>
        </w:rPr>
        <w:t xml:space="preserve">e) Medalla Servicios distinguidos a la "Fuerza de Superficie";</w:t>
      </w:r>
    </w:p>
    <w:p>
      <w:pPr>
        <w:jc w:val="both"/>
        <w:keepNext/>
        <w:outlineLvl w:val="1"/>
      </w:pPr>
      <w:r>
        <w:rPr>
          <w:rFonts w:hAnsi="Arial"/>
          <w:rFonts w:ascii="Arial"/>
          <w:sz w:val="24"/>
          <w:color w:val="black"/>
        </w:rPr>
        <w:t xml:space="preserve">f) Medalla Servicios distinguidos a la "Infantería de Marina";</w:t>
      </w:r>
    </w:p>
    <w:p>
      <w:pPr>
        <w:jc w:val="both"/>
        <w:keepNext/>
        <w:outlineLvl w:val="1"/>
      </w:pPr>
      <w:r>
        <w:rPr>
          <w:rFonts w:hAnsi="Arial"/>
          <w:rFonts w:ascii="Arial"/>
          <w:sz w:val="24"/>
          <w:color w:val="black"/>
        </w:rPr>
        <w:t xml:space="preserve">g) Medalla Servicios distinguidos a la "Fuerza Submarina";</w:t>
      </w:r>
    </w:p>
    <w:p>
      <w:pPr>
        <w:jc w:val="both"/>
        <w:keepNext/>
        <w:outlineLvl w:val="1"/>
      </w:pPr>
      <w:r>
        <w:rPr>
          <w:rFonts w:hAnsi="Arial"/>
          <w:rFonts w:ascii="Arial"/>
          <w:sz w:val="24"/>
          <w:color w:val="black"/>
        </w:rPr>
        <w:t xml:space="preserve">h) Medalla Servicios distinguidos a la "Aviación Naval";</w:t>
      </w:r>
    </w:p>
    <w:p>
      <w:pPr>
        <w:jc w:val="both"/>
        <w:keepNext/>
        <w:outlineLvl w:val="1"/>
      </w:pPr>
      <w:r>
        <w:rPr>
          <w:rFonts w:hAnsi="Arial"/>
          <w:rFonts w:ascii="Arial"/>
          <w:sz w:val="24"/>
          <w:color w:val="black"/>
        </w:rPr>
        <w:t xml:space="preserve">i) Medalla Servicios Distinguidos al "Cuerpo de Guardacostas";</w:t>
      </w:r>
    </w:p>
    <w:p>
      <w:pPr>
        <w:jc w:val="both"/>
        <w:keepNext/>
        <w:outlineLvl w:val="1"/>
      </w:pPr>
      <w:r>
        <w:rPr>
          <w:rFonts w:hAnsi="Arial"/>
          <w:rFonts w:ascii="Arial"/>
          <w:sz w:val="24"/>
          <w:color w:val="black"/>
        </w:rPr>
        <w:t xml:space="preserve">j) Medalla Servicios Distinguidos a la Escuela de Formación de Infantería de Marina;</w:t>
      </w:r>
    </w:p>
    <w:p>
      <w:pPr>
        <w:jc w:val="both"/>
        <w:keepNext/>
        <w:outlineLvl w:val="1"/>
      </w:pPr>
      <w:r>
        <w:rPr>
          <w:rFonts w:hAnsi="Arial"/>
          <w:rFonts w:ascii="Arial"/>
          <w:sz w:val="24"/>
          <w:color w:val="black"/>
        </w:rPr>
        <w:t xml:space="preserve">k) Medalla al Mérito Logístico y Administrativo "Contralmirante Rafael Tono";</w:t>
      </w:r>
    </w:p>
    <w:p>
      <w:pPr>
        <w:jc w:val="both"/>
        <w:keepNext/>
        <w:outlineLvl w:val="1"/>
      </w:pPr>
      <w:r>
        <w:rPr>
          <w:rFonts w:hAnsi="Arial"/>
          <w:rFonts w:ascii="Arial"/>
          <w:sz w:val="24"/>
          <w:color w:val="black"/>
        </w:rPr>
        <w:t xml:space="preserve">l) Medalla "Servicios distinguidos a la Dirección General Marítima";</w:t>
      </w:r>
    </w:p>
    <w:p>
      <w:pPr>
        <w:jc w:val="both"/>
        <w:keepNext/>
        <w:outlineLvl w:val="1"/>
      </w:pPr>
      <w:r>
        <w:rPr>
          <w:rFonts w:hAnsi="Arial"/>
          <w:rFonts w:ascii="Arial"/>
          <w:sz w:val="24"/>
          <w:color w:val="black"/>
        </w:rPr>
        <w:t xml:space="preserve">m) Medalla de Servicios Distinguidos a la "Ingeniería Naval";</w:t>
      </w:r>
    </w:p>
    <w:p>
      <w:pPr>
        <w:jc w:val="both"/>
        <w:keepNext/>
        <w:outlineLvl w:val="1"/>
      </w:pPr>
      <w:r>
        <w:rPr>
          <w:rFonts w:hAnsi="Arial"/>
          <w:rFonts w:ascii="Arial"/>
          <w:sz w:val="24"/>
          <w:color w:val="black"/>
        </w:rPr>
        <w:t xml:space="preserve">n) Medalla Servicios Distinguidos a la "Inteligencia Naval".</w:t>
      </w:r>
    </w:p>
    <w:p>
      <w:pPr>
        <w:jc w:val="both"/>
        <w:keepNext/>
        <w:outlineLvl w:val="1"/>
      </w:pPr>
      <w:r>
        <w:rPr>
          <w:rFonts w:hAnsi="Arial"/>
          <w:rFonts w:ascii="Arial"/>
          <w:sz w:val="24"/>
          <w:color w:val="black"/>
        </w:rPr>
        <w:t xml:space="preserve">ñ) Medalla Militar “Al Espíritu del Bicentenario Naval de la Armada Nacional de la República de Colombia”. </w:t>
      </w:r>
      <w:r>
        <w:rPr>
          <w:rFonts w:hAnsi="Arial"/>
          <w:rFonts w:ascii="Arial"/>
          <w:color w:val="black"/>
        </w:rPr>
        <w:t xml:space="preserve">&lt;Medalla adicionada por el artículo </w:t>
      </w:r>
      <w:r>
        <w:fldChar w:fldCharType="begin"/>
      </w:r>
      <w:r>
        <w:instrText>HYPERLINK "http://www.redjurista.com/document.aspx?ajcode=d1163023&amp;arts=2"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1163 de 2023&gt; </w:t>
      </w:r>
    </w:p>
    <w:p>
      <w:pPr>
        <w:jc w:val="both"/>
        <w:keepNext/>
        <w:outlineLvl w:val="1"/>
      </w:pPr>
      <w:r>
        <w:rPr>
          <w:rFonts w:hAnsi="Arial"/>
          <w:rFonts w:ascii="Arial"/>
          <w:sz w:val="24"/>
          <w:color w:val="black"/>
        </w:rPr>
        <w:t xml:space="preserve">o) Medalla Militar “Servicios Distinguidos al Buceo en la Armada Nacional”. </w:t>
      </w:r>
      <w:r>
        <w:rPr>
          <w:rFonts w:hAnsi="Arial"/>
          <w:rFonts w:ascii="Arial"/>
          <w:color w:val="black"/>
        </w:rPr>
        <w:t xml:space="preserve">&lt;Medalla adicionada por el artículo </w:t>
      </w:r>
      <w:r>
        <w:fldChar w:fldCharType="begin"/>
      </w:r>
      <w:r>
        <w:instrText>HYPERLINK "http://www.redjurista.com/document.aspx?ajcode=d2115023&amp;arts=2"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2115 de 2023&gt; </w:t>
      </w:r>
    </w:p>
    <w:p>
      <w:pPr>
        <w:jc w:val="both"/>
        <w:keepNext/>
        <w:outlineLvl w:val="1"/>
      </w:pPr>
      <w:r>
        <w:rPr>
          <w:rFonts w:hAnsi="Arial"/>
          <w:rFonts w:ascii="Arial"/>
          <w:sz w:val="24"/>
          <w:color w:val="black"/>
        </w:rPr>
        <w:t xml:space="preserve">p) Medalla Militar “Servicios Distinguidos a la Acción Integral Naval”. &lt;Medalla adicionada por el artículo </w:t>
      </w:r>
      <w:r>
        <w:fldChar w:fldCharType="begin"/>
      </w:r>
      <w:r>
        <w:instrText>HYPERLINK "http://www.redjurista.com/document.aspx?ajcode=d0630024&amp;arts=2"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630 de 2024</w:t>
      </w:r>
    </w:p>
    <w:p>
      <w:pPr>
        <w:jc w:val="both"/>
        <w:keepNext/>
        <w:outlineLvl w:val="1"/>
      </w:pPr>
      <w:r>
        <w:rPr>
          <w:rFonts w:hAnsi="Arial"/>
          <w:rFonts w:ascii="Arial"/>
          <w:sz w:val="24"/>
          <w:color w:val="black"/>
        </w:rPr>
        <w:t xml:space="preserve">bb) Medalla Militar “Servicios Distinguidos Bicentenario Batalla de Ayacucho”. </w:t>
      </w:r>
      <w:r>
        <w:rPr>
          <w:rFonts w:hAnsi="Arial"/>
          <w:rFonts w:ascii="Arial"/>
          <w:color w:val="black"/>
        </w:rPr>
        <w:t xml:space="preserve">&lt;Medalla adicionada por el artículo </w:t>
      </w:r>
      <w:r>
        <w:fldChar w:fldCharType="begin"/>
      </w:r>
      <w:r>
        <w:instrText>HYPERLINK "http://www.redjurista.com/document.aspx?ajcode=d1334024&amp;arts=2"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1334 de 2024&gt;</w:t>
      </w:r>
    </w:p>
    <w:p>
      <w:pPr>
        <w:jc w:val="both"/>
        <w:keepNext/>
        <w:outlineLvl w:val="1"/>
      </w:pPr>
      <w:rPr>
        <w:sz w:val="24"/>
        <w:color w:val="black"/>
      </w:rPr>
    </w:p>
    <w:p>
      <w:pPr>
        <w:jc w:val="both"/>
        <w:keepNext/>
        <w:outlineLvl w:val="1"/>
      </w:pPr>
      <w:r>
        <w:rPr>
          <w:rFonts w:hAnsi="Arial"/>
          <w:rFonts w:ascii="Arial"/>
          <w:sz w:val="24"/>
          <w:color w:val="black"/>
        </w:rPr>
        <w:t xml:space="preserve">5. Fuerza Aérea.</w:t>
      </w:r>
    </w:p>
    <w:p>
      <w:pPr>
        <w:jc w:val="both"/>
        <w:keepNext/>
        <w:outlineLvl w:val="1"/>
      </w:pPr>
      <w:rPr>
        <w:sz w:val="24"/>
        <w:color w:val="black"/>
      </w:rPr>
    </w:p>
    <w:p>
      <w:pPr>
        <w:jc w:val="both"/>
        <w:keepNext/>
        <w:outlineLvl w:val="1"/>
      </w:pPr>
      <w:r>
        <w:rPr>
          <w:rFonts w:hAnsi="Arial"/>
          <w:rFonts w:ascii="Arial"/>
          <w:sz w:val="24"/>
          <w:color w:val="black"/>
        </w:rPr>
        <w:t xml:space="preserve">a) Medalla "Marco Fidel Suárez";</w:t>
      </w:r>
    </w:p>
    <w:p>
      <w:pPr>
        <w:jc w:val="both"/>
        <w:keepNext/>
        <w:outlineLvl w:val="1"/>
      </w:pPr>
      <w:r>
        <w:rPr>
          <w:rFonts w:hAnsi="Arial"/>
          <w:rFonts w:ascii="Arial"/>
          <w:sz w:val="24"/>
          <w:color w:val="black"/>
        </w:rPr>
        <w:t xml:space="preserve">b) Medalla "Águila de Gules";</w:t>
      </w:r>
    </w:p>
    <w:p>
      <w:pPr>
        <w:jc w:val="both"/>
        <w:keepNext/>
        <w:outlineLvl w:val="1"/>
      </w:pPr>
      <w:r>
        <w:rPr>
          <w:rFonts w:hAnsi="Arial"/>
          <w:rFonts w:ascii="Arial"/>
          <w:sz w:val="24"/>
          <w:color w:val="black"/>
        </w:rPr>
        <w:t xml:space="preserve">c) Medalla Militar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keepNext/>
        <w:outlineLvl w:val="1"/>
      </w:pPr>
      <w:r>
        <w:rPr>
          <w:rFonts w:hAnsi="Arial"/>
          <w:rFonts w:ascii="Arial"/>
          <w:sz w:val="24"/>
          <w:color w:val="black"/>
        </w:rPr>
        <w:t xml:space="preserve">d) Medalla Servicios Distinguidos a la "Seguridad y Defensa de Bases Aéreas";</w:t>
      </w:r>
    </w:p>
    <w:p>
      <w:pPr>
        <w:jc w:val="both"/>
        <w:keepNext/>
        <w:outlineLvl w:val="1"/>
      </w:pPr>
      <w:r>
        <w:rPr>
          <w:rFonts w:hAnsi="Arial"/>
          <w:rFonts w:ascii="Arial"/>
          <w:sz w:val="24"/>
          <w:color w:val="black"/>
        </w:rPr>
        <w:t xml:space="preserve">e) Medalla Servicios Distinguidos a la "Inteligencia Aérea";</w:t>
      </w:r>
    </w:p>
    <w:p>
      <w:pPr>
        <w:jc w:val="both"/>
        <w:keepNext/>
        <w:outlineLvl w:val="1"/>
      </w:pPr>
      <w:r>
        <w:rPr>
          <w:rFonts w:hAnsi="Arial"/>
          <w:rFonts w:ascii="Arial"/>
          <w:sz w:val="24"/>
          <w:color w:val="black"/>
        </w:rPr>
        <w:t xml:space="preserve">f) Medalla Servicios Distinguidos a la "Defensa Aérea y Navegación Aérea";</w:t>
      </w:r>
    </w:p>
    <w:p>
      <w:pPr>
        <w:jc w:val="both"/>
        <w:keepNext/>
        <w:outlineLvl w:val="1"/>
      </w:pPr>
      <w:r>
        <w:rPr>
          <w:rFonts w:hAnsi="Arial"/>
          <w:rFonts w:ascii="Arial"/>
          <w:sz w:val="24"/>
          <w:color w:val="black"/>
        </w:rPr>
        <w:t xml:space="preserve">g) Medalla Servicios Distinguidos al "Cuerpo Logístico y Administrativo";</w:t>
      </w:r>
    </w:p>
    <w:p>
      <w:pPr>
        <w:jc w:val="both"/>
        <w:keepNext/>
        <w:outlineLvl w:val="1"/>
      </w:pPr>
      <w:r>
        <w:rPr>
          <w:rFonts w:hAnsi="Arial"/>
          <w:rFonts w:ascii="Arial"/>
          <w:sz w:val="24"/>
          <w:color w:val="black"/>
        </w:rPr>
        <w:t xml:space="preserve">h) Medalla Ciencia y Tecnología.</w:t>
      </w:r>
    </w:p>
    <w:p>
      <w:pPr>
        <w:jc w:val="both"/>
        <w:keepNext/>
        <w:outlineLvl w:val="1"/>
      </w:pPr>
      <w:r>
        <w:rPr>
          <w:rFonts w:hAnsi="Arial"/>
          <w:rFonts w:ascii="Arial"/>
          <w:sz w:val="24"/>
          <w:color w:val="black"/>
        </w:rPr>
        <w:t xml:space="preserve">i) Medalla Servicios Distinguidos a la Escuela de Suboficiales "CT. ANDRÉS M. DIAZ DIAZ"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p>
    <w:p>
      <w:pPr>
        <w:jc w:val="both"/>
        <w:keepNext/>
        <w:outlineLvl w:val="1"/>
      </w:pPr>
      <w:r>
        <w:rPr>
          <w:rFonts w:hAnsi="Arial"/>
          <w:rFonts w:ascii="Arial"/>
          <w:sz w:val="24"/>
          <w:color w:val="black"/>
        </w:rPr>
        <w:t xml:space="preserve">j) Medalla "Servicios Meritorios a la Jefatura Jurídica y Derechos Humanos y al Derecho Internacional Humanitario"</w:t>
      </w:r>
    </w:p>
    <w:p>
      <w:pPr>
        <w:jc w:val="both"/>
        <w:keepNext/>
        <w:outlineLvl w:val="1"/>
      </w:pPr>
      <w:r>
        <w:rPr>
          <w:rFonts w:hAnsi="Arial"/>
          <w:rFonts w:ascii="Arial"/>
          <w:sz w:val="24"/>
          <w:color w:val="black"/>
        </w:rPr>
        <w:t xml:space="preserve">k) Medalla Militar “Corazón Azul”. </w:t>
      </w:r>
      <w:r>
        <w:rPr>
          <w:rFonts w:hAnsi="Arial"/>
          <w:rFonts w:ascii="Arial"/>
          <w:color w:val="black"/>
        </w:rPr>
        <w:t xml:space="preserve">&lt;Medalla adicionada por el artículo </w:t>
      </w:r>
      <w:r>
        <w:fldChar w:fldCharType="begin"/>
      </w:r>
      <w:r>
        <w:instrText>HYPERLINK "http://www.redjurista.com/document.aspx?ajcode=d1429021&amp;arts=2"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1429 de 2021&gt;  </w:t>
      </w:r>
    </w:p>
    <w:p>
      <w:pPr>
        <w:jc w:val="both"/>
        <w:keepNext/>
        <w:outlineLvl w:val="1"/>
      </w:pPr>
      <w:r>
        <w:rPr>
          <w:rFonts w:hAnsi="Arial"/>
          <w:rFonts w:ascii="Arial"/>
          <w:sz w:val="24"/>
          <w:color w:val="black"/>
        </w:rPr>
        <w:t xml:space="preserve">l) Medalla Militar “Alma Mater Escuela Militar de Aviación. </w:t>
      </w:r>
      <w:r>
        <w:rPr>
          <w:rFonts w:hAnsi="Arial"/>
          <w:rFonts w:ascii="Arial"/>
          <w:color w:val="black"/>
        </w:rPr>
        <w:t xml:space="preserve">&lt;Medalla adicionada por el artículo </w:t>
      </w:r>
      <w:r>
        <w:fldChar w:fldCharType="begin"/>
      </w:r>
      <w:r>
        <w:instrText>HYPERLINK "http://www.redjurista.com/document.aspx?ajcode=d1429021&amp;arts=2"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1429 de 2021&gt;  </w:t>
      </w:r>
    </w:p>
    <w:p>
      <w:pPr>
        <w:jc w:val="both"/>
        <w:keepNext/>
        <w:outlineLvl w:val="1"/>
      </w:pPr>
      <w:r>
        <w:rPr>
          <w:rFonts w:hAnsi="Arial"/>
          <w:rFonts w:ascii="Arial"/>
          <w:sz w:val="24"/>
          <w:color w:val="black"/>
        </w:rPr>
        <w:t xml:space="preserve">m) Medalla Militar “Servicios Distinguidos al Desarrollo de Operaciones y Actividades Espaciales AD ASTRA” </w:t>
      </w:r>
      <w:r>
        <w:rPr>
          <w:rFonts w:hAnsi="Arial"/>
          <w:rFonts w:ascii="Arial"/>
          <w:color w:val="black"/>
        </w:rPr>
        <w:t xml:space="preserve">&lt;Medalla adicionada por el artículo </w:t>
      </w:r>
      <w:r>
        <w:fldChar w:fldCharType="begin"/>
      </w:r>
      <w:r>
        <w:instrText>HYPERLINK "http://www.redjurista.com/document.aspx?ajcode=d1429021&amp;arts=2"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1429 de 2021&gt;  </w:t>
      </w:r>
    </w:p>
    <w:p>
      <w:pPr>
        <w:jc w:val="both"/>
        <w:keepNext/>
        <w:outlineLvl w:val="1"/>
      </w:pPr>
      <w:r>
        <w:rPr>
          <w:rFonts w:hAnsi="Arial"/>
          <w:rFonts w:ascii="Arial"/>
          <w:sz w:val="24"/>
          <w:color w:val="black"/>
        </w:rPr>
        <w:t xml:space="preserve">n) Medalla Militar “Servicios Distinguidos a la Acción integral”. </w:t>
      </w:r>
      <w:r>
        <w:rPr>
          <w:rFonts w:hAnsi="Arial"/>
          <w:rFonts w:ascii="Arial"/>
          <w:color w:val="black"/>
        </w:rPr>
        <w:t xml:space="preserve">&lt;Medalla adicionada por el artículo </w:t>
      </w:r>
      <w:r>
        <w:fldChar w:fldCharType="begin"/>
      </w:r>
      <w:r>
        <w:instrText>HYPERLINK "http://www.redjurista.com/document.aspx?ajcode=d1126023&amp;arts=2"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1126 de 2023&gt;</w:t>
      </w:r>
    </w:p>
    <w:p>
      <w:pPr>
        <w:jc w:val="both"/>
        <w:keepNext/>
        <w:outlineLvl w:val="1"/>
      </w:pPr>
      <w:r>
        <w:rPr>
          <w:rFonts w:hAnsi="Arial"/>
          <w:rFonts w:ascii="Arial"/>
          <w:sz w:val="24"/>
          <w:color w:val="black"/>
        </w:rPr>
        <w:t xml:space="preserve">o) Medalla Militar “Operaciones Aeromédicas Especiales”. </w:t>
      </w:r>
      <w:r>
        <w:rPr>
          <w:rFonts w:hAnsi="Arial"/>
          <w:rFonts w:ascii="Arial"/>
          <w:color w:val="black"/>
        </w:rPr>
        <w:t xml:space="preserve">&lt;Medalla adicionada por el artículo </w:t>
      </w:r>
      <w:r>
        <w:fldChar w:fldCharType="begin"/>
      </w:r>
      <w:r>
        <w:instrText>HYPERLINK "http://www.redjurista.com/document.aspx?ajcode=d1333024&amp;arts=2"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1333 de 2024&gt;</w:t>
      </w:r>
    </w:p>
    <w:p>
      <w:pPr>
        <w:jc w:val="both"/>
        <w:keepNext/>
        <w:outlineLvl w:val="1"/>
      </w:pPr>
      <w:r>
        <w:rPr>
          <w:rFonts w:hAnsi="Arial"/>
          <w:rFonts w:ascii="Arial"/>
          <w:sz w:val="24"/>
          <w:color w:val="black"/>
        </w:rPr>
        <w:t xml:space="preserve">p) Medalla Militar “Servicios Distinguidos a La Contrainteligencia Aérea”. </w:t>
      </w:r>
      <w:r>
        <w:rPr>
          <w:rFonts w:hAnsi="Arial"/>
          <w:rFonts w:ascii="Arial"/>
          <w:color w:val="black"/>
        </w:rPr>
        <w:t xml:space="preserve">&lt;Medalla adicionada por el artículo </w:t>
      </w:r>
      <w:r>
        <w:fldChar w:fldCharType="begin"/>
      </w:r>
      <w:r>
        <w:instrText>HYPERLINK "http://www.redjurista.com/document.aspx?ajcode=d1333024&amp;arts=2"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1333 de 2024&gt;</w:t>
      </w:r>
    </w:p>
    <w:p>
      <w:pPr>
        <w:jc w:val="both"/>
        <w:keepNext/>
        <w:outlineLvl w:val="1"/>
      </w:pPr>
      <w:r>
        <w:rPr>
          <w:rFonts w:hAnsi="Arial"/>
          <w:rFonts w:ascii="Arial"/>
          <w:sz w:val="24"/>
          <w:color w:val="black"/>
        </w:rPr>
        <w:t xml:space="preserve">q) Medalla Militar “Autoridad Aeronáutica Aviación de Estado”. </w:t>
      </w:r>
      <w:r>
        <w:rPr>
          <w:rFonts w:hAnsi="Arial"/>
          <w:rFonts w:ascii="Arial"/>
          <w:color w:val="black"/>
        </w:rPr>
        <w:t xml:space="preserve">&lt;Medalla adicionada por el artículo </w:t>
      </w:r>
      <w:r>
        <w:fldChar w:fldCharType="begin"/>
      </w:r>
      <w:r>
        <w:instrText>HYPERLINK "http://www.redjurista.com/document.aspx?ajcode=d1333024&amp;arts=2"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1333 de 2024&gt;</w:t>
      </w:r>
    </w:p>
    <w:p>
      <w:pPr>
        <w:jc w:val="both"/>
      </w:pPr>
      <w:r>
        <w:rPr>
          <w:rFonts w:hAnsi="Arial"/>
          <w:rFonts w:ascii="Arial"/>
          <w:sz w:val="24"/>
          <w:color w:val="black"/>
        </w:rPr>
        <w:t xml:space="preserve">r) Medalla Militar “Servicios Distinguidos al Comando Desarrollo Humano”. </w:t>
      </w:r>
      <w:r>
        <w:rPr>
          <w:rFonts w:hAnsi="Arial"/>
          <w:rFonts w:ascii="Arial"/>
          <w:color w:val="black"/>
        </w:rPr>
        <w:t xml:space="preserve">&lt;Medalla adicionada por el artículo </w:t>
      </w:r>
      <w:r>
        <w:fldChar w:fldCharType="begin"/>
      </w:r>
      <w:r>
        <w:instrText>HYPERLINK "http://www.redjurista.com/document.aspx?ajcode=d1333024&amp;arts=2"</w:instrText>
      </w:r>
      <w:r>
        <w:fldChar w:fldCharType="separate"/>
      </w:r>
      <w:r>
        <w:rPr>
          <w:rFonts w:hAnsi="Arial"/>
          <w:rFonts w:ascii="Arial"/>
          <w:u w:val="single"/>
          <w:color w:val="black"/>
        </w:rPr>
        <w:t>2</w:t>
      </w:r>
      <w:r>
        <w:fldChar w:fldCharType="end"/>
      </w:r>
      <w:r>
        <w:rPr>
          <w:rFonts w:hAnsi="Arial"/>
          <w:rFonts w:ascii="Arial"/>
          <w:u w:val="none"/>
          <w:color w:val="black"/>
        </w:rPr>
        <w:t xml:space="preserve"> del Decreto 1333 de 2024&gt;</w:t>
      </w:r>
    </w:p>
    <w:p>
      <w:pPr>
        <w:jc w:val="both"/>
        <w:keepNext/>
      </w:pPr>
      <w:rPr>
        <w:sz w:val="24"/>
        <w:color w:val="black"/>
      </w:rPr>
    </w:p>
    <w:p>
      <w:pPr>
        <w:jc w:val="both"/>
        <w:keepNext/>
      </w:pPr>
      <w:r>
        <w:rPr>
          <w:rFonts w:hAnsi="Arial"/>
          <w:rFonts w:ascii="Arial"/>
          <w:sz w:val="24"/>
          <w:color w:val="black"/>
        </w:rPr>
        <w:t xml:space="preserve">d) Medalla por Tiempo de Servicio.</w:t>
      </w:r>
    </w:p>
    <w:p>
      <w:pPr>
        <w:jc w:val="both"/>
        <w:keepNext/>
      </w:pPr>
      <w:rPr>
        <w:sz w:val="24"/>
        <w:color w:val="black"/>
      </w:rPr>
    </w:p>
    <w:p>
      <w:pPr>
        <w:jc w:val="both"/>
        <w:keepNext/>
      </w:pPr>
      <w:r>
        <w:rPr>
          <w:rFonts w:hAnsi="Arial"/>
          <w:rFonts w:ascii="Arial"/>
          <w:sz w:val="24"/>
          <w:color w:val="black"/>
        </w:rPr>
        <w:t xml:space="preserve">1. Tiempo de servicio 40 años</w:t>
      </w:r>
    </w:p>
    <w:p>
      <w:pPr>
        <w:jc w:val="both"/>
        <w:keepNext/>
      </w:pPr>
      <w:r>
        <w:rPr>
          <w:rFonts w:hAnsi="Arial"/>
          <w:rFonts w:ascii="Arial"/>
          <w:sz w:val="24"/>
          <w:color w:val="black"/>
        </w:rPr>
        <w:t xml:space="preserve">2. Tiempo de servicio 35 años</w:t>
      </w:r>
    </w:p>
    <w:p>
      <w:pPr>
        <w:jc w:val="both"/>
        <w:keepNext/>
      </w:pPr>
      <w:r>
        <w:rPr>
          <w:rFonts w:hAnsi="Arial"/>
          <w:rFonts w:ascii="Arial"/>
          <w:sz w:val="24"/>
          <w:color w:val="black"/>
        </w:rPr>
        <w:t xml:space="preserve">3. Tiempo de servicio 30 años</w:t>
      </w:r>
    </w:p>
    <w:p>
      <w:pPr>
        <w:jc w:val="both"/>
        <w:keepNext/>
      </w:pPr>
      <w:r>
        <w:rPr>
          <w:rFonts w:hAnsi="Arial"/>
          <w:rFonts w:ascii="Arial"/>
          <w:sz w:val="24"/>
          <w:color w:val="black"/>
        </w:rPr>
        <w:t xml:space="preserve">4. Tiempo de servicio 25 años</w:t>
      </w:r>
    </w:p>
    <w:p>
      <w:pPr>
        <w:jc w:val="both"/>
        <w:keepNext/>
      </w:pPr>
      <w:r>
        <w:rPr>
          <w:rFonts w:hAnsi="Arial"/>
          <w:rFonts w:ascii="Arial"/>
          <w:sz w:val="24"/>
          <w:color w:val="black"/>
        </w:rPr>
        <w:t xml:space="preserve">5. Tiempo de servicio 20 años</w:t>
      </w:r>
    </w:p>
    <w:p>
      <w:pPr>
        <w:jc w:val="both"/>
        <w:keepNext/>
      </w:pPr>
      <w:r>
        <w:rPr>
          <w:rFonts w:hAnsi="Arial"/>
          <w:rFonts w:ascii="Arial"/>
          <w:sz w:val="24"/>
          <w:color w:val="black"/>
        </w:rPr>
        <w:t xml:space="preserve">6. Tiempo de servicio 15 años</w:t>
      </w:r>
    </w:p>
    <w:p>
      <w:pPr>
        <w:jc w:val="both"/>
        <w:keepNext/>
      </w:pPr>
      <w:rPr>
        <w:sz w:val="24"/>
        <w:color w:val="black"/>
      </w:rPr>
    </w:p>
    <w:p>
      <w:pPr>
        <w:jc w:val="both"/>
        <w:keepNext/>
      </w:pPr>
      <w:r>
        <w:rPr>
          <w:rFonts w:hAnsi="Arial"/>
          <w:rFonts w:ascii="Arial"/>
          <w:sz w:val="24"/>
          <w:color w:val="black"/>
        </w:rPr>
        <w:t xml:space="preserve">e) Por Mérito Académico.</w:t>
      </w:r>
    </w:p>
    <w:p>
      <w:pPr>
        <w:jc w:val="both"/>
        <w:keepNext/>
      </w:pPr>
      <w:rPr>
        <w:sz w:val="24"/>
        <w:color w:val="black"/>
      </w:rPr>
    </w:p>
    <w:p>
      <w:pPr>
        <w:jc w:val="both"/>
        <w:keepNext/>
      </w:pPr>
      <w:r>
        <w:rPr>
          <w:rFonts w:hAnsi="Arial"/>
          <w:rFonts w:ascii="Arial"/>
          <w:sz w:val="24"/>
          <w:color w:val="black"/>
        </w:rPr>
        <w:t xml:space="preserve">1. Medalla Militar "Francisco José de Caldas".</w:t>
      </w:r>
    </w:p>
    <w:p>
      <w:pPr>
        <w:jc w:val="both"/>
        <w:keepNext/>
      </w:pPr>
      <w:r>
        <w:rPr>
          <w:rFonts w:hAnsi="Arial"/>
          <w:rFonts w:ascii="Arial"/>
          <w:sz w:val="24"/>
          <w:color w:val="black"/>
        </w:rPr>
        <w:t xml:space="preserve">2. Medalla "Cadete José María Rosillo".</w:t>
      </w:r>
    </w:p>
    <w:p>
      <w:pPr>
        <w:jc w:val="both"/>
        <w:keepNext/>
      </w:pPr>
      <w:r>
        <w:rPr>
          <w:rFonts w:hAnsi="Arial"/>
          <w:rFonts w:ascii="Arial"/>
          <w:sz w:val="24"/>
          <w:color w:val="black"/>
        </w:rPr>
        <w:t xml:space="preserve">3. Medalla "Alumno Distinguido de la Escuela de Suboficiales del Ejército Nacional".</w:t>
      </w:r>
    </w:p>
    <w:p>
      <w:pPr>
        <w:jc w:val="both"/>
        <w:keepNext/>
      </w:pPr>
      <w:r>
        <w:rPr>
          <w:rFonts w:hAnsi="Arial"/>
          <w:rFonts w:ascii="Arial"/>
          <w:sz w:val="24"/>
          <w:color w:val="black"/>
        </w:rPr>
        <w:t xml:space="preserve">4. Medalla Alumno Distinguido de la "Escuela Naval de Suboficiales".</w:t>
      </w:r>
    </w:p>
    <w:p>
      <w:pPr>
        <w:jc w:val="both"/>
        <w:keepNext/>
      </w:pPr>
      <w:r>
        <w:rPr>
          <w:rFonts w:hAnsi="Arial"/>
          <w:rFonts w:ascii="Arial"/>
          <w:sz w:val="24"/>
          <w:color w:val="black"/>
        </w:rPr>
        <w:t xml:space="preserve">5. Medalla Militar "Alumno Distinguido de la Escuela de Formación de Infantería de Marina".</w:t>
      </w:r>
    </w:p>
    <w:p>
      <w:pPr>
        <w:jc w:val="both"/>
        <w:keepNext/>
      </w:pPr>
      <w:r>
        <w:rPr>
          <w:rFonts w:hAnsi="Arial"/>
          <w:rFonts w:ascii="Arial"/>
          <w:sz w:val="24"/>
          <w:color w:val="black"/>
        </w:rPr>
        <w:t xml:space="preserve">6. Medalla a la virtud "Capitán José Edmundo Sandoval".</w:t>
      </w:r>
    </w:p>
    <w:p>
      <w:pPr>
        <w:jc w:val="both"/>
        <w:keepNext/>
      </w:pPr>
      <w:rPr>
        <w:sz w:val="24"/>
        <w:color w:val="black"/>
      </w:rPr>
    </w:p>
    <w:p>
      <w:pPr>
        <w:jc w:val="both"/>
        <w:keepNext/>
      </w:pPr>
      <w:r>
        <w:rPr>
          <w:rFonts w:hAnsi="Arial"/>
          <w:rFonts w:ascii="Arial"/>
          <w:sz w:val="24"/>
          <w:color w:val="black"/>
        </w:rPr>
        <w:t xml:space="preserve">f) Por Mérito Deportivo.</w:t>
      </w:r>
    </w:p>
    <w:p>
      <w:pPr>
        <w:jc w:val="both"/>
        <w:keepNext/>
      </w:pPr>
      <w:rPr>
        <w:sz w:val="24"/>
        <w:color w:val="black"/>
      </w:rPr>
    </w:p>
    <w:p>
      <w:pPr>
        <w:jc w:val="both"/>
        <w:keepNext/>
      </w:pPr>
      <w:r>
        <w:rPr>
          <w:rFonts w:hAnsi="Arial"/>
          <w:rFonts w:ascii="Arial"/>
          <w:sz w:val="24"/>
          <w:color w:val="black"/>
        </w:rPr>
        <w:t xml:space="preserve">1. Medalla Deportiva de la Fuerza Pública.</w:t>
      </w:r>
    </w:p>
    <w:p>
      <w:pPr>
        <w:jc w:val="both"/>
        <w:keepNext/>
      </w:pPr>
      <w:rPr>
        <w:sz w:val="24"/>
        <w:color w:val="black"/>
      </w:rPr>
    </w:p>
    <w:p>
      <w:pPr>
        <w:jc w:val="both"/>
        <w:keepNext/>
      </w:pPr>
      <w:r>
        <w:rPr>
          <w:rFonts w:hAnsi="Arial"/>
          <w:rFonts w:ascii="Arial"/>
          <w:sz w:val="24"/>
          <w:i/>
          <w:color w:val="black"/>
        </w:rPr>
        <w:t xml:space="preserve">(Decreto 4444 de 2010 artículo </w:t>
      </w:r>
      <w:r>
        <w:fldChar w:fldCharType="begin"/>
      </w:r>
      <w:r>
        <w:instrText>HYPERLINK "http://www.redjurista.com/document.aspx?ajcode=d4444010&amp;arts=6"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adicionado por los Decretos </w:t>
      </w:r>
      <w:r>
        <w:fldChar w:fldCharType="begin"/>
      </w:r>
      <w:r>
        <w:instrText>HYPERLINK "http://www.redjurista.com/document.aspx?ajcode=d2066011&amp;arts=INICIO"</w:instrText>
      </w:r>
      <w:r>
        <w:fldChar w:fldCharType="separate"/>
      </w:r>
      <w:r>
        <w:rPr>
          <w:rFonts w:hAnsi="Arial"/>
          <w:rFonts w:ascii="Arial"/>
          <w:sz w:val="24"/>
          <w:i/>
          <w:u w:val="single"/>
          <w:color w:val="black"/>
        </w:rPr>
        <w:t>2066</w:t>
      </w:r>
      <w:r>
        <w:fldChar w:fldCharType="end"/>
      </w:r>
      <w:r>
        <w:rPr>
          <w:rFonts w:hAnsi="Arial"/>
          <w:rFonts w:ascii="Arial"/>
          <w:sz w:val="24"/>
          <w:i/>
          <w:u w:val="none"/>
          <w:color w:val="black"/>
        </w:rPr>
        <w:t xml:space="preserve"> /11, </w:t>
      </w:r>
      <w:r>
        <w:fldChar w:fldCharType="begin"/>
      </w:r>
      <w:r>
        <w:instrText>HYPERLINK "http://www.redjurista.com/document.aspx?ajcode=d0961012&amp;arts=INICIO"</w:instrText>
      </w:r>
      <w:r>
        <w:fldChar w:fldCharType="separate"/>
      </w:r>
      <w:r>
        <w:rPr>
          <w:rFonts w:hAnsi="Arial"/>
          <w:rFonts w:ascii="Arial"/>
          <w:sz w:val="24"/>
          <w:i/>
          <w:u w:val="single"/>
          <w:color w:val="black"/>
        </w:rPr>
        <w:t>0961</w:t>
      </w:r>
      <w:r>
        <w:fldChar w:fldCharType="end"/>
      </w:r>
      <w:r>
        <w:rPr>
          <w:rFonts w:hAnsi="Arial"/>
          <w:rFonts w:ascii="Arial"/>
          <w:sz w:val="24"/>
          <w:i/>
          <w:u w:val="none"/>
          <w:color w:val="black"/>
        </w:rPr>
        <w:t xml:space="preserve"> /12, </w:t>
      </w:r>
      <w:r>
        <w:fldChar w:fldCharType="begin"/>
      </w:r>
      <w:r>
        <w:instrText>HYPERLINK "http://www.redjurista.com/document.aspx?ajcode=d1409012&amp;arts=INICIO"</w:instrText>
      </w:r>
      <w:r>
        <w:fldChar w:fldCharType="separate"/>
      </w:r>
      <w:r>
        <w:rPr>
          <w:rFonts w:hAnsi="Arial"/>
          <w:rFonts w:ascii="Arial"/>
          <w:sz w:val="24"/>
          <w:i/>
          <w:u w:val="single"/>
          <w:color w:val="black"/>
        </w:rPr>
        <w:t>1409</w:t>
      </w:r>
      <w:r>
        <w:fldChar w:fldCharType="end"/>
      </w:r>
      <w:r>
        <w:rPr>
          <w:rFonts w:hAnsi="Arial"/>
          <w:rFonts w:ascii="Arial"/>
          <w:sz w:val="24"/>
          <w:i/>
          <w:u w:val="none"/>
          <w:color w:val="black"/>
        </w:rPr>
        <w:t xml:space="preserve"> /12, </w:t>
      </w:r>
      <w:r>
        <w:fldChar w:fldCharType="begin"/>
      </w:r>
      <w:r>
        <w:instrText>HYPERLINK "http://www.redjurista.com/document.aspx?ajcode=d2281012&amp;arts=INICIO"</w:instrText>
      </w:r>
      <w:r>
        <w:fldChar w:fldCharType="separate"/>
      </w:r>
      <w:r>
        <w:rPr>
          <w:rFonts w:hAnsi="Arial"/>
          <w:rFonts w:ascii="Arial"/>
          <w:sz w:val="24"/>
          <w:i/>
          <w:u w:val="single"/>
          <w:color w:val="black"/>
        </w:rPr>
        <w:t>2281</w:t>
      </w:r>
      <w:r>
        <w:fldChar w:fldCharType="end"/>
      </w:r>
      <w:r>
        <w:rPr>
          <w:rFonts w:hAnsi="Arial"/>
          <w:rFonts w:ascii="Arial"/>
          <w:sz w:val="24"/>
          <w:i/>
          <w:u w:val="none"/>
          <w:color w:val="black"/>
        </w:rPr>
        <w:t xml:space="preserve"> /12, </w:t>
      </w:r>
      <w:r>
        <w:fldChar w:fldCharType="begin"/>
      </w:r>
      <w:r>
        <w:instrText>HYPERLINK "http://www.redjurista.com/document.aspx?ajcode=d1425013&amp;arts=INICIO"</w:instrText>
      </w:r>
      <w:r>
        <w:fldChar w:fldCharType="separate"/>
      </w:r>
      <w:r>
        <w:rPr>
          <w:rFonts w:hAnsi="Arial"/>
          <w:rFonts w:ascii="Arial"/>
          <w:sz w:val="24"/>
          <w:i/>
          <w:u w:val="single"/>
          <w:color w:val="black"/>
        </w:rPr>
        <w:t>1425</w:t>
      </w:r>
      <w:r>
        <w:fldChar w:fldCharType="end"/>
      </w:r>
      <w:r>
        <w:rPr>
          <w:rFonts w:hAnsi="Arial"/>
          <w:rFonts w:ascii="Arial"/>
          <w:sz w:val="24"/>
          <w:i/>
          <w:u w:val="none"/>
          <w:color w:val="black"/>
        </w:rPr>
        <w:t xml:space="preserve"> /13, </w:t>
      </w:r>
      <w:r>
        <w:fldChar w:fldCharType="begin"/>
      </w:r>
      <w:r>
        <w:instrText>HYPERLINK "http://www.redjurista.com/document.aspx?ajcode=d2457013&amp;arts=INICIO"</w:instrText>
      </w:r>
      <w:r>
        <w:fldChar w:fldCharType="separate"/>
      </w:r>
      <w:r>
        <w:rPr>
          <w:rFonts w:hAnsi="Arial"/>
          <w:rFonts w:ascii="Arial"/>
          <w:sz w:val="24"/>
          <w:i/>
          <w:u w:val="single"/>
          <w:color w:val="black"/>
        </w:rPr>
        <w:t>2457</w:t>
      </w:r>
      <w:r>
        <w:fldChar w:fldCharType="end"/>
      </w:r>
      <w:r>
        <w:rPr>
          <w:rFonts w:hAnsi="Arial"/>
          <w:rFonts w:ascii="Arial"/>
          <w:sz w:val="24"/>
          <w:i/>
          <w:u w:val="none"/>
          <w:color w:val="black"/>
        </w:rPr>
        <w:t xml:space="preserve"> /13, </w:t>
      </w:r>
      <w:r>
        <w:fldChar w:fldCharType="begin"/>
      </w:r>
      <w:r>
        <w:instrText>HYPERLINK "http://www.redjurista.com/document.aspx?ajcode=d0151014&amp;arts=INICIO"</w:instrText>
      </w:r>
      <w:r>
        <w:fldChar w:fldCharType="separate"/>
      </w:r>
      <w:r>
        <w:rPr>
          <w:rFonts w:hAnsi="Arial"/>
          <w:rFonts w:ascii="Arial"/>
          <w:sz w:val="24"/>
          <w:i/>
          <w:u w:val="single"/>
          <w:color w:val="black"/>
        </w:rPr>
        <w:t>0151</w:t>
      </w:r>
      <w:r>
        <w:fldChar w:fldCharType="end"/>
      </w:r>
      <w:r>
        <w:rPr>
          <w:rFonts w:hAnsi="Arial"/>
          <w:rFonts w:ascii="Arial"/>
          <w:sz w:val="24"/>
          <w:i/>
          <w:u w:val="none"/>
          <w:color w:val="black"/>
        </w:rPr>
        <w:t xml:space="preserve"> /14, </w:t>
      </w:r>
      <w:r>
        <w:fldChar w:fldCharType="begin"/>
      </w:r>
      <w:r>
        <w:instrText>HYPERLINK "http://www.redjurista.com/document.aspx?ajcode=d0932014&amp;arts=INICIO"</w:instrText>
      </w:r>
      <w:r>
        <w:fldChar w:fldCharType="separate"/>
      </w:r>
      <w:r>
        <w:rPr>
          <w:rFonts w:hAnsi="Arial"/>
          <w:rFonts w:ascii="Arial"/>
          <w:sz w:val="24"/>
          <w:i/>
          <w:u w:val="single"/>
          <w:color w:val="black"/>
        </w:rPr>
        <w:t>0932</w:t>
      </w:r>
      <w:r>
        <w:fldChar w:fldCharType="end"/>
      </w:r>
      <w:r>
        <w:rPr>
          <w:rFonts w:hAnsi="Arial"/>
          <w:rFonts w:ascii="Arial"/>
          <w:sz w:val="24"/>
          <w:i/>
          <w:u w:val="none"/>
          <w:color w:val="black"/>
        </w:rPr>
        <w:t xml:space="preserve"> /14, </w:t>
      </w:r>
      <w:r>
        <w:fldChar w:fldCharType="begin"/>
      </w:r>
      <w:r>
        <w:instrText>HYPERLINK "http://www.redjurista.com/document.aspx?ajcode=d1096014&amp;arts=INICIO"</w:instrText>
      </w:r>
      <w:r>
        <w:fldChar w:fldCharType="separate"/>
      </w:r>
      <w:r>
        <w:rPr>
          <w:rFonts w:hAnsi="Arial"/>
          <w:rFonts w:ascii="Arial"/>
          <w:sz w:val="24"/>
          <w:i/>
          <w:u w:val="single"/>
          <w:color w:val="black"/>
        </w:rPr>
        <w:t>1096</w:t>
      </w:r>
      <w:r>
        <w:fldChar w:fldCharType="end"/>
      </w:r>
      <w:r>
        <w:rPr>
          <w:rFonts w:hAnsi="Arial"/>
          <w:rFonts w:ascii="Arial"/>
          <w:sz w:val="24"/>
          <w:i/>
          <w:u w:val="none"/>
          <w:color w:val="black"/>
        </w:rPr>
        <w:t xml:space="preserve"> /14, </w:t>
      </w:r>
      <w:r>
        <w:fldChar w:fldCharType="begin"/>
      </w:r>
      <w:r>
        <w:instrText>HYPERLINK "http://www.redjurista.com/document.aspx?ajcode=d1599014&amp;arts=INICIO"</w:instrText>
      </w:r>
      <w:r>
        <w:fldChar w:fldCharType="separate"/>
      </w:r>
      <w:r>
        <w:rPr>
          <w:rFonts w:hAnsi="Arial"/>
          <w:rFonts w:ascii="Arial"/>
          <w:sz w:val="24"/>
          <w:i/>
          <w:u w:val="single"/>
          <w:color w:val="black"/>
        </w:rPr>
        <w:t>1599</w:t>
      </w:r>
      <w:r>
        <w:fldChar w:fldCharType="end"/>
      </w:r>
      <w:r>
        <w:rPr>
          <w:rFonts w:hAnsi="Arial"/>
          <w:rFonts w:ascii="Arial"/>
          <w:sz w:val="24"/>
          <w:i/>
          <w:u w:val="none"/>
          <w:color w:val="black"/>
        </w:rPr>
        <w:t xml:space="preserve"> /14 y </w:t>
      </w:r>
      <w:r>
        <w:fldChar w:fldCharType="begin"/>
      </w:r>
      <w:r>
        <w:instrText>HYPERLINK "http://www.redjurista.com/document.aspx?ajcode=d1697014&amp;arts=INICIO"</w:instrText>
      </w:r>
      <w:r>
        <w:fldChar w:fldCharType="separate"/>
      </w:r>
      <w:r>
        <w:rPr>
          <w:rFonts w:hAnsi="Arial"/>
          <w:rFonts w:ascii="Arial"/>
          <w:sz w:val="24"/>
          <w:i/>
          <w:u w:val="single"/>
          <w:color w:val="black"/>
        </w:rPr>
        <w:t>1697</w:t>
      </w:r>
      <w:r>
        <w:fldChar w:fldCharType="end"/>
      </w:r>
      <w:r>
        <w:rPr>
          <w:rFonts w:hAnsi="Arial"/>
          <w:rFonts w:ascii="Arial"/>
          <w:sz w:val="24"/>
          <w:i/>
          <w:u w:val="none"/>
          <w:color w:val="black"/>
        </w:rPr>
        <w:t xml:space="preserve"> /14)</w:t>
      </w:r>
    </w:p>
    <w:p>
      <w:pPr>
        <w:jc w:val="both"/>
      </w:pPr>
      <w:rPr>
        <w:color w:val="black"/>
      </w:rPr>
    </w:p>
    <w:p>
      <w:pPr>
        <w:jc w:val="both"/>
      </w:pPr>
      <w:r>
        <w:rPr>
          <w:rFonts w:hAnsi="Arial"/>
          <w:rFonts w:ascii="Arial"/>
          <w:sz w:val="24"/>
          <w:vanish/>
          <w:color w:val="black"/>
        </w:rPr>
        <w:t>&amp;$</w:t>
      </w:r>
      <w:bookmarkStart w:id="60499" w:name="2.3.1.3.2.2"/>
      <w:r>
        <w:rPr>
          <w:rFonts w:hAnsi="Arial"/>
          <w:rFonts w:ascii="Arial"/>
          <w:sz w:val="24"/>
          <w:color w:val="navy"/>
        </w:rPr>
        <w:t xml:space="preserve">ARTÍCULO 2.3.1.3.2.2. </w:t>
      </w:r>
      <w:r>
        <w:rPr>
          <w:rFonts w:hAnsi="Arial"/>
          <w:rFonts w:ascii="Arial"/>
          <w:sz w:val="24"/>
          <w:i/>
          <w:color w:val="navy"/>
        </w:rPr>
        <w:t xml:space="preserve">PRECEDENCIA DE LAS CONDECORACIONES.</w:t>
      </w:r>
      <w:bookmarkEnd w:id="60499"/>
      <w:r>
        <w:rPr>
          <w:rFonts w:hAnsi="Arial"/>
          <w:rFonts w:ascii="Arial"/>
          <w:sz w:val="24"/>
          <w:b/>
          <w:i/>
          <w:color w:val="black"/>
        </w:rPr>
        <w:t xml:space="preserve"> </w:t>
      </w:r>
      <w:r>
        <w:rPr>
          <w:rFonts w:hAnsi="Arial"/>
          <w:rFonts w:ascii="Arial"/>
          <w:sz w:val="24"/>
          <w:color w:val="black"/>
        </w:rPr>
        <w:t xml:space="preserve">Las condecoraciones militares nacionales tienen prelación sobre las extranjeras y su orden de precedencia es el siguiente:</w:t>
      </w:r>
    </w:p>
    <w:p>
      <w:pPr>
        <w:jc w:val="both"/>
      </w:pPr>
      <w:rPr>
        <w:sz w:val="24"/>
        <w:color w:val="black"/>
      </w:rPr>
    </w:p>
    <w:p>
      <w:pPr>
        <w:jc w:val="both"/>
      </w:pPr>
      <w:r>
        <w:rPr>
          <w:rFonts w:hAnsi="Arial"/>
          <w:rFonts w:ascii="Arial"/>
          <w:sz w:val="24"/>
          <w:color w:val="black"/>
        </w:rPr>
        <w:t xml:space="preserve">&lt;Numeración renumerada por modificaciones posteriores&gt; </w:t>
      </w:r>
    </w:p>
    <w:p>
      <w:pPr>
        <w:jc w:val="both"/>
      </w:pPr>
      <w:rPr>
        <w:sz w:val="24"/>
        <w:color w:val="black"/>
      </w:rPr>
    </w:p>
    <w:p>
      <w:pPr>
        <w:jc w:val="both"/>
      </w:pPr>
      <w:r>
        <w:rPr>
          <w:rFonts w:hAnsi="Arial"/>
          <w:rFonts w:ascii="Arial"/>
          <w:sz w:val="24"/>
          <w:color w:val="black"/>
        </w:rPr>
        <w:t xml:space="preserve">1. Orden Militar de "San Mateo".</w:t>
      </w:r>
    </w:p>
    <w:p>
      <w:pPr>
        <w:jc w:val="both"/>
      </w:pPr>
      <w:rPr>
        <w:sz w:val="24"/>
        <w:color w:val="black"/>
      </w:rPr>
    </w:p>
    <w:p>
      <w:pPr>
        <w:jc w:val="both"/>
      </w:pPr>
      <w:r>
        <w:rPr>
          <w:rFonts w:hAnsi="Arial"/>
          <w:rFonts w:ascii="Arial"/>
          <w:sz w:val="24"/>
          <w:color w:val="black"/>
        </w:rPr>
        <w:t xml:space="preserve">2. Orden de "Boyacá".</w:t>
      </w:r>
    </w:p>
    <w:p>
      <w:pPr>
        <w:jc w:val="both"/>
      </w:pPr>
      <w:rPr>
        <w:sz w:val="24"/>
        <w:color w:val="black"/>
      </w:rPr>
    </w:p>
    <w:p>
      <w:pPr>
        <w:jc w:val="both"/>
      </w:pPr>
      <w:r>
        <w:rPr>
          <w:rFonts w:hAnsi="Arial"/>
          <w:rFonts w:ascii="Arial"/>
          <w:sz w:val="24"/>
          <w:color w:val="black"/>
        </w:rPr>
        <w:t xml:space="preserve">3. Orden de "San Carlos".</w:t>
      </w:r>
    </w:p>
    <w:p>
      <w:pPr>
        <w:jc w:val="both"/>
      </w:pPr>
      <w:rPr>
        <w:sz w:val="24"/>
        <w:color w:val="black"/>
      </w:rPr>
    </w:p>
    <w:p>
      <w:pPr>
        <w:jc w:val="both"/>
      </w:pPr>
      <w:r>
        <w:rPr>
          <w:rFonts w:hAnsi="Arial"/>
          <w:rFonts w:ascii="Arial"/>
          <w:sz w:val="24"/>
          <w:color w:val="black"/>
        </w:rPr>
        <w:t xml:space="preserve">4. Medalla Servicios en "Guerra Internacional".</w:t>
      </w:r>
    </w:p>
    <w:p>
      <w:pPr>
        <w:jc w:val="both"/>
      </w:pPr>
      <w:rPr>
        <w:sz w:val="24"/>
        <w:color w:val="black"/>
      </w:rPr>
    </w:p>
    <w:p>
      <w:pPr>
        <w:jc w:val="both"/>
      </w:pPr>
      <w:r>
        <w:rPr>
          <w:rFonts w:hAnsi="Arial"/>
          <w:rFonts w:ascii="Arial"/>
          <w:sz w:val="24"/>
          <w:color w:val="black"/>
        </w:rPr>
        <w:t xml:space="preserve">5. Orden del Mérito Militar "Antonio Nariño".</w:t>
      </w:r>
    </w:p>
    <w:p>
      <w:pPr>
        <w:jc w:val="both"/>
      </w:pPr>
      <w:rPr>
        <w:sz w:val="24"/>
        <w:color w:val="black"/>
      </w:rPr>
    </w:p>
    <w:p>
      <w:pPr>
        <w:jc w:val="both"/>
      </w:pPr>
      <w:r>
        <w:rPr>
          <w:rFonts w:hAnsi="Arial"/>
          <w:rFonts w:ascii="Arial"/>
          <w:sz w:val="24"/>
          <w:color w:val="black"/>
        </w:rPr>
        <w:t xml:space="preserve">6. Orden del Mérito Militar "José María Córdova".</w:t>
      </w:r>
    </w:p>
    <w:p>
      <w:pPr>
        <w:jc w:val="both"/>
      </w:pPr>
      <w:rPr>
        <w:sz w:val="24"/>
        <w:color w:val="black"/>
      </w:rPr>
    </w:p>
    <w:p>
      <w:pPr>
        <w:jc w:val="both"/>
      </w:pPr>
      <w:r>
        <w:rPr>
          <w:rFonts w:hAnsi="Arial"/>
          <w:rFonts w:ascii="Arial"/>
          <w:sz w:val="24"/>
          <w:color w:val="black"/>
        </w:rPr>
        <w:t xml:space="preserve">7. Orden del Mérito Naval "Almirante Padilla".</w:t>
      </w:r>
    </w:p>
    <w:p>
      <w:pPr>
        <w:jc w:val="both"/>
      </w:pPr>
      <w:rPr>
        <w:sz w:val="24"/>
        <w:color w:val="black"/>
      </w:rPr>
    </w:p>
    <w:p>
      <w:pPr>
        <w:jc w:val="both"/>
      </w:pPr>
      <w:r>
        <w:rPr>
          <w:rFonts w:hAnsi="Arial"/>
          <w:rFonts w:ascii="Arial"/>
          <w:sz w:val="24"/>
          <w:color w:val="black"/>
        </w:rPr>
        <w:t xml:space="preserve">8. Cruz de la Fuerza Aérea al "Mérito Aeronáutico".</w:t>
      </w:r>
    </w:p>
    <w:p>
      <w:pPr>
        <w:jc w:val="both"/>
      </w:pPr>
      <w:rPr>
        <w:sz w:val="24"/>
        <w:color w:val="black"/>
      </w:rPr>
    </w:p>
    <w:p>
      <w:pPr>
        <w:jc w:val="both"/>
      </w:pPr>
      <w:r>
        <w:rPr>
          <w:rFonts w:hAnsi="Arial"/>
          <w:rFonts w:ascii="Arial"/>
          <w:sz w:val="24"/>
          <w:color w:val="black"/>
        </w:rPr>
        <w:t xml:space="preserve">9. Orden del Mérito Sanitario "José Fernández Madrid".</w:t>
      </w:r>
    </w:p>
    <w:p>
      <w:pPr>
        <w:jc w:val="both"/>
      </w:pPr>
      <w:rPr>
        <w:sz w:val="24"/>
        <w:color w:val="black"/>
      </w:rPr>
    </w:p>
    <w:p>
      <w:pPr>
        <w:jc w:val="both"/>
      </w:pPr>
      <w:r>
        <w:rPr>
          <w:rFonts w:hAnsi="Arial"/>
          <w:rFonts w:ascii="Arial"/>
          <w:sz w:val="24"/>
          <w:color w:val="black"/>
        </w:rPr>
        <w:t xml:space="preserve">10. Orden "Estrella de la Policía".</w:t>
      </w:r>
    </w:p>
    <w:p>
      <w:pPr>
        <w:jc w:val="both"/>
      </w:pPr>
      <w:rPr>
        <w:sz w:val="24"/>
        <w:color w:val="black"/>
      </w:rPr>
    </w:p>
    <w:p>
      <w:pPr>
        <w:jc w:val="both"/>
      </w:pPr>
      <w:r>
        <w:rPr>
          <w:rFonts w:hAnsi="Arial"/>
          <w:rFonts w:ascii="Arial"/>
          <w:sz w:val="24"/>
          <w:color w:val="black"/>
        </w:rPr>
        <w:t xml:space="preserve">11. Orden Militar "13 de junio".</w:t>
      </w:r>
    </w:p>
    <w:p>
      <w:pPr>
        <w:jc w:val="both"/>
      </w:pPr>
      <w:rPr>
        <w:sz w:val="24"/>
        <w:color w:val="black"/>
      </w:rPr>
    </w:p>
    <w:p>
      <w:pPr>
        <w:jc w:val="both"/>
      </w:pPr>
      <w:r>
        <w:rPr>
          <w:rFonts w:hAnsi="Arial"/>
          <w:rFonts w:ascii="Arial"/>
          <w:sz w:val="24"/>
          <w:color w:val="black"/>
        </w:rPr>
        <w:t xml:space="preserve">12. Medalla Militar "Al Valor".</w:t>
      </w:r>
    </w:p>
    <w:p>
      <w:pPr>
        <w:jc w:val="both"/>
      </w:pPr>
      <w:rPr>
        <w:sz w:val="24"/>
        <w:color w:val="black"/>
      </w:rPr>
    </w:p>
    <w:p>
      <w:pPr>
        <w:jc w:val="both"/>
      </w:pPr>
      <w:r>
        <w:rPr>
          <w:rFonts w:hAnsi="Arial"/>
          <w:rFonts w:ascii="Arial"/>
          <w:sz w:val="24"/>
          <w:color w:val="black"/>
        </w:rPr>
        <w:t xml:space="preserve">13. Medalla Militar "Herido en Acción".</w:t>
      </w:r>
    </w:p>
    <w:p>
      <w:pPr>
        <w:jc w:val="both"/>
      </w:pPr>
      <w:rPr>
        <w:sz w:val="24"/>
        <w:color w:val="black"/>
      </w:rPr>
    </w:p>
    <w:p>
      <w:pPr>
        <w:jc w:val="both"/>
      </w:pPr>
      <w:r>
        <w:rPr>
          <w:rFonts w:hAnsi="Arial"/>
          <w:rFonts w:ascii="Arial"/>
          <w:sz w:val="24"/>
          <w:color w:val="black"/>
        </w:rPr>
        <w:t xml:space="preserve">14. Medalla Servicios Distinguidos en "Orden Público".</w:t>
      </w:r>
    </w:p>
    <w:p>
      <w:pPr>
        <w:jc w:val="both"/>
      </w:pPr>
      <w:rPr>
        <w:sz w:val="24"/>
        <w:color w:val="black"/>
      </w:rPr>
    </w:p>
    <w:p>
      <w:pPr>
        <w:jc w:val="both"/>
        <w:outlineLvl w:val="1"/>
        <w:tabs>
          <w:tab w:val="left" w:leader="none" w:pos="8840"/>
        </w:tabs>
      </w:pPr>
      <w:r>
        <w:rPr>
          <w:rFonts w:hAnsi="Arial"/>
          <w:rFonts w:ascii="Arial"/>
          <w:sz w:val="24"/>
          <w:u w:val="single"/>
          <w:color w:val="black"/>
        </w:rPr>
        <w:t xml:space="preserve">15. Medalla Militar “Cruz de Plata en Operaciones Especiales”.</w:t>
      </w:r>
      <w:r>
        <w:rPr>
          <w:rFonts w:hAnsi="Arial"/>
          <w:rFonts w:ascii="Arial"/>
          <w:sz w:val="24"/>
          <w:u w:val="none"/>
          <w:color w:val="black"/>
        </w:rPr>
        <w:t xml:space="preserve"> &lt;Reubicada por el artículo </w:t>
      </w:r>
      <w:r>
        <w:fldChar w:fldCharType="begin"/>
      </w:r>
      <w:r>
        <w:instrText>HYPERLINK "http://www.redjurista.com/document.aspx?ajcode=d1564022&amp;arts=1"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1564 de 2022&gt;</w:t>
      </w:r>
    </w:p>
    <w:p>
      <w:pPr>
        <w:jc w:val="both"/>
      </w:pPr>
      <w:rPr>
        <w:sz w:val="24"/>
        <w:color w:val="black"/>
      </w:rPr>
    </w:p>
    <w:p>
      <w:pPr>
        <w:jc w:val="both"/>
        <w:outlineLvl w:val="1"/>
        <w:tabs>
          <w:tab w:val="left" w:leader="none" w:pos="8840"/>
        </w:tabs>
      </w:pPr>
      <w:r>
        <w:rPr>
          <w:rFonts w:hAnsi="Arial"/>
          <w:rFonts w:ascii="Arial"/>
          <w:sz w:val="24"/>
          <w:u w:val="single"/>
          <w:color w:val="black"/>
        </w:rPr>
        <w:t xml:space="preserve">16. Medalla “Servicios Distinguidos en Operaciones Especiales”.</w:t>
      </w:r>
      <w:r>
        <w:rPr>
          <w:rFonts w:hAnsi="Arial"/>
          <w:rFonts w:ascii="Arial"/>
          <w:sz w:val="24"/>
          <w:u w:val="none"/>
          <w:color w:val="black"/>
        </w:rPr>
        <w:t xml:space="preserve"> &lt;Reubicada por el artículo </w:t>
      </w:r>
      <w:r>
        <w:fldChar w:fldCharType="begin"/>
      </w:r>
      <w:r>
        <w:instrText>HYPERLINK "http://www.redjurista.com/document.aspx?ajcode=d1564022&amp;arts=1"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1564 de 2022&gt;</w:t>
      </w:r>
    </w:p>
    <w:p>
      <w:pPr>
        <w:jc w:val="both"/>
      </w:pPr>
      <w:rPr>
        <w:sz w:val="24"/>
        <w:color w:val="black"/>
      </w:rPr>
    </w:p>
    <w:p>
      <w:pPr>
        <w:jc w:val="both"/>
      </w:pPr>
      <w:r>
        <w:rPr>
          <w:rFonts w:hAnsi="Arial"/>
          <w:rFonts w:ascii="Arial"/>
          <w:sz w:val="24"/>
          <w:color w:val="black"/>
        </w:rPr>
        <w:t xml:space="preserve">17. </w:t>
      </w:r>
      <w:r>
        <w:rPr>
          <w:rFonts w:hAnsi="Arial"/>
          <w:rFonts w:ascii="Arial"/>
          <w:sz w:val="24"/>
          <w:strike w:val="1"/>
          <w:color w:val="black"/>
        </w:rPr>
        <w:t>15</w:t>
      </w:r>
      <w:r>
        <w:rPr>
          <w:rFonts w:hAnsi="Arial"/>
          <w:rFonts w:ascii="Arial"/>
          <w:sz w:val="24"/>
          <w:color w:val="black"/>
        </w:rPr>
        <w:t xml:space="preserve">. Orden "Cruz al Mérito Policial".</w:t>
      </w:r>
    </w:p>
    <w:p>
      <w:pPr>
        <w:jc w:val="both"/>
      </w:pPr>
      <w:rPr>
        <w:sz w:val="24"/>
        <w:color w:val="black"/>
      </w:rPr>
    </w:p>
    <w:p>
      <w:pPr>
        <w:jc w:val="both"/>
      </w:pPr>
      <w:r>
        <w:rPr>
          <w:rFonts w:hAnsi="Arial"/>
          <w:rFonts w:ascii="Arial"/>
          <w:sz w:val="24"/>
          <w:color w:val="black"/>
        </w:rPr>
        <w:t xml:space="preserve">18. </w:t>
      </w:r>
      <w:r>
        <w:rPr>
          <w:rFonts w:hAnsi="Arial"/>
          <w:rFonts w:ascii="Arial"/>
          <w:sz w:val="24"/>
          <w:strike w:val="1"/>
          <w:color w:val="black"/>
        </w:rPr>
        <w:t>16</w:t>
      </w:r>
      <w:r>
        <w:rPr>
          <w:rFonts w:hAnsi="Arial"/>
          <w:rFonts w:ascii="Arial"/>
          <w:sz w:val="24"/>
          <w:color w:val="black"/>
        </w:rPr>
        <w:t xml:space="preserve">. Orden al Mérito "Coronel Guillermo Fergusson".</w:t>
      </w:r>
    </w:p>
    <w:p>
      <w:pPr>
        <w:jc w:val="both"/>
      </w:pPr>
      <w:rPr>
        <w:sz w:val="24"/>
        <w:color w:val="black"/>
      </w:rPr>
    </w:p>
    <w:p>
      <w:pPr>
        <w:jc w:val="both"/>
      </w:pPr>
      <w:r>
        <w:rPr>
          <w:rFonts w:hAnsi="Arial"/>
          <w:rFonts w:ascii="Arial"/>
          <w:sz w:val="24"/>
          <w:color w:val="black"/>
        </w:rPr>
        <w:t xml:space="preserve">19. </w:t>
      </w:r>
      <w:r>
        <w:rPr>
          <w:rFonts w:hAnsi="Arial"/>
          <w:rFonts w:ascii="Arial"/>
          <w:sz w:val="24"/>
          <w:strike w:val="1"/>
          <w:color w:val="black"/>
        </w:rPr>
        <w:t>17</w:t>
      </w:r>
      <w:r>
        <w:rPr>
          <w:rFonts w:hAnsi="Arial"/>
          <w:rFonts w:ascii="Arial"/>
          <w:sz w:val="24"/>
          <w:color w:val="black"/>
        </w:rPr>
        <w:t xml:space="preserve">. Medalla Militar "Francisco José de Caldas".</w:t>
      </w:r>
    </w:p>
    <w:p>
      <w:pPr>
        <w:jc w:val="both"/>
      </w:pPr>
      <w:rPr>
        <w:sz w:val="24"/>
        <w:color w:val="black"/>
      </w:rPr>
    </w:p>
    <w:p>
      <w:pPr>
        <w:jc w:val="both"/>
      </w:pPr>
      <w:r>
        <w:rPr>
          <w:rFonts w:hAnsi="Arial"/>
          <w:rFonts w:ascii="Arial"/>
          <w:sz w:val="24"/>
          <w:color w:val="black"/>
        </w:rPr>
        <w:t xml:space="preserve">20. </w:t>
      </w:r>
      <w:r>
        <w:rPr>
          <w:rFonts w:hAnsi="Arial"/>
          <w:rFonts w:ascii="Arial"/>
          <w:sz w:val="24"/>
          <w:strike w:val="1"/>
          <w:color w:val="black"/>
        </w:rPr>
        <w:t>18</w:t>
      </w:r>
      <w:r>
        <w:rPr>
          <w:rFonts w:hAnsi="Arial"/>
          <w:rFonts w:ascii="Arial"/>
          <w:sz w:val="24"/>
          <w:color w:val="black"/>
        </w:rPr>
        <w:t xml:space="preserve">. Medalla por "Tiempo de Servicio" (40; 35; 30; 25; 20; 15).</w:t>
      </w:r>
    </w:p>
    <w:p>
      <w:pPr>
        <w:jc w:val="both"/>
      </w:pPr>
      <w:rPr>
        <w:sz w:val="24"/>
        <w:color w:val="black"/>
      </w:rPr>
    </w:p>
    <w:p>
      <w:pPr>
        <w:jc w:val="both"/>
      </w:pPr>
      <w:r>
        <w:rPr>
          <w:rFonts w:hAnsi="Arial"/>
          <w:rFonts w:ascii="Arial"/>
          <w:sz w:val="24"/>
          <w:color w:val="black"/>
        </w:rPr>
        <w:t xml:space="preserve">21. </w:t>
      </w:r>
      <w:r>
        <w:rPr>
          <w:rFonts w:hAnsi="Arial"/>
          <w:rFonts w:ascii="Arial"/>
          <w:sz w:val="24"/>
          <w:strike w:val="1"/>
          <w:color w:val="black"/>
        </w:rPr>
        <w:t>19</w:t>
      </w:r>
      <w:r>
        <w:rPr>
          <w:rFonts w:hAnsi="Arial"/>
          <w:rFonts w:ascii="Arial"/>
          <w:sz w:val="24"/>
          <w:color w:val="black"/>
        </w:rPr>
        <w:t xml:space="preserve">. Medalla "Fe en la Causa" del Comando General de las Fuerzas Militares</w:t>
      </w:r>
    </w:p>
    <w:p>
      <w:pPr>
        <w:jc w:val="both"/>
      </w:pPr>
      <w:rPr>
        <w:sz w:val="24"/>
        <w:color w:val="black"/>
      </w:rPr>
    </w:p>
    <w:p>
      <w:pPr>
        <w:jc w:val="both"/>
      </w:pPr>
      <w:r>
        <w:rPr>
          <w:rFonts w:hAnsi="Arial"/>
          <w:rFonts w:ascii="Arial"/>
          <w:sz w:val="24"/>
          <w:color w:val="black"/>
        </w:rPr>
        <w:t xml:space="preserve">22. </w:t>
      </w:r>
      <w:r>
        <w:rPr>
          <w:rFonts w:hAnsi="Arial"/>
          <w:rFonts w:ascii="Arial"/>
          <w:sz w:val="24"/>
          <w:strike w:val="1"/>
          <w:color w:val="black"/>
        </w:rPr>
        <w:t>20</w:t>
      </w:r>
      <w:r>
        <w:rPr>
          <w:rFonts w:hAnsi="Arial"/>
          <w:rFonts w:ascii="Arial"/>
          <w:sz w:val="24"/>
          <w:color w:val="black"/>
        </w:rPr>
        <w:t xml:space="preserve">. Medalla Militar "Fe en la Causa" del Ejército Nacional.</w:t>
      </w:r>
    </w:p>
    <w:p>
      <w:pPr>
        <w:jc w:val="both"/>
      </w:pPr>
      <w:rPr>
        <w:sz w:val="24"/>
        <w:color w:val="black"/>
      </w:rPr>
    </w:p>
    <w:p>
      <w:pPr>
        <w:jc w:val="both"/>
      </w:pPr>
      <w:r>
        <w:rPr>
          <w:rFonts w:hAnsi="Arial"/>
          <w:rFonts w:ascii="Arial"/>
          <w:sz w:val="24"/>
          <w:color w:val="black"/>
        </w:rPr>
        <w:t xml:space="preserve">23. </w:t>
      </w:r>
      <w:r>
        <w:rPr>
          <w:rFonts w:hAnsi="Arial"/>
          <w:rFonts w:ascii="Arial"/>
          <w:sz w:val="24"/>
          <w:strike w:val="1"/>
          <w:color w:val="black"/>
        </w:rPr>
        <w:t>21</w:t>
      </w:r>
      <w:r>
        <w:rPr>
          <w:rFonts w:hAnsi="Arial"/>
          <w:rFonts w:ascii="Arial"/>
          <w:sz w:val="24"/>
          <w:color w:val="black"/>
        </w:rPr>
        <w:t xml:space="preserve">. Medalla Militar "Fe en la Causa" de la Armada Nacional</w:t>
      </w:r>
    </w:p>
    <w:p>
      <w:pPr>
        <w:jc w:val="both"/>
      </w:pPr>
      <w:rPr>
        <w:sz w:val="24"/>
        <w:color w:val="black"/>
      </w:rPr>
    </w:p>
    <w:p>
      <w:pPr>
        <w:jc w:val="both"/>
      </w:pPr>
      <w:r>
        <w:rPr>
          <w:rFonts w:hAnsi="Arial"/>
          <w:rFonts w:ascii="Arial"/>
          <w:sz w:val="24"/>
          <w:color w:val="black"/>
        </w:rPr>
        <w:t xml:space="preserve">24. </w:t>
      </w:r>
      <w:r>
        <w:rPr>
          <w:rFonts w:hAnsi="Arial"/>
          <w:rFonts w:ascii="Arial"/>
          <w:sz w:val="24"/>
          <w:strike w:val="1"/>
          <w:color w:val="black"/>
        </w:rPr>
        <w:t>22</w:t>
      </w:r>
      <w:r>
        <w:rPr>
          <w:rFonts w:hAnsi="Arial"/>
          <w:rFonts w:ascii="Arial"/>
          <w:sz w:val="24"/>
          <w:color w:val="black"/>
        </w:rPr>
        <w:t xml:space="preserve">. Medalla Militar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25. </w:t>
      </w:r>
      <w:r>
        <w:rPr>
          <w:rFonts w:hAnsi="Arial"/>
          <w:rFonts w:ascii="Arial"/>
          <w:sz w:val="24"/>
          <w:strike w:val="1"/>
          <w:color w:val="black"/>
        </w:rPr>
        <w:t>23</w:t>
      </w:r>
      <w:r>
        <w:rPr>
          <w:rFonts w:hAnsi="Arial"/>
          <w:rFonts w:ascii="Arial"/>
          <w:sz w:val="24"/>
          <w:color w:val="black"/>
        </w:rPr>
        <w:t xml:space="preserve">. Medalla Militar "Servicios Distinguidos a las Fuerzas Militares de Colombia".</w:t>
      </w:r>
    </w:p>
    <w:p>
      <w:pPr>
        <w:jc w:val="both"/>
      </w:pPr>
      <w:rPr>
        <w:sz w:val="24"/>
        <w:color w:val="black"/>
      </w:rPr>
    </w:p>
    <w:p>
      <w:pPr>
        <w:jc w:val="both"/>
      </w:pPr>
      <w:r>
        <w:rPr>
          <w:rFonts w:hAnsi="Arial"/>
          <w:rFonts w:ascii="Arial"/>
          <w:sz w:val="24"/>
          <w:color w:val="black"/>
        </w:rPr>
        <w:t xml:space="preserve">26. </w:t>
      </w:r>
      <w:r>
        <w:rPr>
          <w:rFonts w:hAnsi="Arial"/>
          <w:rFonts w:ascii="Arial"/>
          <w:sz w:val="24"/>
          <w:strike w:val="1"/>
          <w:color w:val="black"/>
        </w:rPr>
        <w:t>24</w:t>
      </w:r>
      <w:r>
        <w:rPr>
          <w:rFonts w:hAnsi="Arial"/>
          <w:rFonts w:ascii="Arial"/>
          <w:sz w:val="24"/>
          <w:color w:val="black"/>
        </w:rPr>
        <w:t xml:space="preserve">. Medalla Militar "Campaña del Sur".</w:t>
      </w:r>
    </w:p>
    <w:p>
      <w:pPr>
        <w:jc w:val="both"/>
      </w:pPr>
      <w:rPr>
        <w:sz w:val="24"/>
        <w:color w:val="black"/>
      </w:rPr>
    </w:p>
    <w:p>
      <w:pPr>
        <w:jc w:val="both"/>
      </w:pPr>
      <w:r>
        <w:rPr>
          <w:rFonts w:hAnsi="Arial"/>
          <w:rFonts w:ascii="Arial"/>
          <w:sz w:val="24"/>
          <w:strike w:val="1"/>
          <w:color w:val="black"/>
        </w:rPr>
        <w:t xml:space="preserve">25. Medalla "Servicios Distinguidos en Operaciones Especiales".</w:t>
      </w:r>
      <w:r>
        <w:rPr>
          <w:rFonts w:hAnsi="Arial"/>
          <w:rFonts w:ascii="Arial"/>
          <w:sz w:val="24"/>
          <w:color w:val="black"/>
        </w:rPr>
        <w:t xml:space="preserve">&lt;Reubicada por el artículo </w:t>
      </w:r>
      <w:r>
        <w:fldChar w:fldCharType="begin"/>
      </w:r>
      <w:r>
        <w:instrText>HYPERLINK "http://www.redjurista.com/document.aspx?ajcode=d1564022&amp;arts=1"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1564 de 2022&gt;</w:t>
      </w:r>
    </w:p>
    <w:p>
      <w:pPr>
        <w:jc w:val="both"/>
      </w:pPr>
      <w:rPr>
        <w:sz w:val="24"/>
        <w:color w:val="black"/>
      </w:rPr>
    </w:p>
    <w:p>
      <w:pPr>
        <w:jc w:val="both"/>
      </w:pPr>
      <w:r>
        <w:rPr>
          <w:rFonts w:hAnsi="Arial"/>
          <w:rFonts w:ascii="Arial"/>
          <w:sz w:val="24"/>
          <w:color w:val="black"/>
        </w:rPr>
        <w:t xml:space="preserve">27. </w:t>
      </w:r>
      <w:r>
        <w:rPr>
          <w:rFonts w:hAnsi="Arial"/>
          <w:rFonts w:ascii="Arial"/>
          <w:sz w:val="24"/>
          <w:strike w:val="1"/>
          <w:color w:val="black"/>
        </w:rPr>
        <w:t>26</w:t>
      </w:r>
      <w:r>
        <w:rPr>
          <w:rFonts w:hAnsi="Arial"/>
          <w:rFonts w:ascii="Arial"/>
          <w:sz w:val="24"/>
          <w:color w:val="black"/>
        </w:rPr>
        <w:t xml:space="preserve">. Medalla "Servicios Distinguidos en Operaciones Contraterrorismo".</w:t>
      </w:r>
    </w:p>
    <w:p>
      <w:pPr>
        <w:jc w:val="both"/>
      </w:pPr>
      <w:rPr>
        <w:sz w:val="24"/>
        <w:color w:val="black"/>
      </w:rPr>
    </w:p>
    <w:p>
      <w:pPr>
        <w:jc w:val="both"/>
      </w:pPr>
      <w:r>
        <w:rPr>
          <w:rFonts w:hAnsi="Arial"/>
          <w:rFonts w:ascii="Arial"/>
          <w:sz w:val="24"/>
          <w:strike w:val="1"/>
          <w:color w:val="black"/>
        </w:rPr>
        <w:t xml:space="preserve">27. Medalla Militar "Cruz de Plata en Operaciones Especiales".</w:t>
      </w:r>
      <w:r>
        <w:rPr>
          <w:rFonts w:hAnsi="Arial"/>
          <w:rFonts w:ascii="Arial"/>
          <w:sz w:val="24"/>
          <w:color w:val="black"/>
        </w:rPr>
        <w:t xml:space="preserve"> &lt;Reubicada por el artículo </w:t>
      </w:r>
      <w:r>
        <w:fldChar w:fldCharType="begin"/>
      </w:r>
      <w:r>
        <w:instrText>HYPERLINK "http://www.redjurista.com/document.aspx?ajcode=d1564022&amp;arts=1"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1564 de 2022&gt;</w:t>
      </w:r>
    </w:p>
    <w:p>
      <w:pPr>
        <w:jc w:val="both"/>
      </w:pPr>
      <w:rPr>
        <w:sz w:val="24"/>
        <w:color w:val="black"/>
      </w:rPr>
    </w:p>
    <w:p>
      <w:pPr>
        <w:jc w:val="both"/>
      </w:pPr>
      <w:r>
        <w:rPr>
          <w:rFonts w:hAnsi="Arial"/>
          <w:rFonts w:ascii="Arial"/>
          <w:sz w:val="24"/>
          <w:color w:val="black"/>
        </w:rPr>
        <w:t xml:space="preserve">28. Medalla Militar "Servicios Distinguidos en Operaciones Contra el Narcotráfico en Categoría Única"</w:t>
      </w:r>
    </w:p>
    <w:p>
      <w:pPr>
        <w:jc w:val="both"/>
      </w:pPr>
      <w:rPr>
        <w:sz w:val="24"/>
        <w:color w:val="black"/>
      </w:rPr>
    </w:p>
    <w:p>
      <w:pPr>
        <w:jc w:val="both"/>
      </w:pPr>
      <w:r>
        <w:rPr>
          <w:rFonts w:hAnsi="Arial"/>
          <w:rFonts w:ascii="Arial"/>
          <w:sz w:val="24"/>
          <w:color w:val="black"/>
        </w:rPr>
        <w:t xml:space="preserve">29. Medalla Militar "Soldado Juan Bautista Solarte Obando".</w:t>
      </w:r>
    </w:p>
    <w:p>
      <w:pPr>
        <w:jc w:val="both"/>
      </w:pPr>
      <w:rPr>
        <w:sz w:val="24"/>
        <w:color w:val="black"/>
      </w:rPr>
    </w:p>
    <w:p>
      <w:pPr>
        <w:jc w:val="both"/>
      </w:pPr>
      <w:r>
        <w:rPr>
          <w:rFonts w:hAnsi="Arial"/>
          <w:rFonts w:ascii="Arial"/>
          <w:sz w:val="24"/>
          <w:color w:val="black"/>
        </w:rPr>
        <w:t xml:space="preserve">30. Medalla Militar "Ministerio de Defensa Nacional".</w:t>
      </w:r>
    </w:p>
    <w:p>
      <w:pPr>
        <w:jc w:val="both"/>
      </w:pPr>
      <w:rPr>
        <w:sz w:val="24"/>
        <w:color w:val="black"/>
      </w:rPr>
    </w:p>
    <w:p>
      <w:pPr>
        <w:jc w:val="both"/>
      </w:pPr>
      <w:r>
        <w:rPr>
          <w:rFonts w:hAnsi="Arial"/>
          <w:rFonts w:ascii="Arial"/>
          <w:sz w:val="24"/>
          <w:color w:val="black"/>
        </w:rPr>
        <w:t xml:space="preserve">31. Medalla "Servicios Distinguidos a la Armada Nacional".</w:t>
      </w:r>
    </w:p>
    <w:p>
      <w:pPr>
        <w:jc w:val="both"/>
      </w:pPr>
      <w:rPr>
        <w:sz w:val="24"/>
        <w:color w:val="black"/>
      </w:rPr>
    </w:p>
    <w:p>
      <w:pPr>
        <w:jc w:val="both"/>
      </w:pPr>
      <w:r>
        <w:rPr>
          <w:rFonts w:hAnsi="Arial"/>
          <w:rFonts w:ascii="Arial"/>
          <w:sz w:val="24"/>
          <w:color w:val="black"/>
        </w:rPr>
        <w:t xml:space="preserve">32. Medalla "Marco Fidel Suárez".</w:t>
      </w:r>
    </w:p>
    <w:p>
      <w:pPr>
        <w:jc w:val="both"/>
      </w:pPr>
      <w:rPr>
        <w:sz w:val="24"/>
        <w:color w:val="black"/>
      </w:rPr>
    </w:p>
    <w:p>
      <w:pPr>
        <w:jc w:val="both"/>
      </w:pPr>
      <w:r>
        <w:rPr>
          <w:rFonts w:hAnsi="Arial"/>
          <w:rFonts w:ascii="Arial"/>
          <w:sz w:val="24"/>
          <w:color w:val="black"/>
        </w:rPr>
        <w:t xml:space="preserve">33. Medalla "Batalla de Ayacucho".</w:t>
      </w:r>
    </w:p>
    <w:p>
      <w:pPr>
        <w:jc w:val="both"/>
      </w:pPr>
      <w:rPr>
        <w:sz w:val="24"/>
        <w:color w:val="black"/>
      </w:rPr>
    </w:p>
    <w:p>
      <w:pPr>
        <w:jc w:val="both"/>
      </w:pPr>
      <w:r>
        <w:rPr>
          <w:rFonts w:hAnsi="Arial"/>
          <w:rFonts w:ascii="Arial"/>
          <w:sz w:val="24"/>
          <w:color w:val="black"/>
        </w:rPr>
        <w:t xml:space="preserve">34. Medalla "San Jorge".</w:t>
      </w:r>
    </w:p>
    <w:p>
      <w:pPr>
        <w:jc w:val="both"/>
      </w:pPr>
      <w:rPr>
        <w:sz w:val="24"/>
        <w:color w:val="black"/>
      </w:rPr>
    </w:p>
    <w:p>
      <w:pPr>
        <w:jc w:val="both"/>
      </w:pPr>
      <w:r>
        <w:rPr>
          <w:rFonts w:hAnsi="Arial"/>
          <w:rFonts w:ascii="Arial"/>
          <w:sz w:val="24"/>
          <w:color w:val="black"/>
        </w:rPr>
        <w:t xml:space="preserve">35. Medalla "Santa Bárbara".</w:t>
      </w:r>
    </w:p>
    <w:p>
      <w:pPr>
        <w:jc w:val="both"/>
      </w:pPr>
      <w:rPr>
        <w:sz w:val="24"/>
        <w:color w:val="black"/>
      </w:rPr>
    </w:p>
    <w:p>
      <w:pPr>
        <w:jc w:val="both"/>
      </w:pPr>
      <w:r>
        <w:rPr>
          <w:rFonts w:hAnsi="Arial"/>
          <w:rFonts w:ascii="Arial"/>
          <w:sz w:val="24"/>
          <w:color w:val="black"/>
        </w:rPr>
        <w:t xml:space="preserve">36. Medalla "Torre de Castilla".</w:t>
      </w:r>
    </w:p>
    <w:p>
      <w:pPr>
        <w:jc w:val="both"/>
      </w:pPr>
      <w:rPr>
        <w:sz w:val="24"/>
        <w:color w:val="black"/>
      </w:rPr>
    </w:p>
    <w:p>
      <w:pPr>
        <w:jc w:val="both"/>
      </w:pPr>
      <w:r>
        <w:rPr>
          <w:rFonts w:hAnsi="Arial"/>
          <w:rFonts w:ascii="Arial"/>
          <w:sz w:val="24"/>
          <w:color w:val="black"/>
        </w:rPr>
        <w:t xml:space="preserve">37. Medalla "San Gabriel".</w:t>
      </w:r>
    </w:p>
    <w:p>
      <w:pPr>
        <w:jc w:val="both"/>
      </w:pPr>
      <w:rPr>
        <w:sz w:val="24"/>
        <w:color w:val="black"/>
      </w:rPr>
    </w:p>
    <w:p>
      <w:pPr>
        <w:jc w:val="both"/>
      </w:pPr>
      <w:r>
        <w:rPr>
          <w:rFonts w:hAnsi="Arial"/>
          <w:rFonts w:ascii="Arial"/>
          <w:sz w:val="24"/>
          <w:color w:val="black"/>
        </w:rPr>
        <w:t xml:space="preserve">38. Medalla al Mérito Logístico y Administrativo "General Francisco de Paula Santander".</w:t>
      </w:r>
    </w:p>
    <w:p>
      <w:pPr>
        <w:jc w:val="both"/>
      </w:pPr>
      <w:rPr>
        <w:sz w:val="24"/>
        <w:color w:val="black"/>
      </w:rPr>
    </w:p>
    <w:p>
      <w:pPr>
        <w:jc w:val="both"/>
      </w:pPr>
      <w:r>
        <w:rPr>
          <w:rFonts w:hAnsi="Arial"/>
          <w:rFonts w:ascii="Arial"/>
          <w:sz w:val="24"/>
          <w:color w:val="black"/>
        </w:rPr>
        <w:t xml:space="preserve">39. Medalla "Brigadier General Ricardo Charry Solano".</w:t>
      </w:r>
    </w:p>
    <w:p>
      <w:pPr>
        <w:jc w:val="both"/>
      </w:pPr>
      <w:rPr>
        <w:sz w:val="24"/>
        <w:color w:val="black"/>
      </w:rPr>
    </w:p>
    <w:p>
      <w:pPr>
        <w:jc w:val="both"/>
      </w:pPr>
      <w:r>
        <w:rPr>
          <w:rFonts w:hAnsi="Arial"/>
          <w:rFonts w:ascii="Arial"/>
          <w:sz w:val="24"/>
          <w:color w:val="black"/>
        </w:rPr>
        <w:t xml:space="preserve">40. Medalla Militar "San Miguel Arcángel".</w:t>
      </w:r>
    </w:p>
    <w:p>
      <w:pPr>
        <w:jc w:val="both"/>
      </w:pPr>
      <w:rPr>
        <w:sz w:val="24"/>
        <w:color w:val="black"/>
      </w:rPr>
    </w:p>
    <w:p>
      <w:pPr>
        <w:jc w:val="both"/>
      </w:pPr>
      <w:r>
        <w:rPr>
          <w:rFonts w:hAnsi="Arial"/>
          <w:rFonts w:ascii="Arial"/>
          <w:sz w:val="24"/>
          <w:color w:val="black"/>
        </w:rPr>
        <w:t xml:space="preserve">41. Medalla Militar "Servicios Distinguidos en Operaciones de Aviación".</w:t>
      </w:r>
    </w:p>
    <w:p>
      <w:pPr>
        <w:jc w:val="both"/>
      </w:pPr>
      <w:rPr>
        <w:sz w:val="24"/>
        <w:color w:val="black"/>
      </w:rPr>
    </w:p>
    <w:p>
      <w:pPr>
        <w:jc w:val="both"/>
      </w:pPr>
      <w:r>
        <w:rPr>
          <w:rFonts w:hAnsi="Arial"/>
          <w:rFonts w:ascii="Arial"/>
          <w:sz w:val="24"/>
          <w:color w:val="black"/>
        </w:rPr>
        <w:t xml:space="preserve">42. Medalla Centenario "Servicios Distinguidos a Reclutamiento Simona Duque de Alzate".</w:t>
      </w:r>
    </w:p>
    <w:p>
      <w:pPr>
        <w:jc w:val="both"/>
      </w:pPr>
      <w:rPr>
        <w:sz w:val="24"/>
        <w:color w:val="black"/>
      </w:rPr>
    </w:p>
    <w:p>
      <w:pPr>
        <w:jc w:val="both"/>
      </w:pPr>
      <w:r>
        <w:rPr>
          <w:rFonts w:hAnsi="Arial"/>
          <w:rFonts w:ascii="Arial"/>
          <w:sz w:val="24"/>
          <w:color w:val="black"/>
        </w:rPr>
        <w:t xml:space="preserve">43. Medalla "Servicios Distinguidos a la Fuerza de Superficie".</w:t>
      </w:r>
    </w:p>
    <w:p>
      <w:pPr>
        <w:jc w:val="both"/>
      </w:pPr>
      <w:rPr>
        <w:sz w:val="24"/>
        <w:color w:val="black"/>
      </w:rPr>
    </w:p>
    <w:p>
      <w:pPr>
        <w:jc w:val="both"/>
      </w:pPr>
      <w:r>
        <w:rPr>
          <w:rFonts w:hAnsi="Arial"/>
          <w:rFonts w:ascii="Arial"/>
          <w:sz w:val="24"/>
          <w:color w:val="black"/>
        </w:rPr>
        <w:t xml:space="preserve">44. Medalla "Servicios Distinguidos a la Infantería de Marina".</w:t>
      </w:r>
    </w:p>
    <w:p>
      <w:pPr>
        <w:jc w:val="both"/>
      </w:pPr>
      <w:rPr>
        <w:sz w:val="24"/>
        <w:color w:val="black"/>
      </w:rPr>
    </w:p>
    <w:p>
      <w:pPr>
        <w:jc w:val="both"/>
      </w:pPr>
      <w:r>
        <w:rPr>
          <w:rFonts w:hAnsi="Arial"/>
          <w:rFonts w:ascii="Arial"/>
          <w:sz w:val="24"/>
          <w:color w:val="black"/>
        </w:rPr>
        <w:t xml:space="preserve">45. Medalla "Servicios Distinguidos a la Fuerza Submarina".</w:t>
      </w:r>
    </w:p>
    <w:p>
      <w:pPr>
        <w:jc w:val="both"/>
      </w:pPr>
      <w:rPr>
        <w:sz w:val="24"/>
        <w:color w:val="black"/>
      </w:rPr>
    </w:p>
    <w:p>
      <w:pPr>
        <w:jc w:val="both"/>
      </w:pPr>
      <w:r>
        <w:rPr>
          <w:rFonts w:hAnsi="Arial"/>
          <w:rFonts w:ascii="Arial"/>
          <w:sz w:val="24"/>
          <w:color w:val="black"/>
        </w:rPr>
        <w:t xml:space="preserve">46. Medalla "Servicios Distinguidos a la Aviación Naval".</w:t>
      </w:r>
    </w:p>
    <w:p>
      <w:pPr>
        <w:jc w:val="both"/>
      </w:pPr>
      <w:rPr>
        <w:sz w:val="24"/>
        <w:color w:val="black"/>
      </w:rPr>
    </w:p>
    <w:p>
      <w:pPr>
        <w:jc w:val="both"/>
      </w:pPr>
      <w:r>
        <w:rPr>
          <w:rFonts w:hAnsi="Arial"/>
          <w:rFonts w:ascii="Arial"/>
          <w:sz w:val="24"/>
          <w:color w:val="black"/>
        </w:rPr>
        <w:t xml:space="preserve">47. Medalla "Servicios Distinguidos al Cuerpo de Guardacostas".</w:t>
      </w:r>
    </w:p>
    <w:p>
      <w:pPr>
        <w:jc w:val="both"/>
      </w:pPr>
      <w:rPr>
        <w:sz w:val="24"/>
        <w:color w:val="black"/>
      </w:rPr>
    </w:p>
    <w:p>
      <w:pPr>
        <w:jc w:val="both"/>
      </w:pPr>
      <w:r>
        <w:rPr>
          <w:rFonts w:hAnsi="Arial"/>
          <w:rFonts w:ascii="Arial"/>
          <w:sz w:val="24"/>
          <w:color w:val="black"/>
        </w:rPr>
        <w:t xml:space="preserve">48. Medalla "Servicios Distinguidos a la Inteligencia Naval".</w:t>
      </w:r>
    </w:p>
    <w:p>
      <w:pPr>
        <w:jc w:val="both"/>
      </w:pPr>
      <w:rPr>
        <w:sz w:val="24"/>
        <w:color w:val="black"/>
      </w:rPr>
    </w:p>
    <w:p>
      <w:pPr>
        <w:jc w:val="both"/>
      </w:pPr>
      <w:r>
        <w:rPr>
          <w:rFonts w:hAnsi="Arial"/>
          <w:rFonts w:ascii="Arial"/>
          <w:sz w:val="24"/>
          <w:color w:val="black"/>
        </w:rPr>
        <w:t xml:space="preserve">49. Medalla "Servicios Distinguidos a la Ingeniería Naval".</w:t>
      </w:r>
    </w:p>
    <w:p>
      <w:pPr>
        <w:jc w:val="both"/>
      </w:pPr>
      <w:rPr>
        <w:sz w:val="24"/>
        <w:color w:val="black"/>
      </w:rPr>
    </w:p>
    <w:p>
      <w:pPr>
        <w:jc w:val="both"/>
      </w:pPr>
      <w:r>
        <w:rPr>
          <w:rFonts w:hAnsi="Arial"/>
          <w:rFonts w:ascii="Arial"/>
          <w:sz w:val="24"/>
          <w:color w:val="black"/>
        </w:rPr>
        <w:t xml:space="preserve">50. Medalla al Mérito Logístico y Administrativo "Contralmirante Rafael Tono".</w:t>
      </w:r>
    </w:p>
    <w:p>
      <w:pPr>
        <w:jc w:val="both"/>
      </w:pPr>
      <w:rPr>
        <w:sz w:val="24"/>
        <w:color w:val="black"/>
      </w:rPr>
    </w:p>
    <w:p>
      <w:pPr>
        <w:jc w:val="both"/>
      </w:pPr>
      <w:r>
        <w:rPr>
          <w:rFonts w:hAnsi="Arial"/>
          <w:rFonts w:ascii="Arial"/>
          <w:sz w:val="24"/>
          <w:color w:val="black"/>
        </w:rPr>
        <w:t xml:space="preserve">51. Medalla "Servicios distinguidos a la Dirección General Marítima".</w:t>
      </w:r>
    </w:p>
    <w:p>
      <w:pPr>
        <w:jc w:val="both"/>
      </w:pPr>
      <w:rPr>
        <w:sz w:val="24"/>
        <w:color w:val="black"/>
      </w:rPr>
    </w:p>
    <w:p>
      <w:pPr>
        <w:jc w:val="both"/>
      </w:pPr>
      <w:r>
        <w:rPr>
          <w:rFonts w:hAnsi="Arial"/>
          <w:rFonts w:ascii="Arial"/>
          <w:sz w:val="24"/>
          <w:color w:val="black"/>
        </w:rPr>
        <w:t xml:space="preserve">52. Medalla "Águila de Gules".</w:t>
      </w:r>
    </w:p>
    <w:p>
      <w:pPr>
        <w:jc w:val="both"/>
      </w:pPr>
      <w:rPr>
        <w:sz w:val="24"/>
        <w:color w:val="black"/>
      </w:rPr>
    </w:p>
    <w:p>
      <w:pPr>
        <w:jc w:val="both"/>
      </w:pPr>
      <w:r>
        <w:rPr>
          <w:rFonts w:hAnsi="Arial"/>
          <w:rFonts w:ascii="Arial"/>
          <w:sz w:val="24"/>
          <w:color w:val="black"/>
        </w:rPr>
        <w:t xml:space="preserve">53. Medalla "Servicios Distinguidos a la Seguridad y Defensa de Bases Aéreas".</w:t>
      </w:r>
    </w:p>
    <w:p>
      <w:pPr>
        <w:jc w:val="both"/>
      </w:pPr>
      <w:rPr>
        <w:sz w:val="24"/>
        <w:color w:val="black"/>
      </w:rPr>
    </w:p>
    <w:p>
      <w:pPr>
        <w:jc w:val="both"/>
      </w:pPr>
      <w:r>
        <w:rPr>
          <w:rFonts w:hAnsi="Arial"/>
          <w:rFonts w:ascii="Arial"/>
          <w:sz w:val="24"/>
          <w:color w:val="black"/>
        </w:rPr>
        <w:t xml:space="preserve">54. Medalla "Servicios Distinguidos a la Inteligencia Aérea".</w:t>
      </w:r>
    </w:p>
    <w:p>
      <w:pPr>
        <w:jc w:val="both"/>
      </w:pPr>
      <w:rPr>
        <w:sz w:val="24"/>
        <w:color w:val="black"/>
      </w:rPr>
    </w:p>
    <w:p>
      <w:pPr>
        <w:jc w:val="both"/>
      </w:pPr>
      <w:r>
        <w:rPr>
          <w:rFonts w:hAnsi="Arial"/>
          <w:rFonts w:ascii="Arial"/>
          <w:sz w:val="24"/>
          <w:color w:val="black"/>
        </w:rPr>
        <w:t xml:space="preserve">55. Medalla "Servicios Distinguidos a la Defensa Aérea y Navegación Aérea".</w:t>
      </w:r>
    </w:p>
    <w:p>
      <w:pPr>
        <w:jc w:val="both"/>
      </w:pPr>
      <w:rPr>
        <w:sz w:val="24"/>
        <w:color w:val="black"/>
      </w:rPr>
    </w:p>
    <w:p>
      <w:pPr>
        <w:jc w:val="both"/>
      </w:pPr>
      <w:r>
        <w:rPr>
          <w:rFonts w:hAnsi="Arial"/>
          <w:rFonts w:ascii="Arial"/>
          <w:sz w:val="24"/>
          <w:color w:val="black"/>
        </w:rPr>
        <w:t xml:space="preserve">56. Medalla "Servicios Distinguidos al 'Cuerpo Logístico y Administrativo'".</w:t>
      </w:r>
    </w:p>
    <w:p>
      <w:pPr>
        <w:jc w:val="both"/>
      </w:pPr>
      <w:rPr>
        <w:sz w:val="24"/>
        <w:color w:val="black"/>
      </w:rPr>
    </w:p>
    <w:p>
      <w:pPr>
        <w:jc w:val="both"/>
      </w:pPr>
      <w:r>
        <w:rPr>
          <w:rFonts w:hAnsi="Arial"/>
          <w:rFonts w:ascii="Arial"/>
          <w:sz w:val="24"/>
          <w:color w:val="black"/>
        </w:rPr>
        <w:t xml:space="preserve">57. Medalla "Ciencia y Tecnología".</w:t>
      </w:r>
    </w:p>
    <w:p>
      <w:pPr>
        <w:jc w:val="both"/>
      </w:pPr>
      <w:rPr>
        <w:sz w:val="24"/>
        <w:color w:val="black"/>
      </w:rPr>
    </w:p>
    <w:p>
      <w:pPr>
        <w:jc w:val="both"/>
      </w:pPr>
      <w:r>
        <w:rPr>
          <w:rFonts w:hAnsi="Arial"/>
          <w:rFonts w:ascii="Arial"/>
          <w:sz w:val="24"/>
          <w:color w:val="black"/>
        </w:rPr>
        <w:t xml:space="preserve">58. Medalla "Servicios Meritorios a la Jefatura Jurídica y Derechos Humanos y al Derecho Internacional Humanitario".</w:t>
      </w:r>
    </w:p>
    <w:p>
      <w:pPr>
        <w:jc w:val="both"/>
      </w:pPr>
      <w:rPr>
        <w:sz w:val="24"/>
        <w:color w:val="black"/>
      </w:rPr>
    </w:p>
    <w:p>
      <w:pPr>
        <w:jc w:val="both"/>
      </w:pPr>
      <w:r>
        <w:rPr>
          <w:rFonts w:hAnsi="Arial"/>
          <w:rFonts w:ascii="Arial"/>
          <w:sz w:val="24"/>
          <w:color w:val="black"/>
        </w:rPr>
        <w:t xml:space="preserve">59. Medalla Militar "Servicios Distinguidos a la Justicia Penal Militar".</w:t>
      </w:r>
    </w:p>
    <w:p>
      <w:pPr>
        <w:jc w:val="both"/>
      </w:pPr>
      <w:rPr>
        <w:sz w:val="24"/>
        <w:color w:val="black"/>
      </w:rPr>
    </w:p>
    <w:p>
      <w:pPr>
        <w:jc w:val="both"/>
      </w:pPr>
      <w:r>
        <w:rPr>
          <w:rFonts w:hAnsi="Arial"/>
          <w:rFonts w:ascii="Arial"/>
          <w:sz w:val="24"/>
          <w:color w:val="black"/>
        </w:rPr>
        <w:t xml:space="preserve">60. Medalla "Orden por la Libertad Personal".</w:t>
      </w:r>
    </w:p>
    <w:p>
      <w:pPr>
        <w:jc w:val="both"/>
      </w:pPr>
      <w:rPr>
        <w:sz w:val="24"/>
        <w:color w:val="black"/>
      </w:rPr>
    </w:p>
    <w:p>
      <w:pPr>
        <w:jc w:val="both"/>
      </w:pPr>
      <w:r>
        <w:rPr>
          <w:rFonts w:hAnsi="Arial"/>
          <w:rFonts w:ascii="Arial"/>
          <w:sz w:val="24"/>
          <w:color w:val="black"/>
        </w:rPr>
        <w:t xml:space="preserve">61. Medalla Militar "Escuela Superior de Guerra".</w:t>
      </w:r>
    </w:p>
    <w:p>
      <w:pPr>
        <w:jc w:val="both"/>
      </w:pPr>
      <w:rPr>
        <w:sz w:val="24"/>
        <w:color w:val="black"/>
      </w:rPr>
    </w:p>
    <w:p>
      <w:pPr>
        <w:jc w:val="both"/>
      </w:pPr>
      <w:r>
        <w:rPr>
          <w:rFonts w:hAnsi="Arial"/>
          <w:rFonts w:ascii="Arial"/>
          <w:sz w:val="24"/>
          <w:color w:val="black"/>
        </w:rPr>
        <w:t xml:space="preserve">62. Medalla Militar "Al Mérito de la Reserva"</w:t>
      </w:r>
    </w:p>
    <w:p>
      <w:pPr>
        <w:jc w:val="both"/>
      </w:pPr>
      <w:rPr>
        <w:sz w:val="24"/>
        <w:color w:val="black"/>
      </w:rPr>
    </w:p>
    <w:p>
      <w:pPr>
        <w:jc w:val="both"/>
      </w:pPr>
      <w:r>
        <w:rPr>
          <w:rFonts w:hAnsi="Arial"/>
          <w:rFonts w:ascii="Arial"/>
          <w:sz w:val="24"/>
          <w:color w:val="black"/>
        </w:rPr>
        <w:t xml:space="preserve">63. Medalla Militar "General José Hilario López Valdés".</w:t>
      </w:r>
    </w:p>
    <w:p>
      <w:pPr>
        <w:jc w:val="both"/>
      </w:pPr>
      <w:rPr>
        <w:sz w:val="24"/>
        <w:color w:val="black"/>
      </w:rPr>
    </w:p>
    <w:p>
      <w:pPr>
        <w:jc w:val="both"/>
      </w:pPr>
      <w:r>
        <w:rPr>
          <w:rFonts w:hAnsi="Arial"/>
          <w:rFonts w:ascii="Arial"/>
          <w:sz w:val="24"/>
          <w:color w:val="black"/>
        </w:rPr>
        <w:t xml:space="preserve">64. Medalla Militar "Escuela Militar de Cadetes".</w:t>
      </w:r>
    </w:p>
    <w:p>
      <w:pPr>
        <w:jc w:val="both"/>
      </w:pPr>
      <w:rPr>
        <w:sz w:val="24"/>
        <w:color w:val="black"/>
      </w:rPr>
    </w:p>
    <w:p>
      <w:pPr>
        <w:jc w:val="both"/>
      </w:pPr>
      <w:r>
        <w:rPr>
          <w:rFonts w:hAnsi="Arial"/>
          <w:rFonts w:ascii="Arial"/>
          <w:sz w:val="24"/>
          <w:color w:val="black"/>
        </w:rPr>
        <w:t xml:space="preserve">65. Medalla Militar "Centenario Escuela Militar de Cadetes General José María Córdova".</w:t>
      </w:r>
    </w:p>
    <w:p>
      <w:pPr>
        <w:jc w:val="both"/>
      </w:pPr>
      <w:rPr>
        <w:sz w:val="24"/>
        <w:color w:val="black"/>
      </w:rPr>
    </w:p>
    <w:p>
      <w:pPr>
        <w:jc w:val="both"/>
      </w:pPr>
      <w:r>
        <w:rPr>
          <w:rFonts w:hAnsi="Arial"/>
          <w:rFonts w:ascii="Arial"/>
          <w:sz w:val="24"/>
          <w:color w:val="black"/>
        </w:rPr>
        <w:t xml:space="preserve">66. Medalla Militar "Bicentenario de los Ingenieros Militares"</w:t>
      </w:r>
    </w:p>
    <w:p>
      <w:pPr>
        <w:jc w:val="both"/>
      </w:pPr>
      <w:rPr>
        <w:sz w:val="24"/>
        <w:color w:val="black"/>
      </w:rPr>
    </w:p>
    <w:p>
      <w:pPr>
        <w:jc w:val="both"/>
      </w:pPr>
      <w:r>
        <w:rPr>
          <w:rFonts w:hAnsi="Arial"/>
          <w:rFonts w:ascii="Arial"/>
          <w:sz w:val="24"/>
          <w:color w:val="black"/>
        </w:rPr>
        <w:t xml:space="preserve">67. Medalla Servicios Distinguidos a la "Escuela Naval de Cadetes Almirante Padilla".</w:t>
      </w:r>
    </w:p>
    <w:p>
      <w:pPr>
        <w:jc w:val="both"/>
      </w:pPr>
      <w:rPr>
        <w:sz w:val="24"/>
        <w:color w:val="black"/>
      </w:rPr>
    </w:p>
    <w:p>
      <w:pPr>
        <w:jc w:val="both"/>
      </w:pPr>
      <w:r>
        <w:rPr>
          <w:rFonts w:hAnsi="Arial"/>
          <w:rFonts w:ascii="Arial"/>
          <w:sz w:val="24"/>
          <w:color w:val="black"/>
        </w:rPr>
        <w:t xml:space="preserve">68. Medalla Militar "Servicios Meritorios Inteligencia Militar Guardián de la Patria".</w:t>
      </w:r>
    </w:p>
    <w:p>
      <w:pPr>
        <w:jc w:val="both"/>
      </w:pPr>
      <w:rPr>
        <w:sz w:val="24"/>
        <w:color w:val="black"/>
      </w:rPr>
    </w:p>
    <w:p>
      <w:pPr>
        <w:jc w:val="both"/>
      </w:pPr>
      <w:r>
        <w:rPr>
          <w:rFonts w:hAnsi="Arial"/>
          <w:rFonts w:ascii="Arial"/>
          <w:sz w:val="24"/>
          <w:color w:val="black"/>
        </w:rPr>
        <w:t xml:space="preserve">69. Medalla Militar Escuela de Suboficiales del Ejército "Sargento Inocencio Chincá".</w:t>
      </w:r>
    </w:p>
    <w:p>
      <w:pPr>
        <w:jc w:val="both"/>
      </w:pPr>
      <w:rPr>
        <w:sz w:val="24"/>
        <w:color w:val="black"/>
      </w:rPr>
    </w:p>
    <w:p>
      <w:pPr>
        <w:jc w:val="both"/>
      </w:pPr>
      <w:r>
        <w:rPr>
          <w:rFonts w:hAnsi="Arial"/>
          <w:rFonts w:ascii="Arial"/>
          <w:sz w:val="24"/>
          <w:color w:val="black"/>
        </w:rPr>
        <w:t xml:space="preserve">70. Medalla "Servicios Distinguidos a la Escuela Naval de Suboficiales".</w:t>
      </w:r>
    </w:p>
    <w:p>
      <w:pPr>
        <w:jc w:val="both"/>
      </w:pPr>
      <w:rPr>
        <w:sz w:val="24"/>
        <w:color w:val="black"/>
      </w:rPr>
    </w:p>
    <w:p>
      <w:pPr>
        <w:jc w:val="both"/>
      </w:pPr>
      <w:r>
        <w:rPr>
          <w:rFonts w:hAnsi="Arial"/>
          <w:rFonts w:ascii="Arial"/>
          <w:sz w:val="24"/>
          <w:color w:val="black"/>
        </w:rPr>
        <w:t xml:space="preserve">71. Medalla "Servicios Distinguidos a la Escuela de Formación de Infantería de Marina".</w:t>
      </w:r>
    </w:p>
    <w:p>
      <w:pPr>
        <w:jc w:val="both"/>
      </w:pPr>
      <w:rPr>
        <w:sz w:val="24"/>
        <w:color w:val="black"/>
      </w:rPr>
    </w:p>
    <w:p>
      <w:pPr>
        <w:jc w:val="both"/>
      </w:pPr>
      <w:r>
        <w:rPr>
          <w:rFonts w:hAnsi="Arial"/>
          <w:rFonts w:ascii="Arial"/>
          <w:sz w:val="24"/>
          <w:color w:val="black"/>
        </w:rPr>
        <w:t xml:space="preserve">72. Medalla "Servicios Distinguidos a la Escuela de Suboficiales - CT. Andrés M. Díaz Díaz"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p>
    <w:p>
      <w:pPr>
        <w:jc w:val="both"/>
      </w:pPr>
      <w:rPr>
        <w:sz w:val="24"/>
        <w:color w:val="black"/>
      </w:rPr>
    </w:p>
    <w:p>
      <w:pPr>
        <w:jc w:val="both"/>
      </w:pPr>
      <w:r>
        <w:rPr>
          <w:rFonts w:hAnsi="Arial"/>
          <w:rFonts w:ascii="Arial"/>
          <w:sz w:val="24"/>
          <w:color w:val="black"/>
        </w:rPr>
        <w:t xml:space="preserve">73. Medalla "Escuela de Lanceros".</w:t>
      </w:r>
    </w:p>
    <w:p>
      <w:pPr>
        <w:jc w:val="both"/>
      </w:pPr>
      <w:rPr>
        <w:sz w:val="24"/>
        <w:color w:val="black"/>
      </w:rPr>
    </w:p>
    <w:p>
      <w:pPr>
        <w:jc w:val="both"/>
      </w:pPr>
      <w:r>
        <w:rPr>
          <w:rFonts w:hAnsi="Arial"/>
          <w:rFonts w:ascii="Arial"/>
          <w:sz w:val="24"/>
          <w:color w:val="black"/>
        </w:rPr>
        <w:t xml:space="preserve">74. Medalla Militar "Guardia de Honor de Colombia"</w:t>
      </w:r>
    </w:p>
    <w:p>
      <w:pPr>
        <w:jc w:val="both"/>
      </w:pPr>
      <w:rPr>
        <w:sz w:val="24"/>
        <w:color w:val="black"/>
      </w:rPr>
    </w:p>
    <w:p>
      <w:pPr>
        <w:jc w:val="both"/>
      </w:pPr>
      <w:r>
        <w:rPr>
          <w:rFonts w:hAnsi="Arial"/>
          <w:rFonts w:ascii="Arial"/>
          <w:sz w:val="24"/>
          <w:color w:val="black"/>
        </w:rPr>
        <w:t xml:space="preserve">75. Medalla Militar "Escuela de Armas y Servicios José Celestino Mutis Bossio"</w:t>
      </w:r>
    </w:p>
    <w:p>
      <w:pPr>
        <w:jc w:val="both"/>
      </w:pPr>
      <w:rPr>
        <w:sz w:val="24"/>
        <w:color w:val="black"/>
      </w:rPr>
    </w:p>
    <w:p>
      <w:pPr>
        <w:jc w:val="both"/>
      </w:pPr>
      <w:r>
        <w:rPr>
          <w:rFonts w:hAnsi="Arial"/>
          <w:rFonts w:ascii="Arial"/>
          <w:sz w:val="24"/>
          <w:color w:val="black"/>
        </w:rPr>
        <w:t xml:space="preserve">76. Medalla Militar Escuela de Soldados Profesionales "Teniente General Gustavo Rojas Pinilla".</w:t>
      </w:r>
    </w:p>
    <w:p>
      <w:pPr>
        <w:jc w:val="both"/>
      </w:pPr>
      <w:rPr>
        <w:sz w:val="24"/>
        <w:color w:val="black"/>
      </w:rPr>
    </w:p>
    <w:p>
      <w:pPr>
        <w:jc w:val="both"/>
      </w:pPr>
      <w:r>
        <w:rPr>
          <w:rFonts w:hAnsi="Arial"/>
          <w:rFonts w:ascii="Arial"/>
          <w:sz w:val="24"/>
          <w:color w:val="black"/>
        </w:rPr>
        <w:t xml:space="preserve">77. Medalla Militar "Honor al Deber Cumplido".</w:t>
      </w:r>
    </w:p>
    <w:p>
      <w:pPr>
        <w:jc w:val="both"/>
      </w:pPr>
      <w:rPr>
        <w:sz w:val="24"/>
        <w:color w:val="black"/>
      </w:rPr>
    </w:p>
    <w:p>
      <w:pPr>
        <w:jc w:val="both"/>
      </w:pPr>
      <w:r>
        <w:rPr>
          <w:rFonts w:hAnsi="Arial"/>
          <w:rFonts w:ascii="Arial"/>
          <w:sz w:val="24"/>
          <w:color w:val="black"/>
        </w:rPr>
        <w:t xml:space="preserve">78. Medalla "Guardia Presidencial".</w:t>
      </w:r>
    </w:p>
    <w:p>
      <w:pPr>
        <w:jc w:val="both"/>
      </w:pPr>
      <w:rPr>
        <w:sz w:val="24"/>
        <w:color w:val="black"/>
      </w:rPr>
    </w:p>
    <w:p>
      <w:pPr>
        <w:jc w:val="both"/>
      </w:pPr>
      <w:r>
        <w:rPr>
          <w:rFonts w:hAnsi="Arial"/>
          <w:rFonts w:ascii="Arial"/>
          <w:sz w:val="24"/>
          <w:color w:val="black"/>
        </w:rPr>
        <w:t xml:space="preserve">79. Medalla Policía Militar "General Tomás Cipriano de Mosquera".</w:t>
      </w:r>
    </w:p>
    <w:p>
      <w:pPr>
        <w:jc w:val="both"/>
      </w:pPr>
      <w:rPr>
        <w:sz w:val="24"/>
        <w:color w:val="black"/>
      </w:rPr>
    </w:p>
    <w:p>
      <w:pPr>
        <w:jc w:val="both"/>
      </w:pPr>
      <w:r>
        <w:rPr>
          <w:rFonts w:hAnsi="Arial"/>
          <w:rFonts w:ascii="Arial"/>
          <w:sz w:val="24"/>
          <w:color w:val="black"/>
        </w:rPr>
        <w:t xml:space="preserve">80. Medalla "Cadete José María Rosillo".</w:t>
      </w:r>
    </w:p>
    <w:p>
      <w:pPr>
        <w:jc w:val="both"/>
      </w:pPr>
      <w:rPr>
        <w:sz w:val="24"/>
        <w:color w:val="black"/>
      </w:rPr>
    </w:p>
    <w:p>
      <w:pPr>
        <w:jc w:val="both"/>
      </w:pPr>
      <w:r>
        <w:rPr>
          <w:rFonts w:hAnsi="Arial"/>
          <w:rFonts w:ascii="Arial"/>
          <w:sz w:val="24"/>
          <w:color w:val="black"/>
        </w:rPr>
        <w:t xml:space="preserve">81. Medalla "Alumno Distinguido de la Escuela de Suboficiales del Ejército Nacional".</w:t>
      </w:r>
    </w:p>
    <w:p>
      <w:pPr>
        <w:jc w:val="both"/>
      </w:pPr>
      <w:rPr>
        <w:sz w:val="24"/>
        <w:color w:val="black"/>
      </w:rPr>
    </w:p>
    <w:p>
      <w:pPr>
        <w:jc w:val="both"/>
      </w:pPr>
      <w:r>
        <w:rPr>
          <w:rFonts w:hAnsi="Arial"/>
          <w:rFonts w:ascii="Arial"/>
          <w:sz w:val="24"/>
          <w:color w:val="black"/>
        </w:rPr>
        <w:t xml:space="preserve">82. Medalla "Alumno Distinguido de la Escuela Naval de Suboficiales".</w:t>
      </w:r>
    </w:p>
    <w:p>
      <w:pPr>
        <w:jc w:val="both"/>
      </w:pPr>
      <w:rPr>
        <w:sz w:val="24"/>
        <w:color w:val="black"/>
      </w:rPr>
    </w:p>
    <w:p>
      <w:pPr>
        <w:jc w:val="both"/>
      </w:pPr>
      <w:r>
        <w:rPr>
          <w:rFonts w:hAnsi="Arial"/>
          <w:rFonts w:ascii="Arial"/>
          <w:sz w:val="24"/>
          <w:color w:val="black"/>
        </w:rPr>
        <w:t xml:space="preserve">83. Medalla Militar "Alumno Distinguido de la Escuela de Formación de Infantería de Marina"</w:t>
      </w:r>
    </w:p>
    <w:p>
      <w:pPr>
        <w:jc w:val="both"/>
      </w:pPr>
      <w:rPr>
        <w:sz w:val="24"/>
        <w:color w:val="black"/>
      </w:rPr>
    </w:p>
    <w:p>
      <w:pPr>
        <w:jc w:val="both"/>
      </w:pPr>
      <w:r>
        <w:rPr>
          <w:rFonts w:hAnsi="Arial"/>
          <w:rFonts w:ascii="Arial"/>
          <w:sz w:val="24"/>
          <w:color w:val="black"/>
        </w:rPr>
        <w:t xml:space="preserve">84. Medalla a la virtud "Capitán José Edmundo Sandoval".</w:t>
      </w:r>
    </w:p>
    <w:p>
      <w:pPr>
        <w:jc w:val="both"/>
      </w:pPr>
      <w:rPr>
        <w:sz w:val="24"/>
        <w:color w:val="black"/>
      </w:rPr>
    </w:p>
    <w:p>
      <w:pPr>
        <w:jc w:val="both"/>
      </w:pPr>
      <w:r>
        <w:rPr>
          <w:rFonts w:hAnsi="Arial"/>
          <w:rFonts w:ascii="Arial"/>
          <w:sz w:val="24"/>
          <w:color w:val="black"/>
        </w:rPr>
        <w:t xml:space="preserve">85. Medalla "Deportiva de la Fuerza Pública".</w:t>
      </w:r>
    </w:p>
    <w:p>
      <w:pPr>
        <w:jc w:val="both"/>
      </w:pPr>
      <w:rPr>
        <w:sz w:val="24"/>
        <w:color w:val="black"/>
      </w:rPr>
    </w:p>
    <w:p>
      <w:pPr>
        <w:jc w:val="both"/>
      </w:pPr>
      <w:r>
        <w:rPr>
          <w:rFonts w:hAnsi="Arial"/>
          <w:rFonts w:ascii="Arial"/>
          <w:sz w:val="24"/>
          <w:color w:val="black"/>
        </w:rPr>
        <w:t xml:space="preserve">86. Medalla Militar "San Rafael Arcángel"</w:t>
      </w:r>
    </w:p>
    <w:p>
      <w:pPr>
        <w:jc w:val="both"/>
      </w:pPr>
      <w:rPr>
        <w:sz w:val="24"/>
        <w:color w:val="black"/>
      </w:rPr>
    </w:p>
    <w:p>
      <w:pPr>
        <w:jc w:val="both"/>
      </w:pPr>
      <w:r>
        <w:rPr>
          <w:rFonts w:hAnsi="Arial"/>
          <w:rFonts w:ascii="Arial"/>
          <w:sz w:val="24"/>
          <w:color w:val="black"/>
        </w:rPr>
        <w:t xml:space="preserve">87. Medalla Militar de Desminado “Soldado Profesional Wilson de Jesús Martínez Jaraba”. </w:t>
      </w:r>
      <w:r>
        <w:rPr>
          <w:rFonts w:hAnsi="Arial"/>
          <w:rFonts w:ascii="Arial"/>
          <w:color w:val="black"/>
        </w:rPr>
        <w:t xml:space="preserve">&lt;Medalla adicionada por el artículo </w:t>
      </w:r>
      <w:r>
        <w:fldChar w:fldCharType="begin"/>
      </w:r>
      <w:r>
        <w:instrText>HYPERLINK "http://www.redjurista.com/document.aspx?ajcode=d0592019&amp;arts=3"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592 de 2019&gt; </w:t>
      </w:r>
    </w:p>
    <w:p>
      <w:pPr>
        <w:jc w:val="both"/>
      </w:pPr>
      <w:rPr>
        <w:sz w:val="24"/>
        <w:color w:val="black"/>
      </w:rPr>
    </w:p>
    <w:p>
      <w:pPr>
        <w:jc w:val="both"/>
      </w:pPr>
      <w:r>
        <w:rPr>
          <w:rFonts w:hAnsi="Arial"/>
          <w:rFonts w:ascii="Arial"/>
          <w:sz w:val="24"/>
          <w:color w:val="black"/>
        </w:rPr>
        <w:t xml:space="preserve">88. Medalla Militar “Bicentenario de la Campaña Libertadora”. </w:t>
      </w:r>
      <w:r>
        <w:rPr>
          <w:rFonts w:hAnsi="Arial"/>
          <w:rFonts w:ascii="Arial"/>
          <w:color w:val="black"/>
        </w:rPr>
        <w:t xml:space="preserve">&lt;Medalla adicionada por el artículo </w:t>
      </w:r>
      <w:r>
        <w:fldChar w:fldCharType="begin"/>
      </w:r>
      <w:r>
        <w:instrText>HYPERLINK "http://www.redjurista.com/document.aspx?ajcode=d1181019&amp;arts=4"</w:instrText>
      </w:r>
      <w:r>
        <w:fldChar w:fldCharType="separate"/>
      </w:r>
      <w:r>
        <w:rPr>
          <w:rFonts w:hAnsi="Arial"/>
          <w:rFonts w:ascii="Arial"/>
          <w:u w:val="single"/>
          <w:color w:val="black"/>
        </w:rPr>
        <w:t>4</w:t>
      </w:r>
      <w:r>
        <w:fldChar w:fldCharType="end"/>
      </w:r>
      <w:r>
        <w:rPr>
          <w:rFonts w:hAnsi="Arial"/>
          <w:rFonts w:ascii="Arial"/>
          <w:u w:val="none"/>
          <w:color w:val="black"/>
        </w:rPr>
        <w:t xml:space="preserve"> del Decreto 1181 de 2019&gt; </w:t>
      </w:r>
    </w:p>
    <w:p>
      <w:pPr>
        <w:jc w:val="both"/>
      </w:pPr>
      <w:rPr>
        <w:sz w:val="24"/>
        <w:color w:val="black"/>
      </w:rPr>
    </w:p>
    <w:p>
      <w:pPr>
        <w:jc w:val="both"/>
      </w:pPr>
      <w:r>
        <w:rPr>
          <w:rFonts w:hAnsi="Arial"/>
          <w:rFonts w:ascii="Arial"/>
          <w:sz w:val="24"/>
          <w:color w:val="black"/>
        </w:rPr>
        <w:t xml:space="preserve">89. Medalla Militar “Bicentenario de la Caballería”. </w:t>
      </w:r>
      <w:r>
        <w:rPr>
          <w:rFonts w:hAnsi="Arial"/>
          <w:rFonts w:ascii="Arial"/>
          <w:color w:val="black"/>
        </w:rPr>
        <w:t xml:space="preserve">&lt;Medalla adicionada por el artículo </w:t>
      </w:r>
      <w:r>
        <w:fldChar w:fldCharType="begin"/>
      </w:r>
      <w:r>
        <w:instrText>HYPERLINK "http://www.redjurista.com/document.aspx?ajcode=d1181019&amp;arts=4"</w:instrText>
      </w:r>
      <w:r>
        <w:fldChar w:fldCharType="separate"/>
      </w:r>
      <w:r>
        <w:rPr>
          <w:rFonts w:hAnsi="Arial"/>
          <w:rFonts w:ascii="Arial"/>
          <w:u w:val="single"/>
          <w:color w:val="black"/>
        </w:rPr>
        <w:t>4</w:t>
      </w:r>
      <w:r>
        <w:fldChar w:fldCharType="end"/>
      </w:r>
      <w:r>
        <w:rPr>
          <w:rFonts w:hAnsi="Arial"/>
          <w:rFonts w:ascii="Arial"/>
          <w:u w:val="none"/>
          <w:color w:val="black"/>
        </w:rPr>
        <w:t xml:space="preserve"> del Decreto 1181 de 2019&gt; </w:t>
      </w:r>
    </w:p>
    <w:p>
      <w:pPr>
        <w:jc w:val="both"/>
      </w:pPr>
      <w:rPr>
        <w:sz w:val="24"/>
        <w:color w:val="black"/>
      </w:rPr>
    </w:p>
    <w:p>
      <w:pPr>
        <w:jc w:val="both"/>
        <w:outlineLvl w:val="1"/>
      </w:pPr>
      <w:r>
        <w:rPr>
          <w:rFonts w:hAnsi="Arial"/>
          <w:rFonts w:ascii="Arial"/>
          <w:sz w:val="24"/>
          <w:color w:val="black"/>
        </w:rPr>
        <w:t xml:space="preserve">90. Medalla Militar “Protectores de la Espada del Libertador”. </w:t>
      </w:r>
      <w:r>
        <w:rPr>
          <w:rFonts w:hAnsi="Arial"/>
          <w:rFonts w:ascii="Arial"/>
          <w:color w:val="black"/>
        </w:rPr>
        <w:t xml:space="preserve">&lt;Medalla adicionada por el artículo </w:t>
      </w:r>
      <w:r>
        <w:fldChar w:fldCharType="begin"/>
      </w:r>
      <w:r>
        <w:instrText>HYPERLINK "http://www.redjurista.com/document.aspx?ajcode=d0093021&amp;arts=3"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93 de 2021&gt;</w:t>
      </w:r>
    </w:p>
    <w:p>
      <w:pPr>
        <w:jc w:val="both"/>
        <w:outlineLvl w:val="1"/>
      </w:pPr>
      <w:rPr>
        <w:color w:val="black"/>
      </w:rPr>
    </w:p>
    <w:p>
      <w:pPr>
        <w:jc w:val="both"/>
        <w:outlineLvl w:val="1"/>
      </w:pPr>
      <w:r>
        <w:rPr>
          <w:rFonts w:hAnsi="Arial"/>
          <w:rFonts w:ascii="Arial"/>
          <w:sz w:val="24"/>
          <w:color w:val="black"/>
        </w:rPr>
        <w:t xml:space="preserve">91. Medalla Militar “Simona Amaya”. </w:t>
      </w:r>
      <w:r>
        <w:rPr>
          <w:rFonts w:hAnsi="Arial"/>
          <w:rFonts w:ascii="Arial"/>
          <w:color w:val="black"/>
        </w:rPr>
        <w:t xml:space="preserve">&lt;Medalla adicionada por el artículo </w:t>
      </w:r>
      <w:r>
        <w:fldChar w:fldCharType="begin"/>
      </w:r>
      <w:r>
        <w:instrText>HYPERLINK "http://www.redjurista.com/document.aspx?ajcode=d0247021&amp;arts=3"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247 de 2021&gt; </w:t>
      </w:r>
    </w:p>
    <w:p>
      <w:pPr>
        <w:jc w:val="both"/>
        <w:outlineLvl w:val="1"/>
      </w:pPr>
      <w:rPr>
        <w:sz w:val="24"/>
        <w:color w:val="black"/>
      </w:rPr>
    </w:p>
    <w:p>
      <w:pPr>
        <w:jc w:val="both"/>
        <w:outlineLvl w:val="1"/>
      </w:pPr>
      <w:r>
        <w:rPr>
          <w:rFonts w:hAnsi="Arial"/>
          <w:rFonts w:ascii="Arial"/>
          <w:sz w:val="24"/>
          <w:color w:val="black"/>
        </w:rPr>
        <w:t xml:space="preserve">92. Medalla Militar “Bicentenario de la Logística Militar”. </w:t>
      </w:r>
      <w:r>
        <w:rPr>
          <w:rFonts w:hAnsi="Arial"/>
          <w:rFonts w:ascii="Arial"/>
          <w:color w:val="black"/>
        </w:rPr>
        <w:t xml:space="preserve">&lt;Medalla adicionada por el artículo </w:t>
      </w:r>
      <w:r>
        <w:fldChar w:fldCharType="begin"/>
      </w:r>
      <w:r>
        <w:instrText>HYPERLINK "http://www.redjurista.com/document.aspx?ajcode=d1428021&amp;arts=3"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1428 de 2021&gt; </w:t>
      </w:r>
    </w:p>
    <w:p>
      <w:pPr>
        <w:jc w:val="both"/>
        <w:outlineLvl w:val="1"/>
      </w:pPr>
      <w:rPr>
        <w:sz w:val="24"/>
        <w:color w:val="black"/>
      </w:rPr>
    </w:p>
    <w:p>
      <w:pPr>
        <w:jc w:val="both"/>
        <w:outlineLvl w:val="1"/>
      </w:pPr>
      <w:r>
        <w:rPr>
          <w:rFonts w:hAnsi="Arial"/>
          <w:rFonts w:ascii="Arial"/>
          <w:sz w:val="24"/>
          <w:color w:val="black"/>
        </w:rPr>
        <w:t xml:space="preserve">93. Medalla Militar “Corazón Azul”. </w:t>
      </w:r>
      <w:r>
        <w:rPr>
          <w:rFonts w:hAnsi="Arial"/>
          <w:rFonts w:ascii="Arial"/>
          <w:color w:val="black"/>
        </w:rPr>
        <w:t xml:space="preserve">&lt;Medalla adicionada por el artículo </w:t>
      </w:r>
      <w:r>
        <w:fldChar w:fldCharType="begin"/>
      </w:r>
      <w:r>
        <w:instrText>HYPERLINK "http://www.redjurista.com/document.aspx?ajcode=d1429021&amp;arts=3"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1429 de 2021&gt; </w:t>
      </w:r>
    </w:p>
    <w:p>
      <w:pPr>
        <w:jc w:val="both"/>
        <w:outlineLvl w:val="1"/>
      </w:pPr>
      <w:rPr>
        <w:sz w:val="24"/>
        <w:b/>
        <w:color w:val="black"/>
      </w:rPr>
    </w:p>
    <w:p>
      <w:pPr>
        <w:jc w:val="both"/>
        <w:outlineLvl w:val="1"/>
      </w:pPr>
      <w:r>
        <w:rPr>
          <w:rFonts w:hAnsi="Arial"/>
          <w:rFonts w:ascii="Arial"/>
          <w:sz w:val="24"/>
          <w:color w:val="black"/>
        </w:rPr>
        <w:t xml:space="preserve">94. Medalla Militar “Alma Mater Escuela Militar de Aviación”. </w:t>
      </w:r>
      <w:r>
        <w:rPr>
          <w:rFonts w:hAnsi="Arial"/>
          <w:rFonts w:ascii="Arial"/>
          <w:color w:val="black"/>
        </w:rPr>
        <w:t xml:space="preserve">&lt;Medalla adicionada por el artículo </w:t>
      </w:r>
      <w:r>
        <w:fldChar w:fldCharType="begin"/>
      </w:r>
      <w:r>
        <w:instrText>HYPERLINK "http://www.redjurista.com/document.aspx?ajcode=d1429021&amp;arts=3"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1429 de 2021&gt; </w:t>
      </w:r>
    </w:p>
    <w:p>
      <w:pPr>
        <w:jc w:val="both"/>
        <w:outlineLvl w:val="1"/>
      </w:pPr>
      <w:rPr>
        <w:sz w:val="24"/>
        <w:b/>
        <w:color w:val="black"/>
      </w:rPr>
    </w:p>
    <w:p>
      <w:pPr>
        <w:jc w:val="both"/>
        <w:outlineLvl w:val="1"/>
      </w:pPr>
      <w:r>
        <w:rPr>
          <w:rFonts w:hAnsi="Arial"/>
          <w:rFonts w:ascii="Arial"/>
          <w:sz w:val="24"/>
          <w:color w:val="black"/>
        </w:rPr>
        <w:t xml:space="preserve">95. Medalla Militar “Servicios Distinguidos al Desarrollo de Operaciones y Actividades Espaciales AD ASTRA”. </w:t>
      </w:r>
      <w:r>
        <w:rPr>
          <w:rFonts w:hAnsi="Arial"/>
          <w:rFonts w:ascii="Arial"/>
          <w:color w:val="black"/>
        </w:rPr>
        <w:t xml:space="preserve">&lt;Medalla adicionada por el artículo </w:t>
      </w:r>
      <w:r>
        <w:fldChar w:fldCharType="begin"/>
      </w:r>
      <w:r>
        <w:instrText>HYPERLINK "http://www.redjurista.com/document.aspx?ajcode=d1429021&amp;arts=3"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1429 de 2021&gt; </w:t>
      </w:r>
    </w:p>
    <w:p>
      <w:pPr>
        <w:jc w:val="both"/>
        <w:outlineLvl w:val="1"/>
      </w:pPr>
      <w:rPr>
        <w:color w:val="black"/>
      </w:rPr>
    </w:p>
    <w:p>
      <w:pPr>
        <w:jc w:val="both"/>
        <w:outlineLvl w:val="1"/>
      </w:pPr>
      <w:r>
        <w:rPr>
          <w:rFonts w:hAnsi="Arial"/>
          <w:rFonts w:ascii="Arial"/>
          <w:sz w:val="24"/>
          <w:color w:val="black"/>
        </w:rPr>
        <w:t xml:space="preserve">96. Medalla Militar “Servicios Distinguidos a la Acción integral”. &lt;</w:t>
      </w:r>
      <w:r>
        <w:rPr>
          <w:rFonts w:hAnsi="Arial"/>
          <w:rFonts w:ascii="Arial"/>
          <w:color w:val="black"/>
        </w:rPr>
        <w:t xml:space="preserve">Medalla adicionada  por el artículo </w:t>
      </w:r>
      <w:r>
        <w:fldChar w:fldCharType="begin"/>
      </w:r>
      <w:r>
        <w:instrText>HYPERLINK "http://www.redjurista.com/document.aspx?ajcode=d1126023&amp;arts=3"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1126 de 2023&gt; </w:t>
      </w:r>
    </w:p>
    <w:p>
      <w:pPr>
        <w:jc w:val="both"/>
        <w:outlineLvl w:val="1"/>
      </w:pPr>
      <w:rPr>
        <w:color w:val="black"/>
      </w:rPr>
    </w:p>
    <w:p>
      <w:pPr>
        <w:jc w:val="both"/>
        <w:outlineLvl w:val="1"/>
      </w:pPr>
      <w:r>
        <w:rPr>
          <w:rFonts w:hAnsi="Arial"/>
          <w:rFonts w:ascii="Arial"/>
          <w:sz w:val="24"/>
          <w:color w:val="black"/>
        </w:rPr>
        <w:t xml:space="preserve">97. Medalla Militar “Al Espíritu del Bicentenario de la Armada Nacional de la República de Colombia”. </w:t>
      </w:r>
      <w:r>
        <w:rPr>
          <w:rFonts w:hAnsi="Arial"/>
          <w:rFonts w:ascii="Arial"/>
          <w:color w:val="black"/>
        </w:rPr>
        <w:t xml:space="preserve">&lt;Medalla adicionada por el artículo </w:t>
      </w:r>
      <w:r>
        <w:fldChar w:fldCharType="begin"/>
      </w:r>
      <w:r>
        <w:instrText>HYPERLINK "http://www.redjurista.com/document.aspx?ajcode=d1163023&amp;arts=3"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1163 de 2023&gt; </w:t>
      </w:r>
    </w:p>
    <w:p>
      <w:pPr>
        <w:jc w:val="both"/>
        <w:outlineLvl w:val="1"/>
      </w:pPr>
      <w:rPr>
        <w:color w:val="black"/>
      </w:rPr>
    </w:p>
    <w:p>
      <w:pPr>
        <w:jc w:val="both"/>
        <w:outlineLvl w:val="1"/>
      </w:pPr>
      <w:r>
        <w:rPr>
          <w:rFonts w:hAnsi="Arial"/>
          <w:rFonts w:ascii="Arial"/>
          <w:sz w:val="24"/>
          <w:color w:val="black"/>
        </w:rPr>
        <w:t xml:space="preserve">98. Medalla Militar “Servicios Distinguidos al Buceo en la Armada Nacional”. </w:t>
      </w:r>
      <w:r>
        <w:rPr>
          <w:rFonts w:hAnsi="Arial"/>
          <w:rFonts w:ascii="Arial"/>
          <w:color w:val="black"/>
        </w:rPr>
        <w:t xml:space="preserve">&lt;Medalla adicionada por el artículo </w:t>
      </w:r>
      <w:r>
        <w:fldChar w:fldCharType="begin"/>
      </w:r>
      <w:r>
        <w:instrText>HYPERLINK "http://www.redjurista.com/document.aspx?ajcode=d2115023&amp;arts=3"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2115 de 2023&gt; </w:t>
      </w:r>
    </w:p>
    <w:p>
      <w:pPr>
        <w:jc w:val="both"/>
        <w:outlineLvl w:val="1"/>
      </w:pPr>
      <w:rPr>
        <w:color w:val="black"/>
      </w:rPr>
    </w:p>
    <w:p>
      <w:pPr>
        <w:jc w:val="both"/>
        <w:outlineLvl w:val="1"/>
      </w:pPr>
      <w:r>
        <w:rPr>
          <w:rFonts w:hAnsi="Arial"/>
          <w:rFonts w:ascii="Arial"/>
          <w:sz w:val="24"/>
          <w:color w:val="black"/>
        </w:rPr>
        <w:t xml:space="preserve">99. Orden del Mérito Militar al “Mando”. </w:t>
      </w:r>
      <w:r>
        <w:rPr>
          <w:rFonts w:hAnsi="Arial"/>
          <w:rFonts w:ascii="Arial"/>
          <w:color w:val="black"/>
        </w:rPr>
        <w:t xml:space="preserve">&lt;Orden adicionada por el artículo </w:t>
      </w:r>
      <w:r>
        <w:fldChar w:fldCharType="begin"/>
      </w:r>
      <w:r>
        <w:instrText>HYPERLINK "http://www.redjurista.com/document.aspx?ajcode=d2226023&amp;arts=3"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2226 de 2023&gt;</w:t>
      </w:r>
    </w:p>
    <w:p>
      <w:pPr>
        <w:jc w:val="both"/>
        <w:outlineLvl w:val="1"/>
      </w:pPr>
      <w:rPr>
        <w:sz w:val="24"/>
        <w:color w:val="black"/>
      </w:rPr>
    </w:p>
    <w:p>
      <w:pPr>
        <w:jc w:val="both"/>
        <w:outlineLvl w:val="1"/>
      </w:pPr>
      <w:r>
        <w:rPr>
          <w:rFonts w:hAnsi="Arial"/>
          <w:rFonts w:ascii="Arial"/>
          <w:sz w:val="24"/>
          <w:color w:val="black"/>
        </w:rPr>
        <w:t xml:space="preserve">100. Medalla Militar “Servicios Distinguidos a la Acción Integral Naval*”. </w:t>
      </w:r>
      <w:r>
        <w:rPr>
          <w:rFonts w:hAnsi="Arial"/>
          <w:rFonts w:ascii="Arial"/>
          <w:color w:val="black"/>
        </w:rPr>
        <w:t xml:space="preserve">&lt;Medalla adicionada por el artículo </w:t>
      </w:r>
      <w:r>
        <w:fldChar w:fldCharType="begin"/>
      </w:r>
      <w:r>
        <w:instrText>HYPERLINK "http://www.redjurista.com/document.aspx?ajcode=d0630024&amp;arts=3"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630 de 2024&gt;</w:t>
      </w:r>
    </w:p>
    <w:p>
      <w:pPr>
        <w:jc w:val="both"/>
      </w:pPr>
      <w:rPr>
        <w:color w:val="black"/>
      </w:rPr>
    </w:p>
    <w:p>
      <w:pPr>
        <w:jc w:val="both"/>
      </w:pPr>
      <w:r>
        <w:rPr>
          <w:rFonts w:hAnsi="Arial"/>
          <w:rFonts w:ascii="Arial"/>
          <w:sz w:val="24"/>
          <w:color w:val="black"/>
        </w:rPr>
        <w:t xml:space="preserve">101. Medalla Militar “Operaciones Aeromédicas Especiales”. </w:t>
      </w:r>
      <w:r>
        <w:rPr>
          <w:rFonts w:hAnsi="Arial"/>
          <w:rFonts w:ascii="Arial"/>
          <w:color w:val="black"/>
        </w:rPr>
        <w:t xml:space="preserve">&lt;Medalla adicionada por el artículo </w:t>
      </w:r>
      <w:r>
        <w:fldChar w:fldCharType="begin"/>
      </w:r>
      <w:r>
        <w:instrText>HYPERLINK "http://www.redjurista.com/document.aspx?ajcode=d1333024&amp;arts=3"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1333 de 2024&gt;</w:t>
      </w:r>
    </w:p>
    <w:p>
      <w:pPr>
        <w:jc w:val="both"/>
      </w:pPr>
      <w:rPr>
        <w:sz w:val="24"/>
        <w:color w:val="black"/>
      </w:rPr>
    </w:p>
    <w:p>
      <w:pPr>
        <w:jc w:val="both"/>
      </w:pPr>
      <w:r>
        <w:rPr>
          <w:rFonts w:hAnsi="Arial"/>
          <w:rFonts w:ascii="Arial"/>
          <w:sz w:val="24"/>
          <w:color w:val="black"/>
        </w:rPr>
        <w:t xml:space="preserve">102. Medalla Militar “Servicios Distinguidos a la Contrainteligencia Aérea”. </w:t>
      </w:r>
      <w:r>
        <w:rPr>
          <w:rFonts w:hAnsi="Arial"/>
          <w:rFonts w:ascii="Arial"/>
          <w:color w:val="black"/>
        </w:rPr>
        <w:t xml:space="preserve">&lt;Medalla adicionada por el artículo </w:t>
      </w:r>
      <w:r>
        <w:fldChar w:fldCharType="begin"/>
      </w:r>
      <w:r>
        <w:instrText>HYPERLINK "http://www.redjurista.com/document.aspx?ajcode=d1333024&amp;arts=3"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1333 de 2024&gt;</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103. Medalla Militar “Autoridad Aeronáutica Aviación de Estado”. </w:t>
      </w:r>
      <w:r>
        <w:rPr>
          <w:rFonts w:hAnsi="Arial"/>
          <w:rFonts w:ascii="Arial"/>
          <w:color w:val="black"/>
        </w:rPr>
        <w:t xml:space="preserve">&lt;Medalla adicionada por el artículo </w:t>
      </w:r>
      <w:r>
        <w:fldChar w:fldCharType="begin"/>
      </w:r>
      <w:r>
        <w:instrText>HYPERLINK "http://www.redjurista.com/document.aspx?ajcode=d1333024&amp;arts=3"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1333 de 2024&gt;</w:t>
      </w:r>
    </w:p>
    <w:p>
      <w:pPr>
        <w:jc w:val="both"/>
      </w:pPr>
      <w:rPr>
        <w:sz w:val="24"/>
        <w:color w:val="black"/>
      </w:rPr>
    </w:p>
    <w:p>
      <w:pPr>
        <w:jc w:val="both"/>
      </w:pPr>
      <w:r>
        <w:rPr>
          <w:rFonts w:hAnsi="Arial"/>
          <w:rFonts w:ascii="Arial"/>
          <w:sz w:val="24"/>
          <w:color w:val="black"/>
        </w:rPr>
        <w:t xml:space="preserve">104. Medalla Militar “Servicios Distinguidos al Comando Desarrollo Humano” </w:t>
      </w:r>
      <w:r>
        <w:rPr>
          <w:rFonts w:hAnsi="Arial"/>
          <w:rFonts w:ascii="Arial"/>
          <w:color w:val="black"/>
        </w:rPr>
        <w:t xml:space="preserve">&lt;Medalla adicionada por el artículo </w:t>
      </w:r>
      <w:r>
        <w:fldChar w:fldCharType="begin"/>
      </w:r>
      <w:r>
        <w:instrText>HYPERLINK "http://www.redjurista.com/document.aspx?ajcode=d1333024&amp;arts=3"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1333 de 2024&gt;</w:t>
      </w:r>
      <w:r>
        <w:rPr>
          <w:rFonts w:hAnsi="Arial"/>
          <w:rFonts w:ascii="Arial"/>
          <w:sz w:val="24"/>
          <w:u w:val="none"/>
          <w:color w:val="black"/>
        </w:rPr>
        <w:t xml:space="preserve">. </w:t>
      </w:r>
    </w:p>
    <w:p>
      <w:pPr>
        <w:jc w:val="both"/>
      </w:pPr>
      <w:rPr>
        <w:sz w:val="24"/>
        <w:color w:val="black"/>
      </w:rPr>
    </w:p>
    <w:p>
      <w:pPr>
        <w:jc w:val="both"/>
        <w:outlineLvl w:val="1"/>
      </w:pPr>
      <w:r>
        <w:rPr>
          <w:rFonts w:hAnsi="Arial"/>
          <w:rFonts w:ascii="Arial"/>
          <w:sz w:val="24"/>
          <w:color w:val="black"/>
        </w:rPr>
        <w:t xml:space="preserve">105. Medalla Militar “Servicios Distinguidos Bicentenario Batalla de Ayacucho”. </w:t>
      </w:r>
      <w:r>
        <w:rPr>
          <w:rFonts w:hAnsi="Arial"/>
          <w:rFonts w:ascii="Arial"/>
          <w:color w:val="black"/>
        </w:rPr>
        <w:t xml:space="preserve">&lt;Medalla adicionada por el artículo </w:t>
      </w:r>
      <w:r>
        <w:fldChar w:fldCharType="begin"/>
      </w:r>
      <w:r>
        <w:instrText>HYPERLINK "http://www.redjurista.com/document.aspx?ajcode=d1334024&amp;arts=3"</w:instrText>
      </w:r>
      <w:r>
        <w:fldChar w:fldCharType="separate"/>
      </w:r>
      <w:r>
        <w:rPr>
          <w:rFonts w:hAnsi="Arial"/>
          <w:rFonts w:ascii="Arial"/>
          <w:u w:val="single"/>
          <w:color w:val="black"/>
        </w:rPr>
        <w:t>3</w:t>
      </w:r>
      <w:r>
        <w:fldChar w:fldCharType="end"/>
      </w:r>
      <w:r>
        <w:rPr>
          <w:rFonts w:hAnsi="Arial"/>
          <w:rFonts w:ascii="Arial"/>
          <w:u w:val="none"/>
          <w:color w:val="black"/>
        </w:rPr>
        <w:t xml:space="preserve"> del Decreto 1334 de 2024</w:t>
      </w:r>
      <w:r>
        <w:rPr>
          <w:rFonts w:hAnsi="Arial"/>
          <w:rFonts w:ascii="Arial"/>
          <w:sz w:val="24"/>
          <w:u w:val="none"/>
          <w:color w:val="black"/>
        </w:rPr>
        <w:t xml:space="preserve">&gt; </w:t>
      </w:r>
    </w:p>
    <w:p>
      <w:pPr>
        <w:jc w:val="both"/>
        <w:outlineLvl w:val="1"/>
      </w:pPr>
      <w:rPr>
        <w:sz w:val="24"/>
        <w:color w:val="black"/>
      </w:rPr>
    </w:p>
    <w:p>
      <w:pPr>
        <w:jc w:val="both"/>
        <w:outlineLvl w:val="1"/>
      </w:pPr>
      <w:r>
        <w:rPr>
          <w:rFonts w:hAnsi="Arial"/>
          <w:rFonts w:ascii="Arial"/>
          <w:sz w:val="24"/>
          <w:i/>
          <w:color w:val="black"/>
        </w:rPr>
        <w:t xml:space="preserve">(Decreto 4444 de 2010 artículo </w:t>
      </w:r>
      <w:r>
        <w:fldChar w:fldCharType="begin"/>
      </w:r>
      <w:r>
        <w:instrText>HYPERLINK "http://www.redjurista.com/document.aspx?ajcode=d4444010&amp;arts=7"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adicionado por los Decretos </w:t>
      </w:r>
      <w:r>
        <w:fldChar w:fldCharType="begin"/>
      </w:r>
      <w:r>
        <w:instrText>HYPERLINK "http://www.redjurista.com/document.aspx?ajcode=d2066011&amp;arts=INICIO"</w:instrText>
      </w:r>
      <w:r>
        <w:fldChar w:fldCharType="separate"/>
      </w:r>
      <w:r>
        <w:rPr>
          <w:rFonts w:hAnsi="Arial"/>
          <w:rFonts w:ascii="Arial"/>
          <w:sz w:val="24"/>
          <w:i/>
          <w:u w:val="single"/>
          <w:color w:val="black"/>
        </w:rPr>
        <w:t>2066</w:t>
      </w:r>
      <w:r>
        <w:fldChar w:fldCharType="end"/>
      </w:r>
      <w:r>
        <w:rPr>
          <w:rFonts w:hAnsi="Arial"/>
          <w:rFonts w:ascii="Arial"/>
          <w:sz w:val="24"/>
          <w:i/>
          <w:u w:val="none"/>
          <w:color w:val="black"/>
        </w:rPr>
        <w:t xml:space="preserve"> /11, </w:t>
      </w:r>
      <w:r>
        <w:fldChar w:fldCharType="begin"/>
      </w:r>
      <w:r>
        <w:instrText>HYPERLINK "http://www.redjurista.com/document.aspx?ajcode=d0961012&amp;arts=INICIO"</w:instrText>
      </w:r>
      <w:r>
        <w:fldChar w:fldCharType="separate"/>
      </w:r>
      <w:r>
        <w:rPr>
          <w:rFonts w:hAnsi="Arial"/>
          <w:rFonts w:ascii="Arial"/>
          <w:sz w:val="24"/>
          <w:i/>
          <w:u w:val="single"/>
          <w:color w:val="black"/>
        </w:rPr>
        <w:t>0961</w:t>
      </w:r>
      <w:r>
        <w:fldChar w:fldCharType="end"/>
      </w:r>
      <w:r>
        <w:rPr>
          <w:rFonts w:hAnsi="Arial"/>
          <w:rFonts w:ascii="Arial"/>
          <w:sz w:val="24"/>
          <w:i/>
          <w:u w:val="none"/>
          <w:color w:val="black"/>
        </w:rPr>
        <w:t xml:space="preserve"> /12, </w:t>
      </w:r>
      <w:r>
        <w:fldChar w:fldCharType="begin"/>
      </w:r>
      <w:r>
        <w:instrText>HYPERLINK "http://www.redjurista.com/document.aspx?ajcode=d1409012&amp;arts=INICIO"</w:instrText>
      </w:r>
      <w:r>
        <w:fldChar w:fldCharType="separate"/>
      </w:r>
      <w:r>
        <w:rPr>
          <w:rFonts w:hAnsi="Arial"/>
          <w:rFonts w:ascii="Arial"/>
          <w:sz w:val="24"/>
          <w:i/>
          <w:u w:val="single"/>
          <w:color w:val="black"/>
        </w:rPr>
        <w:t>1409</w:t>
      </w:r>
      <w:r>
        <w:fldChar w:fldCharType="end"/>
      </w:r>
      <w:r>
        <w:rPr>
          <w:rFonts w:hAnsi="Arial"/>
          <w:rFonts w:ascii="Arial"/>
          <w:sz w:val="24"/>
          <w:i/>
          <w:u w:val="none"/>
          <w:color w:val="black"/>
        </w:rPr>
        <w:t xml:space="preserve"> /12, </w:t>
      </w:r>
      <w:r>
        <w:fldChar w:fldCharType="begin"/>
      </w:r>
      <w:r>
        <w:instrText>HYPERLINK "http://www.redjurista.com/document.aspx?ajcode=d2281012&amp;arts=INICIO"</w:instrText>
      </w:r>
      <w:r>
        <w:fldChar w:fldCharType="separate"/>
      </w:r>
      <w:r>
        <w:rPr>
          <w:rFonts w:hAnsi="Arial"/>
          <w:rFonts w:ascii="Arial"/>
          <w:sz w:val="24"/>
          <w:i/>
          <w:u w:val="single"/>
          <w:color w:val="black"/>
        </w:rPr>
        <w:t>2281</w:t>
      </w:r>
      <w:r>
        <w:fldChar w:fldCharType="end"/>
      </w:r>
      <w:r>
        <w:rPr>
          <w:rFonts w:hAnsi="Arial"/>
          <w:rFonts w:ascii="Arial"/>
          <w:sz w:val="24"/>
          <w:i/>
          <w:u w:val="none"/>
          <w:color w:val="black"/>
        </w:rPr>
        <w:t xml:space="preserve"> /12, </w:t>
      </w:r>
      <w:r>
        <w:fldChar w:fldCharType="begin"/>
      </w:r>
      <w:r>
        <w:instrText>HYPERLINK "http://www.redjurista.com/document.aspx?ajcode=d1425013&amp;arts=INICIO"</w:instrText>
      </w:r>
      <w:r>
        <w:fldChar w:fldCharType="separate"/>
      </w:r>
      <w:r>
        <w:rPr>
          <w:rFonts w:hAnsi="Arial"/>
          <w:rFonts w:ascii="Arial"/>
          <w:sz w:val="24"/>
          <w:i/>
          <w:u w:val="single"/>
          <w:color w:val="black"/>
        </w:rPr>
        <w:t>1425</w:t>
      </w:r>
      <w:r>
        <w:fldChar w:fldCharType="end"/>
      </w:r>
      <w:r>
        <w:rPr>
          <w:rFonts w:hAnsi="Arial"/>
          <w:rFonts w:ascii="Arial"/>
          <w:sz w:val="24"/>
          <w:i/>
          <w:u w:val="none"/>
          <w:color w:val="black"/>
        </w:rPr>
        <w:t xml:space="preserve"> /13, </w:t>
      </w:r>
      <w:r>
        <w:fldChar w:fldCharType="begin"/>
      </w:r>
      <w:r>
        <w:instrText>HYPERLINK "http://www.redjurista.com/document.aspx?ajcode=d2457013&amp;arts=INICIO"</w:instrText>
      </w:r>
      <w:r>
        <w:fldChar w:fldCharType="separate"/>
      </w:r>
      <w:r>
        <w:rPr>
          <w:rFonts w:hAnsi="Arial"/>
          <w:rFonts w:ascii="Arial"/>
          <w:sz w:val="24"/>
          <w:i/>
          <w:u w:val="single"/>
          <w:color w:val="black"/>
        </w:rPr>
        <w:t>2457</w:t>
      </w:r>
      <w:r>
        <w:fldChar w:fldCharType="end"/>
      </w:r>
      <w:r>
        <w:rPr>
          <w:rFonts w:hAnsi="Arial"/>
          <w:rFonts w:ascii="Arial"/>
          <w:sz w:val="24"/>
          <w:i/>
          <w:u w:val="none"/>
          <w:color w:val="black"/>
        </w:rPr>
        <w:t xml:space="preserve"> /13, </w:t>
      </w:r>
      <w:r>
        <w:fldChar w:fldCharType="begin"/>
      </w:r>
      <w:r>
        <w:instrText>HYPERLINK "http://www.redjurista.com/document.aspx?ajcode=d0151014&amp;arts=INICIO"</w:instrText>
      </w:r>
      <w:r>
        <w:fldChar w:fldCharType="separate"/>
      </w:r>
      <w:r>
        <w:rPr>
          <w:rFonts w:hAnsi="Arial"/>
          <w:rFonts w:ascii="Arial"/>
          <w:sz w:val="24"/>
          <w:i/>
          <w:u w:val="single"/>
          <w:color w:val="black"/>
        </w:rPr>
        <w:t>0151</w:t>
      </w:r>
      <w:r>
        <w:fldChar w:fldCharType="end"/>
      </w:r>
      <w:r>
        <w:rPr>
          <w:rFonts w:hAnsi="Arial"/>
          <w:rFonts w:ascii="Arial"/>
          <w:sz w:val="24"/>
          <w:i/>
          <w:u w:val="none"/>
          <w:color w:val="black"/>
        </w:rPr>
        <w:t xml:space="preserve"> /14, </w:t>
      </w:r>
      <w:r>
        <w:fldChar w:fldCharType="begin"/>
      </w:r>
      <w:r>
        <w:instrText>HYPERLINK "http://www.redjurista.com/document.aspx?ajcode=d0932014&amp;arts=INICIO"</w:instrText>
      </w:r>
      <w:r>
        <w:fldChar w:fldCharType="separate"/>
      </w:r>
      <w:r>
        <w:rPr>
          <w:rFonts w:hAnsi="Arial"/>
          <w:rFonts w:ascii="Arial"/>
          <w:sz w:val="24"/>
          <w:i/>
          <w:u w:val="single"/>
          <w:color w:val="black"/>
        </w:rPr>
        <w:t>0932</w:t>
      </w:r>
      <w:r>
        <w:fldChar w:fldCharType="end"/>
      </w:r>
      <w:r>
        <w:rPr>
          <w:rFonts w:hAnsi="Arial"/>
          <w:rFonts w:ascii="Arial"/>
          <w:sz w:val="24"/>
          <w:i/>
          <w:u w:val="none"/>
          <w:color w:val="black"/>
        </w:rPr>
        <w:t xml:space="preserve"> /14, </w:t>
      </w:r>
      <w:r>
        <w:fldChar w:fldCharType="begin"/>
      </w:r>
      <w:r>
        <w:instrText>HYPERLINK "http://www.redjurista.com/document.aspx?ajcode=d1096014&amp;arts=INICIO"</w:instrText>
      </w:r>
      <w:r>
        <w:fldChar w:fldCharType="separate"/>
      </w:r>
      <w:r>
        <w:rPr>
          <w:rFonts w:hAnsi="Arial"/>
          <w:rFonts w:ascii="Arial"/>
          <w:sz w:val="24"/>
          <w:i/>
          <w:u w:val="single"/>
          <w:color w:val="black"/>
        </w:rPr>
        <w:t>1096</w:t>
      </w:r>
      <w:r>
        <w:fldChar w:fldCharType="end"/>
      </w:r>
      <w:r>
        <w:rPr>
          <w:rFonts w:hAnsi="Arial"/>
          <w:rFonts w:ascii="Arial"/>
          <w:sz w:val="24"/>
          <w:i/>
          <w:u w:val="none"/>
          <w:color w:val="black"/>
        </w:rPr>
        <w:t xml:space="preserve"> /14, </w:t>
      </w:r>
      <w:r>
        <w:fldChar w:fldCharType="begin"/>
      </w:r>
      <w:r>
        <w:instrText>HYPERLINK "http://www.redjurista.com/document.aspx?ajcode=d1599014&amp;arts=INICIO"</w:instrText>
      </w:r>
      <w:r>
        <w:fldChar w:fldCharType="separate"/>
      </w:r>
      <w:r>
        <w:rPr>
          <w:rFonts w:hAnsi="Arial"/>
          <w:rFonts w:ascii="Arial"/>
          <w:sz w:val="24"/>
          <w:i/>
          <w:u w:val="single"/>
          <w:color w:val="black"/>
        </w:rPr>
        <w:t>1599</w:t>
      </w:r>
      <w:r>
        <w:fldChar w:fldCharType="end"/>
      </w:r>
      <w:r>
        <w:rPr>
          <w:rFonts w:hAnsi="Arial"/>
          <w:rFonts w:ascii="Arial"/>
          <w:sz w:val="24"/>
          <w:i/>
          <w:u w:val="none"/>
          <w:color w:val="black"/>
        </w:rPr>
        <w:t xml:space="preserve"> /14 y </w:t>
      </w:r>
      <w:r>
        <w:fldChar w:fldCharType="begin"/>
      </w:r>
      <w:r>
        <w:instrText>HYPERLINK "http://www.redjurista.com/document.aspx?ajcode=d1697014&amp;arts=INICIO"</w:instrText>
      </w:r>
      <w:r>
        <w:fldChar w:fldCharType="separate"/>
      </w:r>
      <w:r>
        <w:rPr>
          <w:rFonts w:hAnsi="Arial"/>
          <w:rFonts w:ascii="Arial"/>
          <w:sz w:val="24"/>
          <w:i/>
          <w:u w:val="single"/>
          <w:color w:val="black"/>
        </w:rPr>
        <w:t>1697</w:t>
      </w:r>
      <w:r>
        <w:fldChar w:fldCharType="end"/>
      </w:r>
      <w:r>
        <w:rPr>
          <w:rFonts w:hAnsi="Arial"/>
          <w:rFonts w:ascii="Arial"/>
          <w:sz w:val="24"/>
          <w:i/>
          <w:u w:val="none"/>
          <w:color w:val="black"/>
        </w:rPr>
        <w:t xml:space="preserve"> /14)</w:t>
      </w:r>
    </w:p>
    <w:p>
      <w:pPr>
        <w:jc w:val="both"/>
      </w:pPr>
    </w:p>
    <w:p>
      <w:pPr>
        <w:jc w:val="both"/>
      </w:pPr>
      <w:r>
        <w:rPr>
          <w:rFonts w:hAnsi="Arial"/>
          <w:rFonts w:ascii="Arial"/>
          <w:sz w:val="24"/>
          <w:vanish/>
          <w:color w:val="black"/>
        </w:rPr>
        <w:t>&amp;$</w:t>
      </w:r>
      <w:bookmarkStart w:id="60500" w:name="2.3.1.3.2.3"/>
      <w:r>
        <w:rPr>
          <w:rFonts w:hAnsi="Arial"/>
          <w:rFonts w:ascii="Arial"/>
          <w:sz w:val="24"/>
          <w:color w:val="navy"/>
        </w:rPr>
        <w:t xml:space="preserve">ARTÍCULO 2.3.1.3.2.3. </w:t>
      </w:r>
      <w:r>
        <w:rPr>
          <w:rFonts w:hAnsi="Arial"/>
          <w:rFonts w:ascii="Arial"/>
          <w:sz w:val="24"/>
          <w:i/>
          <w:color w:val="navy"/>
        </w:rPr>
        <w:t xml:space="preserve">CARACTERÍSTICAS GENERALES.</w:t>
      </w:r>
      <w:bookmarkEnd w:id="60500"/>
      <w:r>
        <w:rPr>
          <w:rFonts w:hAnsi="Arial"/>
          <w:rFonts w:ascii="Arial"/>
          <w:sz w:val="24"/>
          <w:b/>
          <w:i/>
          <w:color w:val="black"/>
        </w:rPr>
        <w:t xml:space="preserve"> </w:t>
      </w:r>
      <w:r>
        <w:rPr>
          <w:rFonts w:hAnsi="Arial"/>
          <w:rFonts w:ascii="Arial"/>
          <w:sz w:val="24"/>
          <w:color w:val="black"/>
        </w:rPr>
        <w:t xml:space="preserve">Las joyas de las condecoraciones y medallas militares serán del material, colores, forma y dimensiones establecidos para cada una en particular en el presente Capítulo.</w:t>
      </w:r>
    </w:p>
    <w:p>
      <w:pPr>
        <w:jc w:val="both"/>
      </w:pPr>
      <w:rPr>
        <w:sz w:val="24"/>
        <w:color w:val="black"/>
      </w:rPr>
    </w:p>
    <w:p>
      <w:pPr>
        <w:jc w:val="both"/>
      </w:pPr>
      <w:r>
        <w:rPr>
          <w:rFonts w:hAnsi="Arial"/>
          <w:rFonts w:ascii="Arial"/>
          <w:sz w:val="24"/>
          <w:color w:val="black"/>
        </w:rPr>
        <w:t xml:space="preserve">Las veneras para condecoraciones y medallas serán metálicas, esmaltadas al fuego o en cinta, de cuarenta (40) milímetros de largo por diez (10) milímetros de ancho; sus colores y detalles serán los mismos de la cinta de la correspondiente condecoración. La miniatura o réplica será una medalla similar a la joya de la condecoración descrita en cada caso, pero reducida a un diámetro de quince (15) milímetros, la cual estará suspendida por una cinta similar a la de la joya, de quince (15) milímetros de ancho por treinta y cinco (35) milímetros de largo y en el centro ostentará los distintivos establecidos para la venera de acuerdo con la categoría.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501" w:name="SECCIÓN 2.3.1.3.3"/>
      <w:r>
        <w:rPr>
          <w:rFonts w:hAnsi="Arial"/>
          <w:rFonts w:ascii="Arial"/>
          <w:sz w:val="24"/>
          <w:color w:val="navy"/>
        </w:rPr>
        <w:t xml:space="preserve">SECCIÓN 3. </w:t>
      </w:r>
    </w:p>
    <w:p>
      <w:pPr>
        <w:jc w:val="center"/>
      </w:pPr>
      <w:r>
        <w:rPr>
          <w:rFonts w:hAnsi="Arial"/>
          <w:rFonts w:ascii="Arial"/>
          <w:sz w:val="24"/>
          <w:color w:val="navy"/>
        </w:rPr>
        <w:t xml:space="preserve">REQUISITOS GENERALES PARA EL OTORGAMIENTO Y FECHAS DE IMPOSICIÓN.</w:t>
      </w:r>
      <w:bookmarkEnd w:id="605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02" w:name="2.3.1.3.3.1"/>
      <w:r>
        <w:rPr>
          <w:rFonts w:hAnsi="Arial"/>
          <w:rFonts w:ascii="Arial"/>
          <w:sz w:val="24"/>
          <w:color w:val="navy"/>
        </w:rPr>
        <w:t xml:space="preserve">ARTÍCULO 2.3.1.3.3.1. </w:t>
      </w:r>
      <w:r>
        <w:rPr>
          <w:rFonts w:hAnsi="Arial"/>
          <w:rFonts w:ascii="Arial"/>
          <w:sz w:val="24"/>
          <w:i/>
          <w:color w:val="navy"/>
        </w:rPr>
        <w:t>REQUISITOS.</w:t>
      </w:r>
      <w:bookmarkEnd w:id="60502"/>
      <w:r>
        <w:rPr>
          <w:rFonts w:hAnsi="Arial"/>
          <w:rFonts w:ascii="Arial"/>
          <w:sz w:val="24"/>
          <w:b/>
          <w:i/>
          <w:color w:val="black"/>
        </w:rPr>
        <w:t xml:space="preserve"> </w:t>
      </w:r>
      <w:r>
        <w:rPr>
          <w:rFonts w:hAnsi="Arial"/>
          <w:rFonts w:ascii="Arial"/>
          <w:sz w:val="24"/>
          <w:color w:val="black"/>
        </w:rPr>
        <w:t xml:space="preserve">Los requisitos mínimos necesarios para el otorgamiento de las Condecoraciones militares son:</w:t>
      </w:r>
    </w:p>
    <w:p>
      <w:pPr>
        <w:jc w:val="both"/>
      </w:pPr>
      <w:rPr>
        <w:sz w:val="24"/>
        <w:color w:val="black"/>
      </w:rPr>
    </w:p>
    <w:p>
      <w:pPr>
        <w:jc w:val="both"/>
      </w:pPr>
      <w:r>
        <w:rPr>
          <w:rFonts w:hAnsi="Arial"/>
          <w:rFonts w:ascii="Arial"/>
          <w:sz w:val="24"/>
          <w:color w:val="black"/>
        </w:rPr>
        <w:t xml:space="preserve">a) Para oficiales y suboficiales:</w:t>
      </w:r>
    </w:p>
    <w:p>
      <w:pPr>
        <w:jc w:val="both"/>
      </w:pPr>
      <w:rPr>
        <w:sz w:val="24"/>
        <w:color w:val="black"/>
      </w:rPr>
    </w:p>
    <w:p>
      <w:pPr>
        <w:jc w:val="both"/>
      </w:pPr>
      <w:r>
        <w:rPr>
          <w:rFonts w:hAnsi="Arial"/>
          <w:rFonts w:ascii="Arial"/>
          <w:sz w:val="24"/>
          <w:color w:val="black"/>
        </w:rPr>
        <w:t xml:space="preserve">1. Que durante los tres (3) últimos años hayan sido clasificados en lista uno (1), dos (2) o tres (3).</w:t>
      </w:r>
    </w:p>
    <w:p>
      <w:pPr>
        <w:jc w:val="both"/>
      </w:pPr>
      <w:rPr>
        <w:sz w:val="24"/>
        <w:color w:val="black"/>
      </w:rPr>
    </w:p>
    <w:p>
      <w:pPr>
        <w:jc w:val="both"/>
      </w:pPr>
      <w:r>
        <w:rPr>
          <w:rFonts w:hAnsi="Arial"/>
          <w:rFonts w:ascii="Arial"/>
          <w:sz w:val="24"/>
          <w:color w:val="black"/>
        </w:rPr>
        <w:t xml:space="preserve">2. Que durante los tres últimos años no hayan sido objeto de sanción disciplinaria.</w:t>
      </w:r>
    </w:p>
    <w:p>
      <w:pPr>
        <w:jc w:val="both"/>
      </w:pPr>
      <w:rPr>
        <w:sz w:val="24"/>
        <w:color w:val="black"/>
      </w:rPr>
    </w:p>
    <w:p>
      <w:pPr>
        <w:jc w:val="both"/>
      </w:pPr>
      <w:r>
        <w:rPr>
          <w:rFonts w:hAnsi="Arial"/>
          <w:rFonts w:ascii="Arial"/>
          <w:sz w:val="24"/>
          <w:color w:val="black"/>
        </w:rPr>
        <w:t xml:space="preserve">3. Cinco (5) años de tiempo de Servicio como Oficial o Suboficial.</w:t>
      </w:r>
    </w:p>
    <w:p>
      <w:pPr>
        <w:jc w:val="both"/>
      </w:pPr>
      <w:rPr>
        <w:sz w:val="24"/>
        <w:color w:val="black"/>
      </w:rPr>
    </w:p>
    <w:p>
      <w:pPr>
        <w:jc w:val="both"/>
      </w:pPr>
      <w:r>
        <w:rPr>
          <w:rFonts w:hAnsi="Arial"/>
          <w:rFonts w:ascii="Arial"/>
          <w:sz w:val="24"/>
          <w:color w:val="black"/>
        </w:rPr>
        <w:t xml:space="preserve">b) Para Soldados e Infantes de Marina:</w:t>
      </w:r>
    </w:p>
    <w:p>
      <w:pPr>
        <w:jc w:val="both"/>
      </w:pPr>
      <w:rPr>
        <w:sz w:val="24"/>
        <w:color w:val="black"/>
      </w:rPr>
    </w:p>
    <w:p>
      <w:pPr>
        <w:jc w:val="both"/>
      </w:pPr>
      <w:r>
        <w:rPr>
          <w:rFonts w:hAnsi="Arial"/>
          <w:rFonts w:ascii="Arial"/>
          <w:sz w:val="24"/>
          <w:color w:val="black"/>
        </w:rPr>
        <w:t xml:space="preserve">1. Que no hayan sido objeto de sanciones disciplinarias durante su tiempo de servicio militar obligatorio o en los últimos tres (3) años de servicio.</w:t>
      </w:r>
    </w:p>
    <w:p>
      <w:pPr>
        <w:jc w:val="both"/>
      </w:pPr>
      <w:rPr>
        <w:sz w:val="24"/>
        <w:color w:val="black"/>
      </w:rPr>
    </w:p>
    <w:p>
      <w:pPr>
        <w:jc w:val="both"/>
      </w:pPr>
      <w:r>
        <w:rPr>
          <w:rFonts w:hAnsi="Arial"/>
          <w:rFonts w:ascii="Arial"/>
          <w:sz w:val="24"/>
          <w:color w:val="black"/>
        </w:rPr>
        <w:t xml:space="preserve">2. Que se hayan distinguido entre sus compañeros por haber observado excelente conducta y sobresaliente espíritu militar en el cumplimiento de sus deberes.</w:t>
      </w:r>
    </w:p>
    <w:p>
      <w:pPr>
        <w:jc w:val="both"/>
      </w:pPr>
      <w:rPr>
        <w:sz w:val="24"/>
        <w:color w:val="black"/>
      </w:rPr>
    </w:p>
    <w:p>
      <w:pPr>
        <w:jc w:val="both"/>
      </w:pPr>
      <w:r>
        <w:rPr>
          <w:rFonts w:hAnsi="Arial"/>
          <w:rFonts w:ascii="Arial"/>
          <w:sz w:val="24"/>
          <w:color w:val="black"/>
        </w:rPr>
        <w:t xml:space="preserve">3. Que tengan un tiempo mínimo de un (1) año de servicio militar o cinco (5) años de Servicio como Soldado Profesional.</w:t>
      </w:r>
    </w:p>
    <w:p>
      <w:pPr>
        <w:jc w:val="both"/>
      </w:pPr>
      <w:rPr>
        <w:sz w:val="24"/>
        <w:color w:val="black"/>
      </w:rPr>
    </w:p>
    <w:p>
      <w:pPr>
        <w:jc w:val="both"/>
      </w:pPr>
      <w:r>
        <w:rPr>
          <w:rFonts w:hAnsi="Arial"/>
          <w:rFonts w:ascii="Arial"/>
          <w:sz w:val="24"/>
          <w:color w:val="black"/>
        </w:rPr>
        <w:t xml:space="preserve">c) Para los servidores públicos del Sector Defensa.</w:t>
      </w:r>
    </w:p>
    <w:p>
      <w:pPr>
        <w:jc w:val="both"/>
      </w:pPr>
      <w:rPr>
        <w:sz w:val="24"/>
        <w:color w:val="black"/>
      </w:rPr>
    </w:p>
    <w:p>
      <w:pPr>
        <w:jc w:val="both"/>
      </w:pPr>
      <w:r>
        <w:rPr>
          <w:rFonts w:hAnsi="Arial"/>
          <w:rFonts w:ascii="Arial"/>
          <w:sz w:val="24"/>
          <w:color w:val="black"/>
        </w:rPr>
        <w:t xml:space="preserve">1. Que haya sobresalido en forma excepcional en el desempeño de su cargo.</w:t>
      </w:r>
    </w:p>
    <w:p>
      <w:pPr>
        <w:jc w:val="both"/>
      </w:pPr>
      <w:rPr>
        <w:sz w:val="24"/>
        <w:color w:val="black"/>
      </w:rPr>
    </w:p>
    <w:p>
      <w:pPr>
        <w:jc w:val="both"/>
      </w:pPr>
      <w:r>
        <w:rPr>
          <w:rFonts w:hAnsi="Arial"/>
          <w:rFonts w:ascii="Arial"/>
          <w:sz w:val="24"/>
          <w:color w:val="black"/>
        </w:rPr>
        <w:t xml:space="preserve">2. Que durante los tres (3) últimos años no haya sido objeto de sanción disciplinaria y obtener como mínimo un nivel de evaluación que le permita continuar en la Institución.</w:t>
      </w:r>
    </w:p>
    <w:p>
      <w:pPr>
        <w:jc w:val="both"/>
      </w:pPr>
      <w:rPr>
        <w:sz w:val="24"/>
        <w:color w:val="black"/>
      </w:rPr>
    </w:p>
    <w:p>
      <w:pPr>
        <w:jc w:val="both"/>
      </w:pPr>
      <w:r>
        <w:rPr>
          <w:rFonts w:hAnsi="Arial"/>
          <w:rFonts w:ascii="Arial"/>
          <w:sz w:val="24"/>
          <w:color w:val="black"/>
        </w:rPr>
        <w:t xml:space="preserve">3. Que tengan mínimo cinco (5) años de servicio.</w:t>
      </w:r>
    </w:p>
    <w:p>
      <w:pPr>
        <w:jc w:val="both"/>
      </w:pPr>
      <w:rPr>
        <w:sz w:val="24"/>
        <w:color w:val="black"/>
      </w:rPr>
    </w:p>
    <w:p>
      <w:pPr>
        <w:jc w:val="both"/>
      </w:pPr>
      <w:r>
        <w:rPr>
          <w:rFonts w:hAnsi="Arial"/>
          <w:rFonts w:ascii="Arial"/>
          <w:sz w:val="24"/>
          <w:color w:val="black"/>
        </w:rPr>
        <w:t xml:space="preserve">d) Para instituciones de derecho público, privado y particulares.</w:t>
      </w:r>
    </w:p>
    <w:p>
      <w:pPr>
        <w:jc w:val="both"/>
      </w:pPr>
      <w:rPr>
        <w:sz w:val="24"/>
        <w:color w:val="black"/>
      </w:rPr>
    </w:p>
    <w:p>
      <w:pPr>
        <w:jc w:val="both"/>
      </w:pPr>
      <w:r>
        <w:rPr>
          <w:rFonts w:hAnsi="Arial"/>
          <w:rFonts w:ascii="Arial"/>
          <w:sz w:val="24"/>
          <w:color w:val="black"/>
        </w:rPr>
        <w:t xml:space="preserve">1. Que hayan prestado servicios eminentes a las Fuerzas Militares y/o Ministerio de Defensa Nacional.</w:t>
      </w:r>
    </w:p>
    <w:p>
      <w:pPr>
        <w:jc w:val="both"/>
      </w:pPr>
      <w:rPr>
        <w:sz w:val="24"/>
        <w:color w:val="black"/>
      </w:rPr>
    </w:p>
    <w:p>
      <w:pPr>
        <w:jc w:val="both"/>
      </w:pPr>
      <w:r>
        <w:rPr>
          <w:rFonts w:hAnsi="Arial"/>
          <w:rFonts w:ascii="Arial"/>
          <w:sz w:val="24"/>
          <w:color w:val="black"/>
        </w:rPr>
        <w:t xml:space="preserve">2. Que reúnan condiciones morales, éticas, profesionales y personales ejemplares.</w:t>
      </w:r>
    </w:p>
    <w:p>
      <w:pPr>
        <w:jc w:val="both"/>
      </w:pPr>
      <w:rPr>
        <w:sz w:val="24"/>
        <w:color w:val="black"/>
      </w:rPr>
    </w:p>
    <w:p>
      <w:pPr>
        <w:jc w:val="both"/>
      </w:pPr>
      <w:r>
        <w:rPr>
          <w:rFonts w:hAnsi="Arial"/>
          <w:rFonts w:ascii="Arial"/>
          <w:sz w:val="24"/>
          <w:color w:val="black"/>
        </w:rPr>
        <w:t xml:space="preserve">3. Que por su posición y méritos se hayan hecho acreedores a esta gracia.</w:t>
      </w:r>
    </w:p>
    <w:p>
      <w:pPr>
        <w:jc w:val="both"/>
      </w:pPr>
      <w:rPr>
        <w:sz w:val="24"/>
        <w:color w:val="black"/>
      </w:rPr>
    </w:p>
    <w:p>
      <w:pPr>
        <w:jc w:val="both"/>
      </w:pPr>
      <w:r>
        <w:rPr>
          <w:rFonts w:hAnsi="Arial"/>
          <w:rFonts w:ascii="Arial"/>
          <w:sz w:val="24"/>
          <w:color w:val="black"/>
        </w:rPr>
        <w:t xml:space="preserve">e) Para todos.</w:t>
      </w:r>
    </w:p>
    <w:p>
      <w:pPr>
        <w:jc w:val="both"/>
      </w:pPr>
      <w:rPr>
        <w:sz w:val="24"/>
        <w:color w:val="black"/>
      </w:rPr>
    </w:p>
    <w:p>
      <w:pPr>
        <w:jc w:val="both"/>
      </w:pPr>
      <w:r>
        <w:rPr>
          <w:rFonts w:hAnsi="Arial"/>
          <w:rFonts w:ascii="Arial"/>
          <w:sz w:val="24"/>
          <w:color w:val="black"/>
        </w:rPr>
        <w:t xml:space="preserve">1. Que durante los tres (3) últimos años no hayan sido condecorados ni promovidos con órdenes por virtudes militares, salvo cuando la orden es conferida por otra fuerza.</w:t>
      </w:r>
    </w:p>
    <w:p>
      <w:pPr>
        <w:jc w:val="both"/>
      </w:pPr>
      <w:rPr>
        <w:sz w:val="24"/>
        <w:color w:val="black"/>
      </w:rPr>
    </w:p>
    <w:p>
      <w:pPr>
        <w:jc w:val="both"/>
      </w:pPr>
      <w:r>
        <w:rPr>
          <w:rFonts w:hAnsi="Arial"/>
          <w:rFonts w:ascii="Arial"/>
          <w:sz w:val="24"/>
          <w:color w:val="black"/>
        </w:rPr>
        <w:t xml:space="preserve">2. Que en los últimos tres (3) años no haya sido condenado por la Justicia Penal Militar o la Ordinaria, por autoridad administrativa o disciplinaria.</w:t>
      </w:r>
    </w:p>
    <w:p>
      <w:pPr>
        <w:jc w:val="both"/>
      </w:pPr>
      <w:rPr>
        <w:sz w:val="24"/>
        <w:color w:val="black"/>
      </w:rPr>
    </w:p>
    <w:p>
      <w:pPr>
        <w:jc w:val="both"/>
      </w:pPr>
      <w:r>
        <w:rPr>
          <w:rFonts w:hAnsi="Arial"/>
          <w:rFonts w:ascii="Arial"/>
          <w:sz w:val="24"/>
          <w:color w:val="black"/>
        </w:rPr>
        <w:t xml:space="preserve">3. Que no haya sido suspendido en el ejercicio de funciones y atribuciones en los últimos tres (3) años.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Se exceptúa de estos requisitos, los Oficiales Generales o de Insignia y los que se hagan acreedores a condecoraciones por actos de valor y servicios distinguidos en casos de calamidad pública, estados de conmoción interior o guerra exterior, tiempo de servicio, mérito académico y mérito deportivo, en estos casos, por el solo hecho comprobado se puede conferir la condecoración.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03" w:name="2.3.1.3.3.2"/>
      <w:r>
        <w:rPr>
          <w:rFonts w:hAnsi="Arial"/>
          <w:rFonts w:ascii="Arial"/>
          <w:sz w:val="24"/>
          <w:color w:val="navy"/>
        </w:rPr>
        <w:t xml:space="preserve">ARTÍCULO 2.3.1.3.3.2. </w:t>
      </w:r>
      <w:r>
        <w:rPr>
          <w:rFonts w:hAnsi="Arial"/>
          <w:rFonts w:ascii="Arial"/>
          <w:sz w:val="24"/>
          <w:i/>
          <w:color w:val="navy"/>
        </w:rPr>
        <w:t xml:space="preserve">SOLICITUD Y TRÁMITE.</w:t>
      </w:r>
      <w:bookmarkEnd w:id="60503"/>
      <w:r>
        <w:rPr>
          <w:rFonts w:hAnsi="Arial"/>
          <w:rFonts w:ascii="Arial"/>
          <w:sz w:val="24"/>
          <w:b/>
          <w:i/>
          <w:color w:val="black"/>
        </w:rPr>
        <w:t xml:space="preserve"> </w:t>
      </w:r>
      <w:r>
        <w:rPr>
          <w:rFonts w:hAnsi="Arial"/>
          <w:rFonts w:ascii="Arial"/>
          <w:sz w:val="24"/>
          <w:color w:val="black"/>
        </w:rPr>
        <w:t xml:space="preserve">Las solicitudes para conferir o retirar el derecho al uso de las medallas y condecoraciones se elaboran conforme al formato que para tal efecto adopten los Comandos de Fuerza; se tramitan por conducto regular y se someten a la consideración del Consejo o autoridad que la confiere, de acuerdo con las siguientes normas:</w:t>
      </w:r>
    </w:p>
    <w:p>
      <w:pPr>
        <w:jc w:val="both"/>
      </w:pPr>
      <w:rPr>
        <w:sz w:val="24"/>
        <w:color w:val="black"/>
      </w:rPr>
    </w:p>
    <w:p>
      <w:pPr>
        <w:jc w:val="both"/>
      </w:pPr>
      <w:r>
        <w:rPr>
          <w:rFonts w:hAnsi="Arial"/>
          <w:rFonts w:ascii="Arial"/>
          <w:sz w:val="24"/>
          <w:color w:val="black"/>
        </w:rPr>
        <w:t xml:space="preserve">a) Por el Comandante General de las Fuerzas Militares, las relacionadas con Personal del Comando General de las Fuerzas Militares, Instituciones, Personalidades Civiles Nacionales y Extranjeras que ameriten ser objeto de exaltación especial;</w:t>
      </w:r>
    </w:p>
    <w:p>
      <w:pPr>
        <w:jc w:val="both"/>
      </w:pPr>
      <w:rPr>
        <w:sz w:val="24"/>
        <w:color w:val="black"/>
      </w:rPr>
    </w:p>
    <w:p>
      <w:pPr>
        <w:jc w:val="both"/>
      </w:pPr>
      <w:r>
        <w:rPr>
          <w:rFonts w:hAnsi="Arial"/>
          <w:rFonts w:ascii="Arial"/>
          <w:sz w:val="24"/>
          <w:color w:val="black"/>
        </w:rPr>
        <w:t xml:space="preserve">b) Por el Jefe del Estado Mayor Conjunto de las Fuerzas Militares, las relacionadas con el personal del Cuartel General del Comando General de las Fuerzas Militares, Escuela Superior de Guerra, Personal Militar al servicio del Ministerio de la Defensa Nacional e Institutos descentralizados;</w:t>
      </w:r>
    </w:p>
    <w:p>
      <w:pPr>
        <w:jc w:val="both"/>
      </w:pPr>
      <w:rPr>
        <w:sz w:val="24"/>
        <w:color w:val="black"/>
      </w:rPr>
    </w:p>
    <w:p>
      <w:pPr>
        <w:jc w:val="both"/>
      </w:pPr>
      <w:r>
        <w:rPr>
          <w:rFonts w:hAnsi="Arial"/>
          <w:rFonts w:ascii="Arial"/>
          <w:sz w:val="24"/>
          <w:color w:val="black"/>
        </w:rPr>
        <w:t xml:space="preserve">c) Por los Comandantes de Fuerza, las relativas al personal militar y civil de su Fuerza, Instituciones, Personalidades Civiles Nacionales y Extranjeras que ameriten ser objeto de exaltación especial;</w:t>
      </w:r>
    </w:p>
    <w:p>
      <w:pPr>
        <w:jc w:val="both"/>
      </w:pPr>
      <w:rPr>
        <w:sz w:val="24"/>
        <w:color w:val="black"/>
      </w:rPr>
    </w:p>
    <w:p>
      <w:pPr>
        <w:jc w:val="both"/>
      </w:pPr>
      <w:r>
        <w:rPr>
          <w:rFonts w:hAnsi="Arial"/>
          <w:rFonts w:ascii="Arial"/>
          <w:sz w:val="24"/>
          <w:color w:val="black"/>
        </w:rPr>
        <w:t xml:space="preserve">d) Por cualquiera de los miembros del correspondiente Consejo, las relacionadas con personal ajeno a las dependencias indicadas en los puntos anteriores.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solicitudes relacionadas con las órdenes se envían al Gran Canciller (Ministro de Defensa Nacional) por conducto regular, con anterioridad a las fechas establecidas para las reuniones ordinarias previstas para cada uno de los Consejos de las Órdenes, con el fin, que sean considerados oportunamente. Se adjuntan los documentos que a juicio del proponente sustentan la solicitud, tales como: felicitaciones, citaciones especiales, relación de actividades meritorias del candidato, currículum vitae y aquellos otros que den al Consejo o autoridad otorgante información que le permita decidir acertadamente sobre las propuestas sometidas a su consideración.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disposiciones contenidas en el presente artículo no son aplicables cuando la solicitud de la medalla o condecoración la eleve el Ministerio de Defensa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04" w:name="2.3.1.3.3.3"/>
      <w:r>
        <w:rPr>
          <w:rFonts w:hAnsi="Arial"/>
          <w:rFonts w:ascii="Arial"/>
          <w:sz w:val="24"/>
          <w:color w:val="navy"/>
        </w:rPr>
        <w:t xml:space="preserve">ARTÍCULO 2.3.1.3.3.3. </w:t>
      </w:r>
      <w:r>
        <w:rPr>
          <w:rFonts w:hAnsi="Arial"/>
          <w:rFonts w:ascii="Arial"/>
          <w:sz w:val="24"/>
          <w:i/>
          <w:color w:val="navy"/>
        </w:rPr>
        <w:t xml:space="preserve">SOLICITUDES, PROMOCIONES Y REQUISITOS.</w:t>
      </w:r>
      <w:bookmarkEnd w:id="60504"/>
      <w:r>
        <w:rPr>
          <w:rFonts w:hAnsi="Arial"/>
          <w:rFonts w:ascii="Arial"/>
          <w:sz w:val="24"/>
          <w:b/>
          <w:i/>
          <w:color w:val="black"/>
        </w:rPr>
        <w:t xml:space="preserve"> </w:t>
      </w:r>
      <w:r>
        <w:rPr>
          <w:rFonts w:hAnsi="Arial"/>
          <w:rFonts w:ascii="Arial"/>
          <w:sz w:val="24"/>
          <w:color w:val="black"/>
        </w:rPr>
        <w:t xml:space="preserve">La solicitud para promover una Orden o medalla a una nueva categoría se tramita por la autoridad competente siempre y cuando el agraciado llene los requisitos que se enumeran a continuación:</w:t>
      </w:r>
    </w:p>
    <w:p>
      <w:pPr>
        <w:jc w:val="both"/>
      </w:pPr>
      <w:rPr>
        <w:sz w:val="24"/>
        <w:color w:val="black"/>
      </w:rPr>
    </w:p>
    <w:p>
      <w:pPr>
        <w:jc w:val="both"/>
      </w:pPr>
      <w:r>
        <w:rPr>
          <w:rFonts w:hAnsi="Arial"/>
          <w:rFonts w:ascii="Arial"/>
          <w:sz w:val="24"/>
          <w:color w:val="black"/>
        </w:rPr>
        <w:t xml:space="preserve">a) Que tenga la jerarquía de militar, la calidad de personal civil al servicio del Ministerio de Defensa Nacional o posición civil equivalente a la categoría de la orden solicitada;</w:t>
      </w:r>
    </w:p>
    <w:p>
      <w:pPr>
        <w:jc w:val="both"/>
      </w:pPr>
      <w:rPr>
        <w:sz w:val="24"/>
        <w:color w:val="black"/>
      </w:rPr>
    </w:p>
    <w:p>
      <w:pPr>
        <w:jc w:val="both"/>
      </w:pPr>
      <w:r>
        <w:rPr>
          <w:rFonts w:hAnsi="Arial"/>
          <w:rFonts w:ascii="Arial"/>
          <w:sz w:val="24"/>
          <w:color w:val="black"/>
        </w:rPr>
        <w:t xml:space="preserve">b) Que haya transcurrido un tiempo mínimo de tres (3) años en posesión de la condecoración o medalla en la categoría que le fue concedida por última vez, comprobando con número y fecha del acto administrativo que la confirió;</w:t>
      </w:r>
    </w:p>
    <w:p>
      <w:pPr>
        <w:jc w:val="both"/>
      </w:pPr>
      <w:rPr>
        <w:sz w:val="24"/>
        <w:color w:val="black"/>
      </w:rPr>
    </w:p>
    <w:p>
      <w:pPr>
        <w:jc w:val="both"/>
      </w:pPr>
      <w:r>
        <w:rPr>
          <w:rFonts w:hAnsi="Arial"/>
          <w:rFonts w:ascii="Arial"/>
          <w:sz w:val="24"/>
          <w:color w:val="black"/>
        </w:rPr>
        <w:t xml:space="preserve">c) Las Jefaturas de Desarrollo Humano de las Fuerzas Militares, o quien haga sus veces, propondrán el personal de Oficiales, Suboficiales, Soldados, Infantes de Marina, Civiles, Instituciones y Personalidades que cumplan con los requisitos exigidos en el presente Capítulo, para ser aprobados por el Comando de la Fuerza y los Comandos de las Unidades Operativas y a su vez presentarlos al Consejo de la respectiva Orden;</w:t>
      </w:r>
    </w:p>
    <w:p>
      <w:pPr>
        <w:jc w:val="both"/>
      </w:pPr>
      <w:rPr>
        <w:sz w:val="24"/>
        <w:color w:val="black"/>
      </w:rPr>
    </w:p>
    <w:p>
      <w:pPr>
        <w:jc w:val="both"/>
      </w:pPr>
      <w:r>
        <w:rPr>
          <w:rFonts w:hAnsi="Arial"/>
          <w:rFonts w:ascii="Arial"/>
          <w:sz w:val="24"/>
          <w:color w:val="black"/>
        </w:rPr>
        <w:t xml:space="preserve">d) Que cumplan los mismos requisitos establecidos para su otorgamiento.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Jefe de Desarrollo Humano o dependencia que haga sus veces en el Comando General de las Fuerzas Militares, los Comandos de Fuerza y Ministerio de Defensa Nacional, según corresponda, tendrán una base de datos actualizada del personal Militar, Civil, Instituciones y personalidades que hayan sido objeto de Condecoraciones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05" w:name="2.3.1.3.3.4"/>
      <w:r>
        <w:rPr>
          <w:rFonts w:hAnsi="Arial"/>
          <w:rFonts w:ascii="Arial"/>
          <w:sz w:val="24"/>
          <w:color w:val="navy"/>
        </w:rPr>
        <w:t xml:space="preserve">ARTÍCULO 2.3.1.3.3.4. </w:t>
      </w:r>
      <w:r>
        <w:rPr>
          <w:rFonts w:hAnsi="Arial"/>
          <w:rFonts w:ascii="Arial"/>
          <w:sz w:val="24"/>
          <w:i/>
          <w:color w:val="navy"/>
        </w:rPr>
        <w:t xml:space="preserve">FECHAS DE IMPOSICIÓN.</w:t>
      </w:r>
      <w:bookmarkEnd w:id="60505"/>
      <w:r>
        <w:rPr>
          <w:rFonts w:hAnsi="Arial"/>
          <w:rFonts w:ascii="Arial"/>
          <w:sz w:val="24"/>
          <w:b/>
          <w:i/>
          <w:color w:val="black"/>
        </w:rPr>
        <w:t xml:space="preserve"> </w:t>
      </w:r>
      <w:r>
        <w:rPr>
          <w:rFonts w:hAnsi="Arial"/>
          <w:rFonts w:ascii="Arial"/>
          <w:sz w:val="24"/>
          <w:color w:val="black"/>
        </w:rPr>
        <w:t xml:space="preserve">El personal Militar, Civil o particular que se encuentre previsto para ser objeto de las condecoraciones contempladas en este Capítulo, les serán impuestas en las unidades operativas respectivas, en ceremonias militares en cualquier época del año.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06" w:name="SECCIÓN 2.3.1.3.4"/>
      <w:r>
        <w:rPr>
          <w:rFonts w:hAnsi="Arial"/>
          <w:rFonts w:ascii="Arial"/>
          <w:sz w:val="24"/>
          <w:color w:val="navy"/>
        </w:rPr>
        <w:t xml:space="preserve">SECCIÓN 4. </w:t>
      </w:r>
    </w:p>
    <w:p>
      <w:pPr>
        <w:jc w:val="center"/>
      </w:pPr>
      <w:r>
        <w:rPr>
          <w:rFonts w:hAnsi="Arial"/>
          <w:rFonts w:ascii="Arial"/>
          <w:sz w:val="24"/>
          <w:color w:val="navy"/>
        </w:rPr>
        <w:t xml:space="preserve">CONDECORACIONES POR ACTOS DE VALOR Y SERVICIOS DISTINGUIDOS EN GUERRA INTERNACIONAL, ESTADOS DE EXCEPCIÓN O EN ORDEN PÚBLICO.</w:t>
      </w:r>
      <w:bookmarkEnd w:id="60506"/>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0507" w:name="SUBSECCIÓN 2.3.1.3.4.1"/>
      <w:r>
        <w:rPr>
          <w:rFonts w:hAnsi="Arial"/>
          <w:rFonts w:ascii="Arial"/>
          <w:sz w:val="24"/>
          <w:color w:val="navy"/>
        </w:rPr>
        <w:t xml:space="preserve">SUBSECCIÓN 1. </w:t>
      </w:r>
    </w:p>
    <w:p>
      <w:pPr>
        <w:jc w:val="center"/>
      </w:pPr>
      <w:r>
        <w:rPr>
          <w:rFonts w:hAnsi="Arial"/>
          <w:rFonts w:ascii="Arial"/>
          <w:sz w:val="24"/>
          <w:color w:val="navy"/>
        </w:rPr>
        <w:t xml:space="preserve">ORDEN MILITAR DE "SAN MATEO".</w:t>
      </w:r>
      <w:bookmarkEnd w:id="6050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08" w:name="2.3.1.3.4.1.1"/>
      <w:r>
        <w:rPr>
          <w:rFonts w:hAnsi="Arial"/>
          <w:rFonts w:ascii="Arial"/>
          <w:sz w:val="24"/>
          <w:color w:val="navy"/>
        </w:rPr>
        <w:t xml:space="preserve">ARTÍCULO 2.3.1.3.4.1.1. </w:t>
      </w:r>
      <w:r>
        <w:rPr>
          <w:rFonts w:hAnsi="Arial"/>
          <w:rFonts w:ascii="Arial"/>
          <w:sz w:val="24"/>
          <w:i/>
          <w:color w:val="navy"/>
        </w:rPr>
        <w:t xml:space="preserve">ORIGEN Y CATEGORÍAS.</w:t>
      </w:r>
      <w:bookmarkEnd w:id="60508"/>
      <w:r>
        <w:rPr>
          <w:rFonts w:hAnsi="Arial"/>
          <w:rFonts w:ascii="Arial"/>
          <w:sz w:val="24"/>
          <w:b/>
          <w:i/>
          <w:color w:val="black"/>
        </w:rPr>
        <w:t xml:space="preserve"> </w:t>
      </w:r>
      <w:r>
        <w:rPr>
          <w:rFonts w:hAnsi="Arial"/>
          <w:rFonts w:ascii="Arial"/>
          <w:sz w:val="24"/>
          <w:color w:val="black"/>
        </w:rPr>
        <w:t xml:space="preserve">Creada mediante la Ley 40 de 1913 y reglamentada por el Decreto número </w:t>
      </w:r>
      <w:r>
        <w:fldChar w:fldCharType="begin"/>
      </w:r>
      <w:r>
        <w:instrText>HYPERLINK "http://www.redjurista.com/document.aspx?ajcode=d0349_14&amp;arts=INICIO"</w:instrText>
      </w:r>
      <w:r>
        <w:fldChar w:fldCharType="separate"/>
      </w:r>
      <w:r>
        <w:rPr>
          <w:rFonts w:hAnsi="Arial"/>
          <w:rFonts w:ascii="Arial"/>
          <w:sz w:val="24"/>
          <w:u w:val="single"/>
          <w:color w:val="black"/>
        </w:rPr>
        <w:t>349</w:t>
      </w:r>
      <w:r>
        <w:fldChar w:fldCharType="end"/>
      </w:r>
      <w:r>
        <w:rPr>
          <w:rFonts w:hAnsi="Arial"/>
          <w:rFonts w:ascii="Arial"/>
          <w:sz w:val="24"/>
          <w:u w:val="none"/>
          <w:color w:val="black"/>
        </w:rPr>
        <w:t xml:space="preserve"> de 1914, está destinada a exaltar a los miembros de las Fuerzas Militares que en defensa de la patria hayan prestado servicios eminentes o ejecutado actos heroicos y de valor. Ostenta tres (3) categorías:</w:t>
      </w:r>
    </w:p>
    <w:p>
      <w:pPr>
        <w:jc w:val="both"/>
      </w:pPr>
      <w:rPr>
        <w:sz w:val="24"/>
        <w:color w:val="black"/>
      </w:rPr>
    </w:p>
    <w:p>
      <w:pPr>
        <w:jc w:val="both"/>
      </w:pPr>
      <w:r>
        <w:rPr>
          <w:rFonts w:hAnsi="Arial"/>
          <w:rFonts w:ascii="Arial"/>
          <w:sz w:val="24"/>
          <w:color w:val="black"/>
        </w:rPr>
        <w:t xml:space="preserve">a) Cruz de Primera Clase;</w:t>
      </w:r>
    </w:p>
    <w:p>
      <w:pPr>
        <w:jc w:val="both"/>
      </w:pPr>
      <w:rPr>
        <w:sz w:val="24"/>
        <w:color w:val="black"/>
      </w:rPr>
    </w:p>
    <w:p>
      <w:pPr>
        <w:jc w:val="both"/>
      </w:pPr>
      <w:r>
        <w:rPr>
          <w:rFonts w:hAnsi="Arial"/>
          <w:rFonts w:ascii="Arial"/>
          <w:sz w:val="24"/>
          <w:color w:val="black"/>
        </w:rPr>
        <w:t xml:space="preserve">b) Cruz de Segunda Clase;</w:t>
      </w:r>
    </w:p>
    <w:p>
      <w:pPr>
        <w:jc w:val="both"/>
      </w:pPr>
      <w:rPr>
        <w:sz w:val="24"/>
        <w:color w:val="black"/>
      </w:rPr>
    </w:p>
    <w:p>
      <w:pPr>
        <w:jc w:val="both"/>
      </w:pPr>
      <w:r>
        <w:rPr>
          <w:rFonts w:hAnsi="Arial"/>
          <w:rFonts w:ascii="Arial"/>
          <w:sz w:val="24"/>
          <w:color w:val="black"/>
        </w:rPr>
        <w:t xml:space="preserve">c) Cruz de Tercera Clase.</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09" w:name="2.3.1.3.4.1.2"/>
      <w:r>
        <w:rPr>
          <w:rFonts w:hAnsi="Arial"/>
          <w:rFonts w:ascii="Arial"/>
          <w:sz w:val="24"/>
          <w:color w:val="navy"/>
        </w:rPr>
        <w:t xml:space="preserve">ARTÍCULO 2.3.1.3.4.1.2. </w:t>
      </w:r>
      <w:r>
        <w:rPr>
          <w:rFonts w:hAnsi="Arial"/>
          <w:rFonts w:ascii="Arial"/>
          <w:sz w:val="24"/>
          <w:i/>
          <w:color w:val="navy"/>
        </w:rPr>
        <w:t>OTORGAMIENTO.</w:t>
      </w:r>
      <w:bookmarkEnd w:id="60509"/>
      <w:r>
        <w:rPr>
          <w:rFonts w:hAnsi="Arial"/>
          <w:rFonts w:ascii="Arial"/>
          <w:sz w:val="24"/>
          <w:b/>
          <w:i/>
          <w:color w:val="black"/>
        </w:rPr>
        <w:t xml:space="preserve"> </w:t>
      </w:r>
      <w:r>
        <w:rPr>
          <w:rFonts w:hAnsi="Arial"/>
          <w:rFonts w:ascii="Arial"/>
          <w:sz w:val="24"/>
          <w:color w:val="black"/>
        </w:rPr>
        <w:t xml:space="preserve">Para conferir la Orden Militar de "San Mateo", el Ministerio de Defensa levanta un expediente, de oficio o a petición de parte, con el propósito de establecer la filiación auténtica del agraciado y la comprobación del hecho o hechos que lo hacen merecedor a la condecoración.</w:t>
      </w:r>
    </w:p>
    <w:p>
      <w:pPr>
        <w:jc w:val="both"/>
      </w:pPr>
      <w:rPr>
        <w:sz w:val="24"/>
        <w:color w:val="black"/>
      </w:rPr>
    </w:p>
    <w:p>
      <w:pPr>
        <w:jc w:val="both"/>
      </w:pPr>
      <w:r>
        <w:rPr>
          <w:rFonts w:hAnsi="Arial"/>
          <w:rFonts w:ascii="Arial"/>
          <w:sz w:val="24"/>
          <w:color w:val="black"/>
        </w:rPr>
        <w:t xml:space="preserve">El Ministro de Defensa Nacional emite concepto sobre las pruebas presentadas y lo remite con el expediente al Presidente de la República, quien concede o niega la distinción.</w:t>
      </w:r>
    </w:p>
    <w:p>
      <w:pPr>
        <w:jc w:val="both"/>
      </w:pPr>
      <w:rPr>
        <w:sz w:val="24"/>
        <w:color w:val="black"/>
      </w:rPr>
    </w:p>
    <w:p>
      <w:pPr>
        <w:jc w:val="both"/>
      </w:pPr>
      <w:r>
        <w:rPr>
          <w:rFonts w:hAnsi="Arial"/>
          <w:rFonts w:ascii="Arial"/>
          <w:sz w:val="24"/>
          <w:color w:val="black"/>
        </w:rPr>
        <w:t xml:space="preserve">En caso afirmativo el ejecutivo elabora un proyecto de decreto provisional que remite al Congreso para su censura.</w:t>
      </w:r>
    </w:p>
    <w:p>
      <w:pPr>
        <w:jc w:val="both"/>
      </w:pPr>
      <w:rPr>
        <w:sz w:val="24"/>
        <w:color w:val="black"/>
      </w:rPr>
    </w:p>
    <w:p>
      <w:pPr>
        <w:jc w:val="both"/>
      </w:pPr>
      <w:r>
        <w:rPr>
          <w:rFonts w:hAnsi="Arial"/>
          <w:rFonts w:ascii="Arial"/>
          <w:sz w:val="24"/>
          <w:color w:val="black"/>
        </w:rPr>
        <w:t xml:space="preserve">Los documentos que forman el expediente son publicados en el "</w:t>
      </w:r>
      <w:r>
        <w:rPr>
          <w:rFonts w:hAnsi="Arial"/>
          <w:rFonts w:ascii="Arial"/>
          <w:sz w:val="24"/>
          <w:b/>
          <w:i/>
          <w:color w:val="black"/>
        </w:rPr>
        <w:t xml:space="preserve">Diario Oficial</w:t>
      </w:r>
      <w:r>
        <w:rPr>
          <w:rFonts w:hAnsi="Arial"/>
          <w:rFonts w:ascii="Arial"/>
          <w:sz w:val="24"/>
          <w:color w:val="black"/>
        </w:rPr>
        <w:t xml:space="preserve">" en el caso que se confiera la gracia.</w:t>
      </w:r>
    </w:p>
    <w:p>
      <w:pPr>
        <w:jc w:val="both"/>
      </w:pPr>
      <w:rPr>
        <w:sz w:val="24"/>
        <w:color w:val="black"/>
      </w:rPr>
    </w:p>
    <w:p>
      <w:pPr>
        <w:jc w:val="both"/>
      </w:pPr>
      <w:r>
        <w:rPr>
          <w:rFonts w:hAnsi="Arial"/>
          <w:rFonts w:ascii="Arial"/>
          <w:sz w:val="24"/>
          <w:color w:val="black"/>
        </w:rPr>
        <w:t xml:space="preserve">Los servicios eminentes y los actos de valor heroico a que se refiere el artículo </w:t>
      </w:r>
      <w:r>
        <w:fldChar w:fldCharType="begin"/>
      </w:r>
      <w:r>
        <w:instrText>HYPERLINK "http://www.redjurista.com/document.aspx?ajcode=l0040_13&amp;arts=4"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40 de 1913, son aquellos que se cumplan únicamente en guerra exterior; por lo tanto la Orden Militar de "San Mateo" no se confiere, en ningún caso, por servicios o hechos de armas en situación de conmoción interior, ni guerra interna o civil.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0" w:name="2.3.1.3.4.1.3"/>
      <w:r>
        <w:rPr>
          <w:rFonts w:hAnsi="Arial"/>
          <w:rFonts w:ascii="Arial"/>
          <w:sz w:val="24"/>
          <w:color w:val="navy"/>
        </w:rPr>
        <w:t xml:space="preserve">ARTÍCULO 2.3.1.3.4.1.3. </w:t>
      </w:r>
      <w:r>
        <w:rPr>
          <w:rFonts w:hAnsi="Arial"/>
          <w:rFonts w:ascii="Arial"/>
          <w:sz w:val="24"/>
          <w:i/>
          <w:color w:val="navy"/>
        </w:rPr>
        <w:t>IMPOSICIÓN.</w:t>
      </w:r>
      <w:bookmarkEnd w:id="60510"/>
      <w:r>
        <w:rPr>
          <w:rFonts w:hAnsi="Arial"/>
          <w:rFonts w:ascii="Arial"/>
          <w:sz w:val="24"/>
          <w:b/>
          <w:i/>
          <w:color w:val="black"/>
        </w:rPr>
        <w:t xml:space="preserve"> </w:t>
      </w:r>
      <w:r>
        <w:rPr>
          <w:rFonts w:hAnsi="Arial"/>
          <w:rFonts w:ascii="Arial"/>
          <w:sz w:val="24"/>
          <w:color w:val="black"/>
        </w:rPr>
        <w:t xml:space="preserve">El acto de imposición de la Orden Militar de "San Mateo" debe revestir la mayor solemnidad y para la ceremonia se conformará un destacamento con elementos de las tres (3) Fuerzas. Preside el acto el señor Presidente de la República, quien impone la condecoración; en este momento se disparan salvas de artillería y las bandas interpretan el Himno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1" w:name="2.3.1.3.4.1.4"/>
      <w:r>
        <w:rPr>
          <w:rFonts w:hAnsi="Arial"/>
          <w:rFonts w:ascii="Arial"/>
          <w:sz w:val="24"/>
          <w:color w:val="navy"/>
        </w:rPr>
        <w:t xml:space="preserve">ARTÍCULO 2.3.1.3.4.1.4. </w:t>
      </w:r>
      <w:r>
        <w:rPr>
          <w:rFonts w:hAnsi="Arial"/>
          <w:rFonts w:ascii="Arial"/>
          <w:sz w:val="24"/>
          <w:i/>
          <w:color w:val="navy"/>
        </w:rPr>
        <w:t>HONORES.</w:t>
      </w:r>
      <w:bookmarkEnd w:id="60511"/>
      <w:r>
        <w:rPr>
          <w:rFonts w:hAnsi="Arial"/>
          <w:rFonts w:ascii="Arial"/>
          <w:sz w:val="24"/>
          <w:b/>
          <w:i/>
          <w:color w:val="black"/>
        </w:rPr>
        <w:t xml:space="preserve"> </w:t>
      </w:r>
      <w:r>
        <w:rPr>
          <w:rFonts w:hAnsi="Arial"/>
          <w:rFonts w:ascii="Arial"/>
          <w:sz w:val="24"/>
          <w:color w:val="black"/>
        </w:rPr>
        <w:t xml:space="preserve">Los militares condecorados con la Orden Militar de "San Mateo", cuando la porten en el uniforme, tiene derecho a honores por parte de las guardias de guarnición, de prevención, de buques de guerra etc., para lo cual forman y presentan armas. En los actos y ceremonias oficiales se les asigna puesto de preferencia.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2" w:name="2.3.1.3.4.1.5"/>
      <w:r>
        <w:rPr>
          <w:rFonts w:hAnsi="Arial"/>
          <w:rFonts w:ascii="Arial"/>
          <w:sz w:val="24"/>
          <w:color w:val="navy"/>
        </w:rPr>
        <w:t xml:space="preserve">ARTÍCULO 2.3.1.3.4.1.5. </w:t>
      </w:r>
      <w:r>
        <w:rPr>
          <w:rFonts w:hAnsi="Arial"/>
          <w:rFonts w:ascii="Arial"/>
          <w:sz w:val="24"/>
          <w:i/>
          <w:color w:val="navy"/>
        </w:rPr>
        <w:t>PROMOCIÓN.</w:t>
      </w:r>
      <w:bookmarkEnd w:id="60512"/>
      <w:r>
        <w:rPr>
          <w:rFonts w:hAnsi="Arial"/>
          <w:rFonts w:ascii="Arial"/>
          <w:sz w:val="24"/>
          <w:b/>
          <w:i/>
          <w:color w:val="black"/>
        </w:rPr>
        <w:t xml:space="preserve"> </w:t>
      </w:r>
      <w:r>
        <w:rPr>
          <w:rFonts w:hAnsi="Arial"/>
          <w:rFonts w:ascii="Arial"/>
          <w:sz w:val="24"/>
          <w:color w:val="black"/>
        </w:rPr>
        <w:t xml:space="preserve">Cuando con posterioridad al otorgamiento de la Orden Militar de "San Mateo" en la categoría de segunda o tercera clase, el militar distinguido ha ejecutado una nueva acción de valor que le dé derecho a la categoría siguiente, puede el Presidente de la República, mediante la apreciación de los hechos, decretar la promoción dentro de las formalidades establecidas en el artículo </w:t>
      </w:r>
      <w:r>
        <w:fldChar w:fldCharType="begin"/>
      </w:r>
      <w:r>
        <w:instrText>HYPERLINK "http://www.redjurista.com/document.aspx?ajcode=d1070015&amp;arts=2.3.1.3.4.1.2"</w:instrText>
      </w:r>
      <w:r>
        <w:fldChar w:fldCharType="separate"/>
      </w:r>
      <w:r>
        <w:rPr>
          <w:rFonts w:hAnsi="Arial"/>
          <w:rFonts w:ascii="Arial"/>
          <w:sz w:val="24"/>
          <w:u w:val="single"/>
          <w:color w:val="black"/>
        </w:rPr>
        <w:t>2.3.1.3.4.1.2.</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3" w:name="2.3.1.3.4.1.6"/>
      <w:r>
        <w:rPr>
          <w:rFonts w:hAnsi="Arial"/>
          <w:rFonts w:ascii="Arial"/>
          <w:sz w:val="24"/>
          <w:color w:val="navy"/>
        </w:rPr>
        <w:t xml:space="preserve">ARTÍCULO 2.3.1.3.4.1.6. </w:t>
      </w:r>
      <w:r>
        <w:rPr>
          <w:rFonts w:hAnsi="Arial"/>
          <w:rFonts w:ascii="Arial"/>
          <w:sz w:val="24"/>
          <w:i/>
          <w:color w:val="navy"/>
        </w:rPr>
        <w:t>CARACTERÍSTICAS.</w:t>
      </w:r>
      <w:bookmarkEnd w:id="60513"/>
      <w:r>
        <w:rPr>
          <w:rFonts w:hAnsi="Arial"/>
          <w:rFonts w:ascii="Arial"/>
          <w:sz w:val="24"/>
          <w:b/>
          <w:i/>
          <w:color w:val="black"/>
        </w:rPr>
        <w:t xml:space="preserve"> </w:t>
      </w:r>
      <w:r>
        <w:rPr>
          <w:rFonts w:hAnsi="Arial"/>
          <w:rFonts w:ascii="Arial"/>
          <w:sz w:val="24"/>
          <w:color w:val="black"/>
        </w:rPr>
        <w:t xml:space="preserve">La joya de la Orden Militar "San Mateo" consiste en una Cruz de Malta en hierro hermoseado, pavonado de color azul profundo de cinco (5) por cinco (5) centímetros en su mayor diámetro, con cuatro (4) brazos y entre estos una corona, también de hierro esmaltado de verde, imitando ramas de laurel. Los brazos de la cruz son de forma biselada y en el anverso los extremos tienen dos (2) puntas rematadas por sendas esferas; en el centro va el busto de Ricaurte, en relieve, sobre campo de esmalte púrpura de forma circular, de dieciséis (16) milímetros de diámetro orlado en oro brillante, plata brillante o hierro, según la categoría de la cruz. Al pie del busto va la leyenda "RICAURTE 1814-1914". En el reverso y en el centro, sobre esmalte blanco, también orlado en oro, plata o hierro, en la misma forma y dimensiones que en el anverso, va la siguiente leyenda en letras de oro mate en relieve: "COLOMBIA - ORDEN MILITAR DE SAN MATEO" PRIMERA - CLASE (Segunda o Tercera).</w:t>
      </w:r>
    </w:p>
    <w:p>
      <w:pPr>
        <w:jc w:val="both"/>
      </w:pPr>
      <w:rPr>
        <w:sz w:val="24"/>
        <w:color w:val="black"/>
      </w:rPr>
    </w:p>
    <w:p>
      <w:pPr>
        <w:jc w:val="both"/>
      </w:pPr>
      <w:r>
        <w:rPr>
          <w:rFonts w:hAnsi="Arial"/>
          <w:rFonts w:ascii="Arial"/>
          <w:sz w:val="24"/>
          <w:color w:val="black"/>
        </w:rPr>
        <w:t xml:space="preserve">En el brazo superior de la cruz lleva un broche, del cual va suspendida por medio de una cinta de seda moaré de tres (3) centímetros de ancho y cuatro (4) de largo, con los colores nacionales; sobre esta cinta, hacia el centro, va el Escudo de Armas de la República, en relieve. En la cruz de primera clase, los brazos orlados y las esferas de las puntas son de oro brillante, lo mismo que el Escudo de Armas de la República que va sobre la cinta y el busto es de oro mate. En la cruz de segunda clase, las esferas, las orlas de los brazos y el escudo de la cinta son de plata brillante; el busto es de plata mate. En la tercera clase, todos los elementos son de hierro; inclusive el busto y el Escudo de la cinta.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4" w:name="2.3.1.3.4.1.7"/>
      <w:r>
        <w:rPr>
          <w:rFonts w:hAnsi="Arial"/>
          <w:rFonts w:ascii="Arial"/>
          <w:sz w:val="24"/>
          <w:color w:val="navy"/>
        </w:rPr>
        <w:t xml:space="preserve">ARTÍCULO 2.3.1.3.4.1.7. </w:t>
      </w:r>
      <w:r>
        <w:rPr>
          <w:rFonts w:hAnsi="Arial"/>
          <w:rFonts w:ascii="Arial"/>
          <w:sz w:val="24"/>
          <w:i/>
          <w:color w:val="navy"/>
        </w:rPr>
        <w:t>DIPLOMA.</w:t>
      </w:r>
      <w:bookmarkEnd w:id="60514"/>
      <w:r>
        <w:rPr>
          <w:rFonts w:hAnsi="Arial"/>
          <w:rFonts w:ascii="Arial"/>
          <w:sz w:val="24"/>
          <w:b/>
          <w:i/>
          <w:color w:val="black"/>
        </w:rPr>
        <w:t xml:space="preserve"> </w:t>
      </w:r>
      <w:r>
        <w:rPr>
          <w:rFonts w:hAnsi="Arial"/>
          <w:rFonts w:ascii="Arial"/>
          <w:sz w:val="24"/>
          <w:color w:val="black"/>
        </w:rPr>
        <w:t xml:space="preserve">Cada condecoración tiene un diploma credencial firmado por el Presidente de la República y el Ministro de Defensa Nacional del tenor siguiente:</w:t>
      </w:r>
    </w:p>
    <w:p>
      <w:pPr>
        <w:jc w:val="center"/>
      </w:pPr>
      <w:r>
        <w:drawing>
          <wp:inline distT="0" distB="0" distL="0" distR="0">
            <wp:extent cx="4299585" cy="184277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4299585" cy="184277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15" w:name="SUBSECCIÓN 2.3.1.3.4.2"/>
      <w:r>
        <w:rPr>
          <w:rFonts w:hAnsi="Arial"/>
          <w:rFonts w:ascii="Arial"/>
          <w:sz w:val="24"/>
          <w:color w:val="navy"/>
        </w:rPr>
        <w:t xml:space="preserve">SUBSECCIÓN 2. </w:t>
      </w:r>
    </w:p>
    <w:p>
      <w:pPr>
        <w:jc w:val="center"/>
      </w:pPr>
      <w:r>
        <w:rPr>
          <w:rFonts w:hAnsi="Arial"/>
          <w:rFonts w:ascii="Arial"/>
          <w:sz w:val="24"/>
          <w:color w:val="navy"/>
        </w:rPr>
        <w:t xml:space="preserve">MEDALLA POR SERVICIOS EN "GUERRA INTERNACIONAL".</w:t>
      </w:r>
      <w:bookmarkEnd w:id="6051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16" w:name="2.3.1.3.4.2.1"/>
      <w:r>
        <w:rPr>
          <w:rFonts w:hAnsi="Arial"/>
          <w:rFonts w:ascii="Arial"/>
          <w:sz w:val="24"/>
          <w:color w:val="navy"/>
        </w:rPr>
        <w:t xml:space="preserve">ARTÍCULO 2.3.1.3.4.2.1. </w:t>
      </w:r>
      <w:r>
        <w:rPr>
          <w:rFonts w:hAnsi="Arial"/>
          <w:rFonts w:ascii="Arial"/>
          <w:sz w:val="24"/>
          <w:i/>
          <w:color w:val="navy"/>
        </w:rPr>
        <w:t xml:space="preserve">ORIGEN Y CATEGORÍAS.</w:t>
      </w:r>
      <w:bookmarkEnd w:id="60516"/>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"http://www.redjurista.com/document.aspx?ajcode=d0812_52&amp;arts=INICIO"</w:instrText>
      </w:r>
      <w:r>
        <w:fldChar w:fldCharType="separate"/>
      </w:r>
      <w:r>
        <w:rPr>
          <w:rFonts w:hAnsi="Arial"/>
          <w:rFonts w:ascii="Arial"/>
          <w:sz w:val="24"/>
          <w:u w:val="single"/>
          <w:color w:val="black"/>
        </w:rPr>
        <w:t>812</w:t>
      </w:r>
      <w:r>
        <w:fldChar w:fldCharType="end"/>
      </w:r>
      <w:r>
        <w:rPr>
          <w:rFonts w:hAnsi="Arial"/>
          <w:rFonts w:ascii="Arial"/>
          <w:sz w:val="24"/>
          <w:u w:val="none"/>
          <w:color w:val="black"/>
        </w:rPr>
        <w:t xml:space="preserve"> de 1952, con destino a los miembros de las Fuerzas Militares que presten su contingente en guerras de esta naturaleza. La condecoración tiene dos (2) categorías a saber:</w:t>
      </w:r>
    </w:p>
    <w:p>
      <w:pPr>
        <w:jc w:val="both"/>
      </w:pPr>
      <w:rPr>
        <w:sz w:val="24"/>
        <w:color w:val="black"/>
      </w:rPr>
    </w:p>
    <w:p>
      <w:pPr>
        <w:jc w:val="both"/>
      </w:pPr>
      <w:r>
        <w:rPr>
          <w:rFonts w:hAnsi="Arial"/>
          <w:rFonts w:ascii="Arial"/>
          <w:sz w:val="24"/>
          <w:color w:val="black"/>
        </w:rPr>
        <w:t xml:space="preserve">a) Cruz de Hierro;</w:t>
      </w:r>
    </w:p>
    <w:p>
      <w:pPr>
        <w:jc w:val="both"/>
      </w:pPr>
      <w:rPr>
        <w:sz w:val="24"/>
        <w:color w:val="black"/>
      </w:rPr>
    </w:p>
    <w:p>
      <w:pPr>
        <w:jc w:val="both"/>
      </w:pPr>
      <w:r>
        <w:rPr>
          <w:rFonts w:hAnsi="Arial"/>
          <w:rFonts w:ascii="Arial"/>
          <w:sz w:val="24"/>
          <w:color w:val="black"/>
        </w:rPr>
        <w:t xml:space="preserve">b) Estrella de Bronce.</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7" w:name="2.3.1.3.4.2.2"/>
      <w:r>
        <w:rPr>
          <w:rFonts w:hAnsi="Arial"/>
          <w:rFonts w:ascii="Arial"/>
          <w:sz w:val="24"/>
          <w:color w:val="navy"/>
        </w:rPr>
        <w:t xml:space="preserve">ARTÍCULO 2.3.1.3.4.2.2. </w:t>
      </w:r>
      <w:r>
        <w:rPr>
          <w:rFonts w:hAnsi="Arial"/>
          <w:rFonts w:ascii="Arial"/>
          <w:sz w:val="24"/>
          <w:i/>
          <w:color w:val="navy"/>
        </w:rPr>
        <w:t>OTORGAMIENTO.</w:t>
      </w:r>
      <w:bookmarkEnd w:id="60517"/>
      <w:r>
        <w:rPr>
          <w:rFonts w:hAnsi="Arial"/>
          <w:rFonts w:ascii="Arial"/>
          <w:sz w:val="24"/>
          <w:b/>
          <w:i/>
          <w:color w:val="black"/>
        </w:rPr>
        <w:t xml:space="preserve"> </w:t>
      </w:r>
      <w:r>
        <w:rPr>
          <w:rFonts w:hAnsi="Arial"/>
          <w:rFonts w:ascii="Arial"/>
          <w:sz w:val="24"/>
          <w:color w:val="black"/>
        </w:rPr>
        <w:t xml:space="preserve">La Cruz de Hierro se confiere a aquellos miembros de las Fuerzas Militares que al prestar sus servicios en guerra internacional, sobresalgan por una acción distinguida de valor o hecho extraordinario fuera del común cumplimiento del deber.</w:t>
      </w:r>
    </w:p>
    <w:p>
      <w:pPr>
        <w:jc w:val="both"/>
      </w:pPr>
      <w:rPr>
        <w:sz w:val="24"/>
        <w:color w:val="black"/>
      </w:rPr>
    </w:p>
    <w:p>
      <w:pPr>
        <w:jc w:val="both"/>
      </w:pPr>
      <w:r>
        <w:rPr>
          <w:rFonts w:hAnsi="Arial"/>
          <w:rFonts w:ascii="Arial"/>
          <w:sz w:val="24"/>
          <w:color w:val="black"/>
        </w:rPr>
        <w:t xml:space="preserve">La Estrella de Bronce se confiere a todos los miembros de las Fuerzas Militares que presten sus servicios en guerra internacional y será conferida por decreto del Gobierno Nacional.</w:t>
      </w:r>
    </w:p>
    <w:p>
      <w:pPr>
        <w:jc w:val="both"/>
      </w:pPr>
      <w:rPr>
        <w:sz w:val="24"/>
        <w:color w:val="black"/>
      </w:rPr>
    </w:p>
    <w:p>
      <w:pPr>
        <w:jc w:val="both"/>
      </w:pPr>
      <w:r>
        <w:rPr>
          <w:rFonts w:hAnsi="Arial"/>
          <w:rFonts w:ascii="Arial"/>
          <w:sz w:val="24"/>
          <w:color w:val="black"/>
        </w:rPr>
        <w:t xml:space="preserve">Se confiere a solicitud del respectivo comandante del teatro de operaciones que remite al Comando General de las Fuerzas Militares, para su estudio y aprobación, los documentos probatorios de que los candidatos han cumplido los requisitos exigidos.</w:t>
      </w:r>
    </w:p>
    <w:p>
      <w:pPr>
        <w:jc w:val="both"/>
      </w:pPr>
      <w:rPr>
        <w:sz w:val="24"/>
        <w:color w:val="black"/>
      </w:rPr>
    </w:p>
    <w:p>
      <w:pPr>
        <w:jc w:val="both"/>
      </w:pPr>
      <w:r>
        <w:rPr>
          <w:rFonts w:hAnsi="Arial"/>
          <w:rFonts w:ascii="Arial"/>
          <w:sz w:val="24"/>
          <w:color w:val="black"/>
        </w:rPr>
        <w:t xml:space="preserve">A los miembros de las Fuerzas Militares que se hagan acreedores a esta condecoración y fallezcan antes de recibirla, se les confiere en forma póstuma.</w:t>
      </w:r>
    </w:p>
    <w:p>
      <w:pPr>
        <w:jc w:val="both"/>
      </w:pPr>
      <w:rPr>
        <w:sz w:val="24"/>
        <w:color w:val="black"/>
      </w:rPr>
    </w:p>
    <w:p>
      <w:pPr>
        <w:jc w:val="both"/>
      </w:pPr>
      <w:r>
        <w:rPr>
          <w:rFonts w:hAnsi="Arial"/>
          <w:rFonts w:ascii="Arial"/>
          <w:sz w:val="24"/>
          <w:color w:val="black"/>
        </w:rPr>
        <w:t xml:space="preserve">El Comando General de las Fuerzas Militares, de La Jefatura de Desarrollo Humano Conjunto J-1 o dependencia que haga sus veces, elabora el proyecto de decreto por medio del cual se confiere la Medalla por Servicios en "Guerra Internacional".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8" w:name="2.3.1.3.4.2.3"/>
      <w:r>
        <w:rPr>
          <w:rFonts w:hAnsi="Arial"/>
          <w:rFonts w:ascii="Arial"/>
          <w:sz w:val="24"/>
          <w:color w:val="navy"/>
        </w:rPr>
        <w:t xml:space="preserve">ARTÍCULO 2.3.1.3.4.2.3. </w:t>
      </w:r>
      <w:r>
        <w:rPr>
          <w:rFonts w:hAnsi="Arial"/>
          <w:rFonts w:ascii="Arial"/>
          <w:sz w:val="24"/>
          <w:i/>
          <w:color w:val="navy"/>
        </w:rPr>
        <w:t>IMPOSICIÓN.</w:t>
      </w:r>
      <w:bookmarkEnd w:id="60518"/>
      <w:r>
        <w:rPr>
          <w:rFonts w:hAnsi="Arial"/>
          <w:rFonts w:ascii="Arial"/>
          <w:sz w:val="24"/>
          <w:b/>
          <w:i/>
          <w:color w:val="black"/>
        </w:rPr>
        <w:t xml:space="preserve"> </w:t>
      </w:r>
      <w:r>
        <w:rPr>
          <w:rFonts w:hAnsi="Arial"/>
          <w:rFonts w:ascii="Arial"/>
          <w:sz w:val="24"/>
          <w:color w:val="black"/>
        </w:rPr>
        <w:t xml:space="preserve">Siempre y cuando las circunstancias lo permitan, estas condecoraciones serán enviadas al teatro de operaciones para que el comandante respectivo las imponga en ceremonia especial.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19" w:name="2.3.1.3.4.2.4"/>
      <w:r>
        <w:rPr>
          <w:rFonts w:hAnsi="Arial"/>
          <w:rFonts w:ascii="Arial"/>
          <w:sz w:val="24"/>
          <w:color w:val="navy"/>
        </w:rPr>
        <w:t xml:space="preserve">ARTÍCULO 2.3.1.3.4.2.4. </w:t>
      </w:r>
      <w:r>
        <w:rPr>
          <w:rFonts w:hAnsi="Arial"/>
          <w:rFonts w:ascii="Arial"/>
          <w:sz w:val="24"/>
          <w:i/>
          <w:color w:val="navy"/>
        </w:rPr>
        <w:t>CARACTERÍSTICAS.</w:t>
      </w:r>
      <w:bookmarkEnd w:id="60519"/>
      <w:r>
        <w:rPr>
          <w:rFonts w:hAnsi="Arial"/>
          <w:rFonts w:ascii="Arial"/>
          <w:sz w:val="24"/>
          <w:b/>
          <w:i/>
          <w:color w:val="black"/>
        </w:rPr>
        <w:t xml:space="preserve"> </w:t>
      </w:r>
      <w:r>
        <w:rPr>
          <w:rFonts w:hAnsi="Arial"/>
          <w:rFonts w:ascii="Arial"/>
          <w:sz w:val="24"/>
          <w:color w:val="black"/>
        </w:rPr>
        <w:t xml:space="preserve">La Medalla en cada una de sus categorías, tiene las siguientes características:</w:t>
      </w:r>
    </w:p>
    <w:p>
      <w:pPr>
        <w:jc w:val="both"/>
      </w:pPr>
      <w:rPr>
        <w:sz w:val="24"/>
        <w:color w:val="black"/>
      </w:rPr>
    </w:p>
    <w:p>
      <w:pPr>
        <w:jc w:val="both"/>
      </w:pPr>
      <w:r>
        <w:rPr>
          <w:rFonts w:hAnsi="Arial"/>
          <w:rFonts w:ascii="Arial"/>
          <w:sz w:val="24"/>
          <w:color w:val="black"/>
        </w:rPr>
        <w:t xml:space="preserve">a) Cruz de Hierro.</w:t>
      </w:r>
    </w:p>
    <w:p>
      <w:pPr>
        <w:jc w:val="both"/>
      </w:pPr>
      <w:rPr>
        <w:sz w:val="24"/>
        <w:color w:val="black"/>
      </w:rPr>
    </w:p>
    <w:p>
      <w:pPr>
        <w:jc w:val="both"/>
      </w:pPr>
      <w:r>
        <w:rPr>
          <w:rFonts w:hAnsi="Arial"/>
          <w:rFonts w:ascii="Arial"/>
          <w:sz w:val="24"/>
          <w:color w:val="black"/>
        </w:rPr>
        <w:t xml:space="preserve">Consiste en una Cruz de Malta, con ejes de cuarenta y cinco (45) milímetros. En el anverso y en el centro lleva grabado el Escudo de Colombia. En el reverso, en la parte superior lleva la inscripción:</w:t>
      </w:r>
    </w:p>
    <w:p>
      <w:pPr>
        <w:jc w:val="both"/>
      </w:pPr>
      <w:rPr>
        <w:sz w:val="24"/>
        <w:color w:val="black"/>
      </w:rPr>
    </w:p>
    <w:p>
      <w:pPr>
        <w:jc w:val="both"/>
      </w:pPr>
      <w:r>
        <w:rPr>
          <w:rFonts w:hAnsi="Arial"/>
          <w:rFonts w:ascii="Arial"/>
          <w:sz w:val="24"/>
          <w:color w:val="black"/>
        </w:rPr>
        <w:t xml:space="preserve">- Acción distinguida de valor y en la parte inferior la inscripción:</w:t>
      </w:r>
    </w:p>
    <w:p>
      <w:pPr>
        <w:jc w:val="both"/>
      </w:pPr>
      <w:rPr>
        <w:sz w:val="24"/>
        <w:color w:val="black"/>
      </w:rPr>
    </w:p>
    <w:p>
      <w:pPr>
        <w:jc w:val="both"/>
      </w:pPr>
      <w:r>
        <w:rPr>
          <w:rFonts w:hAnsi="Arial"/>
          <w:rFonts w:ascii="Arial"/>
          <w:sz w:val="24"/>
          <w:color w:val="black"/>
        </w:rPr>
        <w:t xml:space="preserve">"Campaña de __________________".</w:t>
      </w:r>
    </w:p>
    <w:p>
      <w:pPr>
        <w:jc w:val="both"/>
      </w:pPr>
      <w:rPr>
        <w:sz w:val="24"/>
        <w:color w:val="black"/>
      </w:rPr>
    </w:p>
    <w:p>
      <w:pPr>
        <w:jc w:val="both"/>
      </w:pPr>
      <w:r>
        <w:rPr>
          <w:rFonts w:hAnsi="Arial"/>
          <w:rFonts w:ascii="Arial"/>
          <w:sz w:val="24"/>
          <w:color w:val="black"/>
        </w:rPr>
        <w:t xml:space="preserve">b) Estrella de Bronce.</w:t>
      </w:r>
    </w:p>
    <w:p>
      <w:pPr>
        <w:jc w:val="both"/>
      </w:pPr>
      <w:rPr>
        <w:sz w:val="24"/>
        <w:color w:val="black"/>
      </w:rPr>
    </w:p>
    <w:p>
      <w:pPr>
        <w:jc w:val="both"/>
      </w:pPr>
      <w:r>
        <w:rPr>
          <w:rFonts w:hAnsi="Arial"/>
          <w:rFonts w:ascii="Arial"/>
          <w:sz w:val="24"/>
          <w:color w:val="black"/>
        </w:rPr>
        <w:t xml:space="preserve">Es de cinco (5) puntas, con una separación de veinticinco (25) milímetros entre ellas y un diámetro de cuarenta (40) milímetros. En el anverso y al centro, lleva grabado el Escudo de Colombia, orlado en laurel. Al respaldo y en la parte superior lleva la inscripción:</w:t>
      </w:r>
    </w:p>
    <w:p>
      <w:pPr>
        <w:jc w:val="both"/>
      </w:pPr>
      <w:rPr>
        <w:sz w:val="24"/>
        <w:color w:val="black"/>
      </w:rPr>
    </w:p>
    <w:p>
      <w:pPr>
        <w:jc w:val="both"/>
      </w:pPr>
      <w:r>
        <w:rPr>
          <w:rFonts w:hAnsi="Arial"/>
          <w:rFonts w:ascii="Arial"/>
          <w:sz w:val="24"/>
          <w:color w:val="black"/>
        </w:rPr>
        <w:t xml:space="preserve">"Campaña de _________________".</w:t>
      </w:r>
    </w:p>
    <w:p>
      <w:pPr>
        <w:jc w:val="both"/>
      </w:pPr>
      <w:rPr>
        <w:sz w:val="24"/>
        <w:color w:val="black"/>
      </w:rPr>
    </w:p>
    <w:p>
      <w:pPr>
        <w:jc w:val="both"/>
      </w:pPr>
      <w:r>
        <w:rPr>
          <w:rFonts w:hAnsi="Arial"/>
          <w:rFonts w:ascii="Arial"/>
          <w:sz w:val="24"/>
          <w:color w:val="black"/>
        </w:rPr>
        <w:t xml:space="preserve">El Comandante General de las Fuerzas Militares determinará en cada caso, según la campaña de que se trata, las características de la cinta de la cual penden la Cruz de Hierro y la Estrella de Bronce, así como los demás detalles que deban grabarse en las condecoraciones.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0" w:name="2.3.1.3.4.2.5"/>
      <w:r>
        <w:rPr>
          <w:rFonts w:hAnsi="Arial"/>
          <w:rFonts w:ascii="Arial"/>
          <w:sz w:val="24"/>
          <w:color w:val="navy"/>
        </w:rPr>
        <w:t xml:space="preserve">ARTÍCULO 2.3.1.3.4.2.5. </w:t>
      </w:r>
      <w:r>
        <w:rPr>
          <w:rFonts w:hAnsi="Arial"/>
          <w:rFonts w:ascii="Arial"/>
          <w:sz w:val="24"/>
          <w:i/>
          <w:color w:val="navy"/>
        </w:rPr>
        <w:t>DIPLOMAS.</w:t>
      </w:r>
      <w:bookmarkEnd w:id="60520"/>
      <w:r>
        <w:rPr>
          <w:rFonts w:hAnsi="Arial"/>
          <w:rFonts w:ascii="Arial"/>
          <w:sz w:val="24"/>
          <w:b/>
          <w:i/>
          <w:color w:val="black"/>
        </w:rPr>
        <w:t xml:space="preserve"> </w:t>
      </w:r>
      <w:r>
        <w:rPr>
          <w:rFonts w:hAnsi="Arial"/>
          <w:rFonts w:ascii="Arial"/>
          <w:sz w:val="24"/>
          <w:color w:val="black"/>
        </w:rPr>
        <w:t xml:space="preserve">Los diplomas correspondientes a la Medalla Servicios en "Guerra Internacional", llevarán las firmas del Ministro de Defensa Nacional y del Comandante General de las Fuerzas Militares, con la siguiente leyenda:</w:t>
      </w:r>
    </w:p>
    <w:p>
      <w:pPr>
        <w:jc w:val="center"/>
      </w:pPr>
      <w:r>
        <w:drawing>
          <wp:inline distT="0" distB="0" distL="0" distR="0">
            <wp:extent cx="4625340" cy="2217420"/>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4625340" cy="221742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21" w:name="SUBSECCIÓN 2.3.1.3.4.3"/>
      <w:r>
        <w:rPr>
          <w:rFonts w:hAnsi="Arial"/>
          <w:rFonts w:ascii="Arial"/>
          <w:sz w:val="24"/>
          <w:color w:val="navy"/>
        </w:rPr>
        <w:t xml:space="preserve">SUBSECCIÓN 3. </w:t>
      </w:r>
    </w:p>
    <w:p>
      <w:pPr>
        <w:jc w:val="center"/>
      </w:pPr>
      <w:r>
        <w:rPr>
          <w:rFonts w:hAnsi="Arial"/>
          <w:rFonts w:ascii="Arial"/>
          <w:sz w:val="24"/>
          <w:color w:val="navy"/>
        </w:rPr>
        <w:t xml:space="preserve">MEDALLA MILITAR "AL VALOR".</w:t>
      </w:r>
      <w:bookmarkEnd w:id="6052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22" w:name="2.3.1.3.4.3.1"/>
      <w:r>
        <w:rPr>
          <w:rFonts w:hAnsi="Arial"/>
          <w:rFonts w:ascii="Arial"/>
          <w:sz w:val="24"/>
          <w:color w:val="navy"/>
        </w:rPr>
        <w:t xml:space="preserve">ARTÍCULO 2.3.1.3.4.3.1. </w:t>
      </w:r>
      <w:r>
        <w:rPr>
          <w:rFonts w:hAnsi="Arial"/>
          <w:rFonts w:ascii="Arial"/>
          <w:sz w:val="24"/>
          <w:i/>
          <w:color w:val="navy"/>
        </w:rPr>
        <w:t>ORIGEN.</w:t>
      </w:r>
      <w:bookmarkEnd w:id="60522"/>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"http://www.redjurista.com/document.aspx?ajcode=d2281_98&amp;arts=INICIO"</w:instrText>
      </w:r>
      <w:r>
        <w:fldChar w:fldCharType="separate"/>
      </w:r>
      <w:r>
        <w:rPr>
          <w:rFonts w:hAnsi="Arial"/>
          <w:rFonts w:ascii="Arial"/>
          <w:sz w:val="24"/>
          <w:u w:val="single"/>
          <w:color w:val="black"/>
        </w:rPr>
        <w:t>2281</w:t>
      </w:r>
      <w:r>
        <w:fldChar w:fldCharType="end"/>
      </w:r>
      <w:r>
        <w:rPr>
          <w:rFonts w:hAnsi="Arial"/>
          <w:rFonts w:ascii="Arial"/>
          <w:sz w:val="24"/>
          <w:u w:val="none"/>
          <w:color w:val="black"/>
        </w:rPr>
        <w:t xml:space="preserve"> del 10 de noviembre de 1998, para premiar a los Oficiales, Suboficiales, Soldados y Civiles de las Fuerzas Militares que ejecuten actos personales de valor y arrojo, independientes de los resultados colectivos de una determinada unidad. Es en suma, una distinción a la calidad humana de la persona en cuanto tal. Tienen por tanto, un carácter humanista, predominante en el desarrollo de las tareas de mantenimiento y restablecimiento del orden público.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3" w:name="2.3.1.3.4.3.2"/>
      <w:r>
        <w:rPr>
          <w:rFonts w:hAnsi="Arial"/>
          <w:rFonts w:ascii="Arial"/>
          <w:sz w:val="24"/>
          <w:color w:val="navy"/>
        </w:rPr>
        <w:t xml:space="preserve">ARTÍCULO 2.3.1.3.4.3.2. </w:t>
      </w:r>
      <w:r>
        <w:rPr>
          <w:rFonts w:hAnsi="Arial"/>
          <w:rFonts w:ascii="Arial"/>
          <w:sz w:val="24"/>
          <w:i/>
          <w:color w:val="navy"/>
        </w:rPr>
        <w:t>OTORGAMIENTO.</w:t>
      </w:r>
      <w:bookmarkEnd w:id="60523"/>
      <w:r>
        <w:rPr>
          <w:rFonts w:hAnsi="Arial"/>
          <w:rFonts w:ascii="Arial"/>
          <w:sz w:val="24"/>
          <w:b/>
          <w:i/>
          <w:color w:val="black"/>
        </w:rPr>
        <w:t xml:space="preserve"> </w:t>
      </w:r>
      <w:r>
        <w:rPr>
          <w:rFonts w:hAnsi="Arial"/>
          <w:rFonts w:ascii="Arial"/>
          <w:sz w:val="24"/>
          <w:color w:val="black"/>
        </w:rPr>
        <w:t xml:space="preserve">La Medalla será conferida por el Comandante General de las Fuerzas Militares y los Comandantes de Fuerza, según corresponda, en las condiciones señaladas en el artículo </w:t>
      </w:r>
      <w:r>
        <w:fldChar w:fldCharType="begin"/>
      </w:r>
      <w:r>
        <w:instrText>HYPERLINK "http://www.redjurista.com/document.aspx?ajcode=d1070015&amp;arts=2.3.1.3.4.3.5"</w:instrText>
      </w:r>
      <w:r>
        <w:fldChar w:fldCharType="separate"/>
      </w:r>
      <w:r>
        <w:rPr>
          <w:rFonts w:hAnsi="Arial"/>
          <w:rFonts w:ascii="Arial"/>
          <w:sz w:val="24"/>
          <w:u w:val="single"/>
          <w:color w:val="black"/>
        </w:rPr>
        <w:t>2.3.1.3.4.3.5.</w:t>
      </w:r>
      <w:r>
        <w:fldChar w:fldCharType="end"/>
      </w:r>
      <w:r>
        <w:rPr>
          <w:rFonts w:hAnsi="Arial"/>
          <w:rFonts w:ascii="Arial"/>
          <w:sz w:val="24"/>
          <w:u w:val="none"/>
          <w:color w:val="black"/>
        </w:rPr>
        <w:t xml:space="preserve">, del presente Capítulo. Igualmente podrá ser conferida, a una misma persona tantas veces se haga acreedora a ella, en acciones diferentes.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aprobado el otorgamiento de la medalla, corresponderá al Comando de la Fuerza respectiva de la cual es orgánico el agraciado, elaborar la resolución por medio de la cual se confiere la presea.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4" w:name="2.3.1.3.4.3.3"/>
      <w:r>
        <w:rPr>
          <w:rFonts w:hAnsi="Arial"/>
          <w:rFonts w:ascii="Arial"/>
          <w:sz w:val="24"/>
          <w:color w:val="navy"/>
        </w:rPr>
        <w:t xml:space="preserve">ARTÍCULO 2.3.1.3.4.3.3. </w:t>
      </w:r>
      <w:r>
        <w:rPr>
          <w:rFonts w:hAnsi="Arial"/>
          <w:rFonts w:ascii="Arial"/>
          <w:sz w:val="24"/>
          <w:i/>
          <w:color w:val="navy"/>
        </w:rPr>
        <w:t xml:space="preserve">CONSEJO DE LA MEDALLA.</w:t>
      </w:r>
      <w:bookmarkEnd w:id="60524"/>
      <w:r>
        <w:rPr>
          <w:rFonts w:hAnsi="Arial"/>
          <w:rFonts w:ascii="Arial"/>
          <w:sz w:val="24"/>
          <w:b/>
          <w:i/>
          <w:color w:val="black"/>
        </w:rPr>
        <w:t xml:space="preserve"> </w:t>
      </w:r>
      <w:r>
        <w:rPr>
          <w:rFonts w:hAnsi="Arial"/>
          <w:rFonts w:ascii="Arial"/>
          <w:sz w:val="24"/>
          <w:color w:val="black"/>
        </w:rPr>
        <w:t xml:space="preserve">El Consejo de la medalla militar "AL VALOR", estará integrado así, según sea la Fuerza a la cual pertenezca el candidato para su otorgamiento.</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 o el Comandante de la respectiva Fuerza, según corresponda.</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Estado Mayor Conjunto o Segundo Comandante o su equivalente en cada Fuerza, según corresponda.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Operaciones Conjuntas o Jefe de Operaciones o su equivalente de cada Fuerza, según corresponda.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Conjunto o el Director de Personal de la Fuerza, según corresponda.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5" w:name="2.3.1.3.4.3.4"/>
      <w:r>
        <w:rPr>
          <w:rFonts w:hAnsi="Arial"/>
          <w:rFonts w:ascii="Arial"/>
          <w:sz w:val="24"/>
          <w:color w:val="navy"/>
        </w:rPr>
        <w:t xml:space="preserve">ARTÍCULO 2.3.1.3.4.3.4. </w:t>
      </w:r>
      <w:r>
        <w:rPr>
          <w:rFonts w:hAnsi="Arial"/>
          <w:rFonts w:ascii="Arial"/>
          <w:sz w:val="24"/>
          <w:i/>
          <w:color w:val="navy"/>
        </w:rPr>
        <w:t>IMPOSICIÓN.</w:t>
      </w:r>
      <w:bookmarkEnd w:id="60525"/>
      <w:r>
        <w:rPr>
          <w:rFonts w:hAnsi="Arial"/>
          <w:rFonts w:ascii="Arial"/>
          <w:sz w:val="24"/>
          <w:b/>
          <w:i/>
          <w:color w:val="black"/>
        </w:rPr>
        <w:t xml:space="preserve"> </w:t>
      </w:r>
      <w:r>
        <w:rPr>
          <w:rFonts w:hAnsi="Arial"/>
          <w:rFonts w:ascii="Arial"/>
          <w:sz w:val="24"/>
          <w:color w:val="black"/>
        </w:rPr>
        <w:t xml:space="preserve">La Medalla será impuesta en el menor tiempo posible después de sucedidos los hechos donde se hayan ejecutado los actos de valor, en ceremonia especial, de acuerdo con el reglamento de Ceremonial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6" w:name="2.3.1.3.4.3.5"/>
      <w:r>
        <w:rPr>
          <w:rFonts w:hAnsi="Arial"/>
          <w:rFonts w:ascii="Arial"/>
          <w:sz w:val="24"/>
          <w:color w:val="navy"/>
        </w:rPr>
        <w:t xml:space="preserve">ARTÍCULO 2.3.1.3.4.3.5. </w:t>
      </w:r>
      <w:r>
        <w:rPr>
          <w:rFonts w:hAnsi="Arial"/>
          <w:rFonts w:ascii="Arial"/>
          <w:sz w:val="24"/>
          <w:i/>
          <w:color w:val="navy"/>
        </w:rPr>
        <w:t>CARACTERÍSTICAS.</w:t>
      </w:r>
      <w:bookmarkEnd w:id="60526"/>
      <w:r>
        <w:rPr>
          <w:rFonts w:hAnsi="Arial"/>
          <w:rFonts w:ascii="Arial"/>
          <w:sz w:val="24"/>
          <w:b/>
          <w:i/>
          <w:color w:val="black"/>
        </w:rPr>
        <w:t xml:space="preserve"> </w:t>
      </w:r>
      <w:r>
        <w:rPr>
          <w:rFonts w:hAnsi="Arial"/>
          <w:rFonts w:ascii="Arial"/>
          <w:sz w:val="24"/>
          <w:color w:val="black"/>
        </w:rPr>
        <w:t xml:space="preserve">La joya consiste en una medalla de forma circular de cincuenta milímetros de diámetro, circundada por un laurel. Tiene en su interior cuatro franjas cada una con cinco rayos brillantes en alto relieve, con un fondo acabado mate - opaco. El centro de la medalla llevará el escudo de la respectiva Fuerza, de veinte milímetros, con sus respectivos colores. El reverso de la medalla llevará en el texto "DESAFIÉ LA MUERTE POR SALVAR LA PATRIA", en alto relieve. El acabado será en plata antigua, penderá de una cinta calidad motre de (40) cuarenta milímetros de ancho por (55) cincuenta y cinco milímetros de alto, así: franja central de (14) catorce milímetros en color rojo, bordes verde aceituna de trece milímetros, con barreta metálica de cuarenta milímetros.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7" w:name="2.3.1.3.4.3.6"/>
      <w:r>
        <w:rPr>
          <w:rFonts w:hAnsi="Arial"/>
          <w:rFonts w:ascii="Arial"/>
          <w:sz w:val="24"/>
          <w:color w:val="navy"/>
        </w:rPr>
        <w:t xml:space="preserve">ARTÍCULO 2.3.1.3.4.3.6. </w:t>
      </w:r>
      <w:r>
        <w:rPr>
          <w:rFonts w:hAnsi="Arial"/>
          <w:rFonts w:ascii="Arial"/>
          <w:sz w:val="24"/>
          <w:i/>
          <w:color w:val="navy"/>
        </w:rPr>
        <w:t>OTORGAMIENTO.</w:t>
      </w:r>
      <w:bookmarkEnd w:id="60527"/>
      <w:r>
        <w:rPr>
          <w:rFonts w:hAnsi="Arial"/>
          <w:rFonts w:ascii="Arial"/>
          <w:sz w:val="24"/>
          <w:b/>
          <w:i/>
          <w:color w:val="black"/>
        </w:rPr>
        <w:t xml:space="preserve"> </w:t>
      </w:r>
      <w:r>
        <w:rPr>
          <w:rFonts w:hAnsi="Arial"/>
          <w:rFonts w:ascii="Arial"/>
          <w:sz w:val="24"/>
          <w:color w:val="black"/>
        </w:rPr>
        <w:t xml:space="preserve">Cuando la medalla se confiere: Por segunda vez, en la venera en lugar del escudo, en la cinta llevará una estrella de bronce de cinco (5) puntas y cinco (5) milímetros de diámetro; cuando se confiere por tercera vez lleva dos (2) estrellas similares a la ya descrita, una de bronce y una de plata, que se colocan en forma horizontal, con cinco (5) milímetros de separación una de la otra. Al conferirse por cuarta vez, lleva tres (3) estrellas similares a las ya descritas: una de bronce, una de plata y una de oro, colocadas en la venera en forma horizontal similar a lo dispuesto por tercera vez y en la cinta están colocadas en triángulo, de tal manera que queden dos en la parte superior en sentido horizontal y la tercera cinco milímetros debajo de las anteriores. Si se llega a conferir por quinta vez, lleva cuatro (4) estrellas similares a las ya descritas; una de bronce, una de plata y dos (2) de oro, colocadas en la venera en forma horizontal, similar a la anterior y en la cinta colocadas formando un cuadro de cinco (5) milímetros de lado, de tal forma que las dos estrellas de oro queden en la base de dicho cuadro. Si la condecoración se otorga por sexta vez llevará un sol y un laurel en oro, en la parte superior; por séptima vez, dos soles con un laurel; por octava vez, tres soles con un laurel; por novena vez, cuatro soles con un laurel; por décima vez, cinco soles con un laurel, y así sucesivamente las veces que sea necesario, siempre en la parte superior.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28" w:name="2.3.1.3.4.3.7"/>
      <w:r>
        <w:rPr>
          <w:rFonts w:hAnsi="Arial"/>
          <w:rFonts w:ascii="Arial"/>
          <w:sz w:val="24"/>
          <w:color w:val="navy"/>
        </w:rPr>
        <w:t xml:space="preserve">ARTÍCULO 2.3.1.3.4.3.7. </w:t>
      </w:r>
      <w:r>
        <w:rPr>
          <w:rFonts w:hAnsi="Arial"/>
          <w:rFonts w:ascii="Arial"/>
          <w:sz w:val="24"/>
          <w:i/>
          <w:color w:val="navy"/>
        </w:rPr>
        <w:t>DIPLOMA.</w:t>
      </w:r>
      <w:bookmarkEnd w:id="60528"/>
      <w:r>
        <w:rPr>
          <w:rFonts w:hAnsi="Arial"/>
          <w:rFonts w:ascii="Arial"/>
          <w:sz w:val="24"/>
          <w:b/>
          <w:i/>
          <w:color w:val="black"/>
        </w:rPr>
        <w:t xml:space="preserve"> </w:t>
      </w:r>
      <w:r>
        <w:rPr>
          <w:rFonts w:hAnsi="Arial"/>
          <w:rFonts w:ascii="Arial"/>
          <w:sz w:val="24"/>
          <w:color w:val="black"/>
        </w:rPr>
        <w:t xml:space="preserve">El diploma que acredita el otorgamiento de la Medalla Militar AL VALOR Debe ser elaborado en papel pergamino o cartulina blanco, de las siguientes dimensiones: Treinta y cinco (35) centímetros de largo por veinticinco (25) centímetros de ancho, con el dibujo del anverso de la medalla al lado izquierdo superior y el reverso al lado derecho superior y en el centro la siguiente leyenda:</w:t>
      </w:r>
    </w:p>
    <w:p>
      <w:pPr>
        <w:jc w:val="center"/>
      </w:pPr>
      <w:r>
        <w:drawing>
          <wp:inline distT="0" distB="0" distL="0" distR="0">
            <wp:extent cx="4625340" cy="2545080"/>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4625340" cy="254508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29" w:name="SUBSECCIÓN 2.3.1.3.4.4"/>
      <w:r>
        <w:rPr>
          <w:rFonts w:hAnsi="Arial"/>
          <w:rFonts w:ascii="Arial"/>
          <w:sz w:val="24"/>
          <w:color w:val="navy"/>
        </w:rPr>
        <w:t xml:space="preserve">SUBSECCIÓN 4. </w:t>
      </w:r>
    </w:p>
    <w:p>
      <w:pPr>
        <w:jc w:val="center"/>
      </w:pPr>
      <w:r>
        <w:rPr>
          <w:rFonts w:hAnsi="Arial"/>
          <w:rFonts w:ascii="Arial"/>
          <w:sz w:val="24"/>
          <w:color w:val="navy"/>
        </w:rPr>
        <w:t xml:space="preserve">MEDALLA MILITAR "HERIDO EN ACCIÓN".</w:t>
      </w:r>
      <w:bookmarkEnd w:id="605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30" w:name="2.3.1.3.4.4.1"/>
      <w:r>
        <w:rPr>
          <w:rFonts w:hAnsi="Arial"/>
          <w:rFonts w:ascii="Arial"/>
          <w:sz w:val="24"/>
          <w:color w:val="navy"/>
        </w:rPr>
        <w:t xml:space="preserve">ARTÍCULO 2.3.1.3.4.4.1. </w:t>
      </w:r>
      <w:r>
        <w:rPr>
          <w:rFonts w:hAnsi="Arial"/>
          <w:rFonts w:ascii="Arial"/>
          <w:sz w:val="24"/>
          <w:i/>
          <w:color w:val="navy"/>
        </w:rPr>
        <w:t>ORIGEN.</w:t>
      </w:r>
      <w:bookmarkEnd w:id="60530"/>
      <w:r>
        <w:rPr>
          <w:rFonts w:hAnsi="Arial"/>
          <w:rFonts w:ascii="Arial"/>
          <w:sz w:val="24"/>
          <w:b/>
          <w:i/>
          <w:color w:val="black"/>
        </w:rPr>
        <w:t xml:space="preserve"> </w:t>
      </w:r>
      <w:r>
        <w:rPr>
          <w:rFonts w:hAnsi="Arial"/>
          <w:rFonts w:ascii="Arial"/>
          <w:sz w:val="24"/>
          <w:color w:val="black"/>
        </w:rPr>
        <w:t xml:space="preserve">La Medalla Militar "Herido en Acción" fue creada en el artículo </w:t>
      </w:r>
      <w:r>
        <w:fldChar w:fldCharType="begin"/>
      </w:r>
      <w:r>
        <w:instrText>HYPERLINK "http://www.redjurista.com/document.aspx?ajcode=d1816007&amp;arts=42"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1816 de 2007, para reconocer a lo Oficiales, Suboficiales, Soldados, Infantes de Marina y civiles de las Fuerzas Militares que presten sus servicios en áreas en donde se desarrollen operaciones para el restablecimiento y mantenimiento del Orden Público, y sean heridos en combate o como consecuencia de la acción del enemigo.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1" w:name="2.3.1.3.4.4.2"/>
      <w:r>
        <w:rPr>
          <w:rFonts w:hAnsi="Arial"/>
          <w:rFonts w:ascii="Arial"/>
          <w:sz w:val="24"/>
          <w:color w:val="navy"/>
        </w:rPr>
        <w:t xml:space="preserve">ARTÍCULO 2.3.1.3.4.4.2. </w:t>
      </w:r>
      <w:r>
        <w:rPr>
          <w:rFonts w:hAnsi="Arial"/>
          <w:rFonts w:ascii="Arial"/>
          <w:sz w:val="24"/>
          <w:i/>
          <w:color w:val="navy"/>
        </w:rPr>
        <w:t xml:space="preserve">CONSEJO DE LA MEDALLA.</w:t>
      </w:r>
      <w:bookmarkEnd w:id="60531"/>
      <w:r>
        <w:rPr>
          <w:rFonts w:hAnsi="Arial"/>
          <w:rFonts w:ascii="Arial"/>
          <w:sz w:val="24"/>
          <w:b/>
          <w:i/>
          <w:color w:val="black"/>
        </w:rPr>
        <w:t xml:space="preserve"> </w:t>
      </w:r>
      <w:r>
        <w:rPr>
          <w:rFonts w:hAnsi="Arial"/>
          <w:rFonts w:ascii="Arial"/>
          <w:sz w:val="24"/>
          <w:color w:val="black"/>
        </w:rPr>
        <w:t xml:space="preserve">El Consejo de la medalla militar "Herido en Acción", estará integrado así, según sea la Fuerza a la cual pertenezca el candidato para su otorgamiento.</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 o el Comandante de la respectiva Fuerza, según corresponda.</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Estado Mayor Conjunto o Segundo Comandante o su equivalente en cada Fuerza, según corresponda.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Operaciones Conjuntas o Jefe de Operaciones o su equivalente de cada Fuerza, según corresponda.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Conjunto o el Director de Personal de la Fuerza, según corresponda.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2" w:name="2.3.1.3.4.4.3"/>
      <w:r>
        <w:rPr>
          <w:rFonts w:hAnsi="Arial"/>
          <w:rFonts w:ascii="Arial"/>
          <w:sz w:val="24"/>
          <w:color w:val="navy"/>
        </w:rPr>
        <w:t xml:space="preserve">ARTÍCULO 2.3.1.3.4.4.3. </w:t>
      </w:r>
      <w:r>
        <w:rPr>
          <w:rFonts w:hAnsi="Arial"/>
          <w:rFonts w:ascii="Arial"/>
          <w:sz w:val="24"/>
          <w:i/>
          <w:color w:val="navy"/>
        </w:rPr>
        <w:t>OTORGAMIENTO.</w:t>
      </w:r>
      <w:bookmarkEnd w:id="60532"/>
      <w:r>
        <w:rPr>
          <w:rFonts w:hAnsi="Arial"/>
          <w:rFonts w:ascii="Arial"/>
          <w:sz w:val="24"/>
          <w:b/>
          <w:i/>
          <w:color w:val="black"/>
        </w:rPr>
        <w:t xml:space="preserve"> </w:t>
      </w:r>
      <w:r>
        <w:rPr>
          <w:rFonts w:hAnsi="Arial"/>
          <w:rFonts w:ascii="Arial"/>
          <w:sz w:val="24"/>
          <w:color w:val="black"/>
        </w:rPr>
        <w:t xml:space="preserve">La Medalla será conferida por el Comandante General de las Fuerzas Militares o los Comandantes de Fuerza, según corresponda. Igualmente podrá ser conferida, a una misma persona tantas veces se haga acreedora a ella, en acciones diferentes.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aprobado el otorgamiento de la medalla, corresponderá al Comando de la Fuerza respectiva de la cual es orgánico el agraciado, elaborar la resolución por medio de la cual se confiere la presea.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navy"/>
        </w:rPr>
        <w:t>TRANSITORIO</w:t>
      </w:r>
      <w:r>
        <w:rPr>
          <w:rFonts w:hAnsi="Arial"/>
          <w:rFonts w:ascii="Arial"/>
          <w:sz w:val="24"/>
          <w:i/>
          <w:color w:val="navy"/>
        </w:rPr>
        <w:t>.</w:t>
      </w:r>
      <w:r>
        <w:rPr>
          <w:rFonts w:hAnsi="Arial"/>
          <w:rFonts w:ascii="Arial"/>
          <w:sz w:val="24"/>
          <w:b/>
          <w:i/>
          <w:color w:val="black"/>
        </w:rPr>
        <w:t xml:space="preserve"> </w:t>
      </w:r>
      <w:r>
        <w:rPr>
          <w:rFonts w:hAnsi="Arial"/>
          <w:rFonts w:ascii="Arial"/>
          <w:sz w:val="24"/>
          <w:color w:val="black"/>
        </w:rPr>
        <w:t xml:space="preserve">Al personal de Oficiales, Suboficiales, Soldados, Infantes de Marina y civiles de las Fuerzas Militares que con anterioridad al 29 de noviembre de 2010 (entrada en vigencia del Decreto </w:t>
      </w:r>
      <w:r>
        <w:fldChar w:fldCharType="begin"/>
      </w:r>
      <w:r>
        <w:instrText>HYPERLINK "http://www.redjurista.com/document.aspx?ajcode=d4444010&amp;arts=INICIO"</w:instrText>
      </w:r>
      <w:r>
        <w:fldChar w:fldCharType="separate"/>
      </w:r>
      <w:r>
        <w:rPr>
          <w:rFonts w:hAnsi="Arial"/>
          <w:rFonts w:ascii="Arial"/>
          <w:sz w:val="24"/>
          <w:u w:val="single"/>
          <w:color w:val="black"/>
        </w:rPr>
        <w:t>4444</w:t>
      </w:r>
      <w:r>
        <w:fldChar w:fldCharType="end"/>
      </w:r>
      <w:r>
        <w:rPr>
          <w:rFonts w:hAnsi="Arial"/>
          <w:rFonts w:ascii="Arial"/>
          <w:sz w:val="24"/>
          <w:u w:val="none"/>
          <w:color w:val="black"/>
        </w:rPr>
        <w:t xml:space="preserve"> de 2010), se les haya otorgado el Distintivo "Herido en Acción", podrán portar la medalla "Herido en Acción" creada en el artículo </w:t>
      </w:r>
      <w:r>
        <w:fldChar w:fldCharType="begin"/>
      </w:r>
      <w:r>
        <w:instrText>HYPERLINK "http://www.redjurista.com/document.aspx?ajcode=d1816007&amp;arts=42"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1816 de 2007. El Comandante General de las Fuerzas Militares o los Comandantes de Fuerza, según corresponda, expedirán el acto administrativo correspondiente para tal efecto.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3" w:name="2.3.1.3.4.4.4"/>
      <w:r>
        <w:rPr>
          <w:rFonts w:hAnsi="Arial"/>
          <w:rFonts w:ascii="Arial"/>
          <w:sz w:val="24"/>
          <w:color w:val="navy"/>
        </w:rPr>
        <w:t xml:space="preserve">ARTÍCULO 2.3.1.3.4.4.4</w:t>
      </w:r>
      <w:r>
        <w:rPr>
          <w:rFonts w:hAnsi="Arial"/>
          <w:rFonts w:ascii="Arial"/>
          <w:sz w:val="24"/>
          <w:i/>
          <w:color w:val="navy"/>
        </w:rPr>
        <w:t xml:space="preserve">. IMPOSICIÓN.</w:t>
      </w:r>
      <w:bookmarkEnd w:id="60533"/>
      <w:r>
        <w:rPr>
          <w:rFonts w:hAnsi="Arial"/>
          <w:rFonts w:ascii="Arial"/>
          <w:sz w:val="24"/>
          <w:b/>
          <w:i/>
          <w:color w:val="black"/>
        </w:rPr>
        <w:t xml:space="preserve"> </w:t>
      </w:r>
      <w:r>
        <w:rPr>
          <w:rFonts w:hAnsi="Arial"/>
          <w:rFonts w:ascii="Arial"/>
          <w:sz w:val="24"/>
          <w:color w:val="black"/>
        </w:rPr>
        <w:t xml:space="preserve">La Medalla será impuesta en el menor tiempo posible después de sucedidos los hechos al agraciado en ceremonia especial, de acuerdo con el reglamento de Ceremonial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4" w:name="2.3.1.3.4.4.5"/>
      <w:r>
        <w:rPr>
          <w:rFonts w:hAnsi="Arial"/>
          <w:rFonts w:ascii="Arial"/>
          <w:sz w:val="24"/>
          <w:color w:val="navy"/>
        </w:rPr>
        <w:t xml:space="preserve">ARTÍCULO 2.3.1.3.4.4.5. </w:t>
      </w:r>
      <w:r>
        <w:rPr>
          <w:rFonts w:hAnsi="Arial"/>
          <w:rFonts w:ascii="Arial"/>
          <w:sz w:val="24"/>
          <w:i/>
          <w:color w:val="navy"/>
        </w:rPr>
        <w:t>CARACTERÍSTICAS.</w:t>
      </w:r>
      <w:bookmarkEnd w:id="60534"/>
      <w:r>
        <w:rPr>
          <w:rFonts w:hAnsi="Arial"/>
          <w:rFonts w:ascii="Arial"/>
          <w:sz w:val="24"/>
          <w:b/>
          <w:i/>
          <w:color w:val="black"/>
        </w:rPr>
        <w:t xml:space="preserve"> </w:t>
      </w:r>
      <w:r>
        <w:rPr>
          <w:rFonts w:hAnsi="Arial"/>
          <w:rFonts w:ascii="Arial"/>
          <w:sz w:val="24"/>
          <w:color w:val="black"/>
        </w:rPr>
        <w:t xml:space="preserve">La Joya es un sol de 16 puntas de cuarenta y cinco (45) milímetros de diámetro. En su centro lleva un círculo de veinticinco (25) milímetros de diámetro, cuyo campo ostenta el escudo de la respectiva Fuerza y en la parte superior las letras "Herido en Acción". En el dorso lleva el mismo círculo, con la inscripción medalla militar "Herido en Acción" (las palabras "Medalla Militar" van formando un semicírculo, y en la parte inferior de este la palabra "Herido en Acción" colocadas en semicírculo), entre las puntas del sol lleva un círculo de estrellas. Es elaborada en plata para todo el personal.</w:t>
      </w:r>
    </w:p>
    <w:p>
      <w:pPr>
        <w:jc w:val="both"/>
      </w:pPr>
      <w:rPr>
        <w:sz w:val="24"/>
        <w:color w:val="black"/>
      </w:rPr>
    </w:p>
    <w:p>
      <w:pPr>
        <w:jc w:val="both"/>
      </w:pPr>
      <w:r>
        <w:rPr>
          <w:rFonts w:hAnsi="Arial"/>
          <w:rFonts w:ascii="Arial"/>
          <w:sz w:val="24"/>
          <w:color w:val="black"/>
        </w:rPr>
        <w:t xml:space="preserve">El sol va suspendido en una barra de cuatro (4) milímetros de ancho en forma horizontal, la cual se descuelga de una cinta de color azul rey de cuarenta (40) milímetros de ancho en cuyo centro va una estrella de bronce de cinco (5) milímetros de ancho, los bordes de la cinta azul llevan el Tricolor Nacional de un total de cinco (5) milímetros de ancho.</w:t>
      </w:r>
    </w:p>
    <w:p>
      <w:pPr>
        <w:jc w:val="both"/>
      </w:pPr>
      <w:rPr>
        <w:sz w:val="24"/>
        <w:color w:val="black"/>
      </w:rPr>
    </w:p>
    <w:p>
      <w:pPr>
        <w:jc w:val="both"/>
      </w:pPr>
      <w:r>
        <w:rPr>
          <w:rFonts w:hAnsi="Arial"/>
          <w:rFonts w:ascii="Arial"/>
          <w:sz w:val="24"/>
          <w:color w:val="black"/>
        </w:rPr>
        <w:t xml:space="preserve">La Venera: Consiste en una plaqueta de color azul, orlada de laurel en forma elíptica, de cincuenta (50) mm de ancho por diez (10) mm de alto en la que irán estrellas de bronce, de plata o de oro de cinco puntas y cinco (5) mm de diámetro, según el número de veces que se haya concedido; así:</w:t>
      </w:r>
    </w:p>
    <w:p>
      <w:pPr>
        <w:jc w:val="both"/>
      </w:pPr>
      <w:rPr>
        <w:sz w:val="24"/>
        <w:color w:val="black"/>
      </w:rPr>
    </w:p>
    <w:p>
      <w:pPr>
        <w:jc w:val="both"/>
      </w:pPr>
      <w:r>
        <w:rPr>
          <w:rFonts w:hAnsi="Arial"/>
          <w:rFonts w:ascii="Arial"/>
          <w:sz w:val="24"/>
          <w:color w:val="black"/>
        </w:rPr>
        <w:t xml:space="preserve">Cuando la Medalla se confiere por primera vez, la venera y en la cinta llevan una estrella de bronce de cinco (5) milímetros de diámetro; cuando se confiere por segunda vez, llevan dos estrellas una en Bronce y la otra en plata de cinco (5) milímetros de diámetro cada una; cuando se confiere por tercera vez llevan tres (3) estrellas similares a las anteriores una de bronce, una de plata y una de oro que se colocan en forma horizontal, con cinco (5) milímetros de separación una de la otra. Al conferirse por cuarta vez llevan cuatro (4) estrellas iguales a las anteriores, una de bronce, una de plata y dos de oro, colocadas en la venera en forma horizontal similar a lo dispuesto por tercera vez; y en la cinta colocadas en cuadro, de tal manera que queden dos (2) en la parte superior en sentido horizontal y las otras dos a cinco (5) milímetros debajo de las anteriores. Si se llega a conferir por quinta vez, lleva cinco estrellas similares a las ya descritas; una de bronce, una de plata y tres (3) de oro, colocadas en la venera en forma horizontal, similar a la anterior y en la cinta colocadas formando un cuadro de cinco (5) milímetros de lado, de tal forma que las dos estrellas de oro queden en la base de dicho cuadro y la quinta en el centro del mismo.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venera de que trata el presente artículo, debe portarse de forma independiente en la parte superior del bolsillo izquierdo encima de las demás veneras, sin perjuicio de lo establecido en el reglamento de uniformes, insignias y distintivos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5" w:name="2.3.1.3.4.4.6"/>
      <w:r>
        <w:rPr>
          <w:rFonts w:hAnsi="Arial"/>
          <w:rFonts w:ascii="Arial"/>
          <w:sz w:val="24"/>
          <w:color w:val="navy"/>
        </w:rPr>
        <w:t xml:space="preserve">ARTÍCULO 2.3.1.3.4.4.6. </w:t>
      </w:r>
      <w:r>
        <w:rPr>
          <w:rFonts w:hAnsi="Arial"/>
          <w:rFonts w:ascii="Arial"/>
          <w:sz w:val="24"/>
          <w:i/>
          <w:color w:val="navy"/>
        </w:rPr>
        <w:t>DIPLOMA.</w:t>
      </w:r>
      <w:bookmarkEnd w:id="60535"/>
      <w:r>
        <w:rPr>
          <w:rFonts w:hAnsi="Arial"/>
          <w:rFonts w:ascii="Arial"/>
          <w:sz w:val="24"/>
          <w:b/>
          <w:i/>
          <w:color w:val="black"/>
        </w:rPr>
        <w:t xml:space="preserve"> </w:t>
      </w:r>
      <w:r>
        <w:rPr>
          <w:rFonts w:hAnsi="Arial"/>
          <w:rFonts w:ascii="Arial"/>
          <w:sz w:val="24"/>
          <w:color w:val="black"/>
        </w:rPr>
        <w:t xml:space="preserve">El diploma que acredita el Otorgamiento de la Medalla Militar "HERIDO EN ACCIÓN" debe ser elaborado en papel pergamino o cartulina blanco, de las siguientes dimensiones: Treinta y cinco (35) centímetros de largo por veinticinco (25) centímetros de ancho, con el dibujo del anverso de la medalla al lado izquierdo superior y el reverso al lado derecho superior y en el centro la siguiente leyenda:</w:t>
      </w:r>
    </w:p>
    <w:p>
      <w:pPr>
        <w:jc w:val="center"/>
      </w:pPr>
      <w:r>
        <w:drawing>
          <wp:inline distT="0" distB="0" distL="0" distR="0">
            <wp:extent cx="4602480" cy="2514600"/>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4602480" cy="251460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36" w:name="SUBSECCIÓN 2.3.1.3.4.5"/>
      <w:r>
        <w:rPr>
          <w:rFonts w:hAnsi="Arial"/>
          <w:rFonts w:ascii="Arial"/>
          <w:sz w:val="24"/>
          <w:color w:val="navy"/>
        </w:rPr>
        <w:t xml:space="preserve">SUBSECCIÓN 5. </w:t>
      </w:r>
    </w:p>
    <w:p>
      <w:pPr>
        <w:jc w:val="center"/>
      </w:pPr>
      <w:r>
        <w:rPr>
          <w:rFonts w:hAnsi="Arial"/>
          <w:rFonts w:ascii="Arial"/>
          <w:sz w:val="24"/>
          <w:color w:val="navy"/>
        </w:rPr>
        <w:t xml:space="preserve">MEDALLA SERVICIOS DISTINGUIDOS EN "ORDEN PÚBLICO".</w:t>
      </w:r>
      <w:bookmarkEnd w:id="6053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37" w:name="2.3.1.3.4.5.1"/>
      <w:r>
        <w:rPr>
          <w:rFonts w:hAnsi="Arial"/>
          <w:rFonts w:ascii="Arial"/>
          <w:sz w:val="24"/>
          <w:color w:val="navy"/>
        </w:rPr>
        <w:t xml:space="preserve">ARTÍCULO 2.3.1.3.4.5.1. </w:t>
      </w:r>
      <w:r>
        <w:rPr>
          <w:rFonts w:hAnsi="Arial"/>
          <w:rFonts w:ascii="Arial"/>
          <w:sz w:val="24"/>
          <w:i/>
          <w:color w:val="navy"/>
        </w:rPr>
        <w:t>ORIGEN.</w:t>
      </w:r>
      <w:bookmarkEnd w:id="60537"/>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"http://www.redjurista.com/document.aspx?ajcode=d0803_52&amp;arts=INICIO"</w:instrText>
      </w:r>
      <w:r>
        <w:fldChar w:fldCharType="separate"/>
      </w:r>
      <w:r>
        <w:rPr>
          <w:rFonts w:hAnsi="Arial"/>
          <w:rFonts w:ascii="Arial"/>
          <w:sz w:val="24"/>
          <w:u w:val="single"/>
          <w:color w:val="black"/>
        </w:rPr>
        <w:t>803</w:t>
      </w:r>
      <w:r>
        <w:fldChar w:fldCharType="end"/>
      </w:r>
      <w:r>
        <w:rPr>
          <w:rFonts w:hAnsi="Arial"/>
          <w:rFonts w:ascii="Arial"/>
          <w:sz w:val="24"/>
          <w:u w:val="none"/>
          <w:color w:val="black"/>
        </w:rPr>
        <w:t xml:space="preserve"> de 1952 y reglamentada por los Decretos números </w:t>
      </w:r>
      <w:r>
        <w:fldChar w:fldCharType="begin"/>
      </w:r>
      <w:r>
        <w:instrText>HYPERLINK "http://www.redjurista.com/document.aspx?ajcode=d0055_63&amp;arts=INICIO"</w:instrText>
      </w:r>
      <w:r>
        <w:fldChar w:fldCharType="separate"/>
      </w:r>
      <w:r>
        <w:rPr>
          <w:rFonts w:hAnsi="Arial"/>
          <w:rFonts w:ascii="Arial"/>
          <w:sz w:val="24"/>
          <w:u w:val="single"/>
          <w:color w:val="black"/>
        </w:rPr>
        <w:t>55</w:t>
      </w:r>
      <w:r>
        <w:fldChar w:fldCharType="end"/>
      </w:r>
      <w:r>
        <w:rPr>
          <w:rFonts w:hAnsi="Arial"/>
          <w:rFonts w:ascii="Arial"/>
          <w:sz w:val="24"/>
          <w:u w:val="none"/>
          <w:color w:val="black"/>
        </w:rPr>
        <w:t xml:space="preserve"> de 1963 (enero 11), </w:t>
      </w:r>
      <w:r>
        <w:fldChar w:fldCharType="begin"/>
      </w:r>
      <w:r>
        <w:instrText>HYPERLINK "http://www.redjurista.com/document.aspx?ajcode=d0581_75&amp;arts=INICIO"</w:instrText>
      </w:r>
      <w:r>
        <w:fldChar w:fldCharType="separate"/>
      </w:r>
      <w:r>
        <w:rPr>
          <w:rFonts w:hAnsi="Arial"/>
          <w:rFonts w:ascii="Arial"/>
          <w:sz w:val="24"/>
          <w:u w:val="single"/>
          <w:color w:val="black"/>
        </w:rPr>
        <w:t>581</w:t>
      </w:r>
      <w:r>
        <w:fldChar w:fldCharType="end"/>
      </w:r>
      <w:r>
        <w:rPr>
          <w:rFonts w:hAnsi="Arial"/>
          <w:rFonts w:ascii="Arial"/>
          <w:sz w:val="24"/>
          <w:u w:val="none"/>
          <w:color w:val="black"/>
        </w:rPr>
        <w:t xml:space="preserve"> de 1975 (marzo 31) y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/88, con el fin de recompensar a los miembros de las Fuerzas Militares que, prestando sus servicios en Orden Público, en función del mismo, sobresalgan por una acción distinguida de valor, fuera del común cumplimiento del deber.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8" w:name="2.3.1.3.4.5.2"/>
      <w:r>
        <w:rPr>
          <w:rFonts w:hAnsi="Arial"/>
          <w:rFonts w:ascii="Arial"/>
          <w:sz w:val="24"/>
          <w:color w:val="navy"/>
        </w:rPr>
        <w:t xml:space="preserve">ARTÍCULO 2.3.1.3.4.5.2. </w:t>
      </w:r>
      <w:r>
        <w:rPr>
          <w:rFonts w:hAnsi="Arial"/>
          <w:rFonts w:ascii="Arial"/>
          <w:sz w:val="24"/>
          <w:i/>
          <w:color w:val="navy"/>
        </w:rPr>
        <w:t>OTORGAMIENTO.</w:t>
      </w:r>
      <w:bookmarkEnd w:id="60538"/>
      <w:r>
        <w:rPr>
          <w:rFonts w:hAnsi="Arial"/>
          <w:rFonts w:ascii="Arial"/>
          <w:sz w:val="24"/>
          <w:b/>
          <w:i/>
          <w:color w:val="black"/>
        </w:rPr>
        <w:t xml:space="preserve"> </w:t>
      </w:r>
      <w:r>
        <w:rPr>
          <w:rFonts w:hAnsi="Arial"/>
          <w:rFonts w:ascii="Arial"/>
          <w:sz w:val="24"/>
          <w:color w:val="black"/>
        </w:rPr>
        <w:t xml:space="preserve">La condecoración puede conferirse al personal uniformado de las Fuerzas Militares y también a las Unidades Militares, a los miembros de la Policía Nacional que participen en operaciones coordinadas con las Fuerzas Militares, cuando el Gobierno considere que han llevado la paz, la tranquilidad y el progreso al área donde se desarrollan operaciones.</w:t>
      </w:r>
    </w:p>
    <w:p>
      <w:pPr>
        <w:jc w:val="both"/>
      </w:pPr>
      <w:rPr>
        <w:sz w:val="24"/>
        <w:color w:val="black"/>
      </w:rPr>
    </w:p>
    <w:p>
      <w:pPr>
        <w:jc w:val="both"/>
      </w:pPr>
      <w:r>
        <w:rPr>
          <w:rFonts w:hAnsi="Arial"/>
          <w:rFonts w:ascii="Arial"/>
          <w:sz w:val="24"/>
          <w:color w:val="black"/>
        </w:rPr>
        <w:t xml:space="preserve">La condecoración Servicios Distinguidos en "Orden Público" se otorgará a solicitud del Comandante directo de los candidatos, quien remite al Comando General, Comando del Ejército, la Armada o la Fuerza Aérea, para su estudio y trámite, los documentos probatorios, donde conste que los candidatos han cumplido los requisitos exigidos.</w:t>
      </w:r>
    </w:p>
    <w:p>
      <w:pPr>
        <w:jc w:val="both"/>
      </w:pPr>
      <w:rPr>
        <w:sz w:val="24"/>
        <w:color w:val="black"/>
      </w:rPr>
    </w:p>
    <w:p>
      <w:pPr>
        <w:jc w:val="both"/>
      </w:pPr>
      <w:r>
        <w:rPr>
          <w:rFonts w:hAnsi="Arial"/>
          <w:rFonts w:ascii="Arial"/>
          <w:sz w:val="24"/>
          <w:color w:val="black"/>
        </w:rPr>
        <w:t xml:space="preserve">Las Jefaturas de Desarrollo Humano de los respectivos Comandos o quien haga sus veces, elaboran los proyectos de decreto por medio de los cuales se otorga la condecoración.</w:t>
      </w:r>
    </w:p>
    <w:p>
      <w:pPr>
        <w:jc w:val="both"/>
      </w:pPr>
      <w:rPr>
        <w:sz w:val="24"/>
        <w:color w:val="black"/>
      </w:rPr>
    </w:p>
    <w:p>
      <w:pPr>
        <w:jc w:val="both"/>
      </w:pPr>
      <w:r>
        <w:rPr>
          <w:rFonts w:hAnsi="Arial"/>
          <w:rFonts w:ascii="Arial"/>
          <w:sz w:val="24"/>
          <w:color w:val="black"/>
        </w:rPr>
        <w:t xml:space="preserve">La presente condecoración será conferida por decreto del Gobierno Nacional.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Esta condecoración podrá ser otorgada a un mismo individuo tantas veces cuantas se haga acreedor a ella en acciones diferentes.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Al personal de las Fuerzas Militares que falleciere como consecuencia del cumplimiento del deber en actos del servicio para mantener o restablecer el orden público, se le podrá conceder en forma póstuma, igualmente a los miembros de la Policía Nacional que fallecieren por la misma causa anterior, participando en operaciones conjuntas con las Fuerzas Militares.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Cuando esta condecoración ha sido impuesta en varias oportunidades, únicamente se usará la joya, venera o miniatura de mayor categoría.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39" w:name="2.3.1.3.4.5.3"/>
      <w:r>
        <w:rPr>
          <w:rFonts w:hAnsi="Arial"/>
          <w:rFonts w:ascii="Arial"/>
          <w:sz w:val="24"/>
          <w:color w:val="navy"/>
        </w:rPr>
        <w:t xml:space="preserve">ARTÍCULO 2.3.1.3.4.5.3. </w:t>
      </w:r>
      <w:r>
        <w:rPr>
          <w:rFonts w:hAnsi="Arial"/>
          <w:rFonts w:ascii="Arial"/>
          <w:sz w:val="24"/>
          <w:i/>
          <w:color w:val="navy"/>
        </w:rPr>
        <w:t>CARACTERÍSTICAS.</w:t>
      </w:r>
      <w:bookmarkEnd w:id="60539"/>
      <w:r>
        <w:rPr>
          <w:rFonts w:hAnsi="Arial"/>
          <w:rFonts w:ascii="Arial"/>
          <w:sz w:val="24"/>
          <w:b/>
          <w:i/>
          <w:color w:val="black"/>
        </w:rPr>
        <w:t xml:space="preserve"> </w:t>
      </w:r>
      <w:r>
        <w:rPr>
          <w:rFonts w:hAnsi="Arial"/>
          <w:rFonts w:ascii="Arial"/>
          <w:sz w:val="24"/>
          <w:color w:val="black"/>
        </w:rPr>
        <w:t xml:space="preserve">La joya tiene las siguientes características: Es una Cruz teutónica de cuarenta y cinco (45) milímetros en sus ejes máximos. En su centro lleva un sable en banda y un fusil en barra entrelazada con una rama de laurel. Cargando sobre las figuras antes descritas va un círculo de veinticinco (25) milímetros de diámetro, cuyo campo ostenta el Escudo de Armas de la República de Colombia. El reverso lleva el mismo círculo, con la inscripción Servicios Distinguidos en "Orden Público" (las palabras Servicios Distinguidos van formando un semicírculo y en la parte inferior de este, las palabras "Orden Público" colocadas en semicírculo). Es elaborada en plata quemada para el personal de oficiales y suboficiales y en bronce para el personal de tropa. La cruz va suspendida por una cinta de color gris plomo de cuarenta (40) milímetros de ancho y cincuenta y cinco (55) milímetros de longitud y bordes de cuatro (4) milímetros con los colores de la Bandera de Colombia.</w:t>
      </w:r>
    </w:p>
    <w:p>
      <w:pPr>
        <w:jc w:val="both"/>
      </w:pPr>
      <w:rPr>
        <w:sz w:val="24"/>
        <w:color w:val="black"/>
      </w:rPr>
    </w:p>
    <w:p>
      <w:pPr>
        <w:jc w:val="both"/>
      </w:pPr>
      <w:r>
        <w:rPr>
          <w:rFonts w:hAnsi="Arial"/>
          <w:rFonts w:ascii="Arial"/>
          <w:sz w:val="24"/>
          <w:color w:val="black"/>
        </w:rPr>
        <w:t xml:space="preserve">Cuando la medalla se confiere por segunda vez, en la venera y en la cinta lleva una estrella de plata de cinco (5) puntas y de cinco (5) milímetros de diámetro; cuando se confiere por tercera vez lleva dos (2) estrellas similares, separadas cinco milímetros una de la otra en forma horizontal, por cuarta vez tres (3), y por quinta vez cuatro (4) estrellas.</w:t>
      </w:r>
    </w:p>
    <w:p>
      <w:pPr>
        <w:jc w:val="both"/>
      </w:pPr>
      <w:rPr>
        <w:sz w:val="24"/>
        <w:color w:val="black"/>
      </w:rPr>
    </w:p>
    <w:p>
      <w:pPr>
        <w:jc w:val="both"/>
      </w:pPr>
      <w:r>
        <w:rPr>
          <w:rFonts w:hAnsi="Arial"/>
          <w:rFonts w:ascii="Arial"/>
          <w:sz w:val="24"/>
          <w:color w:val="black"/>
        </w:rPr>
        <w:t xml:space="preserve">Si la medalla se otorga por sexta vez, tanto en la venera como en la cinta, debajo de las estrellas de plata en el centro, se colocará una estrella de oro de igual magnitud, y así sucesivamente cuantas veces se otorgue, alternándolas a la derecha e izquierda en forma horizontal en una segunda hilera, para mantener la armonía.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0" w:name="2.3.1.3.4.5.4"/>
      <w:r>
        <w:rPr>
          <w:rFonts w:hAnsi="Arial"/>
          <w:rFonts w:ascii="Arial"/>
          <w:sz w:val="24"/>
          <w:color w:val="navy"/>
        </w:rPr>
        <w:t xml:space="preserve">ARTÍCULO 2.3.1.3.4.5.4. </w:t>
      </w:r>
      <w:r>
        <w:rPr>
          <w:rFonts w:hAnsi="Arial"/>
          <w:rFonts w:ascii="Arial"/>
          <w:sz w:val="24"/>
          <w:i/>
          <w:color w:val="navy"/>
        </w:rPr>
        <w:t>DIPLOMA.</w:t>
      </w:r>
      <w:bookmarkEnd w:id="60540"/>
      <w:r>
        <w:rPr>
          <w:rFonts w:hAnsi="Arial"/>
          <w:rFonts w:ascii="Arial"/>
          <w:sz w:val="24"/>
          <w:b/>
          <w:i/>
          <w:color w:val="black"/>
        </w:rPr>
        <w:t xml:space="preserve"> </w:t>
      </w:r>
      <w:r>
        <w:rPr>
          <w:rFonts w:hAnsi="Arial"/>
          <w:rFonts w:ascii="Arial"/>
          <w:sz w:val="24"/>
          <w:color w:val="black"/>
        </w:rPr>
        <w:t xml:space="preserve">El diploma que acredita el otorgamiento de la Medalla de Servicios Distinguidos en "Orden Público" lleva las firmas del Ministro de Defensa Nacional y el Comandante General de las Fuerzas Militares. Debe ser elaborado en papel cartulina o pergamino blanco de cuarenta (40) por treinta (30) centímetros de lado, con el Escudo Nacional en colores en la parte superior y con la siguiente leyenda:</w:t>
      </w:r>
    </w:p>
    <w:p>
      <w:pPr>
        <w:jc w:val="both"/>
      </w:pPr>
      <w:r>
        <w:drawing>
          <wp:inline distT="0" distB="0" distL="0" distR="0">
            <wp:extent cx="4770120" cy="1569720"/>
            <wp:docPr id="7" name=""/>
            <a:graphic xmlns:a="http://schemas.openxmlformats.org/drawingml/2006/main">
              <a:graphicData uri="http://schemas.openxmlformats.org/drawingml/2006/picture">
                <pic:pic xmlns:pic="http://schemas.openxmlformats.org/drawingml/2006/picture">
                  <pic:nvPicPr>
                    <pic:cNvPr id="6" name="Picture "/>
                    <pic:cNvPicPr/>
                  </pic:nvPicPr>
                  <pic:blipFill>
                    <a:blip r:embed="id6"/>
                    <a:stretch>
                      <a:fillRect/>
                    </a:stretch>
                  </pic:blipFill>
                  <pic:spPr>
                    <a:xfrm>
                      <a:off x="0" y="0"/>
                      <a:ext cx="4770120" cy="1569720"/>
                    </a:xfrm>
                    <a:prstGeom prst="rect">
                      <a:avLst/>
                    </a:prstGeom>
                  </pic:spPr>
                </pic:pic>
              </a:graphicData>
            </a:graphic>
          </wp:inline>
        </w:drawing>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41" w:name="SUBSECCIÓN 2.3.1.3.4.6"/>
      <w:r>
        <w:rPr>
          <w:rFonts w:hAnsi="Arial"/>
          <w:rFonts w:ascii="Arial"/>
          <w:sz w:val="24"/>
          <w:color w:val="navy"/>
        </w:rPr>
        <w:t xml:space="preserve">SUBSECCIÓN 6. </w:t>
      </w:r>
    </w:p>
    <w:p>
      <w:pPr>
        <w:jc w:val="center"/>
      </w:pPr>
      <w:r>
        <w:rPr>
          <w:rFonts w:hAnsi="Arial"/>
          <w:rFonts w:ascii="Arial"/>
          <w:sz w:val="24"/>
          <w:color w:val="navy"/>
        </w:rPr>
        <w:t xml:space="preserve">MEDALLA MILITAR "CAMPAÑA DEL SUR".</w:t>
      </w:r>
      <w:bookmarkEnd w:id="605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42" w:name="2.3.1.3.4.6.1"/>
      <w:r>
        <w:rPr>
          <w:rFonts w:hAnsi="Arial"/>
          <w:rFonts w:ascii="Arial"/>
          <w:sz w:val="24"/>
          <w:color w:val="navy"/>
        </w:rPr>
        <w:t xml:space="preserve">ARTÍCULO 2.3.1.3.4.6.1. </w:t>
      </w:r>
      <w:r>
        <w:rPr>
          <w:rFonts w:hAnsi="Arial"/>
          <w:rFonts w:ascii="Arial"/>
          <w:sz w:val="24"/>
          <w:i/>
          <w:color w:val="navy"/>
        </w:rPr>
        <w:t>CREACIÓN.</w:t>
      </w:r>
      <w:bookmarkEnd w:id="60542"/>
      <w:r>
        <w:rPr>
          <w:rFonts w:hAnsi="Arial"/>
          <w:rFonts w:ascii="Arial"/>
          <w:sz w:val="24"/>
          <w:b/>
          <w:i/>
          <w:color w:val="black"/>
        </w:rPr>
        <w:t xml:space="preserve"> </w:t>
      </w:r>
      <w:r>
        <w:rPr>
          <w:rFonts w:hAnsi="Arial"/>
          <w:rFonts w:ascii="Arial"/>
          <w:sz w:val="24"/>
          <w:color w:val="black"/>
        </w:rPr>
        <w:t xml:space="preserve">La Medalla Militar "Campaña del Sur", fue creada en el artículo </w:t>
      </w:r>
      <w:r>
        <w:fldChar w:fldCharType="begin"/>
      </w:r>
      <w:r>
        <w:instrText>HYPERLINK "http://www.redjurista.com/document.aspx?ajcode=d1816007&amp;arts=36"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1816 de 2007, en categoría única, como un reconocimiento a los Oficiales, Suboficiales, Soldados e Infantes de Marina de las Fuerzas Militares, que participen de manera sobresaliente en el planeamiento, apoyo, desarrollo y ejecución de las operaciones militares que conduce la Fuerza de Tarea Conjunta, en el área geográfica de los departamentos del Caquetá, Guaviare, Meta y sur del país.</w:t>
      </w:r>
    </w:p>
    <w:p>
      <w:pPr>
        <w:jc w:val="both"/>
      </w:pPr>
      <w:rPr>
        <w:sz w:val="24"/>
        <w:color w:val="black"/>
      </w:rPr>
    </w:p>
    <w:p>
      <w:pPr>
        <w:jc w:val="both"/>
      </w:pPr>
      <w:r>
        <w:rPr>
          <w:rFonts w:hAnsi="Arial"/>
          <w:rFonts w:ascii="Arial"/>
          <w:sz w:val="24"/>
          <w:color w:val="black"/>
        </w:rPr>
        <w:t xml:space="preserve">La Medalla Militar "Campaña del Sur" será otorgada al personal de Oficiales, Suboficiales, Soldados, Infantes de Marina y miembros de los Estados Mayores de la Fuerza de Tarea Conjunta, Divisiones y Brigadas que se encuentren en el campo de combate o que hayan participado en forma significativa y sobresaliente en el planeamiento, orientación, dirección, desarrollo y ejecución de las operaciones, cuyo desempeño y gestión de su cargo haya sido decisivo para el éxito de la operación, presentando resultados tangibles en contra de los grupos narcoterroristas que contribuyan al debilitamiento de su infraestructura logística, disminución de su pie de fuerza por entregas voluntarias, desmovilizaciones, capturas, o muertes en combate ante la resistencia armada enemiga y al mantenimiento del control de área.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3" w:name="2.3.1.3.4.6.2"/>
      <w:r>
        <w:rPr>
          <w:rFonts w:hAnsi="Arial"/>
          <w:rFonts w:ascii="Arial"/>
          <w:sz w:val="24"/>
          <w:color w:val="navy"/>
        </w:rPr>
        <w:t xml:space="preserve">ARTÍCULO 2.3.1.3.4.6.2. </w:t>
      </w:r>
      <w:r>
        <w:rPr>
          <w:rFonts w:hAnsi="Arial"/>
          <w:rFonts w:ascii="Arial"/>
          <w:sz w:val="24"/>
          <w:i/>
          <w:color w:val="navy"/>
        </w:rPr>
        <w:t>REQUISITOS.</w:t>
      </w:r>
      <w:bookmarkEnd w:id="60543"/>
      <w:r>
        <w:rPr>
          <w:rFonts w:hAnsi="Arial"/>
          <w:rFonts w:ascii="Arial"/>
          <w:sz w:val="24"/>
          <w:b/>
          <w:i/>
          <w:color w:val="black"/>
        </w:rPr>
        <w:t xml:space="preserve"> </w:t>
      </w:r>
      <w:r>
        <w:rPr>
          <w:rFonts w:hAnsi="Arial"/>
          <w:rFonts w:ascii="Arial"/>
          <w:sz w:val="24"/>
          <w:color w:val="black"/>
        </w:rPr>
        <w:t xml:space="preserve">Los requisitos mínimos necesarios para el otorgamiento de la Medalla Militar "Campaña del Sur" son:</w:t>
      </w:r>
    </w:p>
    <w:p>
      <w:pPr>
        <w:jc w:val="both"/>
      </w:pPr>
      <w:rPr>
        <w:sz w:val="24"/>
        <w:color w:val="black"/>
      </w:rPr>
    </w:p>
    <w:p>
      <w:pPr>
        <w:jc w:val="both"/>
      </w:pPr>
      <w:r>
        <w:rPr>
          <w:rFonts w:hAnsi="Arial"/>
          <w:rFonts w:ascii="Arial"/>
          <w:sz w:val="24"/>
          <w:color w:val="black"/>
        </w:rPr>
        <w:t xml:space="preserve">1. Para Comandantes de la Fuerza de Tarea Conjunta, Divisiones y Brigadas que hagan parte de las operaciones de la campaña del sur, tener un tiempo mínimo de un año en el cargo.</w:t>
      </w:r>
    </w:p>
    <w:p>
      <w:pPr>
        <w:jc w:val="both"/>
      </w:pPr>
      <w:rPr>
        <w:sz w:val="24"/>
        <w:color w:val="black"/>
      </w:rPr>
    </w:p>
    <w:p>
      <w:pPr>
        <w:jc w:val="both"/>
      </w:pPr>
      <w:r>
        <w:rPr>
          <w:rFonts w:hAnsi="Arial"/>
          <w:rFonts w:ascii="Arial"/>
          <w:sz w:val="24"/>
          <w:color w:val="black"/>
        </w:rPr>
        <w:t xml:space="preserve">2. Para los demás oficiales, suboficiales, soldados e infantes de marina, tener un tiempo mínimo de año y medio en el desempeño y gestión de operaciones en la campaña del sur.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4" w:name="2.3.1.3.4.6.3"/>
      <w:r>
        <w:rPr>
          <w:rFonts w:hAnsi="Arial"/>
          <w:rFonts w:ascii="Arial"/>
          <w:sz w:val="24"/>
          <w:color w:val="navy"/>
        </w:rPr>
        <w:t xml:space="preserve">ARTÍCULO 2.3.1.3.4.6.3. </w:t>
      </w:r>
      <w:r>
        <w:rPr>
          <w:rFonts w:hAnsi="Arial"/>
          <w:rFonts w:ascii="Arial"/>
          <w:sz w:val="24"/>
          <w:i/>
          <w:color w:val="navy"/>
        </w:rPr>
        <w:t>CARACTERÍSTICAS.</w:t>
      </w:r>
      <w:bookmarkEnd w:id="60544"/>
      <w:r>
        <w:rPr>
          <w:rFonts w:hAnsi="Arial"/>
          <w:rFonts w:ascii="Arial"/>
          <w:sz w:val="24"/>
          <w:b/>
          <w:i/>
          <w:color w:val="black"/>
        </w:rPr>
        <w:t xml:space="preserve"> </w:t>
      </w:r>
      <w:r>
        <w:rPr>
          <w:rFonts w:hAnsi="Arial"/>
          <w:rFonts w:ascii="Arial"/>
          <w:sz w:val="24"/>
          <w:color w:val="black"/>
        </w:rPr>
        <w:t xml:space="preserve">La joya consiste en un campo metálico dorado que guarda la forma de la "Cruz de Hierro", con unas dimensiones equitativas de 50 milímetros, largo por ancho; en el centro en un círculo superpuesto bordeado en alto relieve de 25 milímetros de diámetro, van grabados en oro, repartidos proporcionalmente, los símbolos representativos de las Fuerzas Militares de Colombia integrando un solo escudo, siendo estos, los fusiles que hacen referencia al Ejército, el ancla a la Armada, y las alas a la Fuerza Aérea.</w:t>
      </w:r>
    </w:p>
    <w:p>
      <w:pPr>
        <w:jc w:val="both"/>
      </w:pPr>
      <w:rPr>
        <w:sz w:val="24"/>
        <w:color w:val="black"/>
      </w:rPr>
    </w:p>
    <w:p>
      <w:pPr>
        <w:jc w:val="both"/>
      </w:pPr>
      <w:r>
        <w:rPr>
          <w:rFonts w:hAnsi="Arial"/>
          <w:rFonts w:ascii="Arial"/>
          <w:sz w:val="24"/>
          <w:color w:val="black"/>
        </w:rPr>
        <w:t xml:space="preserve">La parte superior de la cruz está esmaltada con un tricolor nacional; la parte inferior de la cruz, dominando el cuadrante va grabada la letra griega "Omega" y de esta hacia los extremos diestro y siniestro de la cruz, salen dos rayos dorados. La joya está suspendida de una cinta calidad motre de 55 milímetros de largo y 40 milímetros de ancho, de tres colores rojo, azul primario, y azul celeste, repartidos equitativamente en sentido vertical. En el reverso de la joya sobre un círculo de iguales proporciones y características del anverso, rodeando la parte superior va la leyenda Fuerzas Militares de Colombia; en la parte central horizontalmente, va el nombre de la condecoración "Campaña del Sur" y terminando en la parte inferior bordeando el círculo, va grabado el lema "DIOS Y VICTORIA".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5" w:name="2.3.1.3.4.6.4"/>
      <w:r>
        <w:rPr>
          <w:rFonts w:hAnsi="Arial"/>
          <w:rFonts w:ascii="Arial"/>
          <w:sz w:val="24"/>
          <w:color w:val="navy"/>
        </w:rPr>
        <w:t xml:space="preserve">ARTÍCULO 2.3.1.3.4.6.4. </w:t>
      </w:r>
      <w:r>
        <w:rPr>
          <w:rFonts w:hAnsi="Arial"/>
          <w:rFonts w:ascii="Arial"/>
          <w:sz w:val="24"/>
          <w:i/>
          <w:color w:val="navy"/>
        </w:rPr>
        <w:t>OTORGAMIENTO.</w:t>
      </w:r>
      <w:bookmarkEnd w:id="60545"/>
      <w:r>
        <w:rPr>
          <w:rFonts w:hAnsi="Arial"/>
          <w:rFonts w:ascii="Arial"/>
          <w:sz w:val="24"/>
          <w:b/>
          <w:i/>
          <w:color w:val="black"/>
        </w:rPr>
        <w:t xml:space="preserve"> </w:t>
      </w:r>
      <w:r>
        <w:rPr>
          <w:rFonts w:hAnsi="Arial"/>
          <w:rFonts w:ascii="Arial"/>
          <w:sz w:val="24"/>
          <w:color w:val="black"/>
        </w:rPr>
        <w:t xml:space="preserve">La condecoración Medalla Militar "Campaña del Sur", se otorgará a solicitud del Comandante directo de los candidatos, con el apoyo del Comandante de la Fuerza de Tarea Conjunta, quien la remite con los documentos probatorios que los candidatos han cumplido los requisitos exigidos, al Consejo de la Medalla, para su estudio y aprobación. El Consejo de la Medalla Militar "Campaña del Sur", estará compuesto así:</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Estado Mayor Conjunto de las Fuerzas Militares.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de la Fuerza de Tarea Conjunta.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Estado Mayor de la Fuerza de Tarea Conjunta.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aprobado el otorgamiento de la medalla, corresponderá al señor Comandante General de las Fuerzas Militares, expedir la resolución por medio de la cual se confiere la condecoración.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6" w:name="2.3.1.3.4.6.5"/>
      <w:r>
        <w:rPr>
          <w:rFonts w:hAnsi="Arial"/>
          <w:rFonts w:ascii="Arial"/>
          <w:sz w:val="24"/>
          <w:color w:val="navy"/>
        </w:rPr>
        <w:t xml:space="preserve">ARTÍCULO 2.3.1.3.4.6.5. </w:t>
      </w:r>
      <w:r>
        <w:rPr>
          <w:rFonts w:hAnsi="Arial"/>
          <w:rFonts w:ascii="Arial"/>
          <w:sz w:val="24"/>
          <w:i/>
          <w:color w:val="navy"/>
        </w:rPr>
        <w:t>IMPOSICIÓN.</w:t>
      </w:r>
      <w:bookmarkEnd w:id="60546"/>
      <w:r>
        <w:rPr>
          <w:rFonts w:hAnsi="Arial"/>
          <w:rFonts w:ascii="Arial"/>
          <w:sz w:val="24"/>
          <w:b/>
          <w:i/>
          <w:color w:val="black"/>
        </w:rPr>
        <w:t xml:space="preserve"> </w:t>
      </w:r>
      <w:r>
        <w:rPr>
          <w:rFonts w:hAnsi="Arial"/>
          <w:rFonts w:ascii="Arial"/>
          <w:sz w:val="24"/>
          <w:color w:val="black"/>
        </w:rPr>
        <w:t xml:space="preserve">La condecoración será impuesta en el menor tiempo posible después de sucedidos los hechos o resultados que dieron origen a su otorgamiento, en ceremonia especial, de acuerdo con el Reglamento de Ceremonial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47" w:name="2.3.1.3.4.6.6"/>
      <w:r>
        <w:rPr>
          <w:rFonts w:hAnsi="Arial"/>
          <w:rFonts w:ascii="Arial"/>
          <w:sz w:val="24"/>
          <w:color w:val="navy"/>
        </w:rPr>
        <w:t xml:space="preserve">ARTÍCULO 2.3.1.3.4.6.6. </w:t>
      </w:r>
      <w:r>
        <w:rPr>
          <w:rFonts w:hAnsi="Arial"/>
          <w:rFonts w:ascii="Arial"/>
          <w:sz w:val="24"/>
          <w:i/>
          <w:color w:val="navy"/>
        </w:rPr>
        <w:t>DIPLOMA.</w:t>
      </w:r>
      <w:bookmarkEnd w:id="60547"/>
      <w:r>
        <w:rPr>
          <w:rFonts w:hAnsi="Arial"/>
          <w:rFonts w:ascii="Arial"/>
          <w:sz w:val="24"/>
          <w:b/>
          <w:i/>
          <w:color w:val="black"/>
        </w:rPr>
        <w:t xml:space="preserve"> </w:t>
      </w:r>
      <w:r>
        <w:rPr>
          <w:rFonts w:hAnsi="Arial"/>
          <w:rFonts w:ascii="Arial"/>
          <w:sz w:val="24"/>
          <w:color w:val="black"/>
        </w:rPr>
        <w:t xml:space="preserve">El diploma que acredita el otorgamiento de la medalla Militar "Campaña del Sur", lleva las firmas del Presidente, Vicepresidente y Secretario del Consejo de la Medalla, debe ser elaborado en papel cartulina o pergamino blanco, de treinta y cinco (35) centímetros de largo por veinticinco (25) centímetros de ancho, con el escudo del Comando General en colores en la parte superior y con la siguiente leyenda:</w:t>
      </w:r>
    </w:p>
    <w:p>
      <w:pPr>
        <w:jc w:val="center"/>
      </w:pPr>
      <w:r>
        <w:drawing>
          <wp:inline distT="0" distB="0" distL="0" distR="0">
            <wp:extent cx="4061460" cy="2171700"/>
            <wp:docPr id="8" name=""/>
            <a:graphic xmlns:a="http://schemas.openxmlformats.org/drawingml/2006/main">
              <a:graphicData uri="http://schemas.openxmlformats.org/drawingml/2006/picture">
                <pic:pic xmlns:pic="http://schemas.openxmlformats.org/drawingml/2006/picture">
                  <pic:nvPicPr>
                    <pic:cNvPr id="7" name="Picture "/>
                    <pic:cNvPicPr/>
                  </pic:nvPicPr>
                  <pic:blipFill>
                    <a:blip r:embed="id7"/>
                    <a:stretch>
                      <a:fillRect/>
                    </a:stretch>
                  </pic:blipFill>
                  <pic:spPr>
                    <a:xfrm>
                      <a:off x="0" y="0"/>
                      <a:ext cx="4061460" cy="217170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48" w:name="SUBSECCIÓN 2.3.1.3.4.7"/>
      <w:r>
        <w:rPr>
          <w:rFonts w:hAnsi="Arial"/>
          <w:rFonts w:ascii="Arial"/>
          <w:sz w:val="24"/>
          <w:color w:val="navy"/>
        </w:rPr>
        <w:t xml:space="preserve">SUBSECCIÓN 7. </w:t>
      </w:r>
    </w:p>
    <w:p>
      <w:pPr>
        <w:jc w:val="center"/>
      </w:pPr>
      <w:r>
        <w:rPr>
          <w:rFonts w:hAnsi="Arial"/>
          <w:rFonts w:ascii="Arial"/>
          <w:sz w:val="24"/>
          <w:color w:val="navy"/>
        </w:rPr>
        <w:t xml:space="preserve">MEDALLA MILITAR "SERVICIOS DISTINGUIDOS EN OPERACIONES ESPECIALES".</w:t>
      </w:r>
      <w:bookmarkEnd w:id="6054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49" w:name="2.3.1.3.4.7.1"/>
      <w:r>
        <w:rPr>
          <w:rFonts w:hAnsi="Arial"/>
          <w:rFonts w:ascii="Arial"/>
          <w:sz w:val="24"/>
          <w:color w:val="navy"/>
        </w:rPr>
        <w:t xml:space="preserve">ARTÍCULO 2.3.1.3.4.7.1. </w:t>
      </w:r>
      <w:r>
        <w:rPr>
          <w:rFonts w:hAnsi="Arial"/>
          <w:rFonts w:ascii="Arial"/>
          <w:sz w:val="24"/>
          <w:i/>
          <w:color w:val="navy"/>
        </w:rPr>
        <w:t>CREACIÓN.</w:t>
      </w:r>
      <w:bookmarkEnd w:id="6054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1564 de 2022. El nuevo texto es el siguiente:&gt; Créase la Medalla Militar “Servicios Distinguidos en Operaciones Especiales”, otorgada como un reconocimiento a los Oficiales, Suboficiales, Soldados e Infantes de Marina de las Fuerzas Militares y personal de la Policía Nacional; a las Banderas de Guerra de las Fuerzas y Unidades Militares, a las banderas y estandartes de la Policía Nacional y sus Unidades, e igualmente a personalidades nacionales o extranjeras, a entidades públicas o privadas; que participen o contribuyan de manera sobresaliente en el planeamiento, apoyo, desarrollo y ejecución de operaciones especiales conducidas por el Comando Conjunto de Operaciones Especiales. </w:t>
      </w:r>
    </w:p>
    <w:p>
      <w:pPr>
        <w:jc w:val="both"/>
        <w:outlineLvl w:val="1"/>
        <w:tabs>
          <w:tab w:val="left" w:leader="none" w:pos="8840"/>
        </w:tabs>
      </w:pPr>
      <w:rPr>
        <w:sz w:val="24"/>
        <w:color w:val="black"/>
      </w:rPr>
    </w:p>
    <w:p>
      <w:pPr>
        <w:jc w:val="both"/>
        <w:outlineLvl w:val="1"/>
        <w:tabs>
          <w:tab w:val="left" w:leader="none" w:pos="8840"/>
        </w:tabs>
      </w:pPr>
      <w:r>
        <w:rPr>
          <w:rFonts w:hAnsi="Arial"/>
          <w:rFonts w:ascii="Arial"/>
          <w:sz w:val="24"/>
          <w:color w:val="navy"/>
        </w:rPr>
        <w:t xml:space="preserve">PARÁGRAFO 1o.</w:t>
      </w:r>
      <w:r>
        <w:rPr>
          <w:rFonts w:hAnsi="Arial"/>
          <w:rFonts w:ascii="Arial"/>
          <w:sz w:val="24"/>
          <w:color w:val="black"/>
        </w:rPr>
        <w:t xml:space="preserve"> La medalla podrá otorgarse en forma póstuma al personal fallecido en la ejecución de operaciones especiales conducidas por el Comando Conjunto de Operaciones Especiales, a criterio del consejo de la medalla. </w:t>
      </w:r>
    </w:p>
    <w:p>
      <w:pPr>
        <w:jc w:val="both"/>
        <w:outlineLvl w:val="1"/>
        <w:tabs>
          <w:tab w:val="left" w:leader="none" w:pos="8840"/>
        </w:tabs>
      </w:pPr>
      <w:rPr>
        <w:sz w:val="24"/>
        <w:color w:val="black"/>
      </w:rPr>
    </w:p>
    <w:p>
      <w:pPr>
        <w:jc w:val="both"/>
        <w:outlineLvl w:val="1"/>
        <w:tabs>
          <w:tab w:val="left" w:leader="none" w:pos="8840"/>
        </w:tabs>
      </w:pPr>
      <w:r>
        <w:rPr>
          <w:rFonts w:hAnsi="Arial"/>
          <w:rFonts w:ascii="Arial"/>
          <w:sz w:val="24"/>
          <w:color w:val="navy"/>
        </w:rPr>
        <w:t xml:space="preserve">PARÁGRAFO 2o.</w:t>
      </w:r>
      <w:r>
        <w:rPr>
          <w:rFonts w:hAnsi="Arial"/>
          <w:rFonts w:ascii="Arial"/>
          <w:sz w:val="24"/>
          <w:color w:val="black"/>
        </w:rPr>
        <w:t xml:space="preserve"> Cuando esta condecoración ha sido impuesta en varias oportunidades, únicamente se usará la joya, venera o miniatura de mayor categoría. </w:t>
      </w:r>
    </w:p>
    <w:p>
      <w:pPr>
        <w:jc w:val="both"/>
      </w:pPr>
      <w:rPr>
        <w:sz w:val="24"/>
        <w:color w:val="black"/>
      </w:rPr>
    </w:p>
    <w:p>
      <w:pPr>
        <w:jc w:val="both"/>
      </w:pPr>
      <w:r>
        <w:rPr>
          <w:rFonts w:hAnsi="Arial"/>
          <w:rFonts w:ascii="Arial"/>
          <w:sz w:val="24"/>
          <w:vanish/>
          <w:color w:val="black"/>
        </w:rPr>
        <w:t>&amp;$</w:t>
      </w:r>
      <w:bookmarkStart w:id="60550" w:name="2.3.1.3.4.7.2"/>
      <w:r>
        <w:rPr>
          <w:rFonts w:hAnsi="Arial"/>
          <w:rFonts w:ascii="Arial"/>
          <w:sz w:val="24"/>
          <w:color w:val="navy"/>
        </w:rPr>
        <w:t xml:space="preserve">ARTÍCULO 2.3.1.3.4.7.2. </w:t>
      </w:r>
      <w:r>
        <w:rPr>
          <w:rFonts w:hAnsi="Arial"/>
          <w:rFonts w:ascii="Arial"/>
          <w:sz w:val="24"/>
          <w:i/>
          <w:color w:val="navy"/>
        </w:rPr>
        <w:t>CARACTERÍSTICAS.</w:t>
      </w:r>
      <w:bookmarkEnd w:id="6055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1564 de 2022. El nuevo texto es el siguiente:&gt; La medalla militar “Servicios Distinguidos en Operaciones Especiales” del Comando General de las Fuerzas Militares, está conformada por tres piezas; la primera; una base con forma de estrella de 50 mm de ancho x 50 mm de alto, en acabado dorado brillante, moldeada y troquelada en 3D; sobre esta va situada el actual escudo de armas del CCOES de 30 mm de ancho x 30 mm de alto, con pintura al fuego en color terracota (Pantone 476) y negro (Pantone Black), el laurel y espada tienen acabado plateado brillante y la bandera tricolor, mientras que el grifo tiene acabado dorado brillante y moldeado en 3D. La tercera pieza; es un sobrepuesto posterior de 23 mm de diámetro con la Leyenda en el centro, en latín “OMNIA POSSIBILIA SUNT CREDENTI”, que significa “NADA ES IMPOSIBLE PARA EL QUE CREE”, en acabado dorado brillante y moldeado en 3D, en la parte superior “SERVICIOS DISTINGUIDOS”, y en la parte inferior “OPERACIONES ESPECIALES”.</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joya estará suspendida por una cinta de 40 mm de ancho x 55 mm de alto, distribuida en siete partes iguales, terracota, negro, rojo, azul reflejo, azul celeste, terracota y negro.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miniatura o replica; será similar a la joya de la condecoración, pero reducida a un diámetro de 20 mm, suspendida por una cinta similar de la joya, de 15 mm de ancho X 35 mm de alto, según lo contemplado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venera, será un rectángulo metálico esmaltado de 40 mm de ancho x 10 mm de alto, dividida de igual forma que la cinta; en colores terracota, negro, rojo, azul reflejo, azul celeste, terracota y negro. A su vez la venera llevará estrellas de cinco puntas sobrepuestas dependiendo la vez recibida, de 6 mm de diámetro, en acabado dorado brillante y moldeado en 3D. La venera por primera vez llevará el escudo del CCOES en color dorado, la venera por segunda vez llevará una estrella de cinco puntas sobrepuesta, de 6 mm de diámetro, en acabado dorado brillante y moldeado en 3D, y así sucesivamente.</w:t>
      </w:r>
    </w:p>
    <w:p>
      <w:pPr>
        <w:jc w:val="both"/>
      </w:pPr>
      <w:rPr>
        <w:sz w:val="24"/>
        <w:color w:val="black"/>
      </w:rPr>
    </w:p>
    <w:p>
      <w:pPr>
        <w:jc w:val="both"/>
      </w:pPr>
      <w:r>
        <w:rPr>
          <w:rFonts w:hAnsi="Arial"/>
          <w:rFonts w:ascii="Arial"/>
          <w:sz w:val="24"/>
          <w:vanish/>
          <w:color w:val="black"/>
        </w:rPr>
        <w:t>&amp;$</w:t>
      </w:r>
      <w:bookmarkStart w:id="60551" w:name="2.3.1.3.4.7.3"/>
      <w:r>
        <w:rPr>
          <w:rFonts w:hAnsi="Arial"/>
          <w:rFonts w:ascii="Arial"/>
          <w:sz w:val="24"/>
          <w:color w:val="navy"/>
        </w:rPr>
        <w:t xml:space="preserve">ARTÍCULO 2.3.1.3.4.7.3. </w:t>
      </w:r>
      <w:r>
        <w:rPr>
          <w:rFonts w:hAnsi="Arial"/>
          <w:rFonts w:ascii="Arial"/>
          <w:sz w:val="24"/>
          <w:i/>
          <w:color w:val="navy"/>
        </w:rPr>
        <w:t>OTORGAMIENTO.</w:t>
      </w:r>
      <w:bookmarkEnd w:id="60551"/>
      <w:r>
        <w:rPr>
          <w:rFonts w:hAnsi="Arial"/>
          <w:rFonts w:ascii="Arial"/>
          <w:sz w:val="24"/>
          <w:b/>
          <w:i/>
          <w:color w:val="black"/>
        </w:rPr>
        <w:t xml:space="preserve"> </w:t>
      </w:r>
      <w:r>
        <w:rPr>
          <w:rFonts w:hAnsi="Arial"/>
          <w:rFonts w:ascii="Arial"/>
          <w:sz w:val="24"/>
          <w:color w:val="black"/>
        </w:rPr>
        <w:t xml:space="preserve">La Medalla Militar "Servicios Distinguidos en Operaciones Especiales", se otorgará a solicitud del Comandante directo del candidato, con el apoyo del Comandante del Comando Conjunto de Operaciones Especiales, quien la remite con los documentos que sustentan la actuación del candidato al Consejo de la Medalla, para su estudio y aprobación.</w:t>
      </w:r>
    </w:p>
    <w:p>
      <w:pPr>
        <w:jc w:val="both"/>
      </w:pPr>
      <w:rPr>
        <w:sz w:val="24"/>
        <w:color w:val="black"/>
      </w:rPr>
    </w:p>
    <w:p>
      <w:pPr>
        <w:jc w:val="both"/>
      </w:pPr>
      <w:r>
        <w:rPr>
          <w:rFonts w:hAnsi="Arial"/>
          <w:rFonts w:ascii="Arial"/>
          <w:sz w:val="24"/>
          <w:color w:val="black"/>
        </w:rPr>
        <w:t xml:space="preserve">El Consejo de la Medalla Militar "Servicios Distinguidos en Operaciones Especiales", estará compuesto así:</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Estado Mayor Conjunto de las Fuerzas Militares.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del Comando Conjunto de Operaciones Especiales.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Estado Mayor del Comando Conjunto de Operaciones Especiales.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Una vez aprobado el otorgamiento de la medalla, corresponderá al Comando Conjunto de Operaciones Especiales, elaborar la resolución por medio de la cual se confiere la condecoración.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52" w:name="2.3.1.3.4.7.4"/>
      <w:r>
        <w:rPr>
          <w:rFonts w:hAnsi="Arial"/>
          <w:rFonts w:ascii="Arial"/>
          <w:sz w:val="24"/>
          <w:color w:val="navy"/>
        </w:rPr>
        <w:t xml:space="preserve">ARTÍCULO 2.3.1.3.4.7.4. </w:t>
      </w:r>
      <w:r>
        <w:rPr>
          <w:rFonts w:hAnsi="Arial"/>
          <w:rFonts w:ascii="Arial"/>
          <w:sz w:val="24"/>
          <w:i/>
          <w:color w:val="navy"/>
        </w:rPr>
        <w:t>IMPOSICIÓN.</w:t>
      </w:r>
      <w:bookmarkEnd w:id="6055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1564 de 2022. El nuevo texto es el siguiente:&gt; La Medalla será impuesta en ceremonia especial de conformidad con lo dispuesto en el Reglamento de Ceremonial Militar.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medalla militar “Servicios Distinguidos en Operaciones Especiales” será conferida a un mismo individuo, unidades o entidades tantas veces como se haga acreedor a ella en acciones diferentes</w:t>
      </w:r>
    </w:p>
    <w:p>
      <w:pPr>
        <w:jc w:val="both"/>
      </w:pPr>
      <w:rPr>
        <w:sz w:val="24"/>
        <w:color w:val="black"/>
      </w:rPr>
    </w:p>
    <w:p>
      <w:pPr>
        <w:jc w:val="both"/>
      </w:pPr>
      <w:r>
        <w:rPr>
          <w:rFonts w:hAnsi="Arial"/>
          <w:rFonts w:ascii="Arial"/>
          <w:sz w:val="24"/>
          <w:vanish/>
          <w:color w:val="black"/>
        </w:rPr>
        <w:t>&amp;$</w:t>
      </w:r>
      <w:bookmarkStart w:id="60553" w:name="2.3.1.3.4.7.5"/>
      <w:r>
        <w:rPr>
          <w:rFonts w:hAnsi="Arial"/>
          <w:rFonts w:ascii="Arial"/>
          <w:sz w:val="24"/>
          <w:color w:val="navy"/>
        </w:rPr>
        <w:t xml:space="preserve">ARTÍCULO 2.3.1.3.4.7.5. </w:t>
      </w:r>
      <w:r>
        <w:rPr>
          <w:rFonts w:hAnsi="Arial"/>
          <w:rFonts w:ascii="Arial"/>
          <w:sz w:val="24"/>
          <w:i/>
          <w:color w:val="navy"/>
        </w:rPr>
        <w:t>DIPLOMA.</w:t>
      </w:r>
      <w:bookmarkEnd w:id="6055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1564 de 2022. El nuevo texto es el siguiente:&gt; El diploma que acredita el otorgamiento de la Medalla Militar “Servicios Distinguidos en Operaciones Especiales” lleva en su parte superior central la réplica de la medalla y lo firma el Comandante General de las Fuerzas Militares y el Comandante del Comando Conjunto de Operaciones Especiales. Debajo del nombre de la medalla se enunciará la condición por la cual fue otorgada (“Mérito Operacional en Operaciones Especiales” o “Apoyo a operaciones Especiales”). El diploma será elaborado en papel pergamino blanco o cartulina de 40 cm de largo por 30 cm de ancho, con la siguiente leyenda: </w:t>
      </w:r>
    </w:p>
    <w:p>
      <w:pPr>
        <w:jc w:val="center"/>
        <w:outlineLvl w:val="1"/>
        <w:tabs>
          <w:tab w:val="left" w:leader="none" w:pos="8840"/>
        </w:tabs>
      </w:pPr>
      <w:r>
        <w:drawing>
          <wp:inline distT="0" distB="0" distL="0" distR="0">
            <wp:extent cx="4476750" cy="6181725"/>
            <wp:docPr id="9" name=""/>
            <a:graphic xmlns:a="http://schemas.openxmlformats.org/drawingml/2006/main">
              <a:graphicData uri="http://schemas.openxmlformats.org/drawingml/2006/picture">
                <pic:pic xmlns:pic="http://schemas.openxmlformats.org/drawingml/2006/picture">
                  <pic:nvPicPr>
                    <pic:cNvPr id="8" name="Picture "/>
                    <pic:cNvPicPr/>
                  </pic:nvPicPr>
                  <pic:blipFill>
                    <a:blip r:embed="id8"/>
                    <a:stretch>
                      <a:fillRect/>
                    </a:stretch>
                  </pic:blipFill>
                  <pic:spPr>
                    <a:xfrm>
                      <a:off x="0" y="0"/>
                      <a:ext cx="4476750" cy="6181725"/>
                    </a:xfrm>
                    <a:prstGeom prst="rect">
                      <a:avLst/>
                    </a:prstGeom>
                  </pic:spPr>
                </pic:pic>
              </a:graphicData>
            </a:graphic>
          </wp:inline>
        </w:drawing>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0554" w:name="SUBSECCIÓN 2.3.1.3.4.8"/>
      <w:r>
        <w:rPr>
          <w:rFonts w:hAnsi="Arial"/>
          <w:rFonts w:ascii="Arial"/>
          <w:sz w:val="24"/>
          <w:color w:val="navy"/>
        </w:rPr>
        <w:t xml:space="preserve">SUBSECCIÓN 8. </w:t>
      </w:r>
    </w:p>
    <w:p>
      <w:pPr>
        <w:jc w:val="center"/>
      </w:pPr>
      <w:r>
        <w:rPr>
          <w:rFonts w:hAnsi="Arial"/>
          <w:rFonts w:ascii="Arial"/>
          <w:sz w:val="24"/>
          <w:color w:val="navy"/>
        </w:rPr>
        <w:t xml:space="preserve">MEDALLA MILITAR "SERVICIOS DISTINGUIDOS EN OPERACIONES DE CONTRATERRORISMO".</w:t>
      </w:r>
      <w:bookmarkEnd w:id="6055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55" w:name="2.3.1.3.4.8.1"/>
      <w:r>
        <w:rPr>
          <w:rFonts w:hAnsi="Arial"/>
          <w:rFonts w:ascii="Arial"/>
          <w:sz w:val="24"/>
          <w:color w:val="navy"/>
        </w:rPr>
        <w:t xml:space="preserve">ARTÍCULO 2.3.1.3.4.8.1. </w:t>
      </w:r>
      <w:r>
        <w:rPr>
          <w:rFonts w:hAnsi="Arial"/>
          <w:rFonts w:ascii="Arial"/>
          <w:sz w:val="24"/>
          <w:i/>
          <w:color w:val="navy"/>
        </w:rPr>
        <w:t>CREACIÓN.</w:t>
      </w:r>
      <w:bookmarkEnd w:id="60555"/>
      <w:r>
        <w:rPr>
          <w:rFonts w:hAnsi="Arial"/>
          <w:rFonts w:ascii="Arial"/>
          <w:sz w:val="24"/>
          <w:b/>
          <w:i/>
          <w:color w:val="black"/>
        </w:rPr>
        <w:t xml:space="preserve"> </w:t>
      </w:r>
      <w:r>
        <w:rPr>
          <w:rFonts w:hAnsi="Arial"/>
          <w:rFonts w:ascii="Arial"/>
          <w:sz w:val="24"/>
          <w:color w:val="black"/>
        </w:rPr>
        <w:t xml:space="preserve">Créase en categoría única, para premiar al personal de Oficiales, Suboficiales, Soldados e Infantes de Marina de las Fuerzas Militares y personal uniformado de la Policía Nacional, que integren la Agrupación de Fuerzas Especiales Antiterroristas Urbanas y que participe directamente en la ejecución de Operaciones de Contraterrorismo, que arrojen resultados de nivel estratégico, a personalidades nacionales y extranjeras por su destacada contribución en contra del terrorismo y con reconocimiento por parte del Gobierno Nacional y a las instituciones, que a través del tiempo se destaquen en la lucha contra el terrorismo, defensa de la soberanía, la independencia, la integridad del territorio nacional y del orden Constitucional.</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56" w:name="2.3.1.3.4.8.2"/>
      <w:r>
        <w:rPr>
          <w:rFonts w:hAnsi="Arial"/>
          <w:rFonts w:ascii="Arial"/>
          <w:sz w:val="24"/>
          <w:color w:val="navy"/>
        </w:rPr>
        <w:t xml:space="preserve">ARTÍCULO 2.3.1.3.4.8.2. </w:t>
      </w:r>
      <w:r>
        <w:rPr>
          <w:rFonts w:hAnsi="Arial"/>
          <w:rFonts w:ascii="Arial"/>
          <w:sz w:val="24"/>
          <w:i/>
          <w:color w:val="navy"/>
        </w:rPr>
        <w:t>CARACTERÍSTICAS.</w:t>
      </w:r>
      <w:bookmarkEnd w:id="60556"/>
      <w:r>
        <w:rPr>
          <w:rFonts w:hAnsi="Arial"/>
          <w:rFonts w:ascii="Arial"/>
          <w:sz w:val="24"/>
          <w:b/>
          <w:i/>
          <w:color w:val="black"/>
        </w:rPr>
        <w:t xml:space="preserve"> </w:t>
      </w:r>
      <w:r>
        <w:rPr>
          <w:rFonts w:hAnsi="Arial"/>
          <w:rFonts w:ascii="Arial"/>
          <w:sz w:val="24"/>
          <w:color w:val="black"/>
        </w:rPr>
        <w:t xml:space="preserve">La Joya de la Medalla Militar "Servicios Distinguidos en Operaciones de Contraterrorismo", consiste en una Estrella de cinco (5) puntas en hierro hermoseado, pavonado de color dorado y Borgoña (Terracota) de cinco (5) por cinco (5) centímetros en su mayor diámetro, en el anverso y en su parte interna va un círculo de treinta y cinco (35) milímetros de diámetro rodeado por una Corona imitando ramas de laurel, también de hierro esmaltado de color Borgoña (Terracota), al centro lleva grabada la figura del territorio nacional con los colores de la Bandera de Colombia en alto relieve, de veinticinco (25) milímetros de longitud y encima de esta el Distintivo de Comando Urbano en alto relieve, de veinte (20) milímetros y tres (3) Rayos de color Borgoña (Terracota) en alto relieve por debajo de la bandera descendiendo de izquierda a derecha y a su alrededor la leyenda "SERVICIOS DISTINGUIDOS EN OPERACIONES DE CONTRATERRORISMO". El reverso lleva el mismo círculo, con la inscripción al respaldo "COMANDOS URBANOS CONTRA EL TERRORISMO EN COLOMBIA", en alto relieve y en el centro lleva grabada la figura de tres (3) comandos también en alto relieve. La Medalla va suspendida por una cinta de color rojo, azul marino, azul celeste y verde olivo, estos a su vez separados por una línea de dos (2) mm de color Borgoña (Terracota), correspondientes a las banderas de Ejército, Armada, Fuerza Aérea y Policía Nacional, de cuarenta (40) milímetros de ancho y cincuenta y cinco (55) milímetros de longitud.</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miniatura o réplica será una condecoración similar a la joya descrita anteriormente, pero reducida a quince (15) milímetros, la cual irá suspendida de una cinta con los mismos colores de la establecida para la joya, tendrá quince (15) mm de ancho por treinta y cinco (35) mm de largo y en el centro ostentará el distintivo indicado para la venera.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una cinta con los colores correspondientes a las banderas de Ejército, Armada, Fuerza Aérea y Policía Nacional, simbolizando la unión y cohesión en la Agrupación de Fuerzas Especiales Antiterroristas Urbanas y el distintivo indicado para la venera.</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57" w:name="2.3.1.3.4.8.3"/>
      <w:r>
        <w:rPr>
          <w:rFonts w:hAnsi="Arial"/>
          <w:rFonts w:ascii="Arial"/>
          <w:sz w:val="24"/>
          <w:color w:val="navy"/>
        </w:rPr>
        <w:t xml:space="preserve">ARTÍCULO 2.3.1.3.4.8.3. </w:t>
      </w:r>
      <w:r>
        <w:rPr>
          <w:rFonts w:hAnsi="Arial"/>
          <w:rFonts w:ascii="Arial"/>
          <w:sz w:val="24"/>
          <w:i/>
          <w:color w:val="navy"/>
        </w:rPr>
        <w:t xml:space="preserve">CONSEJO DE LA MEDALLA.</w:t>
      </w:r>
      <w:bookmarkEnd w:id="60557"/>
      <w:r>
        <w:rPr>
          <w:rFonts w:hAnsi="Arial"/>
          <w:rFonts w:ascii="Arial"/>
          <w:sz w:val="24"/>
          <w:b/>
          <w:i/>
          <w:color w:val="black"/>
        </w:rPr>
        <w:t xml:space="preserve"> </w:t>
      </w:r>
      <w:r>
        <w:rPr>
          <w:rFonts w:hAnsi="Arial"/>
          <w:rFonts w:ascii="Arial"/>
          <w:sz w:val="24"/>
          <w:color w:val="black"/>
        </w:rPr>
        <w:t xml:space="preserve">El Consejo de la Medalla estará conformado de la siguiente manera para su respectiva aprobación:</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Comandante del Comando Conjunto de Operaciones Especiales.</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Comandante del Comando Unificado de Operaciones Especiales.</w:t>
      </w:r>
    </w:p>
    <w:p>
      <w:pPr>
        <w:jc w:val="both"/>
      </w:pPr>
      <w:rPr>
        <w:sz w:val="24"/>
        <w:color w:val="black"/>
      </w:rPr>
    </w:p>
    <w:p>
      <w:pPr>
        <w:jc w:val="both"/>
      </w:pPr>
      <w:r>
        <w:rPr>
          <w:rFonts w:hAnsi="Arial"/>
          <w:rFonts w:ascii="Arial"/>
          <w:sz w:val="24"/>
          <w:color w:val="black"/>
        </w:rPr>
        <w:t xml:space="preserve">Comandante Agrupación de Fuerzas Especiales Antiterroristas Urbanas.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Comando Unificado de Operaciones Especiales.</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58" w:name="2.3.1.3.4.8.4"/>
      <w:r>
        <w:rPr>
          <w:rFonts w:hAnsi="Arial"/>
          <w:rFonts w:ascii="Arial"/>
          <w:sz w:val="24"/>
          <w:color w:val="navy"/>
        </w:rPr>
        <w:t xml:space="preserve">ARTÍCULO 2.3.1.3.4.8.4. </w:t>
      </w:r>
      <w:r>
        <w:rPr>
          <w:rFonts w:hAnsi="Arial"/>
          <w:rFonts w:ascii="Arial"/>
          <w:sz w:val="24"/>
          <w:i/>
          <w:color w:val="navy"/>
        </w:rPr>
        <w:t>REQUISITOS.</w:t>
      </w:r>
      <w:bookmarkEnd w:id="60558"/>
      <w:r>
        <w:rPr>
          <w:rFonts w:hAnsi="Arial"/>
          <w:rFonts w:ascii="Arial"/>
          <w:sz w:val="24"/>
          <w:b/>
          <w:i/>
          <w:color w:val="black"/>
        </w:rPr>
        <w:t xml:space="preserve"> </w:t>
      </w:r>
      <w:r>
        <w:rPr>
          <w:rFonts w:hAnsi="Arial"/>
          <w:rFonts w:ascii="Arial"/>
          <w:sz w:val="24"/>
          <w:color w:val="black"/>
        </w:rPr>
        <w:t xml:space="preserve">Aparte de los requisitos mínimos necesarios, para el otorgamiento de las condecoraciones militares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serán requisitos para el otorgamiento de la Medalla Militar "Servicios Distinguidos en Operaciones de Contraterrorismo", los siguientes:</w:t>
      </w:r>
    </w:p>
    <w:p>
      <w:pPr>
        <w:jc w:val="both"/>
      </w:pPr>
      <w:rPr>
        <w:sz w:val="24"/>
        <w:color w:val="black"/>
      </w:rPr>
    </w:p>
    <w:p>
      <w:pPr>
        <w:jc w:val="both"/>
      </w:pPr>
      <w:r>
        <w:rPr>
          <w:rFonts w:hAnsi="Arial"/>
          <w:rFonts w:ascii="Arial"/>
          <w:sz w:val="24"/>
          <w:color w:val="black"/>
        </w:rPr>
        <w:t xml:space="preserve">A. PARA OFICIALES, SUBOFICIALES Y SUS EQUIVALENTES EN LAS FUERZAS MILITARES Y LA POLICÍA NACIONAL:</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arma y fuerza a la cual pertenece el Oficial, Suboficial o miembro del Nivel Ejecutivo.</w:t>
      </w:r>
    </w:p>
    <w:p>
      <w:pPr>
        <w:jc w:val="both"/>
      </w:pPr>
      <w:rPr>
        <w:sz w:val="24"/>
        <w:color w:val="black"/>
      </w:rPr>
    </w:p>
    <w:p>
      <w:pPr>
        <w:jc w:val="both"/>
      </w:pPr>
      <w:r>
        <w:rPr>
          <w:rFonts w:hAnsi="Arial"/>
          <w:rFonts w:ascii="Arial"/>
          <w:sz w:val="24"/>
          <w:color w:val="black"/>
        </w:rPr>
        <w:t xml:space="preserve">2. Ser orgánico de la unidad con un mínimo de permanencia en la misma de un año y medio (1 1/2).</w:t>
      </w:r>
    </w:p>
    <w:p>
      <w:pPr>
        <w:jc w:val="both"/>
      </w:pPr>
      <w:rPr>
        <w:sz w:val="24"/>
        <w:color w:val="black"/>
      </w:rPr>
    </w:p>
    <w:p>
      <w:pPr>
        <w:jc w:val="both"/>
      </w:pPr>
      <w:r>
        <w:rPr>
          <w:rFonts w:hAnsi="Arial"/>
          <w:rFonts w:ascii="Arial"/>
          <w:sz w:val="24"/>
          <w:color w:val="black"/>
        </w:rPr>
        <w:t xml:space="preserve">3. Debe haber liderado, planeado dirigido o ejecutado operaciones contra el terrorismo.</w:t>
      </w:r>
    </w:p>
    <w:p>
      <w:pPr>
        <w:jc w:val="both"/>
      </w:pPr>
      <w:rPr>
        <w:sz w:val="24"/>
        <w:color w:val="black"/>
      </w:rPr>
    </w:p>
    <w:p>
      <w:pPr>
        <w:jc w:val="both"/>
      </w:pPr>
      <w:r>
        <w:rPr>
          <w:rFonts w:hAnsi="Arial"/>
          <w:rFonts w:ascii="Arial"/>
          <w:sz w:val="24"/>
          <w:color w:val="black"/>
        </w:rPr>
        <w:t xml:space="preserve">4. Desde su cargo haya apoyado o propiciado las labores que coadyuven la lucha contra el terrorismo.</w:t>
      </w:r>
    </w:p>
    <w:p>
      <w:pPr>
        <w:jc w:val="both"/>
      </w:pPr>
      <w:rPr>
        <w:sz w:val="24"/>
        <w:color w:val="black"/>
      </w:rPr>
    </w:p>
    <w:p>
      <w:pPr>
        <w:jc w:val="both"/>
      </w:pPr>
      <w:r>
        <w:rPr>
          <w:rFonts w:hAnsi="Arial"/>
          <w:rFonts w:ascii="Arial"/>
          <w:sz w:val="24"/>
          <w:color w:val="black"/>
        </w:rPr>
        <w:t xml:space="preserve">B. PARA SOLDADOS, INFANTES DE MARINA DE LAS FUERZAS MILITARES Y PERSONAL DE PATRULLEROS DE LA POLICÍA NACIONAL:</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arma y fuerza a la cual pertenece.</w:t>
      </w:r>
    </w:p>
    <w:p>
      <w:pPr>
        <w:jc w:val="both"/>
      </w:pPr>
      <w:rPr>
        <w:sz w:val="24"/>
        <w:color w:val="black"/>
      </w:rPr>
    </w:p>
    <w:p>
      <w:pPr>
        <w:jc w:val="both"/>
      </w:pPr>
      <w:r>
        <w:rPr>
          <w:rFonts w:hAnsi="Arial"/>
          <w:rFonts w:ascii="Arial"/>
          <w:sz w:val="24"/>
          <w:color w:val="black"/>
        </w:rPr>
        <w:t xml:space="preserve">2. Ser orgánico de la unidad con un mínimo de permanencia en la misma de tres (3) años.</w:t>
      </w:r>
    </w:p>
    <w:p>
      <w:pPr>
        <w:jc w:val="both"/>
      </w:pPr>
      <w:rPr>
        <w:sz w:val="24"/>
        <w:color w:val="black"/>
      </w:rPr>
    </w:p>
    <w:p>
      <w:pPr>
        <w:jc w:val="both"/>
      </w:pPr>
      <w:r>
        <w:rPr>
          <w:rFonts w:hAnsi="Arial"/>
          <w:rFonts w:ascii="Arial"/>
          <w:sz w:val="24"/>
          <w:color w:val="black"/>
        </w:rPr>
        <w:t xml:space="preserve">3. Debe haber ejecutado operaciones contra el terrorismo.</w:t>
      </w:r>
    </w:p>
    <w:p>
      <w:pPr>
        <w:jc w:val="both"/>
      </w:pPr>
      <w:rPr>
        <w:sz w:val="24"/>
        <w:color w:val="black"/>
      </w:rPr>
    </w:p>
    <w:p>
      <w:pPr>
        <w:jc w:val="both"/>
      </w:pPr>
      <w:r>
        <w:rPr>
          <w:rFonts w:hAnsi="Arial"/>
          <w:rFonts w:ascii="Arial"/>
          <w:sz w:val="24"/>
          <w:color w:val="black"/>
        </w:rPr>
        <w:t xml:space="preserve">4. Desde su cargo haya apoyado o propiciado las labores que coadyuven la lucha contra el terrorismo.</w:t>
      </w:r>
    </w:p>
    <w:p>
      <w:pPr>
        <w:jc w:val="both"/>
      </w:pPr>
      <w:rPr>
        <w:sz w:val="24"/>
        <w:color w:val="black"/>
      </w:rPr>
    </w:p>
    <w:p>
      <w:pPr>
        <w:jc w:val="both"/>
      </w:pPr>
      <w:r>
        <w:rPr>
          <w:rFonts w:hAnsi="Arial"/>
          <w:rFonts w:ascii="Arial"/>
          <w:sz w:val="24"/>
          <w:color w:val="black"/>
        </w:rPr>
        <w:t xml:space="preserve">C. PARTICULARES O INSTITUCIONES NACIONALES Y/O EXTRANJERAS QUE PARTICIPEN O COADYUVEN A LA LUCHA CONTRA EL TERRORISMO:</w:t>
      </w:r>
    </w:p>
    <w:p>
      <w:pPr>
        <w:jc w:val="both"/>
      </w:pPr>
      <w:rPr>
        <w:sz w:val="24"/>
        <w:color w:val="black"/>
      </w:rPr>
    </w:p>
    <w:p>
      <w:pPr>
        <w:jc w:val="both"/>
      </w:pPr>
      <w:r>
        <w:rPr>
          <w:rFonts w:hAnsi="Arial"/>
          <w:rFonts w:ascii="Arial"/>
          <w:sz w:val="24"/>
          <w:color w:val="black"/>
        </w:rPr>
        <w:t xml:space="preserve">El Comando de las Fuerzas Militares, Comandos de las diferentes Fuerzas, Director de la Policía Nacional, al igual que el Comando del Comando Conjunto de Operaciones Especiales, podrán proponer corno candidatos a particulares o instituciones en cualquier momento por hechos meritorios que vayan en beneficio de la lucha contra el terrorismo.</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59" w:name="2.3.1.3.4.8.5"/>
      <w:r>
        <w:rPr>
          <w:rFonts w:hAnsi="Arial"/>
          <w:rFonts w:ascii="Arial"/>
          <w:sz w:val="24"/>
          <w:color w:val="navy"/>
        </w:rPr>
        <w:t xml:space="preserve">ARTÍCULO 2.3.1.3.4.8.5. </w:t>
      </w:r>
      <w:r>
        <w:rPr>
          <w:rFonts w:hAnsi="Arial"/>
          <w:rFonts w:ascii="Arial"/>
          <w:sz w:val="24"/>
          <w:i/>
          <w:color w:val="navy"/>
        </w:rPr>
        <w:t>DIPLOMA.</w:t>
      </w:r>
      <w:bookmarkEnd w:id="60559"/>
      <w:r>
        <w:rPr>
          <w:rFonts w:hAnsi="Arial"/>
          <w:rFonts w:ascii="Arial"/>
          <w:sz w:val="24"/>
          <w:b/>
          <w:i/>
          <w:color w:val="black"/>
        </w:rPr>
        <w:t xml:space="preserve"> </w:t>
      </w:r>
      <w:r>
        <w:rPr>
          <w:rFonts w:hAnsi="Arial"/>
          <w:rFonts w:ascii="Arial"/>
          <w:sz w:val="24"/>
          <w:color w:val="black"/>
        </w:rPr>
        <w:t xml:space="preserve">El Diploma correspondiente a la Medalla Militar "Servicios Distinguidos en Operaciones de Contraterrorismo" llevará las firmas del Comandante General de las Fuerzas Militares, el Comandante del Comando Conjunto de Operaciones Especiales y el Jefe de Desarrollo Humano del Comando Unificado de Operaciones Especiales, con la siguiente leyenda:</w:t>
      </w:r>
    </w:p>
    <w:p>
      <w:pPr>
        <w:jc w:val="center"/>
      </w:pPr>
      <w:r>
        <w:drawing>
          <wp:inline distT="0" distB="0" distL="0" distR="0">
            <wp:extent cx="4046220" cy="1920240"/>
            <wp:docPr id="10" name=""/>
            <a:graphic xmlns:a="http://schemas.openxmlformats.org/drawingml/2006/main">
              <a:graphicData uri="http://schemas.openxmlformats.org/drawingml/2006/picture">
                <pic:pic xmlns:pic="http://schemas.openxmlformats.org/drawingml/2006/picture">
                  <pic:nvPicPr>
                    <pic:cNvPr id="9" name="Picture "/>
                    <pic:cNvPicPr/>
                  </pic:nvPicPr>
                  <pic:blipFill>
                    <a:blip r:embed="id9"/>
                    <a:stretch>
                      <a:fillRect/>
                    </a:stretch>
                  </pic:blipFill>
                  <pic:spPr>
                    <a:xfrm>
                      <a:off x="0" y="0"/>
                      <a:ext cx="4046220" cy="1920240"/>
                    </a:xfrm>
                    <a:prstGeom prst="rect">
                      <a:avLst/>
                    </a:prstGeom>
                  </pic:spPr>
                </pic:pic>
              </a:graphicData>
            </a:graphic>
          </wp:inline>
        </w:drawing>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60" w:name="2.3.1.3.4.8.6"/>
      <w:r>
        <w:rPr>
          <w:rFonts w:hAnsi="Arial"/>
          <w:rFonts w:ascii="Arial"/>
          <w:sz w:val="24"/>
          <w:color w:val="navy"/>
        </w:rPr>
        <w:t xml:space="preserve">ARTÍCULO 2.3.1.3.4.8.6. </w:t>
      </w:r>
      <w:r>
        <w:rPr>
          <w:rFonts w:hAnsi="Arial"/>
          <w:rFonts w:ascii="Arial"/>
          <w:sz w:val="24"/>
          <w:i/>
          <w:color w:val="navy"/>
        </w:rPr>
        <w:t>OTORGAMIENTO.</w:t>
      </w:r>
      <w:bookmarkEnd w:id="60560"/>
      <w:r>
        <w:rPr>
          <w:rFonts w:hAnsi="Arial"/>
          <w:rFonts w:ascii="Arial"/>
          <w:sz w:val="24"/>
          <w:b/>
          <w:i/>
          <w:color w:val="black"/>
        </w:rPr>
        <w:t xml:space="preserve"> </w:t>
      </w:r>
      <w:r>
        <w:rPr>
          <w:rFonts w:hAnsi="Arial"/>
          <w:rFonts w:ascii="Arial"/>
          <w:sz w:val="24"/>
          <w:color w:val="black"/>
        </w:rPr>
        <w:t xml:space="preserve">La Medalla Militar "Servicios Distinguidos en Operaciones de Contraterrorismo", será conferida por una sola vez al personal postulado, previo cumplimiento de los requisitos establecidos en este Capítulo que a consideración del Consejo de la Medalla se hagan merecedores de esta distinción.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Al personal de las Fuerzas Militares que falleciere como consecuencia del cumplimiento del deber en acciones destacadas contra el terrorismo, se le podrá conceder en forma póstuma, igualmente a los miembros de la Policía Nacional que fallecieren por la misma causa, participando en operaciones conjuntas con las Fuerzas Militares.</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561" w:name="2.3.1.3.4.8.7"/>
      <w:r>
        <w:rPr>
          <w:rFonts w:hAnsi="Arial"/>
          <w:rFonts w:ascii="Arial"/>
          <w:sz w:val="24"/>
          <w:color w:val="navy"/>
        </w:rPr>
        <w:t xml:space="preserve">ARTÍCULO 2.3.1.3.4.8.7. </w:t>
      </w:r>
      <w:r>
        <w:rPr>
          <w:rFonts w:hAnsi="Arial"/>
          <w:rFonts w:ascii="Arial"/>
          <w:sz w:val="24"/>
          <w:i/>
          <w:color w:val="navy"/>
        </w:rPr>
        <w:t>IMPOSICIÓN.</w:t>
      </w:r>
      <w:bookmarkEnd w:id="60561"/>
      <w:r>
        <w:rPr>
          <w:rFonts w:hAnsi="Arial"/>
          <w:rFonts w:ascii="Arial"/>
          <w:sz w:val="24"/>
          <w:b/>
          <w:i/>
          <w:color w:val="black"/>
        </w:rPr>
        <w:t xml:space="preserve"> </w:t>
      </w:r>
      <w:r>
        <w:rPr>
          <w:rFonts w:hAnsi="Arial"/>
          <w:rFonts w:ascii="Arial"/>
          <w:sz w:val="24"/>
          <w:color w:val="black"/>
        </w:rPr>
        <w:t xml:space="preserve">La Medalla Militar "Servicios Distinguidos en Operaciones de Contraterrorismo'', será impuesta en ceremonia especial por el Comandante General de las Fuerzas Militares o en su defecto por el Comandante del Comando Conjunto de Operaciones Especiales, de acuerdo con lo previsto en el Reglamento de Ceremonial Militar.</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562" w:name="SECCIÓN 2.3.1.3.5"/>
      <w:r>
        <w:rPr>
          <w:rFonts w:hAnsi="Arial"/>
          <w:rFonts w:ascii="Arial"/>
          <w:sz w:val="24"/>
          <w:color w:val="navy"/>
        </w:rPr>
        <w:t xml:space="preserve">SECCIÓN 5. </w:t>
      </w:r>
    </w:p>
    <w:p>
      <w:pPr>
        <w:jc w:val="center"/>
      </w:pPr>
      <w:r>
        <w:rPr>
          <w:rFonts w:hAnsi="Arial"/>
          <w:rFonts w:ascii="Arial"/>
          <w:sz w:val="24"/>
          <w:color w:val="navy"/>
        </w:rPr>
        <w:t xml:space="preserve">ORIGEN, CATEGORÍAS Y CARACTERÍSTICAS ESPECIALES DE LAS CONDECORACIONES POR VIRTUDES MILITARES Y PROFESIONALES DE CARÁCTER EXCEPCIONAL, DE LAS ÓRDENES Y SU CONSEJO.</w:t>
      </w:r>
      <w:bookmarkEnd w:id="60562"/>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0563" w:name="2.3.1.3.5.1"/>
      <w:r>
        <w:rPr>
          <w:rFonts w:hAnsi="Arial"/>
          <w:rFonts w:ascii="Arial"/>
          <w:sz w:val="24"/>
          <w:color w:val="navy"/>
        </w:rPr>
        <w:t xml:space="preserve">ARTÍCULO 2.3.1.3.5.1. </w:t>
      </w:r>
      <w:r>
        <w:rPr>
          <w:rFonts w:hAnsi="Arial"/>
          <w:rFonts w:ascii="Arial"/>
          <w:sz w:val="24"/>
          <w:i/>
          <w:color w:val="navy"/>
        </w:rPr>
        <w:t xml:space="preserve">PROPÓSITOS Y CATEGORÍAS.</w:t>
      </w:r>
      <w:bookmarkEnd w:id="60563"/>
      <w:r>
        <w:rPr>
          <w:rFonts w:hAnsi="Arial"/>
          <w:rFonts w:ascii="Arial"/>
          <w:sz w:val="24"/>
          <w:b/>
          <w:i/>
          <w:color w:val="black"/>
        </w:rPr>
        <w:t xml:space="preserve"> </w:t>
      </w:r>
      <w:r>
        <w:rPr>
          <w:rFonts w:hAnsi="Arial"/>
          <w:rFonts w:ascii="Arial"/>
          <w:sz w:val="24"/>
          <w:color w:val="black"/>
        </w:rPr>
        <w:t xml:space="preserve">Las Órdenes del Mérito Militar "Antonio Nariño", del Mérito Militar "José María Córdova", del Mérito Naval "Almirante Padilla", Cruz de la Fuerza Aérea al "Mérito Aeronáutico", del Mérito Sanitario "José Fernández Madrid" y la Medalla Militar "Soldado Juan Bautista Solarte Obando", fueron establecidas como premio y estímulo a los miembros de las Fuerzas Militares que hayan sobresalido por su espíritu militar, disciplina, compañerismo, consagración al trabajo, rendimiento en la instrucción, en el desarrollo de las tareas de Estado Mayor, trabajos de investigación científica y servicios eminentes.</w:t>
      </w:r>
    </w:p>
    <w:p>
      <w:pPr>
        <w:jc w:val="both"/>
      </w:pPr>
      <w:rPr>
        <w:sz w:val="24"/>
        <w:color w:val="black"/>
      </w:rPr>
    </w:p>
    <w:p>
      <w:pPr>
        <w:jc w:val="both"/>
      </w:pPr>
      <w:r>
        <w:rPr>
          <w:rFonts w:hAnsi="Arial"/>
          <w:rFonts w:ascii="Arial"/>
          <w:sz w:val="24"/>
          <w:color w:val="black"/>
        </w:rPr>
        <w:t xml:space="preserve">Las órdenes por virtudes militares ostentan seis (6) categorías:</w:t>
      </w:r>
    </w:p>
    <w:p>
      <w:pPr>
        <w:jc w:val="both"/>
      </w:pPr>
      <w:rPr>
        <w:sz w:val="24"/>
        <w:color w:val="black"/>
      </w:rPr>
    </w:p>
    <w:p>
      <w:pPr>
        <w:jc w:val="both"/>
      </w:pPr>
      <w:r>
        <w:rPr>
          <w:rFonts w:hAnsi="Arial"/>
          <w:rFonts w:ascii="Arial"/>
          <w:sz w:val="24"/>
          <w:color w:val="black"/>
        </w:rPr>
        <w:t xml:space="preserve">a) Gran Cruz;</w:t>
      </w:r>
    </w:p>
    <w:p>
      <w:pPr>
        <w:jc w:val="both"/>
      </w:pPr>
      <w:rPr>
        <w:sz w:val="24"/>
        <w:color w:val="black"/>
      </w:rPr>
    </w:p>
    <w:p>
      <w:pPr>
        <w:jc w:val="both"/>
      </w:pPr>
      <w:r>
        <w:rPr>
          <w:rFonts w:hAnsi="Arial"/>
          <w:rFonts w:ascii="Arial"/>
          <w:sz w:val="24"/>
          <w:color w:val="black"/>
        </w:rPr>
        <w:t xml:space="preserve">b) Gran Oficial;</w:t>
      </w:r>
    </w:p>
    <w:p>
      <w:pPr>
        <w:jc w:val="both"/>
      </w:pPr>
      <w:rPr>
        <w:sz w:val="24"/>
        <w:color w:val="black"/>
      </w:rPr>
    </w:p>
    <w:p>
      <w:pPr>
        <w:jc w:val="both"/>
      </w:pPr>
      <w:r>
        <w:rPr>
          <w:rFonts w:hAnsi="Arial"/>
          <w:rFonts w:ascii="Arial"/>
          <w:sz w:val="24"/>
          <w:color w:val="black"/>
        </w:rPr>
        <w:t xml:space="preserve">c) Comendador;</w:t>
      </w:r>
    </w:p>
    <w:p>
      <w:pPr>
        <w:jc w:val="both"/>
      </w:pPr>
      <w:rPr>
        <w:sz w:val="24"/>
        <w:color w:val="black"/>
      </w:rPr>
    </w:p>
    <w:p>
      <w:pPr>
        <w:jc w:val="both"/>
      </w:pPr>
      <w:r>
        <w:rPr>
          <w:rFonts w:hAnsi="Arial"/>
          <w:rFonts w:ascii="Arial"/>
          <w:sz w:val="24"/>
          <w:color w:val="black"/>
        </w:rPr>
        <w:t xml:space="preserve">d) Oficial;</w:t>
      </w:r>
    </w:p>
    <w:p>
      <w:pPr>
        <w:jc w:val="both"/>
      </w:pPr>
      <w:rPr>
        <w:sz w:val="24"/>
        <w:color w:val="black"/>
      </w:rPr>
    </w:p>
    <w:p>
      <w:pPr>
        <w:jc w:val="both"/>
      </w:pPr>
      <w:r>
        <w:rPr>
          <w:rFonts w:hAnsi="Arial"/>
          <w:rFonts w:ascii="Arial"/>
          <w:sz w:val="24"/>
          <w:color w:val="black"/>
        </w:rPr>
        <w:t xml:space="preserve">e) Caballero;</w:t>
      </w:r>
    </w:p>
    <w:p>
      <w:pPr>
        <w:jc w:val="both"/>
      </w:pPr>
      <w:rPr>
        <w:sz w:val="24"/>
        <w:color w:val="black"/>
      </w:rPr>
    </w:p>
    <w:p>
      <w:pPr>
        <w:jc w:val="both"/>
      </w:pPr>
      <w:r>
        <w:rPr>
          <w:rFonts w:hAnsi="Arial"/>
          <w:rFonts w:ascii="Arial"/>
          <w:sz w:val="24"/>
          <w:color w:val="black"/>
        </w:rPr>
        <w:t xml:space="preserve">f) Compañero.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4" w:name="2.3.1.3.5.2"/>
      <w:r>
        <w:rPr>
          <w:rFonts w:hAnsi="Arial"/>
          <w:rFonts w:ascii="Arial"/>
          <w:sz w:val="24"/>
          <w:color w:val="navy"/>
        </w:rPr>
        <w:t xml:space="preserve">ARTÍCULO 2.3.1.3.5.2. </w:t>
      </w:r>
      <w:r>
        <w:rPr>
          <w:rFonts w:hAnsi="Arial"/>
          <w:rFonts w:ascii="Arial"/>
          <w:sz w:val="24"/>
          <w:i/>
          <w:color w:val="navy"/>
        </w:rPr>
        <w:t xml:space="preserve">CONSEJO DE LAS ÓRDENES.</w:t>
      </w:r>
      <w:bookmarkEnd w:id="60564"/>
      <w:r>
        <w:rPr>
          <w:rFonts w:hAnsi="Arial"/>
          <w:rFonts w:ascii="Arial"/>
          <w:sz w:val="24"/>
          <w:b/>
          <w:i/>
          <w:color w:val="black"/>
        </w:rPr>
        <w:t xml:space="preserve"> </w:t>
      </w:r>
      <w:r>
        <w:rPr>
          <w:rFonts w:hAnsi="Arial"/>
          <w:rFonts w:ascii="Arial"/>
          <w:sz w:val="24"/>
          <w:color w:val="black"/>
        </w:rPr>
        <w:t xml:space="preserve">El Consejo de las Órdenes del Mérito Militar "Antonio Nariño", del Mérito Militar "José María Córdova", del Mérito Naval "Almirante Padilla", Cruz de la Fuerza Aérea al "Mérito Aeronáutico" y del Mérito Sanitario "José Fernández Madrid", está constituido por el Presidente de la República, el Ministro de Defensa Nacional, el Comandante General de las Fuerzas Militares, el Jefe de Estado Mayor Conjunto y los Comandantes de Fuerza. Actúa como secretario de este consejo el Jefe de Desarrollo Humano de cada una de las Fuerzas; o quien haga sus veces, como Canciller de las Órdenes "Antonio Nariño" y "José Fernández Madrid", el Jefe del Estado Mayor Conjunto y de las Órdenes "José María Córdova", "Almirante Padilla" y Cruz de la Fuerza Aérea al "Mérito Aeronáutico", los Segundos Comandantes del Ejército Nacional, la Armada Nacional y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respectivamente.</w:t>
      </w:r>
    </w:p>
    <w:p>
      <w:pPr>
        <w:jc w:val="both"/>
      </w:pPr>
      <w:rPr>
        <w:sz w:val="24"/>
        <w:color w:val="black"/>
      </w:rPr>
    </w:p>
    <w:p>
      <w:pPr>
        <w:jc w:val="both"/>
      </w:pPr>
      <w:r>
        <w:rPr>
          <w:rFonts w:hAnsi="Arial"/>
          <w:rFonts w:ascii="Arial"/>
          <w:sz w:val="24"/>
          <w:color w:val="black"/>
        </w:rPr>
        <w:t xml:space="preserve">El señor Presidente de la República tiene el título de "Gran Maestre" de las Órdenes y el Ministro de Defensa el de "Gran Canciller", el Comandante General de las Fuerzas Militares es el "Miembro Benemérito" del Consejo de las Órdenes, el Jefe de Estado Mayor Conjunto y los Comandantes del Ejército, la Armada y la Fuerza Aérea, son los vocales.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5" w:name="2.3.1.3.5.3"/>
      <w:r>
        <w:rPr>
          <w:rFonts w:hAnsi="Arial"/>
          <w:rFonts w:ascii="Arial"/>
          <w:sz w:val="24"/>
          <w:color w:val="navy"/>
        </w:rPr>
        <w:t xml:space="preserve">ARTÍCULO 2.3.1.3.5.3. </w:t>
      </w:r>
      <w:r>
        <w:rPr>
          <w:rFonts w:hAnsi="Arial"/>
          <w:rFonts w:ascii="Arial"/>
          <w:sz w:val="24"/>
          <w:i/>
          <w:color w:val="navy"/>
        </w:rPr>
        <w:t xml:space="preserve">ATRIBUCIONES DEL CONSEJO.</w:t>
      </w:r>
      <w:bookmarkEnd w:id="60565"/>
      <w:r>
        <w:rPr>
          <w:rFonts w:hAnsi="Arial"/>
          <w:rFonts w:ascii="Arial"/>
          <w:sz w:val="24"/>
          <w:b/>
          <w:i/>
          <w:color w:val="black"/>
        </w:rPr>
        <w:t xml:space="preserve"> </w:t>
      </w:r>
      <w:r>
        <w:rPr>
          <w:rFonts w:hAnsi="Arial"/>
          <w:rFonts w:ascii="Arial"/>
          <w:sz w:val="24"/>
          <w:color w:val="black"/>
        </w:rPr>
        <w:t xml:space="preserve">Son atribuciones generales del Consejo:</w:t>
      </w:r>
    </w:p>
    <w:p>
      <w:pPr>
        <w:jc w:val="both"/>
      </w:pPr>
      <w:rPr>
        <w:sz w:val="24"/>
        <w:color w:val="black"/>
      </w:rPr>
    </w:p>
    <w:p>
      <w:pPr>
        <w:jc w:val="both"/>
      </w:pPr>
      <w:r>
        <w:rPr>
          <w:rFonts w:hAnsi="Arial"/>
          <w:rFonts w:ascii="Arial"/>
          <w:sz w:val="24"/>
          <w:color w:val="black"/>
        </w:rPr>
        <w:t xml:space="preserve">a) Conferir o aplazar temporalmente, en votación secreta, las condecoraciones que se sometan a su consideración;</w:t>
      </w:r>
    </w:p>
    <w:p>
      <w:pPr>
        <w:jc w:val="both"/>
      </w:pPr>
      <w:rPr>
        <w:sz w:val="24"/>
        <w:color w:val="black"/>
      </w:rPr>
    </w:p>
    <w:p>
      <w:pPr>
        <w:jc w:val="both"/>
      </w:pPr>
      <w:r>
        <w:rPr>
          <w:rFonts w:hAnsi="Arial"/>
          <w:rFonts w:ascii="Arial"/>
          <w:sz w:val="24"/>
          <w:color w:val="black"/>
        </w:rPr>
        <w:t xml:space="preserve">b) Retirar el derecho al uso de una condecoración cuando el poseedor de ella haya incurrido en alguna de las causales enumeradas en el artículo </w:t>
      </w:r>
      <w:r>
        <w:fldChar w:fldCharType="begin"/>
      </w:r>
      <w:r>
        <w:instrText>HYPERLINK "http://www.redjurista.com/document.aspx?ajcode=d1070015&amp;arts=2.3.1.3.1.9"</w:instrText>
      </w:r>
      <w:r>
        <w:fldChar w:fldCharType="separate"/>
      </w:r>
      <w:r>
        <w:rPr>
          <w:rFonts w:hAnsi="Arial"/>
          <w:rFonts w:ascii="Arial"/>
          <w:sz w:val="24"/>
          <w:u w:val="single"/>
          <w:color w:val="black"/>
        </w:rPr>
        <w:t>2.3.1.3.1.9.</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c) Velar por el estricto cumplimiento de los presentes estatutos.</w:t>
      </w:r>
    </w:p>
    <w:p>
      <w:pPr>
        <w:jc w:val="both"/>
      </w:pPr>
      <w:rPr>
        <w:sz w:val="24"/>
        <w:color w:val="black"/>
      </w:rPr>
    </w:p>
    <w:p>
      <w:pPr>
        <w:jc w:val="both"/>
      </w:pPr>
      <w:r>
        <w:rPr>
          <w:rFonts w:hAnsi="Arial"/>
          <w:rFonts w:ascii="Arial"/>
          <w:sz w:val="24"/>
          <w:color w:val="black"/>
        </w:rPr>
        <w:t xml:space="preserve">Son atribuciones del Gran Maestre:</w:t>
      </w:r>
    </w:p>
    <w:p>
      <w:pPr>
        <w:jc w:val="both"/>
      </w:pPr>
      <w:rPr>
        <w:sz w:val="24"/>
        <w:color w:val="black"/>
      </w:rPr>
    </w:p>
    <w:p>
      <w:pPr>
        <w:jc w:val="both"/>
      </w:pPr>
      <w:r>
        <w:rPr>
          <w:rFonts w:hAnsi="Arial"/>
          <w:rFonts w:ascii="Arial"/>
          <w:sz w:val="24"/>
          <w:color w:val="black"/>
        </w:rPr>
        <w:t xml:space="preserve">a) Presidir las reuniones del Consejo;</w:t>
      </w:r>
    </w:p>
    <w:p>
      <w:pPr>
        <w:jc w:val="both"/>
      </w:pPr>
      <w:rPr>
        <w:sz w:val="24"/>
        <w:color w:val="black"/>
      </w:rPr>
    </w:p>
    <w:p>
      <w:pPr>
        <w:jc w:val="both"/>
      </w:pPr>
      <w:r>
        <w:rPr>
          <w:rFonts w:hAnsi="Arial"/>
          <w:rFonts w:ascii="Arial"/>
          <w:sz w:val="24"/>
          <w:color w:val="black"/>
        </w:rPr>
        <w:t xml:space="preserve">b) Convocar las reuniones extraordinarias, cuando lo estime necesario;</w:t>
      </w:r>
    </w:p>
    <w:p>
      <w:pPr>
        <w:jc w:val="both"/>
      </w:pPr>
      <w:rPr>
        <w:sz w:val="24"/>
        <w:color w:val="black"/>
      </w:rPr>
    </w:p>
    <w:p>
      <w:pPr>
        <w:jc w:val="both"/>
      </w:pPr>
      <w:r>
        <w:rPr>
          <w:rFonts w:hAnsi="Arial"/>
          <w:rFonts w:ascii="Arial"/>
          <w:sz w:val="24"/>
          <w:color w:val="black"/>
        </w:rPr>
        <w:t xml:space="preserve">c) Presentar al Consejo, para su consideración, los candidatos que a bien tenga;</w:t>
      </w:r>
    </w:p>
    <w:p>
      <w:pPr>
        <w:jc w:val="both"/>
      </w:pPr>
      <w:rPr>
        <w:sz w:val="24"/>
        <w:color w:val="black"/>
      </w:rPr>
    </w:p>
    <w:p>
      <w:pPr>
        <w:jc w:val="both"/>
      </w:pPr>
      <w:r>
        <w:rPr>
          <w:rFonts w:hAnsi="Arial"/>
          <w:rFonts w:ascii="Arial"/>
          <w:sz w:val="24"/>
          <w:color w:val="black"/>
        </w:rPr>
        <w:t xml:space="preserve">d) Someter a la decisión de los miembros las propuestas que hubieren llegado al Consejo para conferir en cualquier grado las órdenes;</w:t>
      </w:r>
    </w:p>
    <w:p>
      <w:pPr>
        <w:jc w:val="both"/>
      </w:pPr>
      <w:rPr>
        <w:sz w:val="24"/>
        <w:color w:val="black"/>
      </w:rPr>
    </w:p>
    <w:p>
      <w:pPr>
        <w:jc w:val="both"/>
      </w:pPr>
      <w:r>
        <w:rPr>
          <w:rFonts w:hAnsi="Arial"/>
          <w:rFonts w:ascii="Arial"/>
          <w:sz w:val="24"/>
          <w:color w:val="black"/>
        </w:rPr>
        <w:t xml:space="preserve">e) Nombrar las comisiones que hayan de estudiar asuntos relacionados con las órdenes y distribuirles los trabajos correspondientes.</w:t>
      </w:r>
    </w:p>
    <w:p>
      <w:pPr>
        <w:jc w:val="both"/>
      </w:pPr>
      <w:rPr>
        <w:sz w:val="24"/>
        <w:color w:val="black"/>
      </w:rPr>
    </w:p>
    <w:p>
      <w:pPr>
        <w:jc w:val="both"/>
      </w:pPr>
      <w:r>
        <w:rPr>
          <w:rFonts w:hAnsi="Arial"/>
          <w:rFonts w:ascii="Arial"/>
          <w:sz w:val="24"/>
          <w:color w:val="black"/>
        </w:rPr>
        <w:t xml:space="preserve">Son atribuciones del Gran Canciller:</w:t>
      </w:r>
    </w:p>
    <w:p>
      <w:pPr>
        <w:jc w:val="both"/>
      </w:pPr>
      <w:rPr>
        <w:sz w:val="24"/>
        <w:color w:val="black"/>
      </w:rPr>
    </w:p>
    <w:p>
      <w:pPr>
        <w:jc w:val="both"/>
      </w:pPr>
      <w:r>
        <w:rPr>
          <w:rFonts w:hAnsi="Arial"/>
          <w:rFonts w:ascii="Arial"/>
          <w:sz w:val="24"/>
          <w:color w:val="black"/>
        </w:rPr>
        <w:t xml:space="preserve">a) Reemplazar al Gran Maestre en sus funciones cuando este no pueda presidir las reuniones del Consejo;</w:t>
      </w:r>
    </w:p>
    <w:p>
      <w:pPr>
        <w:jc w:val="both"/>
      </w:pPr>
      <w:rPr>
        <w:sz w:val="24"/>
        <w:color w:val="black"/>
      </w:rPr>
    </w:p>
    <w:p>
      <w:pPr>
        <w:jc w:val="both"/>
      </w:pPr>
      <w:r>
        <w:rPr>
          <w:rFonts w:hAnsi="Arial"/>
          <w:rFonts w:ascii="Arial"/>
          <w:sz w:val="24"/>
          <w:color w:val="black"/>
        </w:rPr>
        <w:t xml:space="preserve">b) Presentar las proposiciones al Consejo con el fin de conferir o suspender las condecoraciones que a su juicio crea conveniente;</w:t>
      </w:r>
    </w:p>
    <w:p>
      <w:pPr>
        <w:jc w:val="both"/>
      </w:pPr>
      <w:rPr>
        <w:sz w:val="24"/>
        <w:color w:val="black"/>
      </w:rPr>
    </w:p>
    <w:p>
      <w:pPr>
        <w:jc w:val="both"/>
      </w:pPr>
      <w:r>
        <w:rPr>
          <w:rFonts w:hAnsi="Arial"/>
          <w:rFonts w:ascii="Arial"/>
          <w:sz w:val="24"/>
          <w:color w:val="black"/>
        </w:rPr>
        <w:t xml:space="preserve">c) Disponer las reuniones extraordinarias cuando crea conveniente.</w:t>
      </w:r>
    </w:p>
    <w:p>
      <w:pPr>
        <w:jc w:val="both"/>
      </w:pPr>
      <w:rPr>
        <w:sz w:val="24"/>
        <w:color w:val="black"/>
      </w:rPr>
    </w:p>
    <w:p>
      <w:pPr>
        <w:jc w:val="both"/>
      </w:pPr>
      <w:r>
        <w:rPr>
          <w:rFonts w:hAnsi="Arial"/>
          <w:rFonts w:ascii="Arial"/>
          <w:sz w:val="24"/>
          <w:color w:val="black"/>
        </w:rPr>
        <w:t xml:space="preserve">Son atribuciones del miembro Benemérito:</w:t>
      </w:r>
    </w:p>
    <w:p>
      <w:pPr>
        <w:jc w:val="both"/>
      </w:pPr>
      <w:rPr>
        <w:sz w:val="24"/>
        <w:color w:val="black"/>
      </w:rPr>
    </w:p>
    <w:p>
      <w:pPr>
        <w:jc w:val="both"/>
      </w:pPr>
      <w:r>
        <w:rPr>
          <w:rFonts w:hAnsi="Arial"/>
          <w:rFonts w:ascii="Arial"/>
          <w:sz w:val="24"/>
          <w:color w:val="black"/>
        </w:rPr>
        <w:t xml:space="preserve">a) Reemplazar al gran Maestre y al Gran Canciller en sus funciones, cuando estos no puedan presidir las sesiones del Consejo;</w:t>
      </w:r>
    </w:p>
    <w:p>
      <w:pPr>
        <w:jc w:val="both"/>
      </w:pPr>
      <w:rPr>
        <w:sz w:val="24"/>
        <w:color w:val="black"/>
      </w:rPr>
    </w:p>
    <w:p>
      <w:pPr>
        <w:jc w:val="both"/>
      </w:pPr>
      <w:r>
        <w:rPr>
          <w:rFonts w:hAnsi="Arial"/>
          <w:rFonts w:ascii="Arial"/>
          <w:sz w:val="24"/>
          <w:color w:val="black"/>
        </w:rPr>
        <w:t xml:space="preserve">b) Presentar proposiciones al Consejo con el fin de conferir o suspender las condecoraciones que a su juicio crea conveniente;</w:t>
      </w:r>
    </w:p>
    <w:p>
      <w:pPr>
        <w:jc w:val="both"/>
      </w:pPr>
      <w:rPr>
        <w:sz w:val="24"/>
        <w:color w:val="black"/>
      </w:rPr>
    </w:p>
    <w:p>
      <w:pPr>
        <w:jc w:val="both"/>
      </w:pPr>
      <w:r>
        <w:rPr>
          <w:rFonts w:hAnsi="Arial"/>
          <w:rFonts w:ascii="Arial"/>
          <w:sz w:val="24"/>
          <w:color w:val="black"/>
        </w:rPr>
        <w:t xml:space="preserve">c) Promover reuniones extraordinarias, cuando así lo considere.</w:t>
      </w:r>
    </w:p>
    <w:p>
      <w:pPr>
        <w:jc w:val="both"/>
      </w:pPr>
      <w:rPr>
        <w:sz w:val="24"/>
        <w:color w:val="black"/>
      </w:rPr>
    </w:p>
    <w:p>
      <w:pPr>
        <w:jc w:val="both"/>
      </w:pPr>
      <w:r>
        <w:rPr>
          <w:rFonts w:hAnsi="Arial"/>
          <w:rFonts w:ascii="Arial"/>
          <w:sz w:val="24"/>
          <w:color w:val="black"/>
        </w:rPr>
        <w:t xml:space="preserve">Son atribuciones de los vocales:</w:t>
      </w:r>
    </w:p>
    <w:p>
      <w:pPr>
        <w:jc w:val="both"/>
      </w:pPr>
      <w:rPr>
        <w:sz w:val="24"/>
        <w:color w:val="black"/>
      </w:rPr>
    </w:p>
    <w:p>
      <w:pPr>
        <w:jc w:val="both"/>
      </w:pPr>
      <w:r>
        <w:rPr>
          <w:rFonts w:hAnsi="Arial"/>
          <w:rFonts w:ascii="Arial"/>
          <w:sz w:val="24"/>
          <w:color w:val="black"/>
        </w:rPr>
        <w:t xml:space="preserve">a) Presentar proposiciones al Consejo con el fin de conferir o suspender las condecoraciones y medallas a quienes a juicio del proponente se hayan hecho acreedores a tal consecuencia. Con la proposición presentan una memoria sobre los méritos del candidato o los motivos que obligan su suspensión;</w:t>
      </w:r>
    </w:p>
    <w:p>
      <w:pPr>
        <w:jc w:val="both"/>
      </w:pPr>
      <w:rPr>
        <w:sz w:val="24"/>
        <w:color w:val="black"/>
      </w:rPr>
    </w:p>
    <w:p>
      <w:pPr>
        <w:jc w:val="both"/>
      </w:pPr>
      <w:r>
        <w:rPr>
          <w:rFonts w:hAnsi="Arial"/>
          <w:rFonts w:ascii="Arial"/>
          <w:sz w:val="24"/>
          <w:color w:val="black"/>
        </w:rPr>
        <w:t xml:space="preserve">b) Emitir su concepto sobre los asuntos que se sometan a la consideración del Consejo o aquellos que se les haya confiado en comisión;</w:t>
      </w:r>
    </w:p>
    <w:p>
      <w:pPr>
        <w:jc w:val="both"/>
      </w:pPr>
      <w:rPr>
        <w:sz w:val="24"/>
        <w:color w:val="black"/>
      </w:rPr>
    </w:p>
    <w:p>
      <w:pPr>
        <w:jc w:val="both"/>
      </w:pPr>
      <w:r>
        <w:rPr>
          <w:rFonts w:hAnsi="Arial"/>
          <w:rFonts w:ascii="Arial"/>
          <w:sz w:val="24"/>
          <w:color w:val="black"/>
        </w:rPr>
        <w:t xml:space="preserve">c) Proponer reuniones extraordinarias.</w:t>
      </w:r>
    </w:p>
    <w:p>
      <w:pPr>
        <w:jc w:val="both"/>
      </w:pPr>
      <w:rPr>
        <w:sz w:val="24"/>
        <w:color w:val="black"/>
      </w:rPr>
    </w:p>
    <w:p>
      <w:pPr>
        <w:jc w:val="both"/>
      </w:pPr>
      <w:r>
        <w:rPr>
          <w:rFonts w:hAnsi="Arial"/>
          <w:rFonts w:ascii="Arial"/>
          <w:sz w:val="24"/>
          <w:color w:val="black"/>
        </w:rPr>
        <w:t xml:space="preserve">Son atribuciones de los secretarios:</w:t>
      </w:r>
    </w:p>
    <w:p>
      <w:pPr>
        <w:jc w:val="both"/>
      </w:pPr>
      <w:rPr>
        <w:sz w:val="24"/>
        <w:color w:val="black"/>
      </w:rPr>
    </w:p>
    <w:p>
      <w:pPr>
        <w:jc w:val="both"/>
      </w:pPr>
      <w:r>
        <w:rPr>
          <w:rFonts w:hAnsi="Arial"/>
          <w:rFonts w:ascii="Arial"/>
          <w:sz w:val="24"/>
          <w:color w:val="black"/>
        </w:rPr>
        <w:t xml:space="preserve">a) Llevar una minuta de las sesiones, para elaborar el acta respectiva;</w:t>
      </w:r>
    </w:p>
    <w:p>
      <w:pPr>
        <w:jc w:val="both"/>
      </w:pPr>
      <w:rPr>
        <w:sz w:val="24"/>
        <w:color w:val="black"/>
      </w:rPr>
    </w:p>
    <w:p>
      <w:pPr>
        <w:jc w:val="both"/>
      </w:pPr>
      <w:r>
        <w:rPr>
          <w:rFonts w:hAnsi="Arial"/>
          <w:rFonts w:ascii="Arial"/>
          <w:sz w:val="24"/>
          <w:color w:val="black"/>
        </w:rPr>
        <w:t xml:space="preserve">b) Llevar un libro de actas y dar lectura de estas en las sesiones;</w:t>
      </w:r>
    </w:p>
    <w:p>
      <w:pPr>
        <w:jc w:val="both"/>
      </w:pPr>
      <w:rPr>
        <w:sz w:val="24"/>
        <w:color w:val="black"/>
      </w:rPr>
    </w:p>
    <w:p>
      <w:pPr>
        <w:jc w:val="both"/>
      </w:pPr>
      <w:r>
        <w:rPr>
          <w:rFonts w:hAnsi="Arial"/>
          <w:rFonts w:ascii="Arial"/>
          <w:sz w:val="24"/>
          <w:color w:val="black"/>
        </w:rPr>
        <w:t xml:space="preserve">c) Suministrar todas las informaciones que los miembros del Consejo soliciten, en relación con los asuntos de las Órdenes;</w:t>
      </w:r>
    </w:p>
    <w:p>
      <w:pPr>
        <w:jc w:val="both"/>
      </w:pPr>
      <w:rPr>
        <w:sz w:val="24"/>
        <w:color w:val="black"/>
      </w:rPr>
    </w:p>
    <w:p>
      <w:pPr>
        <w:jc w:val="both"/>
      </w:pPr>
      <w:r>
        <w:rPr>
          <w:rFonts w:hAnsi="Arial"/>
          <w:rFonts w:ascii="Arial"/>
          <w:sz w:val="24"/>
          <w:color w:val="black"/>
        </w:rPr>
        <w:t xml:space="preserve">d) Cumplir todas las comisiones que le confíe el Gran Canciller;</w:t>
      </w:r>
    </w:p>
    <w:p>
      <w:pPr>
        <w:jc w:val="both"/>
      </w:pPr>
      <w:rPr>
        <w:sz w:val="24"/>
        <w:color w:val="black"/>
      </w:rPr>
    </w:p>
    <w:p>
      <w:pPr>
        <w:jc w:val="both"/>
      </w:pPr>
      <w:r>
        <w:rPr>
          <w:rFonts w:hAnsi="Arial"/>
          <w:rFonts w:ascii="Arial"/>
          <w:sz w:val="24"/>
          <w:color w:val="black"/>
        </w:rPr>
        <w:t xml:space="preserve">e) Llevar el registro general de todos los miembros de las Órdenes.</w:t>
      </w:r>
    </w:p>
    <w:p>
      <w:pPr>
        <w:jc w:val="both"/>
      </w:pPr>
      <w:rPr>
        <w:sz w:val="24"/>
        <w:color w:val="black"/>
      </w:rPr>
    </w:p>
    <w:p>
      <w:pPr>
        <w:jc w:val="both"/>
      </w:pPr>
      <w:r>
        <w:rPr>
          <w:rFonts w:hAnsi="Arial"/>
          <w:rFonts w:ascii="Arial"/>
          <w:sz w:val="24"/>
          <w:color w:val="black"/>
        </w:rPr>
        <w:t xml:space="preserve">Son funciones del Canciller:</w:t>
      </w:r>
    </w:p>
    <w:p>
      <w:pPr>
        <w:jc w:val="both"/>
      </w:pPr>
      <w:rPr>
        <w:sz w:val="24"/>
        <w:color w:val="black"/>
      </w:rPr>
    </w:p>
    <w:p>
      <w:pPr>
        <w:jc w:val="both"/>
      </w:pPr>
      <w:r>
        <w:rPr>
          <w:rFonts w:hAnsi="Arial"/>
          <w:rFonts w:ascii="Arial"/>
          <w:sz w:val="24"/>
          <w:color w:val="black"/>
        </w:rPr>
        <w:t xml:space="preserve">a) Transmitir a todos los miembros del Consejo, el aviso de la fecha en que deben efectuarse las reuniones;</w:t>
      </w:r>
    </w:p>
    <w:p>
      <w:pPr>
        <w:jc w:val="both"/>
      </w:pPr>
      <w:rPr>
        <w:sz w:val="24"/>
        <w:color w:val="black"/>
      </w:rPr>
    </w:p>
    <w:p>
      <w:pPr>
        <w:jc w:val="both"/>
      </w:pPr>
      <w:r>
        <w:rPr>
          <w:rFonts w:hAnsi="Arial"/>
          <w:rFonts w:ascii="Arial"/>
          <w:sz w:val="24"/>
          <w:color w:val="black"/>
        </w:rPr>
        <w:t xml:space="preserve">b) Recibir y tramitar toda la correspondencia del Consejo;</w:t>
      </w:r>
    </w:p>
    <w:p>
      <w:pPr>
        <w:jc w:val="both"/>
      </w:pPr>
      <w:rPr>
        <w:sz w:val="24"/>
        <w:color w:val="black"/>
      </w:rPr>
    </w:p>
    <w:p>
      <w:pPr>
        <w:jc w:val="both"/>
      </w:pPr>
      <w:r>
        <w:rPr>
          <w:rFonts w:hAnsi="Arial"/>
          <w:rFonts w:ascii="Arial"/>
          <w:sz w:val="24"/>
          <w:color w:val="black"/>
        </w:rPr>
        <w:t xml:space="preserve">c) Cumplir las comisiones que tengan a bien conferirle el Gran Canciller;</w:t>
      </w:r>
    </w:p>
    <w:p>
      <w:pPr>
        <w:jc w:val="both"/>
      </w:pPr>
      <w:rPr>
        <w:sz w:val="24"/>
        <w:color w:val="black"/>
      </w:rPr>
    </w:p>
    <w:p>
      <w:pPr>
        <w:jc w:val="both"/>
      </w:pPr>
      <w:r>
        <w:rPr>
          <w:rFonts w:hAnsi="Arial"/>
          <w:rFonts w:ascii="Arial"/>
          <w:sz w:val="24"/>
          <w:color w:val="black"/>
        </w:rPr>
        <w:t xml:space="preserve">d) Firmar los respectivos Diplomas, de acuerdo con la Condecoración que corresponda.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6" w:name="2.3.1.3.5.4"/>
      <w:r>
        <w:rPr>
          <w:rFonts w:hAnsi="Arial"/>
          <w:rFonts w:ascii="Arial"/>
          <w:sz w:val="24"/>
          <w:color w:val="navy"/>
        </w:rPr>
        <w:t xml:space="preserve">ARTÍCULO 2.3.1.3.5.4. </w:t>
      </w:r>
      <w:r>
        <w:rPr>
          <w:rFonts w:hAnsi="Arial"/>
          <w:rFonts w:ascii="Arial"/>
          <w:sz w:val="24"/>
          <w:i/>
          <w:color w:val="navy"/>
        </w:rPr>
        <w:t>OTORGAMIENTO.</w:t>
      </w:r>
      <w:bookmarkEnd w:id="60566"/>
      <w:r>
        <w:rPr>
          <w:rFonts w:hAnsi="Arial"/>
          <w:rFonts w:ascii="Arial"/>
          <w:sz w:val="24"/>
          <w:b/>
          <w:i/>
          <w:color w:val="black"/>
        </w:rPr>
        <w:t xml:space="preserve"> </w:t>
      </w:r>
      <w:r>
        <w:rPr>
          <w:rFonts w:hAnsi="Arial"/>
          <w:rFonts w:ascii="Arial"/>
          <w:sz w:val="24"/>
          <w:color w:val="black"/>
        </w:rPr>
        <w:t xml:space="preserve">Las condecoraciones por virtudes militares y profesionales de carácter excepcional que corresponden a las Órdenes del Mérito Militar "Antonio Nariño", del Mérito Militar "José María Córdova", del Mérito Naval "Almirante Padilla", Cruz de la Fuerza Aérea al "Mérito Aeronáutico," Orden del Mérito Sanitario "José Fernández Madrid", podrán otorgarse a los miembros de las Fuerzas Militares, autoridades civiles o Eclesiásticas nacionales o extranjeras, a los militares extranjeros, unidades militares, terrestres, aéreas o a flote; a entidades públicas o privadas, al personal civil del Ministerio de Defensa Nacional, o a particulares prominentes de acuerdo con la categoría que les corresponda y que reúnan las condiciones establecidas para cada una en particular.</w:t>
      </w:r>
    </w:p>
    <w:p>
      <w:pPr>
        <w:jc w:val="both"/>
      </w:pPr>
      <w:rPr>
        <w:sz w:val="24"/>
        <w:color w:val="black"/>
      </w:rPr>
    </w:p>
    <w:p>
      <w:pPr>
        <w:jc w:val="both"/>
      </w:pPr>
      <w:r>
        <w:rPr>
          <w:rFonts w:hAnsi="Arial"/>
          <w:rFonts w:ascii="Arial"/>
          <w:sz w:val="24"/>
          <w:color w:val="black"/>
        </w:rPr>
        <w:t xml:space="preserve">Las condecoraciones por virtudes militares y profesionales, serán otorgadas por decreto del Gobierno Nacional.</w:t>
      </w:r>
    </w:p>
    <w:p>
      <w:pPr>
        <w:jc w:val="both"/>
      </w:pPr>
      <w:rPr>
        <w:sz w:val="24"/>
        <w:color w:val="black"/>
      </w:rPr>
    </w:p>
    <w:p>
      <w:pPr>
        <w:jc w:val="both"/>
      </w:pPr>
      <w:r>
        <w:rPr>
          <w:rFonts w:hAnsi="Arial"/>
          <w:rFonts w:ascii="Arial"/>
          <w:sz w:val="24"/>
          <w:color w:val="black"/>
        </w:rPr>
        <w:t xml:space="preserve">Los Decretos que expida el ejecutivo con los cuales se confieren condecoraciones por virtudes militares y profesionales, a dignatarios y militares extranjeros llevan las firmas de los Ministros de Relaciones Exteriores y de Defensa Nacional; los de los nacionales llevan únicamente la del Ministro de Defensa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7" w:name="2.3.1.3.5.5"/>
      <w:r>
        <w:rPr>
          <w:rFonts w:hAnsi="Arial"/>
          <w:rFonts w:ascii="Arial"/>
          <w:sz w:val="24"/>
          <w:color w:val="navy"/>
        </w:rPr>
        <w:t xml:space="preserve">ARTÍCULO 2.3.1.3.5.5. OTORGAMIENTO CATEGORÍAS.</w:t>
      </w:r>
      <w:bookmarkEnd w:id="60567"/>
      <w:r>
        <w:rPr>
          <w:rFonts w:hAnsi="Arial"/>
          <w:rFonts w:ascii="Arial"/>
          <w:sz w:val="24"/>
          <w:b/>
          <w:color w:val="black"/>
        </w:rPr>
        <w:t xml:space="preserve"> </w:t>
      </w:r>
      <w:r>
        <w:rPr>
          <w:rFonts w:hAnsi="Arial"/>
          <w:rFonts w:ascii="Arial"/>
          <w:sz w:val="24"/>
          <w:color w:val="black"/>
        </w:rPr>
        <w:t xml:space="preserve">Las condecoraciones por virtudes militares y profesionales de carácter excepcional que corresponden a las Órdenes del Mérito Militar "Antonio Nariño", del Mérito Militar "José María Córdova", del Mérito Naval "Almirante Padilla", Cruz de la Fuerza Aérea al "Mérito Aeronáutico," Orden del Mérito Sanitario "José Fernández Madrid", pueden otorgarse, en cada categoría, de acuerdo con las siguientes normas:</w:t>
      </w:r>
    </w:p>
    <w:p>
      <w:pPr>
        <w:jc w:val="both"/>
      </w:pPr>
      <w:rPr>
        <w:sz w:val="24"/>
        <w:color w:val="black"/>
      </w:rPr>
    </w:p>
    <w:p>
      <w:pPr>
        <w:jc w:val="both"/>
      </w:pPr>
      <w:r>
        <w:rPr>
          <w:rFonts w:hAnsi="Arial"/>
          <w:rFonts w:ascii="Arial"/>
          <w:sz w:val="24"/>
          <w:color w:val="black"/>
        </w:rPr>
        <w:t xml:space="preserve">a) En la categoría de "Gran Cruz", se podrá conceder a los Presidentes, Vicepresidentes, Ministro de Defensa, Comandante General de las Fuerzas Militares, Jefe de Estado Mayor Conjunto y Comandantes de Fuerza, o aquellas personas que hayan desempeñado los anteriores cargos;</w:t>
      </w:r>
    </w:p>
    <w:p>
      <w:pPr>
        <w:jc w:val="both"/>
      </w:pPr>
      <w:rPr>
        <w:sz w:val="24"/>
        <w:color w:val="black"/>
      </w:rPr>
    </w:p>
    <w:p>
      <w:pPr>
        <w:jc w:val="both"/>
      </w:pPr>
      <w:r>
        <w:rPr>
          <w:rFonts w:hAnsi="Arial"/>
          <w:rFonts w:ascii="Arial"/>
          <w:sz w:val="24"/>
          <w:color w:val="black"/>
        </w:rPr>
        <w:t xml:space="preserve">b) En la categoría de "Gran Oficial", se podrá conferir o promover a los señores Viceministros de Defensa, a los Oficiales Generales y de Insignia en los grados de Teniente General y Mayor General o sus equivalentes en las Fuerzas y Brigadier General o Contralmirante, en el segundo año de servicio en ejercicio del grado, a altos funcionarios de los poderes Ejecutivo, Legislativo y Judicial, Arzobispos y Obispos, Fiscal General de la Nación, Procurador General de la Nación, Contralor General de la República, Registrador del Estado Civil y a otros ciudadanos que se hayan hecho acreedores por su posición y méritos a esta gracia. También se otorga a unidades militares, terrestres, aéreas o a flote y a entidades públicas o privadas, nacionales o extranjeras, cuando han participado en actos destacados de gran conveniencia para el país;</w:t>
      </w:r>
    </w:p>
    <w:p>
      <w:pPr>
        <w:jc w:val="both"/>
      </w:pPr>
      <w:rPr>
        <w:sz w:val="24"/>
        <w:color w:val="black"/>
      </w:rPr>
    </w:p>
    <w:p>
      <w:pPr>
        <w:jc w:val="both"/>
      </w:pPr>
      <w:r>
        <w:rPr>
          <w:rFonts w:hAnsi="Arial"/>
          <w:rFonts w:ascii="Arial"/>
          <w:sz w:val="24"/>
          <w:color w:val="black"/>
        </w:rPr>
        <w:t xml:space="preserve">c) En la categoría de "Comendador", se podrá conferir y promover a los Oficiales en los grados de Coronel o Capitán de Navío, Teniente Coronel o Capitán de Fragata, al Sargento Mayor de Comando Conjunto y al Sargento Mayor de Comando o su equivalente en cada Fuerza, a los empleados de las entidades que conforman el Sector Defensa en el nivel Directivo, a los servidores públicos y a particulares prominentes que se han destacado por servicios distinguidos a las Fuerzas Militares;</w:t>
      </w:r>
    </w:p>
    <w:p>
      <w:pPr>
        <w:jc w:val="both"/>
      </w:pPr>
      <w:rPr>
        <w:sz w:val="24"/>
        <w:color w:val="black"/>
      </w:rPr>
    </w:p>
    <w:p>
      <w:pPr>
        <w:jc w:val="both"/>
      </w:pPr>
      <w:r>
        <w:rPr>
          <w:rFonts w:hAnsi="Arial"/>
          <w:rFonts w:ascii="Arial"/>
          <w:sz w:val="24"/>
          <w:color w:val="black"/>
        </w:rPr>
        <w:t xml:space="preserve">d) En la categoría de "Oficial", se podrá conferir y promover a los Oficiales en los grados de Mayor o Capitán de Corbeta, Capitán o Teniente de Navío, Sargentos Mayores o sus equivalentes en las Fuerzas, a los empleados de las entidades que conforman el Sector Defensa en el nivel Asesor, Profesional, Orientador de Defensa Espiritual, servidores públicos y particulares prominentes que se hayan destacado por sus servicios distinguidos a las Fuerzas Militares:</w:t>
      </w:r>
    </w:p>
    <w:p>
      <w:pPr>
        <w:jc w:val="both"/>
      </w:pPr>
      <w:rPr>
        <w:sz w:val="24"/>
        <w:color w:val="black"/>
      </w:rPr>
    </w:p>
    <w:p>
      <w:pPr>
        <w:jc w:val="both"/>
      </w:pPr>
      <w:r>
        <w:rPr>
          <w:rFonts w:hAnsi="Arial"/>
          <w:rFonts w:ascii="Arial"/>
          <w:sz w:val="24"/>
          <w:color w:val="black"/>
        </w:rPr>
        <w:t xml:space="preserve">e) En la categoría de "Caballero", se podrá conferir y promover a los Oficiales en los grados de Teniente o Teniente de Fragata; a los Suboficiales en los grados de Sargento Primero a Viceprimero, o sus equivalentes en la Armada y la Fuerza Aérea, y a los servidores públicos del Ministerio de Defensa Nacional clasificados en el Nivel Técnico que se hayan destacado por sus servicios a las Fuerzas Militares;</w:t>
      </w:r>
    </w:p>
    <w:p>
      <w:pPr>
        <w:jc w:val="both"/>
      </w:pPr>
      <w:rPr>
        <w:sz w:val="24"/>
        <w:color w:val="black"/>
      </w:rPr>
    </w:p>
    <w:p>
      <w:pPr>
        <w:jc w:val="both"/>
      </w:pPr>
      <w:r>
        <w:rPr>
          <w:rFonts w:hAnsi="Arial"/>
          <w:rFonts w:ascii="Arial"/>
          <w:sz w:val="24"/>
          <w:color w:val="black"/>
        </w:rPr>
        <w:t xml:space="preserve">f) En la categoría de "Compañero", se podrá conferir y promover a los Suboficiales en los grados de Sargento Segundo a Cabo Segundo, o sus equivalentes en la Armada y la Fuerza Aérea, al personal de Soldados e Infantes de Marina y a los servidores públicos del Ministerio de Defensa Nacional clasificados en el Nivel Asistencial, que se hayan destacado por sus servicios a las Fuerzas Militares.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el otorgamiento de la condecoración José Fernández Madrid, se requiere acreditar que el personal agraciado haya prestado eminentes servicios a la Sanidad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8" w:name="2.3.1.3.5.6"/>
      <w:r>
        <w:rPr>
          <w:rFonts w:hAnsi="Arial"/>
          <w:rFonts w:ascii="Arial"/>
          <w:sz w:val="24"/>
          <w:color w:val="navy"/>
        </w:rPr>
        <w:t xml:space="preserve">ARTÍCULO 2.3.1.3.5.6. </w:t>
      </w:r>
      <w:r>
        <w:rPr>
          <w:rFonts w:hAnsi="Arial"/>
          <w:rFonts w:ascii="Arial"/>
          <w:sz w:val="24"/>
          <w:i/>
          <w:color w:val="navy"/>
        </w:rPr>
        <w:t xml:space="preserve">OTORGAMIENTO DE LAS ÓRDENES PARA SITUACIONES ESPECIALES.</w:t>
      </w:r>
      <w:bookmarkEnd w:id="60568"/>
      <w:r>
        <w:rPr>
          <w:rFonts w:hAnsi="Arial"/>
          <w:rFonts w:ascii="Arial"/>
          <w:sz w:val="24"/>
          <w:b/>
          <w:i/>
          <w:color w:val="black"/>
        </w:rPr>
        <w:t xml:space="preserve"> </w:t>
      </w:r>
      <w:r>
        <w:rPr>
          <w:rFonts w:hAnsi="Arial"/>
          <w:rFonts w:ascii="Arial"/>
          <w:sz w:val="24"/>
          <w:color w:val="black"/>
        </w:rPr>
        <w:t xml:space="preserve">Las condecoraciones por méritos y virtudes militares y profesionales de carácter excepcional podrán conferirse, a quienes se encuentren en cualquiera de las siguientes situaciones:</w:t>
      </w:r>
    </w:p>
    <w:p>
      <w:pPr>
        <w:jc w:val="both"/>
      </w:pPr>
      <w:rPr>
        <w:sz w:val="24"/>
        <w:color w:val="black"/>
      </w:rPr>
    </w:p>
    <w:p>
      <w:pPr>
        <w:jc w:val="both"/>
      </w:pPr>
      <w:r>
        <w:rPr>
          <w:rFonts w:hAnsi="Arial"/>
          <w:rFonts w:ascii="Arial"/>
          <w:sz w:val="24"/>
          <w:color w:val="black"/>
        </w:rPr>
        <w:t xml:space="preserve">a) A los oficiales y suboficiales en uso de buen retiro, cuando se destaquen por su solidaridad con sus compañeros de actividad y por su permanente y constructivo interés en todo lo relacionado con el progreso de la institución militar y con la guarda de su prestigio;</w:t>
      </w:r>
    </w:p>
    <w:p>
      <w:pPr>
        <w:jc w:val="both"/>
      </w:pPr>
      <w:rPr>
        <w:sz w:val="24"/>
        <w:color w:val="black"/>
      </w:rPr>
    </w:p>
    <w:p>
      <w:pPr>
        <w:jc w:val="both"/>
      </w:pPr>
      <w:r>
        <w:rPr>
          <w:rFonts w:hAnsi="Arial"/>
          <w:rFonts w:ascii="Arial"/>
          <w:sz w:val="24"/>
          <w:color w:val="black"/>
        </w:rPr>
        <w:t xml:space="preserve">b) A los miembros de las misiones militares extranjeras y de representaciones diplomáticas acreditadas ante el Gobierno de Colombia, cuando se hayan destacado por su espíritu de acercamiento, amistad y colaboración con las Fuerzas Militares de Colombia o a cualquier militar extranjero que se haga acreedor a ellas, de acuerdo con su grado;</w:t>
      </w:r>
    </w:p>
    <w:p>
      <w:pPr>
        <w:jc w:val="both"/>
      </w:pPr>
      <w:rPr>
        <w:sz w:val="24"/>
        <w:color w:val="black"/>
      </w:rPr>
    </w:p>
    <w:p>
      <w:pPr>
        <w:jc w:val="both"/>
      </w:pPr>
      <w:r>
        <w:rPr>
          <w:rFonts w:hAnsi="Arial"/>
          <w:rFonts w:ascii="Arial"/>
          <w:sz w:val="24"/>
          <w:color w:val="black"/>
        </w:rPr>
        <w:t xml:space="preserve">c) Al personal de la Policía Nacional, servidores públicos y a particulares colombianos o extranjeros que hayan prestado servicios meritorios a las Fuerzas Militares;</w:t>
      </w:r>
    </w:p>
    <w:p>
      <w:pPr>
        <w:jc w:val="both"/>
      </w:pPr>
      <w:rPr>
        <w:sz w:val="24"/>
        <w:color w:val="black"/>
      </w:rPr>
    </w:p>
    <w:p>
      <w:pPr>
        <w:jc w:val="both"/>
      </w:pPr>
      <w:r>
        <w:rPr>
          <w:rFonts w:hAnsi="Arial"/>
          <w:rFonts w:ascii="Arial"/>
          <w:sz w:val="24"/>
          <w:color w:val="black"/>
        </w:rPr>
        <w:t xml:space="preserve">d) Las condecoraciones podrán conferirse, en forma póstuma, al personal militar o policial y a los servidores públicos del Sector Defensa que fallezca en el servicio por causa y razón del mismo durante el desarrollo de una acción o tarea digna de exaltación.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todo caso, las condecoraciones y medallas a que se refiere este Capítulo, podrán conferirse y promoverse a personal colombiano o extranjero, en la categoría que señale el consejo de la condecoración o medalla.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69" w:name="2.3.1.3.5.7"/>
      <w:r>
        <w:rPr>
          <w:rFonts w:hAnsi="Arial"/>
          <w:rFonts w:ascii="Arial"/>
          <w:sz w:val="24"/>
          <w:color w:val="navy"/>
        </w:rPr>
        <w:t xml:space="preserve">ARTÍCULO 2.3.1.3.5.7. </w:t>
      </w:r>
      <w:r>
        <w:rPr>
          <w:rFonts w:hAnsi="Arial"/>
          <w:rFonts w:ascii="Arial"/>
          <w:sz w:val="24"/>
          <w:i/>
          <w:color w:val="navy"/>
        </w:rPr>
        <w:t xml:space="preserve">LA GRAN CRUZ DEL GRAN MAESTRE.</w:t>
      </w:r>
      <w:bookmarkEnd w:id="60569"/>
      <w:r>
        <w:rPr>
          <w:rFonts w:hAnsi="Arial"/>
          <w:rFonts w:ascii="Arial"/>
          <w:sz w:val="24"/>
          <w:b/>
          <w:i/>
          <w:color w:val="black"/>
        </w:rPr>
        <w:t xml:space="preserve"> </w:t>
      </w:r>
      <w:r>
        <w:rPr>
          <w:rFonts w:hAnsi="Arial"/>
          <w:rFonts w:ascii="Arial"/>
          <w:sz w:val="24"/>
          <w:color w:val="black"/>
        </w:rPr>
        <w:t xml:space="preserve">Será entregada por el señor Presidente de la República saliente al señor Presidente de la República entrante cuando inicie el período de su mandato. A este acto concurrirán todos los miembros del Consejo de la Orden, el Gran Canciller presentará la venera y el diploma correspondiente.</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0" w:name="2.3.1.3.5.8"/>
      <w:r>
        <w:rPr>
          <w:rFonts w:hAnsi="Arial"/>
          <w:rFonts w:ascii="Arial"/>
          <w:sz w:val="24"/>
          <w:color w:val="navy"/>
        </w:rPr>
        <w:t xml:space="preserve">ARTÍCULO 2.3.1.3.5.8. </w:t>
      </w:r>
      <w:r>
        <w:rPr>
          <w:rFonts w:hAnsi="Arial"/>
          <w:rFonts w:ascii="Arial"/>
          <w:sz w:val="24"/>
          <w:i/>
          <w:color w:val="navy"/>
        </w:rPr>
        <w:t>DIPLOMAS.</w:t>
      </w:r>
      <w:bookmarkEnd w:id="60570"/>
      <w:r>
        <w:rPr>
          <w:rFonts w:hAnsi="Arial"/>
          <w:rFonts w:ascii="Arial"/>
          <w:sz w:val="24"/>
          <w:b/>
          <w:i/>
          <w:color w:val="black"/>
        </w:rPr>
        <w:t xml:space="preserve"> </w:t>
      </w:r>
      <w:r>
        <w:rPr>
          <w:rFonts w:hAnsi="Arial"/>
          <w:rFonts w:ascii="Arial"/>
          <w:sz w:val="24"/>
          <w:color w:val="black"/>
        </w:rPr>
        <w:t xml:space="preserve">Los diplomas que acreditan las Órdenes llevan la firma del Canciller y se elaboran en papel cartulina o pergamino blanco de cuarenta (40) por treinta (30) centímetros de lado, con el Escudo de la Orden en colores, en la parte superior y con la siguiente leyenda:</w:t>
      </w:r>
    </w:p>
    <w:p>
      <w:pPr>
        <w:jc w:val="center"/>
      </w:pPr>
      <w:r>
        <w:drawing>
          <wp:inline distT="0" distB="0" distL="0" distR="0">
            <wp:extent cx="4053840" cy="2103120"/>
            <wp:docPr id="11" name=""/>
            <a:graphic xmlns:a="http://schemas.openxmlformats.org/drawingml/2006/main">
              <a:graphicData uri="http://schemas.openxmlformats.org/drawingml/2006/picture">
                <pic:pic xmlns:pic="http://schemas.openxmlformats.org/drawingml/2006/picture">
                  <pic:nvPicPr>
                    <pic:cNvPr id="10" name="Picture "/>
                    <pic:cNvPicPr/>
                  </pic:nvPicPr>
                  <pic:blipFill>
                    <a:blip r:embed="id10"/>
                    <a:stretch>
                      <a:fillRect/>
                    </a:stretch>
                  </pic:blipFill>
                  <pic:spPr>
                    <a:xfrm>
                      <a:off x="0" y="0"/>
                      <a:ext cx="4053840" cy="2103120"/>
                    </a:xfrm>
                    <a:prstGeom prst="rect">
                      <a:avLst/>
                    </a:prstGeom>
                  </pic:spPr>
                </pic:pic>
              </a:graphicData>
            </a:graphic>
          </wp:inline>
        </w:drawing>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71" w:name="SUBSECCIÓN 2.3.1.3.5.1"/>
      <w:r>
        <w:rPr>
          <w:rFonts w:hAnsi="Arial"/>
          <w:rFonts w:ascii="Arial"/>
          <w:sz w:val="24"/>
          <w:color w:val="navy"/>
        </w:rPr>
        <w:t xml:space="preserve">SUBSECCIÓN 1. </w:t>
      </w:r>
    </w:p>
    <w:p>
      <w:pPr>
        <w:jc w:val="center"/>
      </w:pPr>
      <w:r>
        <w:rPr>
          <w:rFonts w:hAnsi="Arial"/>
          <w:rFonts w:ascii="Arial"/>
          <w:sz w:val="24"/>
          <w:color w:val="navy"/>
        </w:rPr>
        <w:t xml:space="preserve">ORDEN DEL MÉRITO MILITAR "ANTONIO NARIÑO".</w:t>
      </w:r>
      <w:bookmarkEnd w:id="6057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72" w:name="2.3.1.3.5.1.1"/>
      <w:r>
        <w:rPr>
          <w:rFonts w:hAnsi="Arial"/>
          <w:rFonts w:ascii="Arial"/>
          <w:sz w:val="24"/>
          <w:color w:val="navy"/>
        </w:rPr>
        <w:t xml:space="preserve">ARTÍCULO 2.3.1.3.5.1.1. </w:t>
      </w:r>
      <w:r>
        <w:rPr>
          <w:rFonts w:hAnsi="Arial"/>
          <w:rFonts w:ascii="Arial"/>
          <w:sz w:val="24"/>
          <w:i/>
          <w:color w:val="navy"/>
        </w:rPr>
        <w:t>ORIGEN.</w:t>
      </w:r>
      <w:bookmarkEnd w:id="60572"/>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"http://www.redjurista.com/document.aspx?ajcode=d1415_42&amp;arts=INICIO"</w:instrText>
      </w:r>
      <w:r>
        <w:fldChar w:fldCharType="separate"/>
      </w:r>
      <w:r>
        <w:rPr>
          <w:rFonts w:hAnsi="Arial"/>
          <w:rFonts w:ascii="Arial"/>
          <w:sz w:val="24"/>
          <w:u w:val="single"/>
          <w:color w:val="black"/>
        </w:rPr>
        <w:t>1415</w:t>
      </w:r>
      <w:r>
        <w:fldChar w:fldCharType="end"/>
      </w:r>
      <w:r>
        <w:rPr>
          <w:rFonts w:hAnsi="Arial"/>
          <w:rFonts w:ascii="Arial"/>
          <w:sz w:val="24"/>
          <w:u w:val="none"/>
          <w:color w:val="black"/>
        </w:rPr>
        <w:t xml:space="preserve"> del 13 de junio de 1942 y reglamentada mediante Decretos números </w:t>
      </w:r>
      <w:r>
        <w:fldChar w:fldCharType="begin"/>
      </w:r>
      <w:r>
        <w:instrText>HYPERLINK "http://www.redjurista.com/document.aspx?ajcode=d0659_44&amp;arts=INICIO"</w:instrText>
      </w:r>
      <w:r>
        <w:fldChar w:fldCharType="separate"/>
      </w:r>
      <w:r>
        <w:rPr>
          <w:rFonts w:hAnsi="Arial"/>
          <w:rFonts w:ascii="Arial"/>
          <w:sz w:val="24"/>
          <w:u w:val="single"/>
          <w:color w:val="black"/>
        </w:rPr>
        <w:t>659</w:t>
      </w:r>
      <w:r>
        <w:fldChar w:fldCharType="end"/>
      </w:r>
      <w:r>
        <w:rPr>
          <w:rFonts w:hAnsi="Arial"/>
          <w:rFonts w:ascii="Arial"/>
          <w:sz w:val="24"/>
          <w:u w:val="none"/>
          <w:color w:val="black"/>
        </w:rPr>
        <w:t xml:space="preserve"> del 21 de marzo de 1944 y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del 27 de marzo de 1952, con destino a señalar y recompensar a los miembros de las Fuerzas Militares que más hayan sobresalido por sus virtudes militares, consagración al trabajo, rendimiento en la instrucción, en el desarrollo de las tareas de Estado Mayor y que se hayan distinguido en actos de valor, en comisiones de orden público, o en acción de armas. La condecoración Orden del Mérito Militar "Antonio Nariño" ostenta la mayor jerarquía entre las condecoraciones por virtudes militares y profesionales de carácter excepcional. Por lo tanto, será el Comandante General de las Fuerzas Militares quien presente a consideración del Consejo de la Orden, para su otorgamiento, los candidatos que él seleccione entre los propuestos por los Comandos de Fuerza, Jefe de Estado Mayor Conjunto, y Jefe del Gabinete Militar del Ministerio de Defensa (Secretario General del Ministerio de Defensa).</w:t>
      </w:r>
    </w:p>
    <w:p>
      <w:pPr>
        <w:jc w:val="both"/>
      </w:pPr>
      <w:rPr>
        <w:sz w:val="24"/>
        <w:color w:val="black"/>
      </w:rPr>
    </w:p>
    <w:p>
      <w:pPr>
        <w:jc w:val="both"/>
      </w:pPr>
      <w:r>
        <w:rPr>
          <w:rFonts w:hAnsi="Arial"/>
          <w:rFonts w:ascii="Arial"/>
          <w:sz w:val="24"/>
          <w:color w:val="black"/>
        </w:rPr>
        <w:t xml:space="preserve">La condecoración ostenta las categorías enunciadas en el artículo </w:t>
      </w:r>
      <w:r>
        <w:fldChar w:fldCharType="begin"/>
      </w:r>
      <w:r>
        <w:instrText>HYPERLINK "http://www.redjurista.com/document.aspx?ajcode=d1070015&amp;arts=2.3.1.3.5.1"</w:instrText>
      </w:r>
      <w:r>
        <w:fldChar w:fldCharType="separate"/>
      </w:r>
      <w:r>
        <w:rPr>
          <w:rFonts w:hAnsi="Arial"/>
          <w:rFonts w:ascii="Arial"/>
          <w:sz w:val="24"/>
          <w:u w:val="single"/>
          <w:color w:val="black"/>
        </w:rPr>
        <w:t>2.3.1.3.5.1.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navy"/>
        </w:rPr>
        <w:t>PARÁGRAFO</w:t>
      </w:r>
      <w:r>
        <w:rPr>
          <w:rFonts w:hAnsi="Arial"/>
          <w:rFonts w:ascii="Arial"/>
          <w:sz w:val="24"/>
          <w:i/>
          <w:color w:val="navy"/>
        </w:rPr>
        <w:t>.</w:t>
      </w:r>
      <w:r>
        <w:rPr>
          <w:rFonts w:hAnsi="Arial"/>
          <w:rFonts w:ascii="Arial"/>
          <w:sz w:val="24"/>
          <w:b/>
          <w:color w:val="black"/>
        </w:rPr>
        <w:t xml:space="preserve"> </w:t>
      </w:r>
      <w:r>
        <w:rPr>
          <w:rFonts w:hAnsi="Arial"/>
          <w:rFonts w:ascii="Arial"/>
          <w:sz w:val="24"/>
          <w:color w:val="black"/>
        </w:rPr>
        <w:t xml:space="preserve">Las disposiciones contenidas en el presente artículo no son aplicables cuando la solicitud de la medalla o condecoración la eleve el Ministerio de Defensa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3" w:name="2.3.1.3.5.1.2"/>
      <w:r>
        <w:rPr>
          <w:rFonts w:hAnsi="Arial"/>
          <w:rFonts w:ascii="Arial"/>
          <w:sz w:val="24"/>
          <w:color w:val="navy"/>
        </w:rPr>
        <w:t xml:space="preserve">ARTÍCULO 2.3.1.3.5.1.2. </w:t>
      </w:r>
      <w:r>
        <w:rPr>
          <w:rFonts w:hAnsi="Arial"/>
          <w:rFonts w:ascii="Arial"/>
          <w:sz w:val="24"/>
          <w:i/>
          <w:color w:val="navy"/>
        </w:rPr>
        <w:t xml:space="preserve">CARACTERÍSTICAS DE LAS VENERAS EN ALGUNAS CATEGORÍAS.</w:t>
      </w:r>
      <w:bookmarkEnd w:id="60573"/>
      <w:r>
        <w:rPr>
          <w:rFonts w:hAnsi="Arial"/>
          <w:rFonts w:ascii="Arial"/>
          <w:sz w:val="24"/>
          <w:b/>
          <w:i/>
          <w:color w:val="black"/>
        </w:rPr>
        <w:t xml:space="preserve"> </w:t>
      </w:r>
      <w:r>
        <w:rPr>
          <w:rFonts w:hAnsi="Arial"/>
          <w:rFonts w:ascii="Arial"/>
          <w:sz w:val="24"/>
          <w:color w:val="black"/>
        </w:rPr>
        <w:t xml:space="preserve">Las veneras de esta condecoración están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 a excepción de:</w:t>
      </w:r>
    </w:p>
    <w:p>
      <w:pPr>
        <w:jc w:val="both"/>
      </w:pPr>
      <w:rPr>
        <w:sz w:val="24"/>
        <w:color w:val="black"/>
      </w:rPr>
    </w:p>
    <w:p>
      <w:pPr>
        <w:jc w:val="both"/>
      </w:pPr>
      <w:r>
        <w:rPr>
          <w:rFonts w:hAnsi="Arial"/>
          <w:rFonts w:ascii="Arial"/>
          <w:sz w:val="24"/>
          <w:color w:val="black"/>
        </w:rPr>
        <w:t xml:space="preserve">a) En las categorías de Comendador y Gran Oficial es una cinta similar a la de Oficial, pero en el centro lleva un galón metálico de siete (7) por diecisiete (17) milímetros, con una estrella de cinco (5) puntas, en plateado o dorado respectivamente;</w:t>
      </w:r>
    </w:p>
    <w:p>
      <w:pPr>
        <w:jc w:val="both"/>
      </w:pPr>
      <w:rPr>
        <w:sz w:val="24"/>
        <w:color w:val="black"/>
      </w:rPr>
    </w:p>
    <w:p>
      <w:pPr>
        <w:jc w:val="both"/>
      </w:pPr>
      <w:r>
        <w:rPr>
          <w:rFonts w:hAnsi="Arial"/>
          <w:rFonts w:ascii="Arial"/>
          <w:sz w:val="24"/>
          <w:color w:val="black"/>
        </w:rPr>
        <w:t xml:space="preserve">b) En la categoría Gran Cruz es similar a la de Gran Oficial, pero con una roseta esmaltada, similar a la de Oficial, en lugar de la estrella.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"http://www.redjurista.com/document.aspx?ajcode=d4444010&amp;arts=62"</w:instrText>
      </w:r>
      <w:r>
        <w:fldChar w:fldCharType="separate"/>
      </w:r>
      <w:r>
        <w:rPr>
          <w:rFonts w:hAnsi="Arial"/>
          <w:rFonts w:ascii="Arial"/>
          <w:sz w:val="24"/>
          <w:i/>
          <w:u w:val="single"/>
          <w:color w:val="black"/>
        </w:rPr>
        <w:t>62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4" w:name="2.3.1.3.5.1.3"/>
      <w:r>
        <w:rPr>
          <w:rFonts w:hAnsi="Arial"/>
          <w:rFonts w:ascii="Arial"/>
          <w:sz w:val="24"/>
          <w:color w:val="navy"/>
        </w:rPr>
        <w:t xml:space="preserve">ARTÍCULO 2.3.1.3.5.1.3. </w:t>
      </w:r>
      <w:r>
        <w:rPr>
          <w:rFonts w:hAnsi="Arial"/>
          <w:rFonts w:ascii="Arial"/>
          <w:sz w:val="24"/>
          <w:i/>
          <w:color w:val="navy"/>
        </w:rPr>
        <w:t>CARACTERÍSTICAS.</w:t>
      </w:r>
      <w:bookmarkEnd w:id="60574"/>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"Compañero": Cruz gamada atravesada por dos espadas con el eje longitudinal de cinco (5) centímetros y el eje transversal de cuatro (4) centímetros; en el anverso ostenta la efigie de Nariño en traje militar y en el reverso la siguiente leyenda: "Amé a mi patria, cuanto fue ese amor, lo dirá la historia". Es de bronce, suspendida de una cinta amarilla de cuarenta (40) milímetros de ancho;</w:t>
      </w:r>
    </w:p>
    <w:p>
      <w:pPr>
        <w:jc w:val="both"/>
      </w:pPr>
      <w:rPr>
        <w:sz w:val="24"/>
        <w:color w:val="black"/>
      </w:rPr>
    </w:p>
    <w:p>
      <w:pPr>
        <w:jc w:val="both"/>
      </w:pPr>
      <w:r>
        <w:rPr>
          <w:rFonts w:hAnsi="Arial"/>
          <w:rFonts w:ascii="Arial"/>
          <w:sz w:val="24"/>
          <w:color w:val="black"/>
        </w:rPr>
        <w:t xml:space="preserve">b) "Caballero". Similar a la anterior, en plateado antiguo, suspendida de una cinta amarilla de cuarenta (40) milímetros de ancho, en cuyos bordes lleva el Tricolor Nacional, de cinco (5) milímetros de ancho;</w:t>
      </w:r>
    </w:p>
    <w:p>
      <w:pPr>
        <w:jc w:val="both"/>
      </w:pPr>
      <w:rPr>
        <w:sz w:val="24"/>
        <w:color w:val="black"/>
      </w:rPr>
    </w:p>
    <w:p>
      <w:pPr>
        <w:jc w:val="both"/>
      </w:pPr>
      <w:r>
        <w:rPr>
          <w:rFonts w:hAnsi="Arial"/>
          <w:rFonts w:ascii="Arial"/>
          <w:sz w:val="24"/>
          <w:color w:val="black"/>
        </w:rPr>
        <w:t xml:space="preserve">c) "Oficial". Similar a la anterior, en plateado brillante suspendida de una cinta igual a la anterior con una roseta al centro, esmaltada al fuego, con el Tricolor Nacional, de seis (6) milímetros de diámetro;</w:t>
      </w:r>
    </w:p>
    <w:p>
      <w:pPr>
        <w:jc w:val="both"/>
      </w:pPr>
      <w:rPr>
        <w:sz w:val="24"/>
        <w:color w:val="black"/>
      </w:rPr>
    </w:p>
    <w:p>
      <w:pPr>
        <w:jc w:val="both"/>
      </w:pPr>
      <w:r>
        <w:rPr>
          <w:rFonts w:hAnsi="Arial"/>
          <w:rFonts w:ascii="Arial"/>
          <w:sz w:val="24"/>
          <w:color w:val="black"/>
        </w:rPr>
        <w:t xml:space="preserve">d) "Comendador". Similar a la anterior, dorada, para suspender al cuello por medio de una cinta amarilla de cuarenta (40) milímetros de ancho y cincuenta y cinco (55) centímetros de longitud, con tiras de tres (3) o cuatro (4) milímetros de ancho para anudarla detrás. Debe pasar dentro del cuello si se trata de un militar y sobre el cuello si es civil;</w:t>
      </w:r>
    </w:p>
    <w:p>
      <w:pPr>
        <w:jc w:val="both"/>
      </w:pPr>
      <w:rPr>
        <w:sz w:val="24"/>
        <w:color w:val="black"/>
      </w:rPr>
    </w:p>
    <w:p>
      <w:pPr>
        <w:jc w:val="both"/>
      </w:pPr>
      <w:r>
        <w:rPr>
          <w:rFonts w:hAnsi="Arial"/>
          <w:rFonts w:ascii="Arial"/>
          <w:sz w:val="24"/>
          <w:color w:val="black"/>
        </w:rPr>
        <w:t xml:space="preserve">e) "Gran Oficial". Placa convexa de plata dorada, estrellada, con ocho (8) puntas radiadas, cuyo diámetro mayor es de ochenta (80) milímetros y en su centro lleva una cruz igual a la de Oficial. Se coloca en el costado derecho, inmediatamente encima del cinturón;</w:t>
      </w:r>
    </w:p>
    <w:p>
      <w:pPr>
        <w:jc w:val="both"/>
      </w:pPr>
      <w:rPr>
        <w:sz w:val="24"/>
        <w:color w:val="black"/>
      </w:rPr>
    </w:p>
    <w:p>
      <w:pPr>
        <w:jc w:val="both"/>
      </w:pPr>
      <w:r>
        <w:rPr>
          <w:rFonts w:hAnsi="Arial"/>
          <w:rFonts w:ascii="Arial"/>
          <w:sz w:val="24"/>
          <w:color w:val="black"/>
        </w:rPr>
        <w:t xml:space="preserve">f) "Gran Cruz". Consiste en una placa de plata brillante similar a la de Gran Oficial, con una cruz de plata dorada, similar a la de Comendador. Lleva una banda de cien (100) milímetros de ancho, de color amarillo y en sus bordes tiene los colores de la Bandera Nacional, en un ancho de diez (10) milímetros; la longitud de la banda es de uno sesenta y cinco (1.65) metros, con un lazo especial en el extremo, del cual pende una joya similar a la de Comendador. Esta banda se lleva terciada del hombro derecho al costado izquierdo.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"http://www.redjurista.com/document.aspx?ajcode=d4444010&amp;arts=63"</w:instrText>
      </w:r>
      <w:r>
        <w:fldChar w:fldCharType="separate"/>
      </w:r>
      <w:r>
        <w:rPr>
          <w:rFonts w:hAnsi="Arial"/>
          <w:rFonts w:ascii="Arial"/>
          <w:sz w:val="24"/>
          <w:i/>
          <w:u w:val="single"/>
          <w:color w:val="black"/>
        </w:rPr>
        <w:t>63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5" w:name="2.3.1.3.5.1.4"/>
      <w:r>
        <w:rPr>
          <w:rFonts w:hAnsi="Arial"/>
          <w:rFonts w:ascii="Arial"/>
          <w:sz w:val="24"/>
          <w:color w:val="navy"/>
        </w:rPr>
        <w:t xml:space="preserve">ARTÍCULO 2.3.1.3.5.1.4. DIPLOMA.</w:t>
      </w:r>
      <w:bookmarkEnd w:id="60575"/>
      <w:r>
        <w:rPr>
          <w:rFonts w:hAnsi="Arial"/>
          <w:rFonts w:ascii="Arial"/>
          <w:sz w:val="24"/>
          <w:b/>
          <w:color w:val="black"/>
        </w:rPr>
        <w:t xml:space="preserve"> </w:t>
      </w:r>
      <w:r>
        <w:rPr>
          <w:rFonts w:hAnsi="Arial"/>
          <w:rFonts w:ascii="Arial"/>
          <w:sz w:val="24"/>
          <w:color w:val="black"/>
        </w:rPr>
        <w:t xml:space="preserve">Las características del diploma son las establecidas en el artículo </w:t>
      </w:r>
      <w:r>
        <w:fldChar w:fldCharType="begin"/>
      </w:r>
      <w:r>
        <w:instrText>HYPERLINK "http://www.redjurista.com/document.aspx?ajcode=d1070015&amp;arts=2.3.1.3.5.8"</w:instrText>
      </w:r>
      <w:r>
        <w:fldChar w:fldCharType="separate"/>
      </w:r>
      <w:r>
        <w:rPr>
          <w:rFonts w:hAnsi="Arial"/>
          <w:rFonts w:ascii="Arial"/>
          <w:sz w:val="24"/>
          <w:u w:val="single"/>
          <w:color w:val="black"/>
        </w:rPr>
        <w:t>2.3.1.3.5.8.</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"http://www.redjurista.com/document.aspx?ajcode=d4444010&amp;arts=64"</w:instrText>
      </w:r>
      <w:r>
        <w:fldChar w:fldCharType="separate"/>
      </w:r>
      <w:r>
        <w:rPr>
          <w:rFonts w:hAnsi="Arial"/>
          <w:rFonts w:ascii="Arial"/>
          <w:sz w:val="24"/>
          <w:i/>
          <w:u w:val="single"/>
          <w:color w:val="black"/>
        </w:rPr>
        <w:t>64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76" w:name="SUBSECCIÓN 2.3.1.3.5.2"/>
      <w:r>
        <w:rPr>
          <w:rFonts w:hAnsi="Arial"/>
          <w:rFonts w:ascii="Arial"/>
          <w:sz w:val="24"/>
          <w:color w:val="navy"/>
        </w:rPr>
        <w:t xml:space="preserve">SUBSECCIÓN 2. </w:t>
      </w:r>
    </w:p>
    <w:p>
      <w:pPr>
        <w:jc w:val="center"/>
      </w:pPr>
      <w:r>
        <w:rPr>
          <w:rFonts w:hAnsi="Arial"/>
          <w:rFonts w:ascii="Arial"/>
          <w:sz w:val="24"/>
          <w:color w:val="navy"/>
        </w:rPr>
        <w:t xml:space="preserve">ORDEN DEL MÉRITO MILITAR "JOSÉ MARÍA CÓRDOVA".</w:t>
      </w:r>
      <w:bookmarkEnd w:id="6057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77" w:name="2.3.1.3.5.2.1"/>
      <w:r>
        <w:rPr>
          <w:rFonts w:hAnsi="Arial"/>
          <w:rFonts w:ascii="Arial"/>
          <w:sz w:val="24"/>
          <w:color w:val="navy"/>
        </w:rPr>
        <w:t xml:space="preserve">ARTÍCULO 2.3.1.3.5.2.1. </w:t>
      </w:r>
      <w:r>
        <w:rPr>
          <w:rFonts w:hAnsi="Arial"/>
          <w:rFonts w:ascii="Arial"/>
          <w:sz w:val="24"/>
          <w:i/>
          <w:color w:val="navy"/>
        </w:rPr>
        <w:t>ORIGEN.</w:t>
      </w:r>
      <w:bookmarkEnd w:id="60577"/>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"http://www.redjurista.com/document.aspx?ajcode=d3950_50&amp;arts=INICIO"</w:instrText>
      </w:r>
      <w:r>
        <w:fldChar w:fldCharType="separate"/>
      </w:r>
      <w:r>
        <w:rPr>
          <w:rFonts w:hAnsi="Arial"/>
          <w:rFonts w:ascii="Arial"/>
          <w:sz w:val="24"/>
          <w:u w:val="single"/>
          <w:color w:val="black"/>
        </w:rPr>
        <w:t>3950</w:t>
      </w:r>
      <w:r>
        <w:fldChar w:fldCharType="end"/>
      </w:r>
      <w:r>
        <w:rPr>
          <w:rFonts w:hAnsi="Arial"/>
          <w:rFonts w:ascii="Arial"/>
          <w:sz w:val="24"/>
          <w:u w:val="none"/>
          <w:color w:val="black"/>
        </w:rPr>
        <w:t xml:space="preserve"> del 28 de diciembre de 1950 y reglamentada por Decreto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del 27 de marzo de 1952, con destino a señalar y recompensar a los miembros del Ejército que se hayan destacado por sus actos de valor, disciplina, virtudes militares, servicios eminentes y compañerismo.</w:t>
      </w:r>
    </w:p>
    <w:p>
      <w:pPr>
        <w:jc w:val="both"/>
      </w:pPr>
      <w:rPr>
        <w:sz w:val="24"/>
        <w:color w:val="black"/>
      </w:rPr>
    </w:p>
    <w:p>
      <w:pPr>
        <w:jc w:val="both"/>
      </w:pPr>
      <w:r>
        <w:rPr>
          <w:rFonts w:hAnsi="Arial"/>
          <w:rFonts w:ascii="Arial"/>
          <w:sz w:val="24"/>
          <w:color w:val="black"/>
        </w:rPr>
        <w:t xml:space="preserve">La condecoración ostenta las categorías enunciadas en el artículo </w:t>
      </w:r>
      <w:r>
        <w:fldChar w:fldCharType="begin"/>
      </w:r>
      <w:r>
        <w:instrText>HYPERLINK "http://www.redjurista.com/document.aspx?ajcode=d1070015&amp;arts=2.3.1.3.5.1"</w:instrText>
      </w:r>
      <w:r>
        <w:fldChar w:fldCharType="separate"/>
      </w:r>
      <w:r>
        <w:rPr>
          <w:rFonts w:hAnsi="Arial"/>
          <w:rFonts w:ascii="Arial"/>
          <w:sz w:val="24"/>
          <w:u w:val="single"/>
          <w:color w:val="black"/>
        </w:rPr>
        <w:t>2.3.1.3.5.1.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"http://www.redjurista.com/document.aspx?ajcode=d4444010&amp;arts=65"</w:instrText>
      </w:r>
      <w:r>
        <w:fldChar w:fldCharType="separate"/>
      </w:r>
      <w:r>
        <w:rPr>
          <w:rFonts w:hAnsi="Arial"/>
          <w:rFonts w:ascii="Arial"/>
          <w:sz w:val="24"/>
          <w:i/>
          <w:u w:val="single"/>
          <w:color w:val="black"/>
        </w:rPr>
        <w:t>65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8" w:name="2.3.1.3.5.2.2"/>
      <w:r>
        <w:rPr>
          <w:rFonts w:hAnsi="Arial"/>
          <w:rFonts w:ascii="Arial"/>
          <w:sz w:val="24"/>
          <w:color w:val="navy"/>
        </w:rPr>
        <w:t xml:space="preserve">ARTÍCULO 2.3.1.3.5.2.2. </w:t>
      </w:r>
      <w:r>
        <w:rPr>
          <w:rFonts w:hAnsi="Arial"/>
          <w:rFonts w:ascii="Arial"/>
          <w:sz w:val="24"/>
          <w:i/>
          <w:color w:val="navy"/>
        </w:rPr>
        <w:t>OTORGAMIENTO.</w:t>
      </w:r>
      <w:bookmarkEnd w:id="60578"/>
      <w:r>
        <w:rPr>
          <w:rFonts w:hAnsi="Arial"/>
          <w:rFonts w:ascii="Arial"/>
          <w:sz w:val="24"/>
          <w:b/>
          <w:i/>
          <w:color w:val="black"/>
        </w:rPr>
        <w:t xml:space="preserve"> </w:t>
      </w:r>
      <w:r>
        <w:rPr>
          <w:rFonts w:hAnsi="Arial"/>
          <w:rFonts w:ascii="Arial"/>
          <w:sz w:val="24"/>
          <w:color w:val="black"/>
        </w:rPr>
        <w:t xml:space="preserve">La condecoración puede otorgarse, en cada categoría, a las personas que reúnan las calidades establecidas en el artículo </w:t>
      </w:r>
      <w:r>
        <w:fldChar w:fldCharType="begin"/>
      </w:r>
      <w:r>
        <w:instrText>HYPERLINK "http://www.redjurista.com/document.aspx?ajcode=d1070015&amp;arts=2.3.1.3.5.4"</w:instrText>
      </w:r>
      <w:r>
        <w:fldChar w:fldCharType="separate"/>
      </w:r>
      <w:r>
        <w:rPr>
          <w:rFonts w:hAnsi="Arial"/>
          <w:rFonts w:ascii="Arial"/>
          <w:sz w:val="24"/>
          <w:u w:val="single"/>
          <w:color w:val="black"/>
        </w:rPr>
        <w:t>2.3.1.3.5.4.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La condecoración Orden del Mérito Militar "José María Córdova" se confiere preferencialmente al personal del Ejército Nacional; sin embargo, se puede otorgar a miembros de otras Fuerzas o de la Policía Nacional cuando hayan prestado al Ejército servicios que los hacen acreedores a este honor.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"http://www.redjurista.com/document.aspx?ajcode=d4444010&amp;arts=66"</w:instrText>
      </w:r>
      <w:r>
        <w:fldChar w:fldCharType="separate"/>
      </w:r>
      <w:r>
        <w:rPr>
          <w:rFonts w:hAnsi="Arial"/>
          <w:rFonts w:ascii="Arial"/>
          <w:sz w:val="24"/>
          <w:i/>
          <w:u w:val="single"/>
          <w:color w:val="black"/>
        </w:rPr>
        <w:t>66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79" w:name="2.3.1.3.5.2.3"/>
      <w:r>
        <w:rPr>
          <w:rFonts w:hAnsi="Arial"/>
          <w:rFonts w:ascii="Arial"/>
          <w:sz w:val="24"/>
          <w:color w:val="navy"/>
        </w:rPr>
        <w:t xml:space="preserve">ARTÍCULO 2.3.1.3.5.2.3. </w:t>
      </w:r>
      <w:r>
        <w:rPr>
          <w:rFonts w:hAnsi="Arial"/>
          <w:rFonts w:ascii="Arial"/>
          <w:sz w:val="24"/>
          <w:i/>
          <w:color w:val="navy"/>
        </w:rPr>
        <w:t>CARACTERÍSTICAS.</w:t>
      </w:r>
      <w:bookmarkEnd w:id="60579"/>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"Compañero". Medalla circular de cuarenta y tres (43) milímetros de diámetro con un círculo de veinte (20) milímetros de diámetro, en el cual va en alto relieve la efigie del General "José María Córdova". En el fondo lleva una cruz de treinta y cinco (35) milímetros, en esmalte de color negro y con cuatro (4) triángulos esmaltados en color rojo. El fondo de la medalla es esmaltado en gris plomo; el círculo exterior, de cuatro (4) milímetros, lleva en la parte superior la siguiente leyenda "Orden del Mérito" y en la inferior "General José María Córdova", al respaldo lleva grabado este lema: "Armas a discreción, paso de vencedores". Es de bronce platinado, suspendida de una cinta rojo cereza, de cuarenta (40) milímetros de ancho;</w:t>
      </w:r>
    </w:p>
    <w:p>
      <w:pPr>
        <w:jc w:val="both"/>
      </w:pPr>
      <w:rPr>
        <w:sz w:val="24"/>
        <w:color w:val="black"/>
      </w:rPr>
    </w:p>
    <w:p>
      <w:pPr>
        <w:jc w:val="both"/>
      </w:pPr>
      <w:r>
        <w:rPr>
          <w:rFonts w:hAnsi="Arial"/>
          <w:rFonts w:ascii="Arial"/>
          <w:sz w:val="24"/>
          <w:color w:val="black"/>
        </w:rPr>
        <w:t xml:space="preserve">b) "Caballero". De plateado antiguo, suspendida de una cinta similar a la anterior, en cuyos bordes lleva el Tricolor Nacional, de cinco (5) milímetros de ancho;</w:t>
      </w:r>
    </w:p>
    <w:p>
      <w:pPr>
        <w:jc w:val="both"/>
      </w:pPr>
      <w:rPr>
        <w:sz w:val="24"/>
        <w:color w:val="black"/>
      </w:rPr>
    </w:p>
    <w:p>
      <w:pPr>
        <w:jc w:val="both"/>
      </w:pPr>
      <w:r>
        <w:rPr>
          <w:rFonts w:hAnsi="Arial"/>
          <w:rFonts w:ascii="Arial"/>
          <w:sz w:val="24"/>
          <w:color w:val="black"/>
        </w:rPr>
        <w:t xml:space="preserve">c) "Oficial". De plateado brillante, suspendida de una cinta igual a la anterior; en el centro lleva una roseta de seis (6) milímetros de diámetro esmaltado al fuego, con el Tricolor Nacional;</w:t>
      </w:r>
    </w:p>
    <w:p>
      <w:pPr>
        <w:jc w:val="both"/>
      </w:pPr>
      <w:rPr>
        <w:sz w:val="24"/>
        <w:color w:val="black"/>
      </w:rPr>
    </w:p>
    <w:p>
      <w:pPr>
        <w:jc w:val="both"/>
      </w:pPr>
      <w:r>
        <w:rPr>
          <w:rFonts w:hAnsi="Arial"/>
          <w:rFonts w:ascii="Arial"/>
          <w:sz w:val="24"/>
          <w:color w:val="black"/>
        </w:rPr>
        <w:t xml:space="preserve">d) "Comendador". Dorada, suspendida al cuello por una cinta similar a la de caballero, de cincuenta y cinco (55) centímetros de longitud;</w:t>
      </w:r>
    </w:p>
    <w:p>
      <w:pPr>
        <w:jc w:val="both"/>
      </w:pPr>
      <w:rPr>
        <w:sz w:val="24"/>
        <w:color w:val="black"/>
      </w:rPr>
    </w:p>
    <w:p>
      <w:pPr>
        <w:jc w:val="both"/>
      </w:pPr>
      <w:r>
        <w:rPr>
          <w:rFonts w:hAnsi="Arial"/>
          <w:rFonts w:ascii="Arial"/>
          <w:sz w:val="24"/>
          <w:color w:val="black"/>
        </w:rPr>
        <w:t xml:space="preserve">e) "Gran Oficial". Placa convexa de plata dorada, en forma estrellada, de ocho (8) brazos acanalados, con un diámetro de ochenta (80) milímetros y en su centro ostenta una cruz igual a la de Oficial. Se lleva un poco arriba de la cintura, al lado derecho;</w:t>
      </w:r>
    </w:p>
    <w:p>
      <w:pPr>
        <w:jc w:val="both"/>
      </w:pPr>
      <w:rPr>
        <w:sz w:val="24"/>
        <w:color w:val="black"/>
      </w:rPr>
    </w:p>
    <w:p>
      <w:pPr>
        <w:jc w:val="both"/>
      </w:pPr>
      <w:r>
        <w:rPr>
          <w:rFonts w:hAnsi="Arial"/>
          <w:rFonts w:ascii="Arial"/>
          <w:sz w:val="24"/>
          <w:color w:val="black"/>
        </w:rPr>
        <w:t xml:space="preserve">f) "Gran Cruz". Placa de plata brillante, similar a la de Gran Oficial y en su centro una cruz igual a la de Comendador, en plata dorada. Lleva una banda rojo cereza de cien (100) milímetros de ancho, en cuyos bordes lleva el Tricolor Nacional, de diez (10) milímetros de ancho; la longitud de la banda es de uno sesenta y cinco (1,65) metros. En su extremo lleva un lazo especial y de este pende una joya igual a la de Comendador. Se lleva terciada del hombro derecho al costado izquierdo.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0" w:name="2.3.1.3.5.2.4"/>
      <w:r>
        <w:rPr>
          <w:rFonts w:hAnsi="Arial"/>
          <w:rFonts w:ascii="Arial"/>
          <w:sz w:val="24"/>
          <w:color w:val="navy"/>
        </w:rPr>
        <w:t xml:space="preserve">ARTÍCULO 2.3.1.3.5.2.4. </w:t>
      </w:r>
      <w:r>
        <w:rPr>
          <w:rFonts w:hAnsi="Arial"/>
          <w:rFonts w:ascii="Arial"/>
          <w:sz w:val="24"/>
          <w:i/>
          <w:color w:val="navy"/>
        </w:rPr>
        <w:t xml:space="preserve">CARACTERÍSTICAS DE LAS VENERAS EN ALGUNAS CATEGORÍAS.</w:t>
      </w:r>
      <w:bookmarkEnd w:id="60580"/>
      <w:r>
        <w:rPr>
          <w:rFonts w:hAnsi="Arial"/>
          <w:rFonts w:ascii="Arial"/>
          <w:sz w:val="24"/>
          <w:b/>
          <w:i/>
          <w:color w:val="black"/>
        </w:rPr>
        <w:t xml:space="preserve"> </w:t>
      </w:r>
      <w:r>
        <w:rPr>
          <w:rFonts w:hAnsi="Arial"/>
          <w:rFonts w:ascii="Arial"/>
          <w:sz w:val="24"/>
          <w:color w:val="black"/>
        </w:rPr>
        <w:t xml:space="preserve">Las veneras de esta condecoración están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 a excepción de:</w:t>
      </w:r>
    </w:p>
    <w:p>
      <w:pPr>
        <w:jc w:val="both"/>
      </w:pPr>
      <w:rPr>
        <w:sz w:val="24"/>
        <w:color w:val="black"/>
      </w:rPr>
    </w:p>
    <w:p>
      <w:pPr>
        <w:jc w:val="both"/>
      </w:pPr>
      <w:r>
        <w:rPr>
          <w:rFonts w:hAnsi="Arial"/>
          <w:rFonts w:ascii="Arial"/>
          <w:sz w:val="24"/>
          <w:color w:val="black"/>
        </w:rPr>
        <w:t xml:space="preserve">a) En las categorías de Comendador y Gran Oficial es una cinta similar a la de Oficial, pero en el centro lleva un galón metálico de siete (7) por diecisiete (17) milímetros, con una estrella de cinco (5) puntas, en plateado o dorado respectivamente;</w:t>
      </w:r>
    </w:p>
    <w:p>
      <w:pPr>
        <w:jc w:val="both"/>
      </w:pPr>
      <w:rPr>
        <w:sz w:val="24"/>
        <w:color w:val="black"/>
      </w:rPr>
    </w:p>
    <w:p>
      <w:pPr>
        <w:jc w:val="both"/>
      </w:pPr>
      <w:r>
        <w:rPr>
          <w:rFonts w:hAnsi="Arial"/>
          <w:rFonts w:ascii="Arial"/>
          <w:sz w:val="24"/>
          <w:color w:val="black"/>
        </w:rPr>
        <w:t xml:space="preserve">b) En la categoría Gran Cruz es similar a la de Gran Oficial, pero con una roseta esmaltada, similar a la de Oficial, en lugar de la estrella.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1" w:name="2.3.1.3.5.2.5"/>
      <w:r>
        <w:rPr>
          <w:rFonts w:hAnsi="Arial"/>
          <w:rFonts w:ascii="Arial"/>
          <w:sz w:val="24"/>
          <w:color w:val="navy"/>
        </w:rPr>
        <w:t xml:space="preserve">ARTÍCULO 2.3.1.3.5.2.5. </w:t>
      </w:r>
      <w:r>
        <w:rPr>
          <w:rFonts w:hAnsi="Arial"/>
          <w:rFonts w:ascii="Arial"/>
          <w:sz w:val="24"/>
          <w:i/>
          <w:color w:val="navy"/>
        </w:rPr>
        <w:t>DIPLOMA.</w:t>
      </w:r>
      <w:bookmarkEnd w:id="60581"/>
      <w:r>
        <w:rPr>
          <w:rFonts w:hAnsi="Arial"/>
          <w:rFonts w:ascii="Arial"/>
          <w:sz w:val="24"/>
          <w:b/>
          <w:i/>
          <w:color w:val="black"/>
        </w:rPr>
        <w:t xml:space="preserve"> </w:t>
      </w:r>
      <w:r>
        <w:rPr>
          <w:rFonts w:hAnsi="Arial"/>
          <w:rFonts w:ascii="Arial"/>
          <w:sz w:val="24"/>
          <w:color w:val="black"/>
        </w:rPr>
        <w:t xml:space="preserve">Las características del diploma son las establecidas en el artículo </w:t>
      </w:r>
      <w:r>
        <w:fldChar w:fldCharType="begin"/>
      </w:r>
      <w:r>
        <w:instrText>HYPERLINK "http://www.redjurista.com/document.aspx?ajcode=d1070015&amp;arts=2.3.1.3.5.8"</w:instrText>
      </w:r>
      <w:r>
        <w:fldChar w:fldCharType="separate"/>
      </w:r>
      <w:r>
        <w:rPr>
          <w:rFonts w:hAnsi="Arial"/>
          <w:rFonts w:ascii="Arial"/>
          <w:sz w:val="24"/>
          <w:u w:val="single"/>
          <w:color w:val="black"/>
        </w:rPr>
        <w:t>2.3.1.3.5.8.</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82" w:name="SUBSECCIÓN 2.3.1.3.5.3"/>
      <w:r>
        <w:rPr>
          <w:rFonts w:hAnsi="Arial"/>
          <w:rFonts w:ascii="Arial"/>
          <w:sz w:val="24"/>
          <w:color w:val="navy"/>
        </w:rPr>
        <w:t xml:space="preserve">SUBSECCIÓN 3. </w:t>
      </w:r>
    </w:p>
    <w:p>
      <w:pPr>
        <w:jc w:val="center"/>
      </w:pPr>
      <w:r>
        <w:rPr>
          <w:rFonts w:hAnsi="Arial"/>
          <w:rFonts w:ascii="Arial"/>
          <w:sz w:val="24"/>
          <w:color w:val="navy"/>
        </w:rPr>
        <w:t xml:space="preserve">ORDEN DEL MÉRITO NAVAL "ALMIRANTE PADILLA".</w:t>
      </w:r>
      <w:bookmarkEnd w:id="6058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83" w:name="2.3.1.3.5.3.1"/>
      <w:r>
        <w:rPr>
          <w:rFonts w:hAnsi="Arial"/>
          <w:rFonts w:ascii="Arial"/>
          <w:sz w:val="24"/>
          <w:color w:val="navy"/>
        </w:rPr>
        <w:t xml:space="preserve">ARTÍCULO 2.3.1.3.5.3.1. </w:t>
      </w:r>
      <w:r>
        <w:rPr>
          <w:rFonts w:hAnsi="Arial"/>
          <w:rFonts w:ascii="Arial"/>
          <w:sz w:val="24"/>
          <w:i/>
          <w:color w:val="navy"/>
        </w:rPr>
        <w:t>ORIGEN.</w:t>
      </w:r>
      <w:bookmarkEnd w:id="60583"/>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"http://www.redjurista.com/document.aspx?ajcode=d2409_47&amp;arts=INICIO"</w:instrText>
      </w:r>
      <w:r>
        <w:fldChar w:fldCharType="separate"/>
      </w:r>
      <w:r>
        <w:rPr>
          <w:rFonts w:hAnsi="Arial"/>
          <w:rFonts w:ascii="Arial"/>
          <w:sz w:val="24"/>
          <w:u w:val="single"/>
          <w:color w:val="black"/>
        </w:rPr>
        <w:t>2409</w:t>
      </w:r>
      <w:r>
        <w:fldChar w:fldCharType="end"/>
      </w:r>
      <w:r>
        <w:rPr>
          <w:rFonts w:hAnsi="Arial"/>
          <w:rFonts w:ascii="Arial"/>
          <w:sz w:val="24"/>
          <w:u w:val="none"/>
          <w:color w:val="black"/>
        </w:rPr>
        <w:t xml:space="preserve"> del 8 de julio de 1947 y reglamentada por Decreto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del 27 de marzo de 1952 para recompensar los actos de valor, las acciones heroicas, los servicios eminentes y los servicios profesionales distinguidos, la disciplina ejemplar y el compañerismo del personal de la Armada. La condecoración ostenta las categorías enunciadas en el artículo </w:t>
      </w:r>
      <w:r>
        <w:fldChar w:fldCharType="begin"/>
      </w:r>
      <w:r>
        <w:instrText>HYPERLINK "http://www.redjurista.com/document.aspx?ajcode=d1070015&amp;arts=2.3.1.3.5.1"</w:instrText>
      </w:r>
      <w:r>
        <w:fldChar w:fldCharType="separate"/>
      </w:r>
      <w:r>
        <w:rPr>
          <w:rFonts w:hAnsi="Arial"/>
          <w:rFonts w:ascii="Arial"/>
          <w:sz w:val="24"/>
          <w:u w:val="single"/>
          <w:color w:val="black"/>
        </w:rPr>
        <w:t>2.3.1.3.5.1.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4" w:name="2.3.1.3.5.3.2"/>
      <w:r>
        <w:rPr>
          <w:rFonts w:hAnsi="Arial"/>
          <w:rFonts w:ascii="Arial"/>
          <w:sz w:val="24"/>
          <w:color w:val="navy"/>
        </w:rPr>
        <w:t xml:space="preserve">ARTÍCULO 2.3.1.3.5.3.2. </w:t>
      </w:r>
      <w:r>
        <w:rPr>
          <w:rFonts w:hAnsi="Arial"/>
          <w:rFonts w:ascii="Arial"/>
          <w:sz w:val="24"/>
          <w:i/>
          <w:color w:val="navy"/>
        </w:rPr>
        <w:t>OTORGAMIENTO.</w:t>
      </w:r>
      <w:bookmarkEnd w:id="60584"/>
      <w:r>
        <w:rPr>
          <w:rFonts w:hAnsi="Arial"/>
          <w:rFonts w:ascii="Arial"/>
          <w:sz w:val="24"/>
          <w:b/>
          <w:i/>
          <w:color w:val="black"/>
        </w:rPr>
        <w:t xml:space="preserve"> </w:t>
      </w:r>
      <w:r>
        <w:rPr>
          <w:rFonts w:hAnsi="Arial"/>
          <w:rFonts w:ascii="Arial"/>
          <w:sz w:val="24"/>
          <w:color w:val="black"/>
        </w:rPr>
        <w:t xml:space="preserve">La condecoración puede otorgarse en cada categoría, a las personas que reúnan las calidades establecidas en el artículo </w:t>
      </w:r>
      <w:r>
        <w:fldChar w:fldCharType="begin"/>
      </w:r>
      <w:r>
        <w:instrText>HYPERLINK "http://www.redjurista.com/document.aspx?ajcode=d1070015&amp;arts=2.3.1.3.5.4"</w:instrText>
      </w:r>
      <w:r>
        <w:fldChar w:fldCharType="separate"/>
      </w:r>
      <w:r>
        <w:rPr>
          <w:rFonts w:hAnsi="Arial"/>
          <w:rFonts w:ascii="Arial"/>
          <w:sz w:val="24"/>
          <w:u w:val="single"/>
          <w:color w:val="black"/>
        </w:rPr>
        <w:t>2.3.1.3.5.4</w:t>
      </w:r>
      <w:r>
        <w:fldChar w:fldCharType="end"/>
      </w:r>
      <w:r>
        <w:rPr>
          <w:rFonts w:hAnsi="Arial"/>
          <w:rFonts w:ascii="Arial"/>
          <w:sz w:val="24"/>
          <w:u w:val="none"/>
          <w:color w:val="black"/>
        </w:rPr>
        <w:t xml:space="preserve"> del presente Capítulo. La condecoración Orden del Mérito Naval "Almirante Padilla", se confiere preferencialmente al personal de la Armada Nacional; sin embargo se puede otorgar a los miembros de las otras Fuerzas o de la Policía Nacional, cuando hayan prestado a la Armada, servicios que los hagan acreedores a este honor.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5" w:name="2.3.1.3.5.3.3"/>
      <w:r>
        <w:rPr>
          <w:rFonts w:hAnsi="Arial"/>
          <w:rFonts w:ascii="Arial"/>
          <w:sz w:val="24"/>
          <w:color w:val="navy"/>
        </w:rPr>
        <w:t xml:space="preserve">ARTÍCULO 2.3.1.3.5.3.3. </w:t>
      </w:r>
      <w:r>
        <w:rPr>
          <w:rFonts w:hAnsi="Arial"/>
          <w:rFonts w:ascii="Arial"/>
          <w:sz w:val="24"/>
          <w:i/>
          <w:color w:val="navy"/>
        </w:rPr>
        <w:t>CARACTERÍSTICAS.</w:t>
      </w:r>
      <w:bookmarkEnd w:id="60585"/>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"Compañero". Cruz de Malta, irradiada de cuarenta y cinco (45) milímetros de diámetro, con sus brazos terminados en dos (2) ángulos rematados por esferas, con un círculo central de veinticuatro (24) milímetros de radio, encerrado por un calabrote en cuyo anverso va esmaltado el Tricolor Nacional; sobre este en alto relieve, lleva un ancla dorada tipo almirantazgo, con un cabo entrelazado.</w:t>
      </w:r>
    </w:p>
    <w:p>
      <w:pPr>
        <w:jc w:val="both"/>
      </w:pPr>
      <w:rPr>
        <w:sz w:val="24"/>
        <w:color w:val="black"/>
      </w:rPr>
    </w:p>
    <w:p>
      <w:pPr>
        <w:jc w:val="both"/>
      </w:pPr>
      <w:r>
        <w:rPr>
          <w:rFonts w:hAnsi="Arial"/>
          <w:rFonts w:ascii="Arial"/>
          <w:sz w:val="24"/>
          <w:color w:val="black"/>
        </w:rPr>
        <w:t xml:space="preserve">En el reverso, en alto relieve, lleva la efigie del Almirante Padilla, circundada por la leyenda "Orden Naval Almirante Padilla 1823-1947". En las extremidades del brazo superior va fijo un anillo que sirve de pedestal a un cóndor en actitud de iniciar el vuelo, con las alas desplegadas.</w:t>
      </w:r>
    </w:p>
    <w:p>
      <w:pPr>
        <w:jc w:val="both"/>
      </w:pPr>
      <w:rPr>
        <w:sz w:val="24"/>
        <w:color w:val="black"/>
      </w:rPr>
    </w:p>
    <w:p>
      <w:pPr>
        <w:jc w:val="both"/>
      </w:pPr>
      <w:r>
        <w:rPr>
          <w:rFonts w:hAnsi="Arial"/>
          <w:rFonts w:ascii="Arial"/>
          <w:sz w:val="24"/>
          <w:color w:val="black"/>
        </w:rPr>
        <w:t xml:space="preserve">En el reverso del Cóndor va un dispositivo especial para fijar la cinta. Es de bronce suspendida de una cinta azul aguamarina, de cuarenta (40) milímetros de ancho;</w:t>
      </w:r>
    </w:p>
    <w:p>
      <w:pPr>
        <w:jc w:val="both"/>
      </w:pPr>
      <w:rPr>
        <w:sz w:val="24"/>
        <w:color w:val="black"/>
      </w:rPr>
    </w:p>
    <w:p>
      <w:pPr>
        <w:jc w:val="both"/>
      </w:pPr>
      <w:r>
        <w:rPr>
          <w:rFonts w:hAnsi="Arial"/>
          <w:rFonts w:ascii="Arial"/>
          <w:sz w:val="24"/>
          <w:color w:val="black"/>
        </w:rPr>
        <w:t xml:space="preserve">b) "Caballero". Es de plateado antiguo, suspendida de una cinta similar a la anterior, pero con tres (3) franjas blancas verticales al centro, de tres (3) milímetros de ancho, espaciadas proporcionalmente;</w:t>
      </w:r>
    </w:p>
    <w:p>
      <w:pPr>
        <w:jc w:val="both"/>
      </w:pPr>
      <w:rPr>
        <w:sz w:val="24"/>
        <w:color w:val="black"/>
      </w:rPr>
    </w:p>
    <w:p>
      <w:pPr>
        <w:jc w:val="both"/>
      </w:pPr>
      <w:r>
        <w:rPr>
          <w:rFonts w:hAnsi="Arial"/>
          <w:rFonts w:ascii="Arial"/>
          <w:sz w:val="24"/>
          <w:color w:val="black"/>
        </w:rPr>
        <w:t xml:space="preserve">c) "Oficial". De plateado brillante, suspendida de una cinta igual a la anterior, con una roseta al centro, esmaltada al fuego, con los colores nacionales;</w:t>
      </w:r>
    </w:p>
    <w:p>
      <w:pPr>
        <w:jc w:val="both"/>
      </w:pPr>
      <w:rPr>
        <w:sz w:val="24"/>
        <w:color w:val="black"/>
      </w:rPr>
    </w:p>
    <w:p>
      <w:pPr>
        <w:jc w:val="both"/>
      </w:pPr>
      <w:r>
        <w:rPr>
          <w:rFonts w:hAnsi="Arial"/>
          <w:rFonts w:ascii="Arial"/>
          <w:sz w:val="24"/>
          <w:color w:val="black"/>
        </w:rPr>
        <w:t xml:space="preserve">d) "Comendador". Dorada, suspendida al cuello de una cinta similar a la de caballero, de cincuenta y cinco (55) centímetros de longitud;</w:t>
      </w:r>
    </w:p>
    <w:p>
      <w:pPr>
        <w:jc w:val="both"/>
      </w:pPr>
      <w:rPr>
        <w:sz w:val="24"/>
        <w:color w:val="black"/>
      </w:rPr>
    </w:p>
    <w:p>
      <w:pPr>
        <w:jc w:val="both"/>
      </w:pPr>
      <w:r>
        <w:rPr>
          <w:rFonts w:hAnsi="Arial"/>
          <w:rFonts w:ascii="Arial"/>
          <w:sz w:val="24"/>
          <w:color w:val="black"/>
        </w:rPr>
        <w:t xml:space="preserve">e) "Gran Oficial". Placa convexa de plata dorada irradiada y estrellada, imitando la rosa de los vientos con radios y estrellas de ocho (8) puntas respectivamente. Su diámetro es de ochenta (80) milímetros y en su centro lleva sobrepuesta una joya igual a la de Comendador. Se lleva un poco arriba de la cintura al lado derecho;</w:t>
      </w:r>
    </w:p>
    <w:p>
      <w:pPr>
        <w:jc w:val="both"/>
      </w:pPr>
      <w:rPr>
        <w:sz w:val="24"/>
        <w:color w:val="black"/>
      </w:rPr>
    </w:p>
    <w:p>
      <w:pPr>
        <w:jc w:val="both"/>
      </w:pPr>
      <w:r>
        <w:rPr>
          <w:rFonts w:hAnsi="Arial"/>
          <w:rFonts w:ascii="Arial"/>
          <w:sz w:val="24"/>
          <w:color w:val="black"/>
        </w:rPr>
        <w:t xml:space="preserve">f) "Gran Cruz". Similar a la de Gran Oficial, pero la placa es de plata brillante. Lleva además una cruz igual a la de Comendador, suspendida por una cinta azul aguamarina de cien (100) milímetros de ancho y uno sesenta y cinco (1.65) centímetros de longitud, con tres franjas blancas longitudinales al centro, de nueve milímetros de ancho cada una, separadas entre sí dieciocho (18) milímetros. Se lleva terciada del hombro derecho al costado izquierdo.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6" w:name="2.3.1.3.5.3.4"/>
      <w:r>
        <w:rPr>
          <w:rFonts w:hAnsi="Arial"/>
          <w:rFonts w:ascii="Arial"/>
          <w:sz w:val="24"/>
          <w:color w:val="navy"/>
        </w:rPr>
        <w:t xml:space="preserve">ARTÍCULO 2.3.1.3.5.3.4. </w:t>
      </w:r>
      <w:r>
        <w:rPr>
          <w:rFonts w:hAnsi="Arial"/>
          <w:rFonts w:ascii="Arial"/>
          <w:sz w:val="24"/>
          <w:i/>
          <w:color w:val="navy"/>
        </w:rPr>
        <w:t xml:space="preserve">CARACTERÍSTICAS DE LAS VENERAS EN ALGUNAS CATEGORÍAS.</w:t>
      </w:r>
      <w:bookmarkEnd w:id="60586"/>
      <w:r>
        <w:rPr>
          <w:rFonts w:hAnsi="Arial"/>
          <w:rFonts w:ascii="Arial"/>
          <w:sz w:val="24"/>
          <w:b/>
          <w:i/>
          <w:color w:val="black"/>
        </w:rPr>
        <w:t xml:space="preserve"> </w:t>
      </w:r>
      <w:r>
        <w:rPr>
          <w:rFonts w:hAnsi="Arial"/>
          <w:rFonts w:ascii="Arial"/>
          <w:sz w:val="24"/>
          <w:color w:val="black"/>
        </w:rPr>
        <w:t xml:space="preserve">Las veneras de esta condecoración se rigen por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 a excepción de:</w:t>
      </w:r>
    </w:p>
    <w:p>
      <w:pPr>
        <w:jc w:val="both"/>
      </w:pPr>
      <w:rPr>
        <w:sz w:val="24"/>
        <w:color w:val="black"/>
      </w:rPr>
    </w:p>
    <w:p>
      <w:pPr>
        <w:jc w:val="both"/>
      </w:pPr>
      <w:r>
        <w:rPr>
          <w:rFonts w:hAnsi="Arial"/>
          <w:rFonts w:ascii="Arial"/>
          <w:sz w:val="24"/>
          <w:color w:val="black"/>
        </w:rPr>
        <w:t xml:space="preserve">a) En las categorías de Comendador y Gran Oficial la cinta es similar a la de Oficial, pero en el centro lleva un galón metálico de siete (7) por diecisiete (17) milímetros, plateado para la primera y dorado para la segunda y sobre estos un ancla dorada;</w:t>
      </w:r>
    </w:p>
    <w:p>
      <w:pPr>
        <w:jc w:val="both"/>
      </w:pPr>
      <w:rPr>
        <w:sz w:val="24"/>
        <w:color w:val="black"/>
      </w:rPr>
    </w:p>
    <w:p>
      <w:pPr>
        <w:jc w:val="both"/>
      </w:pPr>
      <w:r>
        <w:rPr>
          <w:rFonts w:hAnsi="Arial"/>
          <w:rFonts w:ascii="Arial"/>
          <w:sz w:val="24"/>
          <w:color w:val="black"/>
        </w:rPr>
        <w:t xml:space="preserve">b) En la categoría de Gran Cruz es similar a la de Gran Oficial, pero con una roseta igual a la de Oficial en lugar del ancla.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87" w:name="2.3.1.3.5.3.5"/>
      <w:r>
        <w:rPr>
          <w:rFonts w:hAnsi="Arial"/>
          <w:rFonts w:ascii="Arial"/>
          <w:sz w:val="24"/>
          <w:color w:val="navy"/>
        </w:rPr>
        <w:t xml:space="preserve">ARTÍCULO 2.3.1.3.5.3.5. </w:t>
      </w:r>
      <w:r>
        <w:rPr>
          <w:rFonts w:hAnsi="Arial"/>
          <w:rFonts w:ascii="Arial"/>
          <w:sz w:val="24"/>
          <w:i/>
          <w:color w:val="navy"/>
        </w:rPr>
        <w:t>DIPLOMA.</w:t>
      </w:r>
      <w:bookmarkEnd w:id="60587"/>
      <w:r>
        <w:rPr>
          <w:rFonts w:hAnsi="Arial"/>
          <w:rFonts w:ascii="Arial"/>
          <w:sz w:val="24"/>
          <w:b/>
          <w:i/>
          <w:color w:val="black"/>
        </w:rPr>
        <w:t xml:space="preserve"> </w:t>
      </w:r>
      <w:r>
        <w:rPr>
          <w:rFonts w:hAnsi="Arial"/>
          <w:rFonts w:ascii="Arial"/>
          <w:sz w:val="24"/>
          <w:color w:val="black"/>
        </w:rPr>
        <w:t xml:space="preserve">Las características del diploma son las establecidas en el artículo </w:t>
      </w:r>
      <w:r>
        <w:fldChar w:fldCharType="begin"/>
      </w:r>
      <w:r>
        <w:instrText>HYPERLINK "http://www.redjurista.com/document.aspx?ajcode=d1070015&amp;arts=2.3.1.3.5.8"</w:instrText>
      </w:r>
      <w:r>
        <w:fldChar w:fldCharType="separate"/>
      </w:r>
      <w:r>
        <w:rPr>
          <w:rFonts w:hAnsi="Arial"/>
          <w:rFonts w:ascii="Arial"/>
          <w:sz w:val="24"/>
          <w:u w:val="single"/>
          <w:color w:val="black"/>
        </w:rPr>
        <w:t>2.3.1.3.5.8.</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88" w:name="SUBSECCIÓN 2.3.1.3.5.4"/>
      <w:r>
        <w:rPr>
          <w:rFonts w:hAnsi="Arial"/>
          <w:rFonts w:ascii="Arial"/>
          <w:sz w:val="24"/>
          <w:color w:val="navy"/>
        </w:rPr>
        <w:t xml:space="preserve">SUBSECCIÓN 4. </w:t>
      </w:r>
    </w:p>
    <w:p>
      <w:pPr>
        <w:jc w:val="center"/>
      </w:pPr>
      <w:r>
        <w:rPr>
          <w:rFonts w:hAnsi="Arial"/>
          <w:rFonts w:ascii="Arial"/>
          <w:sz w:val="24"/>
          <w:color w:val="navy"/>
        </w:rPr>
        <w:t xml:space="preserve">CRUZ DE LA FUERZA AÉREA AL "MÉRITO AERONÁUTICO".</w:t>
      </w:r>
      <w:bookmarkEnd w:id="6058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89" w:name="2.3.1.3.5.4.1"/>
      <w:r>
        <w:rPr>
          <w:rFonts w:hAnsi="Arial"/>
          <w:rFonts w:ascii="Arial"/>
          <w:sz w:val="24"/>
          <w:color w:val="navy"/>
        </w:rPr>
        <w:t xml:space="preserve">ARTÍCULO 2.3.1.3.5.4.1. </w:t>
      </w:r>
      <w:r>
        <w:rPr>
          <w:rFonts w:hAnsi="Arial"/>
          <w:rFonts w:ascii="Arial"/>
          <w:sz w:val="24"/>
          <w:i/>
          <w:color w:val="navy"/>
        </w:rPr>
        <w:t>ORIGEN.</w:t>
      </w:r>
      <w:bookmarkEnd w:id="60589"/>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"http://www.redjurista.com/document.aspx?ajcode=d1068_48&amp;arts=INICIO"</w:instrText>
      </w:r>
      <w:r>
        <w:fldChar w:fldCharType="separate"/>
      </w:r>
      <w:r>
        <w:rPr>
          <w:rFonts w:hAnsi="Arial"/>
          <w:rFonts w:ascii="Arial"/>
          <w:sz w:val="24"/>
          <w:u w:val="single"/>
          <w:color w:val="black"/>
        </w:rPr>
        <w:t>1068</w:t>
      </w:r>
      <w:r>
        <w:fldChar w:fldCharType="end"/>
      </w:r>
      <w:r>
        <w:rPr>
          <w:rFonts w:hAnsi="Arial"/>
          <w:rFonts w:ascii="Arial"/>
          <w:sz w:val="24"/>
          <w:u w:val="none"/>
          <w:color w:val="black"/>
        </w:rPr>
        <w:t xml:space="preserve"> del 20 de marzo de 1948, reglamentada por el Decreto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del 27 de marzo de 1952 y modificada por el Decreto </w:t>
      </w:r>
      <w:r>
        <w:fldChar w:fldCharType="begin"/>
      </w:r>
      <w:r>
        <w:instrText>HYPERLINK "http://www.redjurista.com/document.aspx?ajcode=d1289_81&amp;arts=INICIO"</w:instrText>
      </w:r>
      <w:r>
        <w:fldChar w:fldCharType="separate"/>
      </w:r>
      <w:r>
        <w:rPr>
          <w:rFonts w:hAnsi="Arial"/>
          <w:rFonts w:ascii="Arial"/>
          <w:sz w:val="24"/>
          <w:u w:val="single"/>
          <w:color w:val="black"/>
        </w:rPr>
        <w:t>1289</w:t>
      </w:r>
      <w:r>
        <w:fldChar w:fldCharType="end"/>
      </w:r>
      <w:r>
        <w:rPr>
          <w:rFonts w:hAnsi="Arial"/>
          <w:rFonts w:ascii="Arial"/>
          <w:sz w:val="24"/>
          <w:u w:val="none"/>
          <w:color w:val="black"/>
        </w:rPr>
        <w:t xml:space="preserve"> del 18 de mayo de 1981, para premiar y destacar los actos de valor, las virtudes militares y los servicios eminentes prestados por el personal militar y civil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personal de otras Fuerzas o de Policía y en casos especiales a los particulares, militares y civiles extranjeros, por servicios meritorios prestados al país o a las Fuerzas Militares.</w:t>
      </w:r>
    </w:p>
    <w:p>
      <w:pPr>
        <w:jc w:val="both"/>
      </w:pPr>
      <w:rPr>
        <w:sz w:val="24"/>
        <w:color w:val="black"/>
      </w:rPr>
    </w:p>
    <w:p>
      <w:pPr>
        <w:jc w:val="both"/>
      </w:pPr>
      <w:r>
        <w:rPr>
          <w:rFonts w:hAnsi="Arial"/>
          <w:rFonts w:ascii="Arial"/>
          <w:sz w:val="24"/>
          <w:color w:val="black"/>
        </w:rPr>
        <w:t xml:space="preserve">La condecoración ostenta las categorías enunciadas en el artículo </w:t>
      </w:r>
      <w:r>
        <w:fldChar w:fldCharType="begin"/>
      </w:r>
      <w:r>
        <w:instrText>HYPERLINK "http://www.redjurista.com/document.aspx?ajcode=d1070015&amp;arts=2.3.1.3.5.1"</w:instrText>
      </w:r>
      <w:r>
        <w:fldChar w:fldCharType="separate"/>
      </w:r>
      <w:r>
        <w:rPr>
          <w:rFonts w:hAnsi="Arial"/>
          <w:rFonts w:ascii="Arial"/>
          <w:sz w:val="24"/>
          <w:u w:val="single"/>
          <w:color w:val="black"/>
        </w:rPr>
        <w:t>2.3.1.3.5.1.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0" w:name="2.3.1.3.5.4.2"/>
      <w:r>
        <w:rPr>
          <w:rFonts w:hAnsi="Arial"/>
          <w:rFonts w:ascii="Arial"/>
          <w:sz w:val="24"/>
          <w:color w:val="navy"/>
        </w:rPr>
        <w:t xml:space="preserve">ARTÍCULO 2.3.1.3.5.4.2. </w:t>
      </w:r>
      <w:r>
        <w:rPr>
          <w:rFonts w:hAnsi="Arial"/>
          <w:rFonts w:ascii="Arial"/>
          <w:sz w:val="24"/>
          <w:i/>
          <w:color w:val="navy"/>
        </w:rPr>
        <w:t>OTORGAMIENTO.</w:t>
      </w:r>
      <w:bookmarkEnd w:id="60590"/>
      <w:r>
        <w:rPr>
          <w:rFonts w:hAnsi="Arial"/>
          <w:rFonts w:ascii="Arial"/>
          <w:sz w:val="24"/>
          <w:b/>
          <w:i/>
          <w:color w:val="black"/>
        </w:rPr>
        <w:t xml:space="preserve"> </w:t>
      </w:r>
      <w:r>
        <w:rPr>
          <w:rFonts w:hAnsi="Arial"/>
          <w:rFonts w:ascii="Arial"/>
          <w:sz w:val="24"/>
          <w:color w:val="black"/>
        </w:rPr>
        <w:t xml:space="preserve">La condecoración puede otorgarse, en cada categoría, a las personas que reúnan las calidades establecidas en el artículo </w:t>
      </w:r>
      <w:r>
        <w:fldChar w:fldCharType="begin"/>
      </w:r>
      <w:r>
        <w:instrText>HYPERLINK "http://www.redjurista.com/document.aspx?ajcode=d1070015&amp;arts=2.3.1.3.5.4"</w:instrText>
      </w:r>
      <w:r>
        <w:fldChar w:fldCharType="separate"/>
      </w:r>
      <w:r>
        <w:rPr>
          <w:rFonts w:hAnsi="Arial"/>
          <w:rFonts w:ascii="Arial"/>
          <w:sz w:val="24"/>
          <w:u w:val="single"/>
          <w:color w:val="black"/>
        </w:rPr>
        <w:t>2.3.1.3.5.4</w:t>
      </w:r>
      <w:r>
        <w:fldChar w:fldCharType="end"/>
      </w:r>
      <w:r>
        <w:rPr>
          <w:rFonts w:hAnsi="Arial"/>
          <w:rFonts w:ascii="Arial"/>
          <w:sz w:val="24"/>
          <w:u w:val="none"/>
          <w:color w:val="black"/>
        </w:rPr>
        <w:t xml:space="preserve">., del presente Capítulo. La condecoración se confiere preferencialmente al personal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sin embargo, se puede otorgar a miembros de otras Fuerzas, cuando hayan prestado a la Fuerza Aérea servicios que los hacen acreedores a este honor.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1" w:name="2.3.1.3.5.4.3"/>
      <w:r>
        <w:rPr>
          <w:rFonts w:hAnsi="Arial"/>
          <w:rFonts w:ascii="Arial"/>
          <w:sz w:val="24"/>
          <w:color w:val="navy"/>
        </w:rPr>
        <w:t xml:space="preserve">ARTÍCULO 2.3.1.3.5.4.3. </w:t>
      </w:r>
      <w:r>
        <w:rPr>
          <w:rFonts w:hAnsi="Arial"/>
          <w:rFonts w:ascii="Arial"/>
          <w:sz w:val="24"/>
          <w:i/>
          <w:color w:val="navy"/>
        </w:rPr>
        <w:t>CARACTERÍSTICAS.</w:t>
      </w:r>
      <w:bookmarkEnd w:id="60591"/>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"Compañero". Un cóndor en vuelo, sostiene en sus garras y por medio de un eslabón oval, una cruz trebolada de cuatro (4) brazos y cincuenta y dos (52) milímetros de longitud; los brazos son adornados, terminados en garras de águila. En los brazos verticales lleva dos (2) lazos esmaltados en azul Prusia. En el centro de la cruz reposa una corona de laurel y sobre esta la insignia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En el reverso va en alto relieve, el Escudo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circundado por una corona de laurel en forma oval. Es de bronce, suspendida de una cinta celeste de cuarenta (40) milímetros de ancho;</w:t>
      </w:r>
    </w:p>
    <w:p>
      <w:pPr>
        <w:jc w:val="both"/>
      </w:pPr>
      <w:rPr>
        <w:sz w:val="24"/>
        <w:color w:val="black"/>
      </w:rPr>
    </w:p>
    <w:p>
      <w:pPr>
        <w:jc w:val="both"/>
      </w:pPr>
      <w:r>
        <w:rPr>
          <w:rFonts w:hAnsi="Arial"/>
          <w:rFonts w:ascii="Arial"/>
          <w:sz w:val="24"/>
          <w:color w:val="black"/>
        </w:rPr>
        <w:t xml:space="preserve">b) "Caballero". De plateado antiguo, suspendida de una cinta similar a la anterior, en cuyos bordes lleva el Tricolor Nacional, de cinco (5) milímetros de ancho;</w:t>
      </w:r>
    </w:p>
    <w:p>
      <w:pPr>
        <w:jc w:val="both"/>
      </w:pPr>
      <w:rPr>
        <w:sz w:val="24"/>
        <w:color w:val="black"/>
      </w:rPr>
    </w:p>
    <w:p>
      <w:pPr>
        <w:jc w:val="both"/>
      </w:pPr>
      <w:r>
        <w:rPr>
          <w:rFonts w:hAnsi="Arial"/>
          <w:rFonts w:ascii="Arial"/>
          <w:sz w:val="24"/>
          <w:color w:val="black"/>
        </w:rPr>
        <w:t xml:space="preserve">c) "Oficial". De plateado brillante, suspendida de una cinta igual a la anterior; con una roseta al centro, esmaltada al fuego, con los colores nacionales;</w:t>
      </w:r>
    </w:p>
    <w:p>
      <w:pPr>
        <w:jc w:val="both"/>
      </w:pPr>
      <w:rPr>
        <w:sz w:val="24"/>
        <w:color w:val="black"/>
      </w:rPr>
    </w:p>
    <w:p>
      <w:pPr>
        <w:jc w:val="both"/>
      </w:pPr>
      <w:r>
        <w:rPr>
          <w:rFonts w:hAnsi="Arial"/>
          <w:rFonts w:ascii="Arial"/>
          <w:sz w:val="24"/>
          <w:color w:val="black"/>
        </w:rPr>
        <w:t xml:space="preserve">d) "Comendador". Dorada, suspendida del cuello por una cinta igual a la de caballero de cincuenta y cinco (55) centímetros de longitud;</w:t>
      </w:r>
    </w:p>
    <w:p>
      <w:pPr>
        <w:jc w:val="both"/>
      </w:pPr>
      <w:rPr>
        <w:sz w:val="24"/>
        <w:color w:val="black"/>
      </w:rPr>
    </w:p>
    <w:p>
      <w:pPr>
        <w:jc w:val="both"/>
      </w:pPr>
      <w:r>
        <w:rPr>
          <w:rFonts w:hAnsi="Arial"/>
          <w:rFonts w:ascii="Arial"/>
          <w:sz w:val="24"/>
          <w:color w:val="black"/>
        </w:rPr>
        <w:t xml:space="preserve">e) "Gran Oficial". Placa convexa de plata dorada, con ocho (8) rayos acanalados principales de ochenta (80) milímetros de diámetro y ocho (8) secundarios de setenta (70) milímetros de diámetro, sobre la cual va una cruz similar a la de Comendador, pero con su eje horizontal esmaltado en azul Prusia. Se suprime el cóndor en vuelo. Se lleva un poco arriba de la cintura, al lado derecho;</w:t>
      </w:r>
    </w:p>
    <w:p>
      <w:pPr>
        <w:jc w:val="both"/>
      </w:pPr>
      <w:rPr>
        <w:sz w:val="24"/>
        <w:color w:val="black"/>
      </w:rPr>
    </w:p>
    <w:p>
      <w:pPr>
        <w:jc w:val="both"/>
      </w:pPr>
      <w:r>
        <w:rPr>
          <w:rFonts w:hAnsi="Arial"/>
          <w:rFonts w:ascii="Arial"/>
          <w:sz w:val="24"/>
          <w:color w:val="black"/>
        </w:rPr>
        <w:t xml:space="preserve">f) "Gran Cruz". Similar a la de Gran Oficial, pero la placa es de plata brillante. Lleva una banda azul celeste de cien (100) milímetros de ancho y uno sesenta y cinco (1,65) metros de longitud, con el Tricolor Nacional en los bordes, de diez (10) milímetros de ancho. En la parte inferior lleva un lazo especial y debajo de este pende una joya similar a la de Comendador, pero con sus dos (2) brazos horizontales esmaltados en azul Prusia. Va terciada del hombro derecho al costado izquierdo.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2" w:name="2.3.1.3.5.4.4"/>
      <w:r>
        <w:rPr>
          <w:rFonts w:hAnsi="Arial"/>
          <w:rFonts w:ascii="Arial"/>
          <w:sz w:val="24"/>
          <w:color w:val="navy"/>
        </w:rPr>
        <w:t xml:space="preserve">ARTÍCULO 2.3.1.3.5.4.4. </w:t>
      </w:r>
      <w:r>
        <w:rPr>
          <w:rFonts w:hAnsi="Arial"/>
          <w:rFonts w:ascii="Arial"/>
          <w:sz w:val="24"/>
          <w:i/>
          <w:color w:val="navy"/>
        </w:rPr>
        <w:t xml:space="preserve">CARACTERÍSTICAS DE LAS VENERAS EN ALGUNAS CATEGORÍAS.</w:t>
      </w:r>
      <w:bookmarkEnd w:id="60592"/>
      <w:r>
        <w:rPr>
          <w:rFonts w:hAnsi="Arial"/>
          <w:rFonts w:ascii="Arial"/>
          <w:sz w:val="24"/>
          <w:b/>
          <w:i/>
          <w:color w:val="black"/>
        </w:rPr>
        <w:t xml:space="preserve"> </w:t>
      </w:r>
      <w:r>
        <w:rPr>
          <w:rFonts w:hAnsi="Arial"/>
          <w:rFonts w:ascii="Arial"/>
          <w:sz w:val="24"/>
          <w:color w:val="black"/>
        </w:rPr>
        <w:t xml:space="preserve">Las veneras de esta condecoración se rigen por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 a excepción de:</w:t>
      </w:r>
    </w:p>
    <w:p>
      <w:pPr>
        <w:jc w:val="both"/>
      </w:pPr>
      <w:rPr>
        <w:sz w:val="24"/>
        <w:color w:val="black"/>
      </w:rPr>
    </w:p>
    <w:p>
      <w:pPr>
        <w:jc w:val="both"/>
      </w:pPr>
      <w:r>
        <w:rPr>
          <w:rFonts w:hAnsi="Arial"/>
          <w:rFonts w:ascii="Arial"/>
          <w:sz w:val="24"/>
          <w:color w:val="black"/>
        </w:rPr>
        <w:t xml:space="preserve">a) En las categorías de Comendador y Gran Oficial es una cinta similar a la de Oficial, pero en el centro lleva un galón metálico de siete (7) por diecisiete (17) milímetros, con una estrella de cinco (5) puntas de color plateado o dorado, respectivamente;</w:t>
      </w:r>
    </w:p>
    <w:p>
      <w:pPr>
        <w:jc w:val="both"/>
      </w:pPr>
      <w:rPr>
        <w:sz w:val="24"/>
        <w:color w:val="black"/>
      </w:rPr>
    </w:p>
    <w:p>
      <w:pPr>
        <w:jc w:val="both"/>
      </w:pPr>
      <w:r>
        <w:rPr>
          <w:rFonts w:hAnsi="Arial"/>
          <w:rFonts w:ascii="Arial"/>
          <w:sz w:val="24"/>
          <w:color w:val="black"/>
        </w:rPr>
        <w:t xml:space="preserve">b) En la categoría de Gran Cruz es una cinta similar a la de Gran Oficial, pero con una roseta esmaltada, igual a la de Oficial, en lugar de la estrella.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3" w:name="2.3.1.3.5.4.5"/>
      <w:r>
        <w:rPr>
          <w:rFonts w:hAnsi="Arial"/>
          <w:rFonts w:ascii="Arial"/>
          <w:sz w:val="24"/>
          <w:color w:val="navy"/>
        </w:rPr>
        <w:t xml:space="preserve">ARTÍCULO 2.3.1.3.5.4.5. </w:t>
      </w:r>
      <w:r>
        <w:rPr>
          <w:rFonts w:hAnsi="Arial"/>
          <w:rFonts w:ascii="Arial"/>
          <w:sz w:val="24"/>
          <w:i/>
          <w:color w:val="navy"/>
        </w:rPr>
        <w:t>DIPLOMA.</w:t>
      </w:r>
      <w:bookmarkEnd w:id="60593"/>
      <w:r>
        <w:rPr>
          <w:rFonts w:hAnsi="Arial"/>
          <w:rFonts w:ascii="Arial"/>
          <w:sz w:val="24"/>
          <w:b/>
          <w:i/>
          <w:color w:val="black"/>
        </w:rPr>
        <w:t xml:space="preserve"> </w:t>
      </w:r>
      <w:r>
        <w:rPr>
          <w:rFonts w:hAnsi="Arial"/>
          <w:rFonts w:ascii="Arial"/>
          <w:sz w:val="24"/>
          <w:color w:val="black"/>
        </w:rPr>
        <w:t xml:space="preserve">Las características del diploma son las establecidas en el artículo </w:t>
      </w:r>
      <w:r>
        <w:fldChar w:fldCharType="begin"/>
      </w:r>
      <w:r>
        <w:instrText>HYPERLINK "http://www.redjurista.com/document.aspx?ajcode=d1070015&amp;arts=2.3.1.3.5.8"</w:instrText>
      </w:r>
      <w:r>
        <w:fldChar w:fldCharType="separate"/>
      </w:r>
      <w:r>
        <w:rPr>
          <w:rFonts w:hAnsi="Arial"/>
          <w:rFonts w:ascii="Arial"/>
          <w:sz w:val="24"/>
          <w:u w:val="single"/>
          <w:color w:val="black"/>
        </w:rPr>
        <w:t>2.3.1.3.5.8</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594" w:name="SUBSECCIÓN 2.3.1.3.5.5"/>
      <w:r>
        <w:rPr>
          <w:rFonts w:hAnsi="Arial"/>
          <w:rFonts w:ascii="Arial"/>
          <w:sz w:val="24"/>
          <w:color w:val="navy"/>
        </w:rPr>
        <w:t xml:space="preserve">SUBSECCIÓN 5. </w:t>
      </w:r>
    </w:p>
    <w:p>
      <w:pPr>
        <w:jc w:val="center"/>
      </w:pPr>
      <w:r>
        <w:rPr>
          <w:rFonts w:hAnsi="Arial"/>
          <w:rFonts w:ascii="Arial"/>
          <w:sz w:val="24"/>
          <w:color w:val="navy"/>
        </w:rPr>
        <w:t xml:space="preserve">ORDEN DEL MÉRITO SANITARIO "JOSÉ FERNÁNDEZ MADRID".</w:t>
      </w:r>
      <w:bookmarkEnd w:id="6059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595" w:name="2.3.1.3.5.5.1"/>
      <w:r>
        <w:rPr>
          <w:rFonts w:hAnsi="Arial"/>
          <w:rFonts w:ascii="Arial"/>
          <w:sz w:val="24"/>
          <w:color w:val="navy"/>
        </w:rPr>
        <w:t xml:space="preserve">ARTÍCULO 2.3.1.3.5.5.1. </w:t>
      </w:r>
      <w:r>
        <w:rPr>
          <w:rFonts w:hAnsi="Arial"/>
          <w:rFonts w:ascii="Arial"/>
          <w:sz w:val="24"/>
          <w:i/>
          <w:color w:val="navy"/>
        </w:rPr>
        <w:t xml:space="preserve">ORIGEN Y CATEGORÍAS.</w:t>
      </w:r>
      <w:bookmarkEnd w:id="60595"/>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"http://www.redjurista.com/document.aspx?ajcode=d2423_50&amp;arts=INICIO"</w:instrText>
      </w:r>
      <w:r>
        <w:fldChar w:fldCharType="separate"/>
      </w:r>
      <w:r>
        <w:rPr>
          <w:rFonts w:hAnsi="Arial"/>
          <w:rFonts w:ascii="Arial"/>
          <w:sz w:val="24"/>
          <w:u w:val="single"/>
          <w:color w:val="black"/>
        </w:rPr>
        <w:t>2423</w:t>
      </w:r>
      <w:r>
        <w:fldChar w:fldCharType="end"/>
      </w:r>
      <w:r>
        <w:rPr>
          <w:rFonts w:hAnsi="Arial"/>
          <w:rFonts w:ascii="Arial"/>
          <w:sz w:val="24"/>
          <w:u w:val="none"/>
          <w:color w:val="black"/>
        </w:rPr>
        <w:t xml:space="preserve"> del 22 de julio de 1950 y reglamentada por el Decreto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del 27 de marzo de 1952, con destino a señalar y recompensar los actos de heroísmo, los servicios eminentes, los trabajos de investigación científica, el espíritu militar y el compañerismo de los miembros de la Sanidad Militar Colombiana.</w:t>
      </w:r>
    </w:p>
    <w:p>
      <w:pPr>
        <w:jc w:val="both"/>
      </w:pPr>
      <w:rPr>
        <w:sz w:val="24"/>
        <w:color w:val="black"/>
      </w:rPr>
    </w:p>
    <w:p>
      <w:pPr>
        <w:jc w:val="both"/>
      </w:pPr>
      <w:r>
        <w:rPr>
          <w:rFonts w:hAnsi="Arial"/>
          <w:rFonts w:ascii="Arial"/>
          <w:sz w:val="24"/>
          <w:color w:val="black"/>
        </w:rPr>
        <w:t xml:space="preserve">La condecoración ostenta las categorías enunciadas en el artículo </w:t>
      </w:r>
      <w:r>
        <w:fldChar w:fldCharType="begin"/>
      </w:r>
      <w:r>
        <w:instrText>HYPERLINK "http://www.redjurista.com/document.aspx?ajcode=d1070015&amp;arts=2.3.1.3.5.1"</w:instrText>
      </w:r>
      <w:r>
        <w:fldChar w:fldCharType="separate"/>
      </w:r>
      <w:r>
        <w:rPr>
          <w:rFonts w:hAnsi="Arial"/>
          <w:rFonts w:ascii="Arial"/>
          <w:sz w:val="24"/>
          <w:u w:val="single"/>
          <w:color w:val="black"/>
        </w:rPr>
        <w:t>2.3.1.3.5.1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6" w:name="2.3.1.3.5.5.2"/>
      <w:r>
        <w:rPr>
          <w:rFonts w:hAnsi="Arial"/>
          <w:rFonts w:ascii="Arial"/>
          <w:sz w:val="24"/>
          <w:color w:val="navy"/>
        </w:rPr>
        <w:t xml:space="preserve">ARTÍCULO 2.3.1.3.5.5.2. </w:t>
      </w:r>
      <w:r>
        <w:rPr>
          <w:rFonts w:hAnsi="Arial"/>
          <w:rFonts w:ascii="Arial"/>
          <w:sz w:val="24"/>
          <w:i/>
          <w:color w:val="navy"/>
        </w:rPr>
        <w:t>OTORGAMIENTO.</w:t>
      </w:r>
      <w:bookmarkEnd w:id="60596"/>
      <w:r>
        <w:rPr>
          <w:rFonts w:hAnsi="Arial"/>
          <w:rFonts w:ascii="Arial"/>
          <w:sz w:val="24"/>
          <w:b/>
          <w:i/>
          <w:color w:val="black"/>
        </w:rPr>
        <w:t xml:space="preserve"> </w:t>
      </w:r>
      <w:r>
        <w:rPr>
          <w:rFonts w:hAnsi="Arial"/>
          <w:rFonts w:ascii="Arial"/>
          <w:sz w:val="24"/>
          <w:color w:val="black"/>
        </w:rPr>
        <w:t xml:space="preserve">La condecoración puede otorgarse, en cada categoría a las personas que reúnan las calidades establecidas en el artículo </w:t>
      </w:r>
      <w:r>
        <w:fldChar w:fldCharType="begin"/>
      </w:r>
      <w:r>
        <w:instrText>HYPERLINK "http://www.redjurista.com/document.aspx?ajcode=d1070015&amp;arts=2.3.1.3.5.4"</w:instrText>
      </w:r>
      <w:r>
        <w:fldChar w:fldCharType="separate"/>
      </w:r>
      <w:r>
        <w:rPr>
          <w:rFonts w:hAnsi="Arial"/>
          <w:rFonts w:ascii="Arial"/>
          <w:sz w:val="24"/>
          <w:u w:val="single"/>
          <w:color w:val="black"/>
        </w:rPr>
        <w:t>2.3.1.3.5.4</w:t>
      </w:r>
      <w:r>
        <w:fldChar w:fldCharType="end"/>
      </w:r>
      <w:r>
        <w:rPr>
          <w:rFonts w:hAnsi="Arial"/>
          <w:rFonts w:ascii="Arial"/>
          <w:sz w:val="24"/>
          <w:u w:val="none"/>
          <w:color w:val="black"/>
        </w:rPr>
        <w:t xml:space="preserve">., del presente Capítulo. La condecoración se confiere preferencialmente al personal de Sanidad Militar; sin embargo, se puede otorgar a miembros de las Fuerzas Militares con otra especialidad o actividad, cuando han prestado a la Sanidad Militar servicios meritorios que los hacen acreedores a este honor.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7" w:name="2.3.1.3.5.5.3"/>
      <w:r>
        <w:rPr>
          <w:rFonts w:hAnsi="Arial"/>
          <w:rFonts w:ascii="Arial"/>
          <w:sz w:val="24"/>
          <w:color w:val="navy"/>
        </w:rPr>
        <w:t xml:space="preserve">ARTÍCULO 2.3.1.3.5.5.3. </w:t>
      </w:r>
      <w:r>
        <w:rPr>
          <w:rFonts w:hAnsi="Arial"/>
          <w:rFonts w:ascii="Arial"/>
          <w:sz w:val="24"/>
          <w:i/>
          <w:color w:val="navy"/>
        </w:rPr>
        <w:t>CARACTERÍSTICAS.</w:t>
      </w:r>
      <w:bookmarkEnd w:id="60597"/>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"Compañero". Cruz paté esmaltada en verde esmeralda, de cincuenta (50) milímetros de diámetro, cuyos brazos se hallan rodeados por una corona de laurel, en el centro de la cruz, sobre campo esmaltado en blanco, se halla escrito: "Orden José Fernández Madrid" circundada por este, se encuentra la efigie del prócer, en alto relieve. En el reverso de la insignia va, en alto relieve, un caduceo, símbolo de la medicina y en los extremos de este las leyendas: "República de Colombia" y "Sanidad Militar". Es de bronce, suspendida de una cinta blanca de cuarenta (40) milímetros de ancho;</w:t>
      </w:r>
    </w:p>
    <w:p>
      <w:pPr>
        <w:jc w:val="both"/>
      </w:pPr>
      <w:rPr>
        <w:sz w:val="24"/>
        <w:color w:val="black"/>
      </w:rPr>
    </w:p>
    <w:p>
      <w:pPr>
        <w:jc w:val="both"/>
      </w:pPr>
      <w:r>
        <w:rPr>
          <w:rFonts w:hAnsi="Arial"/>
          <w:rFonts w:ascii="Arial"/>
          <w:sz w:val="24"/>
          <w:color w:val="black"/>
        </w:rPr>
        <w:t xml:space="preserve">b) "Caballero". De plateado antiguo, suspendida de una cinta similar a la anterior, en cuyos bordes lleva el Tricolor Nacional, de cinco (5) milímetros de ancho;</w:t>
      </w:r>
    </w:p>
    <w:p>
      <w:pPr>
        <w:jc w:val="both"/>
      </w:pPr>
      <w:rPr>
        <w:sz w:val="24"/>
        <w:color w:val="black"/>
      </w:rPr>
    </w:p>
    <w:p>
      <w:pPr>
        <w:jc w:val="both"/>
      </w:pPr>
      <w:r>
        <w:rPr>
          <w:rFonts w:hAnsi="Arial"/>
          <w:rFonts w:ascii="Arial"/>
          <w:sz w:val="24"/>
          <w:color w:val="black"/>
        </w:rPr>
        <w:t xml:space="preserve">c) "Oficial". De plateado brillante, suspendida de una cinta igual a la anterior; con una roseta al centro, esmaltada al fuego, con los colores nacionales y de seis (6) milímetros de diámetro;</w:t>
      </w:r>
    </w:p>
    <w:p>
      <w:pPr>
        <w:jc w:val="both"/>
      </w:pPr>
      <w:rPr>
        <w:sz w:val="24"/>
        <w:color w:val="black"/>
      </w:rPr>
    </w:p>
    <w:p>
      <w:pPr>
        <w:jc w:val="both"/>
      </w:pPr>
      <w:r>
        <w:rPr>
          <w:rFonts w:hAnsi="Arial"/>
          <w:rFonts w:ascii="Arial"/>
          <w:sz w:val="24"/>
          <w:color w:val="black"/>
        </w:rPr>
        <w:t xml:space="preserve">d) "Comendador". Dorada, suspendida al cuello por una cinta similar a la de caballero de cincuenta y cinco (55) centímetros de longitud;</w:t>
      </w:r>
    </w:p>
    <w:p>
      <w:pPr>
        <w:jc w:val="both"/>
      </w:pPr>
      <w:rPr>
        <w:sz w:val="24"/>
        <w:color w:val="black"/>
      </w:rPr>
    </w:p>
    <w:p>
      <w:pPr>
        <w:jc w:val="both"/>
      </w:pPr>
      <w:r>
        <w:rPr>
          <w:rFonts w:hAnsi="Arial"/>
          <w:rFonts w:ascii="Arial"/>
          <w:sz w:val="24"/>
          <w:color w:val="black"/>
        </w:rPr>
        <w:t xml:space="preserve">e) "Gran Oficial". Placa convexa de plata dorada, de ocho (8) radios, cuyo diámetro mayor es de setenta y dos (72) milímetros. Los radios mayores están conformados por cinco (5) radios escalonados; a cada lado de estos van otros tres (3) radios acanalados, en un diámetro de cincuenta y cinco (55) milímetros, también escalonados y finalmente, en medio de los anteriores van otros tres (3) radios escalonados, con un diámetro de cuarenta y tres (43) milímetros; Sobre esta placa va una joya o cruz igual a la de Comendador. Se lleva un poco arriba de la cintura al lado derecho;</w:t>
      </w:r>
    </w:p>
    <w:p>
      <w:pPr>
        <w:jc w:val="both"/>
      </w:pPr>
      <w:rPr>
        <w:sz w:val="24"/>
        <w:color w:val="black"/>
      </w:rPr>
    </w:p>
    <w:p>
      <w:pPr>
        <w:jc w:val="both"/>
      </w:pPr>
      <w:r>
        <w:rPr>
          <w:rFonts w:hAnsi="Arial"/>
          <w:rFonts w:ascii="Arial"/>
          <w:sz w:val="24"/>
          <w:color w:val="black"/>
        </w:rPr>
        <w:t xml:space="preserve">f) "Gran Cruz". Consiste en una placa brillante, similar a la de Gran Oficial, con la cruz sobrepuesta, en plata dorada, lleva una banda blanca de cien (100) milímetros de ancho, en cuyos bordes ostenta el Tricolor Nacional, en un ancho de diez (10) milímetros. La banda tiene una longitud de uno sesenta y cinco (1.65) metros y en su extremo lleva un lazo especial del cual pende una joya igual a la de Comendador. Se lleva terciada del hombro derecho al costado izquierdo.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8" w:name="2.3.1.3.5.5.4"/>
      <w:r>
        <w:rPr>
          <w:rFonts w:hAnsi="Arial"/>
          <w:rFonts w:ascii="Arial"/>
          <w:sz w:val="24"/>
          <w:color w:val="navy"/>
        </w:rPr>
        <w:t xml:space="preserve">ARTÍCULO 2.3.1.3.5.5.4. </w:t>
      </w:r>
      <w:r>
        <w:rPr>
          <w:rFonts w:hAnsi="Arial"/>
          <w:rFonts w:ascii="Arial"/>
          <w:sz w:val="24"/>
          <w:i/>
          <w:color w:val="navy"/>
        </w:rPr>
        <w:t xml:space="preserve">CARACTERÍSTICAS DE LA VENERA EN ALGUNAS CATEGORÍAS.</w:t>
      </w:r>
      <w:bookmarkEnd w:id="60598"/>
      <w:r>
        <w:rPr>
          <w:rFonts w:hAnsi="Arial"/>
          <w:rFonts w:ascii="Arial"/>
          <w:sz w:val="24"/>
          <w:b/>
          <w:i/>
          <w:color w:val="black"/>
        </w:rPr>
        <w:t xml:space="preserve"> </w:t>
      </w:r>
      <w:r>
        <w:rPr>
          <w:rFonts w:hAnsi="Arial"/>
          <w:rFonts w:ascii="Arial"/>
          <w:sz w:val="24"/>
          <w:color w:val="black"/>
        </w:rPr>
        <w:t xml:space="preserve">Las veneras de esta condecoración se rigen por lo determinado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 a excepción de:</w:t>
      </w:r>
    </w:p>
    <w:p>
      <w:pPr>
        <w:jc w:val="both"/>
      </w:pPr>
      <w:rPr>
        <w:sz w:val="24"/>
        <w:color w:val="black"/>
      </w:rPr>
    </w:p>
    <w:p>
      <w:pPr>
        <w:jc w:val="both"/>
      </w:pPr>
      <w:r>
        <w:rPr>
          <w:rFonts w:hAnsi="Arial"/>
          <w:rFonts w:ascii="Arial"/>
          <w:sz w:val="24"/>
          <w:color w:val="black"/>
        </w:rPr>
        <w:t xml:space="preserve">a) En las categorías de Comendador y Gran Oficial es una cinta similar a la de Oficial, con un galón metálico de siete (7) por diecisiete (17) milímetros, con una estrella de cinco (5) puntas de color plateado o dorado, respectivamente.</w:t>
      </w:r>
    </w:p>
    <w:p>
      <w:pPr>
        <w:jc w:val="both"/>
      </w:pPr>
      <w:rPr>
        <w:sz w:val="24"/>
        <w:color w:val="black"/>
      </w:rPr>
    </w:p>
    <w:p>
      <w:pPr>
        <w:jc w:val="both"/>
      </w:pPr>
      <w:r>
        <w:rPr>
          <w:rFonts w:hAnsi="Arial"/>
          <w:rFonts w:ascii="Arial"/>
          <w:sz w:val="24"/>
          <w:color w:val="black"/>
        </w:rPr>
        <w:t xml:space="preserve">b) En la categoría de Gran Cruz es una cinta similar a la de Gran Oficial, pero con una roseta igual a la de Oficial en vez de estrella.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599" w:name="2.3.1.3.5.5.5"/>
      <w:r>
        <w:rPr>
          <w:rFonts w:hAnsi="Arial"/>
          <w:rFonts w:ascii="Arial"/>
          <w:sz w:val="24"/>
          <w:color w:val="navy"/>
        </w:rPr>
        <w:t xml:space="preserve">ARTÍCULO 2.3.1.3.5.5.5. </w:t>
      </w:r>
      <w:r>
        <w:rPr>
          <w:rFonts w:hAnsi="Arial"/>
          <w:rFonts w:ascii="Arial"/>
          <w:sz w:val="24"/>
          <w:i/>
          <w:color w:val="navy"/>
        </w:rPr>
        <w:t>DIPLOMA.</w:t>
      </w:r>
      <w:bookmarkEnd w:id="60599"/>
      <w:r>
        <w:rPr>
          <w:rFonts w:hAnsi="Arial"/>
          <w:rFonts w:ascii="Arial"/>
          <w:sz w:val="24"/>
          <w:b/>
          <w:i/>
          <w:color w:val="black"/>
        </w:rPr>
        <w:t xml:space="preserve"> </w:t>
      </w:r>
      <w:r>
        <w:rPr>
          <w:rFonts w:hAnsi="Arial"/>
          <w:rFonts w:ascii="Arial"/>
          <w:sz w:val="24"/>
          <w:color w:val="black"/>
        </w:rPr>
        <w:t xml:space="preserve">Las características del diploma son las establecidas en el artículo </w:t>
      </w:r>
      <w:r>
        <w:fldChar w:fldCharType="begin"/>
      </w:r>
      <w:r>
        <w:instrText>HYPERLINK "http://www.redjurista.com/document.aspx?ajcode=d1070015&amp;arts=2.3.1.3.5.8"</w:instrText>
      </w:r>
      <w:r>
        <w:fldChar w:fldCharType="separate"/>
      </w:r>
      <w:r>
        <w:rPr>
          <w:rFonts w:hAnsi="Arial"/>
          <w:rFonts w:ascii="Arial"/>
          <w:sz w:val="24"/>
          <w:u w:val="single"/>
          <w:color w:val="black"/>
        </w:rPr>
        <w:t>2.3.1.3.5.8</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00" w:name="SUBSECCIÓN 2.3.1.3.5.6"/>
      <w:r>
        <w:rPr>
          <w:rFonts w:hAnsi="Arial"/>
          <w:rFonts w:ascii="Arial"/>
          <w:sz w:val="24"/>
          <w:color w:val="navy"/>
        </w:rPr>
        <w:t xml:space="preserve">SUBSECCIÓN 6. </w:t>
      </w:r>
    </w:p>
    <w:p>
      <w:pPr>
        <w:jc w:val="center"/>
      </w:pPr>
      <w:r>
        <w:rPr>
          <w:rFonts w:hAnsi="Arial"/>
          <w:rFonts w:ascii="Arial"/>
          <w:sz w:val="24"/>
          <w:color w:val="navy"/>
        </w:rPr>
        <w:t xml:space="preserve">MEDALLA MILITAR "SOLDADO JUAN BAUTISTA SOLARTE OBANDO".</w:t>
      </w:r>
      <w:bookmarkEnd w:id="6060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01" w:name="2.3.1.3.5.6.1"/>
      <w:r>
        <w:rPr>
          <w:rFonts w:hAnsi="Arial"/>
          <w:rFonts w:ascii="Arial"/>
          <w:sz w:val="24"/>
          <w:color w:val="navy"/>
        </w:rPr>
        <w:t xml:space="preserve">ARTÍCULO 2.3.1.3.5.6.1. </w:t>
      </w:r>
      <w:r>
        <w:rPr>
          <w:rFonts w:hAnsi="Arial"/>
          <w:rFonts w:ascii="Arial"/>
          <w:sz w:val="24"/>
          <w:i/>
          <w:color w:val="navy"/>
        </w:rPr>
        <w:t>ORIGEN.</w:t>
      </w:r>
      <w:bookmarkEnd w:id="60601"/>
      <w:r>
        <w:rPr>
          <w:rFonts w:hAnsi="Arial"/>
          <w:rFonts w:ascii="Arial"/>
          <w:sz w:val="24"/>
          <w:b/>
          <w:i/>
          <w:color w:val="black"/>
        </w:rPr>
        <w:t xml:space="preserve"> </w:t>
      </w:r>
      <w:r>
        <w:rPr>
          <w:rFonts w:hAnsi="Arial"/>
          <w:rFonts w:ascii="Arial"/>
          <w:sz w:val="24"/>
          <w:color w:val="black"/>
        </w:rPr>
        <w:t xml:space="preserve">Fue establecida en el artículo </w:t>
      </w:r>
      <w:r>
        <w:fldChar w:fldCharType="begin"/>
      </w:r>
      <w:r>
        <w:instrText>HYPERLINK "http://www.redjurista.com/document.aspx?ajcode=d1776_79&amp;arts=48"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1776 de 1979, Reglamento de Régimen Disciplinario FF.MM, como premio al soldado o Infante de Marina que en cada contingente, en cada unidad militar, terrestre, aérea o a flote, se destaque por su excelente conducta, virtudes militares, aprovechamiento en la instrucción, sentido de pertenencia con la Institución, iniciativa e interés por el servicio.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02" w:name="2.3.1.3.5.6.2"/>
      <w:r>
        <w:rPr>
          <w:rFonts w:hAnsi="Arial"/>
          <w:rFonts w:ascii="Arial"/>
          <w:sz w:val="24"/>
          <w:color w:val="navy"/>
        </w:rPr>
        <w:t xml:space="preserve">ARTÍCULO 2.3.1.3.5.6.2. </w:t>
      </w:r>
      <w:r>
        <w:rPr>
          <w:rFonts w:hAnsi="Arial"/>
          <w:rFonts w:ascii="Arial"/>
          <w:sz w:val="24"/>
          <w:i/>
          <w:color w:val="navy"/>
        </w:rPr>
        <w:t>OTORGAMIENTO.</w:t>
      </w:r>
      <w:bookmarkEnd w:id="60602"/>
      <w:r>
        <w:rPr>
          <w:rFonts w:hAnsi="Arial"/>
          <w:rFonts w:ascii="Arial"/>
          <w:sz w:val="24"/>
          <w:b/>
          <w:i/>
          <w:color w:val="black"/>
        </w:rPr>
        <w:t xml:space="preserve"> </w:t>
      </w:r>
      <w:r>
        <w:rPr>
          <w:rFonts w:hAnsi="Arial"/>
          <w:rFonts w:ascii="Arial"/>
          <w:sz w:val="24"/>
          <w:color w:val="black"/>
        </w:rPr>
        <w:t xml:space="preserve">Para conferir la Medalla "Soldado Juan Bautista Solarte Obando" solamente se observarán los requisitos citados en el artículo anterior. No se tendrán en cuenta las demás disposiciones de este capítulo que se refieren a las Órdenes Militares.</w:t>
      </w:r>
    </w:p>
    <w:p>
      <w:pPr>
        <w:jc w:val="both"/>
      </w:pPr>
      <w:rPr>
        <w:sz w:val="24"/>
        <w:color w:val="black"/>
      </w:rPr>
    </w:p>
    <w:p>
      <w:pPr>
        <w:jc w:val="both"/>
      </w:pPr>
      <w:r>
        <w:rPr>
          <w:rFonts w:hAnsi="Arial"/>
          <w:rFonts w:ascii="Arial"/>
          <w:sz w:val="24"/>
          <w:color w:val="black"/>
        </w:rPr>
        <w:t xml:space="preserve">La Medalla es otorgada por disposición del Comandante de la respectiva Fuerza, previa solicitud en la que se cumplan las exigencias estipuladas para su merecimiento, y se debe publicar por la orden del día de la Fuerza.</w:t>
      </w:r>
    </w:p>
    <w:p>
      <w:pPr>
        <w:jc w:val="both"/>
      </w:pPr>
      <w:rPr>
        <w:sz w:val="24"/>
        <w:color w:val="black"/>
      </w:rPr>
    </w:p>
    <w:p>
      <w:pPr>
        <w:jc w:val="both"/>
      </w:pPr>
      <w:r>
        <w:rPr>
          <w:rFonts w:hAnsi="Arial"/>
          <w:rFonts w:ascii="Arial"/>
          <w:sz w:val="24"/>
          <w:color w:val="black"/>
        </w:rPr>
        <w:t xml:space="preserve">El libro de control de estas condecoraciones, se lleva en la Jefatura de Desarrollo Humano o quien haga sus veces de la respectiva Fuerza.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03" w:name="2.3.1.3.5.6.3"/>
      <w:r>
        <w:rPr>
          <w:rFonts w:hAnsi="Arial"/>
          <w:rFonts w:ascii="Arial"/>
          <w:sz w:val="24"/>
          <w:color w:val="navy"/>
        </w:rPr>
        <w:t xml:space="preserve">ARTÍCULO 2.3.1.3.5.6.3. </w:t>
      </w:r>
      <w:r>
        <w:rPr>
          <w:rFonts w:hAnsi="Arial"/>
          <w:rFonts w:ascii="Arial"/>
          <w:sz w:val="24"/>
          <w:i/>
          <w:color w:val="navy"/>
        </w:rPr>
        <w:t>CARACTERÍSTICAS.</w:t>
      </w:r>
      <w:bookmarkEnd w:id="60603"/>
      <w:r>
        <w:rPr>
          <w:rFonts w:hAnsi="Arial"/>
          <w:rFonts w:ascii="Arial"/>
          <w:sz w:val="24"/>
          <w:b/>
          <w:i/>
          <w:color w:val="black"/>
        </w:rPr>
        <w:t xml:space="preserve"> </w:t>
      </w:r>
      <w:r>
        <w:rPr>
          <w:rFonts w:hAnsi="Arial"/>
          <w:rFonts w:ascii="Arial"/>
          <w:sz w:val="24"/>
          <w:color w:val="black"/>
        </w:rPr>
        <w:t xml:space="preserve">La joya es de plata, de cuarenta (40) milímetros de diámetro. Tiene grabado en su anverso el Escudo de Colombia, encerrado en una corona de laurel y en su reverso el nombre del cuerpo de tropa, base o repartición al cual pertenezca el agraciado, la fecha y la leyenda: Medalla Militar "Soldado Juan Bautista Solarte Obando", Va suspendida de una cinta de cuarenta (40) milímetros de ancho, con los colores amarillo, azul y rojo.</w:t>
      </w:r>
    </w:p>
    <w:p>
      <w:pPr>
        <w:jc w:val="both"/>
      </w:pPr>
      <w:rPr>
        <w:sz w:val="24"/>
        <w:color w:val="black"/>
      </w:rPr>
    </w:p>
    <w:p>
      <w:pPr>
        <w:jc w:val="both"/>
      </w:pPr>
      <w:r>
        <w:rPr>
          <w:rFonts w:hAnsi="Arial"/>
          <w:rFonts w:ascii="Arial"/>
          <w:sz w:val="24"/>
          <w:color w:val="black"/>
        </w:rPr>
        <w:t xml:space="preserve">Las veneras y miniaturas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04" w:name="2.3.1.3.5.6.4"/>
      <w:r>
        <w:rPr>
          <w:rFonts w:hAnsi="Arial"/>
          <w:rFonts w:ascii="Arial"/>
          <w:sz w:val="24"/>
          <w:color w:val="navy"/>
        </w:rPr>
        <w:t xml:space="preserve">ARTÍCULO 2.3.1.3.5.6.4. </w:t>
      </w:r>
      <w:r>
        <w:rPr>
          <w:rFonts w:hAnsi="Arial"/>
          <w:rFonts w:ascii="Arial"/>
          <w:sz w:val="24"/>
          <w:i/>
          <w:color w:val="navy"/>
        </w:rPr>
        <w:t>DIPLOMA.</w:t>
      </w:r>
      <w:bookmarkEnd w:id="60604"/>
      <w:r>
        <w:rPr>
          <w:rFonts w:hAnsi="Arial"/>
          <w:rFonts w:ascii="Arial"/>
          <w:sz w:val="24"/>
          <w:b/>
          <w:i/>
          <w:color w:val="black"/>
        </w:rPr>
        <w:t xml:space="preserve"> </w:t>
      </w:r>
      <w:r>
        <w:rPr>
          <w:rFonts w:hAnsi="Arial"/>
          <w:rFonts w:ascii="Arial"/>
          <w:sz w:val="24"/>
          <w:color w:val="black"/>
        </w:rPr>
        <w:t xml:space="preserve">Cada Medalla va acompañada de un diploma credencial firmado por el Comandante de Brigada, Fuerza Naval, Comando Aéreo, Comandante del Cuerpo o Tropa, buque o establecimiento terrestre al cual pertenezca el agraciado. Se elabora en papel cartulina o pergamino blanco de treinta y cinco (35) por veinticinco (25) centímetros de ancho, con el Escudo Nacional en colores, en la parte superior y con la siguiente leyenda:</w:t>
      </w:r>
    </w:p>
    <w:p>
      <w:pPr>
        <w:jc w:val="center"/>
      </w:pPr>
      <w:r>
        <w:drawing>
          <wp:inline distT="0" distB="0" distL="0" distR="0">
            <wp:extent cx="3810000" cy="1981200"/>
            <wp:docPr id="12" name=""/>
            <a:graphic xmlns:a="http://schemas.openxmlformats.org/drawingml/2006/main">
              <a:graphicData uri="http://schemas.openxmlformats.org/drawingml/2006/picture">
                <pic:pic xmlns:pic="http://schemas.openxmlformats.org/drawingml/2006/picture">
                  <pic:nvPicPr>
                    <pic:cNvPr id="11" name="Picture "/>
                    <pic:cNvPicPr/>
                  </pic:nvPicPr>
                  <pic:blipFill>
                    <a:blip r:embed="id11"/>
                    <a:stretch>
                      <a:fillRect/>
                    </a:stretch>
                  </pic:blipFill>
                  <pic:spPr>
                    <a:xfrm>
                      <a:off x="0" y="0"/>
                      <a:ext cx="3810000" cy="1981200"/>
                    </a:xfrm>
                    <a:prstGeom prst="rect">
                      <a:avLst/>
                    </a:prstGeom>
                  </pic:spPr>
                </pic:pic>
              </a:graphicData>
            </a:graphic>
          </wp:inline>
        </w:drawing>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"http://www.redjurista.com/document.aspx?ajcode=d4444010&amp;arts=88"</w:instrText>
      </w:r>
      <w:r>
        <w:fldChar w:fldCharType="separate"/>
      </w:r>
      <w:r>
        <w:rPr>
          <w:rFonts w:hAnsi="Arial"/>
          <w:rFonts w:ascii="Arial"/>
          <w:sz w:val="24"/>
          <w:u w:val="single"/>
          <w:color w:val="black"/>
        </w:rPr>
        <w:t>88</w:t>
      </w:r>
      <w:r>
        <w:fldChar w:fldCharType="end"/>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60605" w:name="SUBSECCIÓN 2.3.1.3.5.7"/>
      <w:r>
        <w:rPr>
          <w:rFonts w:hAnsi="Arial"/>
          <w:rFonts w:ascii="Arial"/>
          <w:sz w:val="24"/>
          <w:color w:val="navy"/>
        </w:rPr>
        <w:t xml:space="preserve">SUBSECCIÓN 7. </w:t>
      </w:r>
    </w:p>
    <w:p>
      <w:pPr>
        <w:jc w:val="center"/>
        <w:outlineLvl w:val="1"/>
      </w:pPr>
      <w:r>
        <w:rPr>
          <w:rFonts w:hAnsi="Arial"/>
          <w:rFonts w:ascii="Arial"/>
          <w:sz w:val="24"/>
          <w:color w:val="navy"/>
        </w:rPr>
        <w:t xml:space="preserve">ORDEN DEL MÉRITO MILITAR AL "MANDO".</w:t>
      </w:r>
      <w:bookmarkEnd w:id="60605"/>
      <w:r>
        <w:rPr>
          <w:rFonts w:hAnsi="Arial"/>
          <w:rFonts w:ascii="Arial"/>
          <w:sz w:val="24"/>
          <w:b/>
          <w:color w:val="black"/>
        </w:rPr>
        <w:t xml:space="preserve"> </w:t>
      </w:r>
    </w:p>
    <w:p>
      <w:pPr>
        <w:jc w:val="both"/>
        <w:outlineLvl w:val="1"/>
      </w:pPr>
      <w:rPr>
        <w:color w:val="black"/>
      </w:rPr>
    </w:p>
    <w:p>
      <w:pPr>
        <w:jc w:val="both"/>
      </w:pPr>
      <w:r>
        <w:rPr>
          <w:rFonts w:hAnsi="Arial"/>
          <w:rFonts w:ascii="Arial"/>
          <w:sz w:val="24"/>
          <w:b/>
          <w:vanish/>
          <w:color w:val="black"/>
        </w:rPr>
        <w:t>&amp;$</w:t>
      </w:r>
      <w:bookmarkStart w:id="60606" w:name="2.3.1.3.5.7.1"/>
      <w:r>
        <w:rPr>
          <w:rFonts w:hAnsi="Arial"/>
          <w:rFonts w:ascii="Arial"/>
          <w:sz w:val="24"/>
          <w:color w:val="navy"/>
        </w:rPr>
        <w:t xml:space="preserve">ARTÍCULO 2.3.1.3.5.7.1. </w:t>
      </w:r>
      <w:r>
        <w:rPr>
          <w:rFonts w:hAnsi="Arial"/>
          <w:rFonts w:ascii="Arial"/>
          <w:sz w:val="24"/>
          <w:i/>
          <w:color w:val="navy"/>
        </w:rPr>
        <w:t>ORIGEN</w:t>
      </w:r>
      <w:r>
        <w:rPr>
          <w:rFonts w:hAnsi="Arial"/>
          <w:rFonts w:ascii="Arial"/>
          <w:sz w:val="24"/>
          <w:color w:val="navy"/>
        </w:rPr>
        <w:t>.</w:t>
      </w:r>
      <w:bookmarkEnd w:id="606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Créase la Orden del Mérito Militar al “Mando” en las categorías Gran Cruz, Gran Oficial, Comendador y Oficial, que busca honrar públicamente y reconocer al personal de Oficiales de las Fuerzas Militares quienes se hayan desempeñado como Comandantes de Unidades Militares y a los Suboficiales de las Fuerzas Militares, que se hayan desempeñado como Asesores de Comando, que por sus virtudes militares y profesionales puestas en la gestión del mando de unidades militares, hayan contribuido a la defensa de la soberanía, la independencia, la integridad del territorio nacional y del orden constitucional. Lo anterior, como premio y estímulo para reconocer y enaltecer a quienes por sus invaluables servicios han dispuesto sus esfuerzos, conocimientos, experiencia, lealtad y mística en su profesión. </w:t>
      </w:r>
    </w:p>
    <w:p>
      <w:pPr>
        <w:jc w:val="both"/>
        <w:outlineLvl w:val="1"/>
      </w:pPr>
      <w:rPr>
        <w:color w:val="black"/>
      </w:rPr>
    </w:p>
    <w:p>
      <w:pPr>
        <w:jc w:val="both"/>
        <w:outlineLvl w:val="1"/>
      </w:pPr>
      <w:r>
        <w:rPr>
          <w:rFonts w:hAnsi="Arial"/>
          <w:rFonts w:ascii="Arial"/>
          <w:sz w:val="24"/>
          <w:b/>
          <w:vanish/>
          <w:color w:val="black"/>
        </w:rPr>
        <w:t>&amp;$</w:t>
      </w:r>
      <w:bookmarkStart w:id="60607" w:name="2.3.1.3.5.7.2"/>
      <w:r>
        <w:rPr>
          <w:rFonts w:hAnsi="Arial"/>
          <w:rFonts w:ascii="Arial"/>
          <w:sz w:val="24"/>
          <w:color w:val="navy"/>
        </w:rPr>
        <w:t xml:space="preserve">ARTÍCULO 2.3.1.3.5.7.2. </w:t>
      </w:r>
      <w:r>
        <w:rPr>
          <w:rFonts w:hAnsi="Arial"/>
          <w:rFonts w:ascii="Arial"/>
          <w:sz w:val="24"/>
          <w:i/>
          <w:color w:val="navy"/>
        </w:rPr>
        <w:t>CARACTERÍSTICAS.</w:t>
      </w:r>
      <w:bookmarkEnd w:id="6060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La Orden del Mérito Militar al “Mando” del Comando General de las Fuerzas Militares se halla conformada por la joya, réplica y venera, así: </w:t>
      </w:r>
    </w:p>
    <w:p>
      <w:pPr>
        <w:jc w:val="both"/>
        <w:outlineLvl w:val="1"/>
      </w:pPr>
      <w:rPr>
        <w:sz w:val="24"/>
        <w:color w:val="black"/>
      </w:rPr>
    </w:p>
    <w:p>
      <w:pPr>
        <w:jc w:val="both"/>
        <w:outlineLvl w:val="1"/>
      </w:pPr>
      <w:r>
        <w:rPr>
          <w:rFonts w:hAnsi="Arial"/>
          <w:rFonts w:ascii="Arial"/>
          <w:sz w:val="24"/>
          <w:color w:val="black"/>
        </w:rPr>
        <w:t xml:space="preserve">La joya está constituida por una pieza troquelada, la cual está conformada en su parte central de fondo de color púrpura el cual representa la unión los colores alusivos del Ejército Nacional (Rojo), la Armada Nacional (azul oscuro) y la Fuerza Aeroespacial Colombiana (azul claro); allí tendrá dos fusiles en aro, con correas del mismo, de los cuales uno irá en barra y otro en banda, es decir, cruzados de color dorado, en su respaldo tendrá el ancla representativa de la Armada Nacional de tipo cepo en situación natural, en cuyo arganeo se halla amarrado y afianzado un cabo cuyo chicote en la una siniestra del escudo, así mismo en la Parte de atrás tendrá de color dorado las dos alas de sable, símbolo de la nobleza, el poder, la constancia y la sabiduría. Sobre la Parte superior del primer tercio del círculo se encuentra el escudo del Comando General de las Fuerzas Militares de Colombia, el cual representa el más alto nivel de planeamiento y dirección estratégica para las instituciones castrenses del país. De igual manera este mismo se encuentra dentro de una circunferencia de 32 estrellas las cuales representan los 32 departamentos de Colombia y el solemne compromiso por parte de las Fuerzas Militares y sus comandantes quienes tienen como finalidad primordial la defensa de la soberanía, la independencia, la integridad del territorio nacional y del orden constitucional. </w:t>
      </w:r>
    </w:p>
    <w:p>
      <w:pPr>
        <w:jc w:val="both"/>
        <w:outlineLvl w:val="1"/>
      </w:pPr>
      <w:rPr>
        <w:sz w:val="24"/>
        <w:color w:val="black"/>
      </w:rPr>
    </w:p>
    <w:p>
      <w:pPr>
        <w:jc w:val="both"/>
        <w:outlineLvl w:val="1"/>
      </w:pPr>
      <w:r>
        <w:rPr>
          <w:rFonts w:hAnsi="Arial"/>
          <w:rFonts w:ascii="Arial"/>
          <w:sz w:val="24"/>
          <w:color w:val="black"/>
        </w:rPr>
        <w:t xml:space="preserve">La joya estará suspendida por una cinta de 40 mm de ancho x 55 mm de alto, con el color púrpura de las Fuerzas Militares de Colombia; y las tres franjas Rojo (Pantone 186 C), azul oscuro (Pantone 654 C) y azul claro (Pantone 660 C). A su vez, la cinta lleva un sobrepuesto de la espada acorde con la categoría en la que sea concedida, con una altura de 20 mm x 30 mm de ancho. Así mismo, si es otorgada por segunda ocasión, llevará un número romano acorde a la ocasión que es concedida en tipografía (Times New Roman) de 55 mm de color bronce en la categoría oficial, color plata en la categoría comendador y gran oficial y, color oro en la categoría gran cruz. </w:t>
      </w:r>
    </w:p>
    <w:p>
      <w:pPr>
        <w:jc w:val="both"/>
        <w:outlineLvl w:val="1"/>
      </w:pPr>
      <w:rPr>
        <w:sz w:val="24"/>
        <w:color w:val="black"/>
      </w:rPr>
    </w:p>
    <w:p>
      <w:pPr>
        <w:jc w:val="both"/>
        <w:outlineLvl w:val="1"/>
      </w:pPr>
      <w:r>
        <w:rPr>
          <w:rFonts w:hAnsi="Arial"/>
          <w:rFonts w:ascii="Arial"/>
          <w:sz w:val="24"/>
          <w:color w:val="black"/>
        </w:rPr>
        <w:t xml:space="preserve">PARTE INTERMEDIA. En la unión dentro de la joya y la cinta se ubica un compás, el cual simboliza la orientación hacia un norte definido por parte de los comandantes de las unidades militares. </w:t>
      </w:r>
    </w:p>
    <w:p>
      <w:pPr>
        <w:jc w:val="both"/>
        <w:outlineLvl w:val="1"/>
      </w:pPr>
      <w:rPr>
        <w:sz w:val="24"/>
        <w:color w:val="black"/>
      </w:rPr>
    </w:p>
    <w:p>
      <w:pPr>
        <w:jc w:val="both"/>
        <w:outlineLvl w:val="1"/>
      </w:pPr>
      <w:r>
        <w:rPr>
          <w:rFonts w:hAnsi="Arial"/>
          <w:rFonts w:ascii="Arial"/>
          <w:sz w:val="24"/>
          <w:color w:val="black"/>
        </w:rPr>
        <w:t xml:space="preserve">CINTA. La cinta superior mantiene la uniformidad púrpura, teniendo en sus bordes laterales las franjas de color rojo que representan al Ejército Nacional, azul oscuro que representa la Armada Nacional y la franja azul cielo que representa la Fuerza Aeroespacial Colombiana, separadas por franjas verticales de color blanco como símbolo de paz.</w:t>
      </w:r>
    </w:p>
    <w:p>
      <w:pPr>
        <w:jc w:val="both"/>
        <w:outlineLvl w:val="1"/>
      </w:pPr>
      <w:rPr>
        <w:sz w:val="24"/>
        <w:color w:val="black"/>
      </w:rPr>
    </w:p>
    <w:p>
      <w:pPr>
        <w:jc w:val="both"/>
        <w:outlineLvl w:val="1"/>
      </w:pPr>
      <w:r>
        <w:rPr>
          <w:rFonts w:hAnsi="Arial"/>
          <w:rFonts w:ascii="Arial"/>
          <w:sz w:val="24"/>
          <w:b/>
          <w:color w:val="black"/>
        </w:rPr>
        <w:t xml:space="preserve">“Categoría Oficial”. </w:t>
      </w:r>
      <w:r>
        <w:rPr>
          <w:rFonts w:hAnsi="Arial"/>
          <w:rFonts w:ascii="Arial"/>
          <w:sz w:val="24"/>
          <w:color w:val="black"/>
        </w:rPr>
        <w:t xml:space="preserve">Similar a la anterior, en plateado brillante suspendida de una cinta igual a la anterior con una roseta al centro, esmaltada al fuego, con el Tricolor Nacional, de seis (6) milímetros de diámetro. </w:t>
      </w:r>
    </w:p>
    <w:p>
      <w:pPr>
        <w:jc w:val="both"/>
        <w:outlineLvl w:val="1"/>
      </w:pPr>
      <w:rPr>
        <w:sz w:val="24"/>
        <w:b/>
        <w:color w:val="black"/>
      </w:rPr>
    </w:p>
    <w:p>
      <w:pPr>
        <w:jc w:val="both"/>
        <w:outlineLvl w:val="1"/>
      </w:pPr>
      <w:r>
        <w:rPr>
          <w:rFonts w:hAnsi="Arial"/>
          <w:rFonts w:ascii="Arial"/>
          <w:sz w:val="24"/>
          <w:b/>
          <w:color w:val="black"/>
        </w:rPr>
        <w:t xml:space="preserve">“Categoría Comendador”. </w:t>
      </w:r>
      <w:r>
        <w:rPr>
          <w:rFonts w:hAnsi="Arial"/>
          <w:rFonts w:ascii="Arial"/>
          <w:sz w:val="24"/>
          <w:color w:val="black"/>
        </w:rPr>
        <w:t xml:space="preserve">Similar a la anterior, dorada, para suspender al cuello por medio de una cinta amarilla de cuarenta (40) milímetros de ancho y cincuenta y cinco (55) centímetros de longitud, con tiras de tres (3) o cuatro (4) milímetros de ancho para anudarla detrás. Debe pasar dentro del cuello si se trata de un militar. En el centro lleva un galón metálico de siete (7) por diecisiete (17) milímetros, con una estrella de cinco (5) puntas, en plateado, respectivamente. </w:t>
      </w:r>
    </w:p>
    <w:p>
      <w:pPr>
        <w:jc w:val="both"/>
        <w:outlineLvl w:val="1"/>
      </w:pPr>
      <w:rPr>
        <w:sz w:val="24"/>
        <w:b/>
        <w:color w:val="black"/>
      </w:rPr>
    </w:p>
    <w:p>
      <w:pPr>
        <w:jc w:val="both"/>
        <w:outlineLvl w:val="1"/>
      </w:pPr>
      <w:r>
        <w:rPr>
          <w:rFonts w:hAnsi="Arial"/>
          <w:rFonts w:ascii="Arial"/>
          <w:sz w:val="24"/>
          <w:b/>
          <w:color w:val="black"/>
        </w:rPr>
        <w:t xml:space="preserve">“Categoría Gran Oficial”. </w:t>
      </w:r>
      <w:r>
        <w:rPr>
          <w:rFonts w:hAnsi="Arial"/>
          <w:rFonts w:ascii="Arial"/>
          <w:sz w:val="24"/>
          <w:color w:val="black"/>
        </w:rPr>
        <w:t xml:space="preserve">Placa convexa de plata dorada, estrellada, con ocho (8) puntas radiadas, cuyo diámetro mayor es de ochenta (80) milímetros, y, en su centro, presenta una cruz igual a la de Oficial. Se coloca en el costado derecho, inmediatamente encima del cinturón. </w:t>
      </w:r>
    </w:p>
    <w:p>
      <w:pPr>
        <w:jc w:val="both"/>
        <w:outlineLvl w:val="1"/>
      </w:pPr>
      <w:rPr>
        <w:sz w:val="24"/>
        <w:b/>
        <w:color w:val="black"/>
      </w:rPr>
    </w:p>
    <w:p>
      <w:pPr>
        <w:jc w:val="both"/>
        <w:outlineLvl w:val="1"/>
      </w:pPr>
      <w:r>
        <w:rPr>
          <w:rFonts w:hAnsi="Arial"/>
          <w:rFonts w:ascii="Arial"/>
          <w:sz w:val="24"/>
          <w:b/>
          <w:color w:val="black"/>
        </w:rPr>
        <w:t xml:space="preserve">“Categoría Gran Cruz”. </w:t>
      </w:r>
      <w:r>
        <w:rPr>
          <w:rFonts w:hAnsi="Arial"/>
          <w:rFonts w:ascii="Arial"/>
          <w:sz w:val="24"/>
          <w:color w:val="black"/>
        </w:rPr>
        <w:t xml:space="preserve">Consiste en una placa de plata brillante similar a la de Gran Oficial, con una cruz de plata dorada, similar a la de Comendador. Lleva una banda de cien (100) milímetros de ancho, de color amarillo y en sus bordes tiene los colores de la Bandera Nacional, en un ancho de diez (10) milímetros; la longitud de la banda es de uno sesenta y cinco (1.65) metros, con un lazo especial en el extremo, del cual pende una joya similar a la de Comendador. Esta banda se lleva terciada del hombro derecho al costado izquierdo.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b/>
          <w:i/>
          <w:color w:val="black"/>
        </w:rPr>
        <w:t xml:space="preserve">La miniatura o réplica. </w:t>
      </w:r>
      <w:r>
        <w:rPr>
          <w:rFonts w:hAnsi="Arial"/>
          <w:rFonts w:ascii="Arial"/>
          <w:sz w:val="24"/>
          <w:color w:val="black"/>
        </w:rPr>
        <w:t xml:space="preserve">La miniatura o réplica será similar a la joya de la condecoración, pero reducida a un diámetro de 20 mm, suspendida por una cinta similar de la joya, de 15 mm de ancho X 35 mm de alto, según lo contemplado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w:t>
      </w:r>
      <w:r>
        <w:rPr>
          <w:rFonts w:hAnsi="Arial"/>
          <w:rFonts w:ascii="Arial"/>
          <w:sz w:val="24"/>
          <w:b/>
          <w:i/>
          <w:color w:val="black"/>
        </w:rPr>
        <w:t xml:space="preserve">La venera. </w:t>
      </w:r>
      <w:r>
        <w:rPr>
          <w:rFonts w:hAnsi="Arial"/>
          <w:rFonts w:ascii="Arial"/>
          <w:sz w:val="24"/>
          <w:color w:val="black"/>
        </w:rPr>
        <w:t xml:space="preserve">Será un rectángulo metálico esmaltado de 40 mm de ancho x 10 mm de alto, dividida de igual forma que la cinta; amarillo (Pantone 116 C), azul (Pantone 287 C) y rojo (Pantone 186 C). A su vez la lleva un sobrepuesto de la espada del Libertador, con una altura de 6 mm x 30 mm de ancho, en acabado dorado brillante y moldeada en alto relieve. </w:t>
      </w:r>
    </w:p>
    <w:p>
      <w:pPr>
        <w:jc w:val="both"/>
        <w:outlineLvl w:val="1"/>
      </w:pPr>
      <w:rPr>
        <w:color w:val="black"/>
      </w:rPr>
    </w:p>
    <w:p>
      <w:pPr>
        <w:jc w:val="both"/>
        <w:outlineLvl w:val="1"/>
      </w:pPr>
      <w:r>
        <w:rPr>
          <w:rFonts w:hAnsi="Arial"/>
          <w:rFonts w:ascii="Arial"/>
          <w:sz w:val="24"/>
          <w:b/>
          <w:vanish/>
          <w:color w:val="black"/>
        </w:rPr>
        <w:t>&amp;$</w:t>
      </w:r>
      <w:bookmarkStart w:id="60608" w:name="2.3.1.3.5.7.3"/>
      <w:r>
        <w:rPr>
          <w:rFonts w:hAnsi="Arial"/>
          <w:rFonts w:ascii="Arial"/>
          <w:sz w:val="24"/>
          <w:color w:val="navy"/>
        </w:rPr>
        <w:t xml:space="preserve">ARTÍCULO 2.3.1.3.5.7.3. </w:t>
      </w:r>
      <w:r>
        <w:rPr>
          <w:rFonts w:hAnsi="Arial"/>
          <w:rFonts w:ascii="Arial"/>
          <w:sz w:val="24"/>
          <w:i/>
          <w:color w:val="navy"/>
        </w:rPr>
        <w:t xml:space="preserve">CONSEJO DE LA MEDALLA</w:t>
      </w:r>
      <w:r>
        <w:rPr>
          <w:rFonts w:hAnsi="Arial"/>
          <w:rFonts w:ascii="Arial"/>
          <w:sz w:val="24"/>
          <w:color w:val="navy"/>
        </w:rPr>
        <w:t>.</w:t>
      </w:r>
      <w:bookmarkEnd w:id="60608"/>
      <w:r>
        <w:rPr>
          <w:rFonts w:hAnsi="Arial"/>
          <w:rFonts w:ascii="Arial"/>
          <w:sz w:val="24"/>
          <w:color w:val="black"/>
        </w:rPr>
        <w:t xml:space="preserve"> &lt;Artículo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El Consejo de la Orden del Mérito Militar al “Mando” en las categorías Gran Cruz, Gran Oficial, Comendador y Oficial, estará integrado así: </w:t>
      </w:r>
    </w:p>
    <w:tbl>
      <w:tblGrid>
        <w:gridCol w:w="4280"/>
        <w:gridCol w:w="4540"/>
      </w:tblGrid>
      <w:tblPr>
        <w:tblW w:w="8838" w:type="dxa"/>
        <w:tblBorders/>
      </w:tblPr>
      <w:tr>
        <w:trPr/>
        <w:tc>
          <w:tcPr>
            <w:tcW w:w="4297" w:type="dxa"/>
            <w:tcMar/>
            <w:tcBorders>
              <w:top w:val="single" w:sz="1" w:space="0" w:color="auto"/>
              <w:left w:val="single" w:sz="1" w:space="0" w:color="auto"/>
            </w:tcBorders>
          </w:tcPr>
          <w:p>
            <w:pPr>
              <w:jc w:val="both"/>
            </w:pPr>
            <w:r>
              <w:rPr>
                <w:rFonts w:hAnsi="Arial"/>
                <w:rFonts w:ascii="Arial"/>
                <w:sz w:val="20"/>
                <w:b/>
                <w:color w:val="black"/>
              </w:rPr>
              <w:t xml:space="preserve">Gran Maestre: </w:t>
            </w:r>
          </w:p>
        </w:tc>
        <w:tc>
          <w:tcPr>
            <w:tcW w:w="4541"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Presidente de la República </w:t>
            </w:r>
          </w:p>
        </w:tc>
      </w:tr>
      <w:tr>
        <w:trPr/>
        <w:tc>
          <w:tcPr>
            <w:tcW w:w="4297" w:type="dxa"/>
            <w:tcMar/>
            <w:tcBorders>
              <w:top w:val="single" w:sz="1" w:space="0" w:color="auto"/>
              <w:left w:val="single" w:sz="1" w:space="0" w:color="auto"/>
            </w:tcBorders>
          </w:tcPr>
          <w:p>
            <w:pPr>
              <w:jc w:val="both"/>
            </w:pPr>
            <w:r>
              <w:rPr>
                <w:rFonts w:hAnsi="Arial"/>
                <w:rFonts w:ascii="Arial"/>
                <w:sz w:val="20"/>
                <w:b/>
                <w:color w:val="black"/>
              </w:rPr>
              <w:t xml:space="preserve">Gran Canciller: </w:t>
            </w:r>
          </w:p>
        </w:tc>
        <w:tc>
          <w:tcPr>
            <w:tcW w:w="4541"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Ministro de Defensa Nacional </w:t>
            </w:r>
          </w:p>
        </w:tc>
      </w:tr>
      <w:tr>
        <w:trPr/>
        <w:tc>
          <w:tcPr>
            <w:tcW w:w="4297" w:type="dxa"/>
            <w:tcMar/>
            <w:tcBorders>
              <w:top w:val="single" w:sz="1" w:space="0" w:color="auto"/>
              <w:left w:val="single" w:sz="1" w:space="0" w:color="auto"/>
            </w:tcBorders>
          </w:tcPr>
          <w:p>
            <w:pPr>
              <w:jc w:val="both"/>
            </w:pPr>
            <w:r>
              <w:rPr>
                <w:rFonts w:hAnsi="Arial"/>
                <w:rFonts w:ascii="Arial"/>
                <w:sz w:val="20"/>
                <w:b/>
                <w:color w:val="black"/>
              </w:rPr>
              <w:t xml:space="preserve">Miembro Benemérito: </w:t>
            </w:r>
          </w:p>
        </w:tc>
        <w:tc>
          <w:tcPr>
            <w:tcW w:w="4541"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Comandante General Fuerzas Militares </w:t>
            </w:r>
          </w:p>
        </w:tc>
      </w:tr>
      <w:tr>
        <w:trPr/>
        <w:tc>
          <w:tcPr>
            <w:tcW w:w="4297" w:type="dxa"/>
            <w:tcMar/>
            <w:tcBorders>
              <w:top w:val="single" w:sz="1" w:space="0" w:color="auto"/>
              <w:left w:val="single" w:sz="1" w:space="0" w:color="auto"/>
            </w:tcBorders>
          </w:tcPr>
          <w:p>
            <w:pPr>
              <w:jc w:val="both"/>
            </w:pPr>
            <w:r>
              <w:rPr>
                <w:rFonts w:hAnsi="Arial"/>
                <w:rFonts w:ascii="Arial"/>
                <w:sz w:val="20"/>
                <w:b/>
                <w:color w:val="black"/>
              </w:rPr>
              <w:t xml:space="preserve">Vocal: </w:t>
            </w:r>
          </w:p>
        </w:tc>
        <w:tc>
          <w:tcPr>
            <w:tcW w:w="4541"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Jefe de Estado Mayor Conjunto </w:t>
            </w:r>
          </w:p>
        </w:tc>
      </w:tr>
      <w:tr>
        <w:trPr/>
        <w:tc>
          <w:tcPr>
            <w:tcW w:w="4297" w:type="dxa"/>
            <w:tcMar/>
            <w:tcBorders>
              <w:top w:val="single" w:sz="1" w:space="0" w:color="auto"/>
              <w:left w:val="single" w:sz="1" w:space="0" w:color="auto"/>
              <w:bottom w:val="single" w:sz="1" w:space="0" w:color="auto"/>
            </w:tcBorders>
          </w:tcPr>
          <w:p>
            <w:pPr>
              <w:jc w:val="both"/>
            </w:pPr>
            <w:r>
              <w:rPr>
                <w:rFonts w:hAnsi="Arial"/>
                <w:rFonts w:ascii="Arial"/>
                <w:sz w:val="20"/>
                <w:b/>
                <w:color w:val="black"/>
              </w:rPr>
              <w:t xml:space="preserve">Secretario: </w:t>
            </w:r>
          </w:p>
        </w:tc>
        <w:tc>
          <w:tcPr>
            <w:tcW w:w="4541"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0"/>
                <w:color w:val="black"/>
              </w:rPr>
              <w:t xml:space="preserve">Jefe del Departamento Conjunto de Personal </w:t>
            </w:r>
          </w:p>
        </w:tc>
      </w:tr>
    </w:tbl>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la condecoración “Orden del Mérito Militar al Mando” por virtudes militares y profesionales puestas en la gestión del mando de Unidades Militares, será el Comandante General de las Fuerzas Militares, quien presente a consideración del Consejo de la Orden, para su otorgamiento, los candidatos que seleccione entre los propuestos por los Comandos de Fuerza y el Jefe de Estado Mayor Conjunto. </w:t>
      </w:r>
    </w:p>
    <w:p>
      <w:pPr>
        <w:jc w:val="both"/>
        <w:outlineLvl w:val="1"/>
      </w:pPr>
      <w:rPr>
        <w:color w:val="black"/>
      </w:rPr>
    </w:p>
    <w:p>
      <w:pPr>
        <w:jc w:val="both"/>
      </w:pPr>
      <w:r>
        <w:rPr>
          <w:rFonts w:hAnsi="Arial"/>
          <w:rFonts w:ascii="Arial"/>
          <w:sz w:val="24"/>
          <w:b/>
          <w:vanish/>
          <w:color w:val="black"/>
        </w:rPr>
        <w:t>&amp;$</w:t>
      </w:r>
      <w:bookmarkStart w:id="60609" w:name="2.3.1.3.5.7.4"/>
      <w:r>
        <w:rPr>
          <w:rFonts w:hAnsi="Arial"/>
          <w:rFonts w:ascii="Arial"/>
          <w:sz w:val="24"/>
          <w:color w:val="navy"/>
        </w:rPr>
        <w:t xml:space="preserve">ARTÍCULO 2.3.1.3.5.7.4. </w:t>
      </w:r>
      <w:r>
        <w:rPr>
          <w:rFonts w:hAnsi="Arial"/>
          <w:rFonts w:ascii="Arial"/>
          <w:sz w:val="24"/>
          <w:i/>
          <w:color w:val="navy"/>
        </w:rPr>
        <w:t>REQUISITOS</w:t>
      </w:r>
      <w:r>
        <w:rPr>
          <w:rFonts w:hAnsi="Arial"/>
          <w:rFonts w:ascii="Arial"/>
          <w:sz w:val="24"/>
          <w:color w:val="navy"/>
        </w:rPr>
        <w:t>.</w:t>
      </w:r>
      <w:bookmarkEnd w:id="606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Los requisitos para el otorgamiento de Orden del Mérito Militar al “Mando” son: </w:t>
      </w:r>
    </w:p>
    <w:p>
      <w:pPr>
        <w:jc w:val="both"/>
        <w:outlineLvl w:val="1"/>
      </w:pPr>
      <w:rPr>
        <w:sz w:val="24"/>
        <w:color w:val="black"/>
      </w:rPr>
    </w:p>
    <w:p>
      <w:pPr>
        <w:jc w:val="both"/>
        <w:outlineLvl w:val="1"/>
      </w:pPr>
      <w:r>
        <w:rPr>
          <w:rFonts w:hAnsi="Arial"/>
          <w:rFonts w:ascii="Arial"/>
          <w:sz w:val="24"/>
          <w:b/>
          <w:color w:val="black"/>
        </w:rPr>
        <w:t xml:space="preserve">Para Oficiales de las Fuerzas Militares: </w:t>
      </w:r>
    </w:p>
    <w:p>
      <w:pPr>
        <w:jc w:val="both"/>
        <w:outlineLvl w:val="1"/>
      </w:pPr>
      <w:rPr>
        <w:sz w:val="24"/>
        <w:color w:val="black"/>
      </w:rPr>
    </w:p>
    <w:p>
      <w:pPr>
        <w:jc w:val="both"/>
        <w:outlineLvl w:val="1"/>
      </w:pPr>
      <w:r>
        <w:rPr>
          <w:rFonts w:hAnsi="Arial"/>
          <w:rFonts w:ascii="Arial"/>
          <w:sz w:val="24"/>
          <w:color w:val="black"/>
        </w:rPr>
        <w:t xml:space="preserve">1. Haberse desempeñado como Comandante de una Unidad Militar, por un tiempo no menor a un (1) año. </w:t>
      </w:r>
    </w:p>
    <w:p>
      <w:pPr>
        <w:jc w:val="both"/>
        <w:outlineLvl w:val="1"/>
      </w:pPr>
      <w:rPr>
        <w:sz w:val="24"/>
        <w:color w:val="black"/>
      </w:rPr>
    </w:p>
    <w:p>
      <w:pPr>
        <w:jc w:val="both"/>
        <w:outlineLvl w:val="1"/>
      </w:pPr>
      <w:r>
        <w:rPr>
          <w:rFonts w:hAnsi="Arial"/>
          <w:rFonts w:ascii="Arial"/>
          <w:sz w:val="24"/>
          <w:color w:val="black"/>
        </w:rPr>
        <w:t xml:space="preserve">2. Ser postulado por el superior inmediato del Comandante de la Unidad Militar, quién deberá elevar la solicitud al consejo de la Orden del Mérito Militar al “Mando”, atendiendo el debido conducto regular. </w:t>
      </w:r>
    </w:p>
    <w:p>
      <w:pPr>
        <w:jc w:val="both"/>
        <w:outlineLvl w:val="1"/>
      </w:pPr>
      <w:rPr>
        <w:sz w:val="24"/>
        <w:color w:val="black"/>
      </w:rPr>
    </w:p>
    <w:p>
      <w:pPr>
        <w:jc w:val="both"/>
        <w:outlineLvl w:val="1"/>
      </w:pPr>
      <w:r>
        <w:rPr>
          <w:rFonts w:hAnsi="Arial"/>
          <w:rFonts w:ascii="Arial"/>
          <w:sz w:val="24"/>
          <w:color w:val="black"/>
        </w:rPr>
        <w:t xml:space="preserve">3. Que durante el lapso que se haya desempeñado como comandante de Unidad Militar, no haya sido objeto de investigaciones disciplinarias, penales y/o administrativas. </w:t>
      </w:r>
    </w:p>
    <w:p>
      <w:pPr>
        <w:jc w:val="both"/>
        <w:outlineLvl w:val="1"/>
      </w:pPr>
      <w:rPr>
        <w:sz w:val="24"/>
        <w:color w:val="black"/>
      </w:rPr>
    </w:p>
    <w:p>
      <w:pPr>
        <w:jc w:val="both"/>
        <w:outlineLvl w:val="1"/>
      </w:pPr>
      <w:r>
        <w:rPr>
          <w:rFonts w:hAnsi="Arial"/>
          <w:rFonts w:ascii="Arial"/>
          <w:sz w:val="24"/>
          <w:color w:val="black"/>
        </w:rPr>
        <w:t xml:space="preserve">4. Que durante su lapso como Comandante de Unidad Militar haya obtenido resultados operacionales tangibles y conforme con el marco legal, que, además, contribuyan a la defensa de la soberanía, la independencia, la integridad del territorio nacional y del orden constitucional. </w:t>
      </w:r>
    </w:p>
    <w:p>
      <w:pPr>
        <w:jc w:val="both"/>
        <w:outlineLvl w:val="1"/>
      </w:pPr>
      <w:rPr>
        <w:sz w:val="24"/>
        <w:color w:val="black"/>
      </w:rPr>
    </w:p>
    <w:p>
      <w:pPr>
        <w:jc w:val="both"/>
        <w:outlineLvl w:val="1"/>
      </w:pPr>
      <w:r>
        <w:rPr>
          <w:rFonts w:hAnsi="Arial"/>
          <w:rFonts w:ascii="Arial"/>
          <w:sz w:val="24"/>
          <w:color w:val="black"/>
        </w:rPr>
        <w:t xml:space="preserve">5. Que durante los tres (3) últimos años hayan sido clasificados en lista uno (1), dos (2) o tres (3). </w:t>
      </w:r>
    </w:p>
    <w:p>
      <w:pPr>
        <w:jc w:val="both"/>
        <w:outlineLvl w:val="1"/>
      </w:pPr>
      <w:rPr>
        <w:sz w:val="24"/>
        <w:color w:val="black"/>
      </w:rPr>
    </w:p>
    <w:p>
      <w:pPr>
        <w:jc w:val="both"/>
        <w:outlineLvl w:val="1"/>
      </w:pPr>
      <w:r>
        <w:rPr>
          <w:rFonts w:hAnsi="Arial"/>
          <w:rFonts w:ascii="Arial"/>
          <w:sz w:val="24"/>
          <w:color w:val="black"/>
        </w:rPr>
        <w:t xml:space="preserve">6. Que durante los tres últimos años no hayan sido objeto de sanción disciplinaria. </w:t>
      </w:r>
    </w:p>
    <w:p>
      <w:pPr>
        <w:jc w:val="both"/>
        <w:outlineLvl w:val="1"/>
      </w:pPr>
      <w:rPr>
        <w:sz w:val="24"/>
        <w:color w:val="black"/>
      </w:rPr>
    </w:p>
    <w:p>
      <w:pPr>
        <w:jc w:val="both"/>
        <w:outlineLvl w:val="1"/>
      </w:pPr>
      <w:r>
        <w:rPr>
          <w:rFonts w:hAnsi="Arial"/>
          <w:rFonts w:ascii="Arial"/>
          <w:sz w:val="24"/>
          <w:color w:val="black"/>
        </w:rPr>
        <w:t xml:space="preserve">7. Tener mínimo quince (15) años de tiempo de servicio como Oficial de las Fuerzas Militares. </w:t>
      </w:r>
    </w:p>
    <w:p>
      <w:pPr>
        <w:jc w:val="both"/>
        <w:outlineLvl w:val="1"/>
      </w:pPr>
      <w:rPr>
        <w:sz w:val="24"/>
        <w:color w:val="black"/>
      </w:rPr>
    </w:p>
    <w:p>
      <w:pPr>
        <w:jc w:val="both"/>
        <w:outlineLvl w:val="1"/>
      </w:pPr>
      <w:r>
        <w:rPr>
          <w:rFonts w:hAnsi="Arial"/>
          <w:rFonts w:ascii="Arial"/>
          <w:sz w:val="24"/>
          <w:b/>
          <w:color w:val="black"/>
        </w:rPr>
        <w:t xml:space="preserve">Para Suboficiales de las Fuerzas Militares: </w:t>
      </w:r>
    </w:p>
    <w:p>
      <w:pPr>
        <w:jc w:val="both"/>
        <w:outlineLvl w:val="1"/>
      </w:pPr>
      <w:rPr>
        <w:sz w:val="24"/>
        <w:color w:val="black"/>
      </w:rPr>
    </w:p>
    <w:p>
      <w:pPr>
        <w:jc w:val="both"/>
        <w:outlineLvl w:val="1"/>
      </w:pPr>
      <w:r>
        <w:rPr>
          <w:rFonts w:hAnsi="Arial"/>
          <w:rFonts w:ascii="Arial"/>
          <w:sz w:val="24"/>
          <w:color w:val="black"/>
        </w:rPr>
        <w:t xml:space="preserve">1. Haberse desempeñado como Asesor de Comando de una Unidad Militar, por un tiempo no menor a un (1) año. </w:t>
      </w:r>
    </w:p>
    <w:p>
      <w:pPr>
        <w:jc w:val="both"/>
        <w:outlineLvl w:val="1"/>
      </w:pPr>
      <w:rPr>
        <w:sz w:val="24"/>
        <w:color w:val="black"/>
      </w:rPr>
    </w:p>
    <w:p>
      <w:pPr>
        <w:jc w:val="both"/>
        <w:outlineLvl w:val="1"/>
      </w:pPr>
      <w:r>
        <w:rPr>
          <w:rFonts w:hAnsi="Arial"/>
          <w:rFonts w:ascii="Arial"/>
          <w:sz w:val="24"/>
          <w:color w:val="black"/>
        </w:rPr>
        <w:t xml:space="preserve">2. Ser postulado por el superior inmediato de la unidad operacional, quien deberá elevar la solicitud al consejo de la Orden del Mérito Militar al “Mando”, atendiendo el debido conducto regular. </w:t>
      </w:r>
    </w:p>
    <w:p>
      <w:pPr>
        <w:jc w:val="both"/>
        <w:outlineLvl w:val="1"/>
      </w:pPr>
      <w:rPr>
        <w:sz w:val="24"/>
        <w:color w:val="black"/>
      </w:rPr>
    </w:p>
    <w:p>
      <w:pPr>
        <w:jc w:val="both"/>
        <w:outlineLvl w:val="1"/>
      </w:pPr>
      <w:r>
        <w:rPr>
          <w:rFonts w:hAnsi="Arial"/>
          <w:rFonts w:ascii="Arial"/>
          <w:sz w:val="24"/>
          <w:color w:val="black"/>
        </w:rPr>
        <w:t xml:space="preserve">3. Que durante el lapso que se haya desempeñado como Asesor de Comando, no haya sido objeto de investigaciones disciplinarias, penales y/o administrativas.</w:t>
      </w:r>
    </w:p>
    <w:p>
      <w:pPr>
        <w:jc w:val="both"/>
        <w:outlineLvl w:val="1"/>
      </w:pPr>
      <w:rPr>
        <w:sz w:val="24"/>
        <w:color w:val="black"/>
      </w:rPr>
    </w:p>
    <w:p>
      <w:pPr>
        <w:jc w:val="both"/>
        <w:outlineLvl w:val="1"/>
      </w:pPr>
      <w:r>
        <w:rPr>
          <w:rFonts w:hAnsi="Arial"/>
          <w:rFonts w:ascii="Arial"/>
          <w:sz w:val="24"/>
          <w:color w:val="black"/>
        </w:rPr>
        <w:t xml:space="preserve">4. Que en los últimos tres (3) años no haya sido condenado por la Justicia Penal Militar o la Ordinaria y/o sancionado por autoridad administrativa o disciplinaria. </w:t>
      </w:r>
    </w:p>
    <w:p>
      <w:pPr>
        <w:jc w:val="both"/>
        <w:outlineLvl w:val="1"/>
      </w:pPr>
      <w:rPr>
        <w:sz w:val="24"/>
        <w:color w:val="black"/>
      </w:rPr>
    </w:p>
    <w:p>
      <w:pPr>
        <w:jc w:val="both"/>
        <w:outlineLvl w:val="1"/>
      </w:pPr>
      <w:r>
        <w:rPr>
          <w:rFonts w:hAnsi="Arial"/>
          <w:rFonts w:ascii="Arial"/>
          <w:sz w:val="24"/>
          <w:color w:val="black"/>
        </w:rPr>
        <w:t xml:space="preserve">5. Que no haya sido suspendido en el ejercicio de funciones y atribuciones en los últimos tres (3) años. </w:t>
      </w:r>
    </w:p>
    <w:p>
      <w:pPr>
        <w:jc w:val="both"/>
        <w:outlineLvl w:val="1"/>
      </w:pPr>
      <w:rPr>
        <w:color w:val="black"/>
      </w:rPr>
    </w:p>
    <w:p>
      <w:pPr>
        <w:jc w:val="both"/>
        <w:outlineLvl w:val="1"/>
      </w:pPr>
      <w:r>
        <w:rPr>
          <w:rFonts w:hAnsi="Arial"/>
          <w:rFonts w:ascii="Arial"/>
          <w:sz w:val="24"/>
          <w:b/>
          <w:vanish/>
          <w:color w:val="black"/>
        </w:rPr>
        <w:t>&amp;$</w:t>
      </w:r>
      <w:bookmarkStart w:id="60610" w:name="2.3.1.3.5.7.5"/>
      <w:r>
        <w:rPr>
          <w:rFonts w:hAnsi="Arial"/>
          <w:rFonts w:ascii="Arial"/>
          <w:sz w:val="24"/>
          <w:color w:val="navy"/>
        </w:rPr>
        <w:t xml:space="preserve">ARTÍCULO 2.3.1.3.5.7.5. </w:t>
      </w:r>
      <w:r>
        <w:rPr>
          <w:rFonts w:hAnsi="Arial"/>
          <w:rFonts w:ascii="Arial"/>
          <w:sz w:val="24"/>
          <w:i/>
          <w:color w:val="navy"/>
        </w:rPr>
        <w:t>OTORGAMIENTO</w:t>
      </w:r>
      <w:r>
        <w:rPr>
          <w:rFonts w:hAnsi="Arial"/>
          <w:rFonts w:ascii="Arial"/>
          <w:sz w:val="24"/>
          <w:color w:val="navy"/>
        </w:rPr>
        <w:t>.</w:t>
      </w:r>
      <w:bookmarkEnd w:id="606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La Orden del Mérito Militar al “Mando” será conferida por Decreto del Gobierno nacional, en cuatro (4) categorías, en función del grado, así: </w:t>
      </w:r>
    </w:p>
    <w:p>
      <w:pPr>
        <w:jc w:val="both"/>
        <w:outlineLvl w:val="1"/>
      </w:pPr>
      <w:rPr>
        <w:sz w:val="24"/>
        <w:color w:val="black"/>
      </w:rPr>
    </w:p>
    <w:p>
      <w:pPr>
        <w:jc w:val="both"/>
        <w:outlineLvl w:val="1"/>
      </w:pPr>
      <w:r>
        <w:rPr>
          <w:rFonts w:hAnsi="Arial"/>
          <w:rFonts w:ascii="Arial"/>
          <w:sz w:val="24"/>
          <w:color w:val="black"/>
        </w:rPr>
        <w:t xml:space="preserve">a) </w:t>
      </w:r>
      <w:r>
        <w:rPr>
          <w:rFonts w:hAnsi="Arial"/>
          <w:rFonts w:ascii="Arial"/>
          <w:sz w:val="24"/>
          <w:b/>
          <w:color w:val="black"/>
        </w:rPr>
        <w:t xml:space="preserve">Gran Cruz. </w:t>
      </w:r>
      <w:r>
        <w:rPr>
          <w:rFonts w:hAnsi="Arial"/>
          <w:rFonts w:ascii="Arial"/>
          <w:sz w:val="24"/>
          <w:color w:val="black"/>
        </w:rPr>
        <w:t xml:space="preserve">Se podrá conceder al Presidente de la República, Ministro de Defensa Nacional, Comandante General de las Fuerzas Militares, Jefe de Estado Mayor Conjunto y Comandantes de Fuerza. </w:t>
      </w:r>
    </w:p>
    <w:p>
      <w:pPr>
        <w:jc w:val="both"/>
        <w:outlineLvl w:val="1"/>
      </w:pPr>
      <w:rPr>
        <w:sz w:val="24"/>
        <w:color w:val="black"/>
      </w:rPr>
    </w:p>
    <w:p>
      <w:pPr>
        <w:jc w:val="both"/>
        <w:outlineLvl w:val="1"/>
      </w:pPr>
      <w:r>
        <w:rPr>
          <w:rFonts w:hAnsi="Arial"/>
          <w:rFonts w:ascii="Arial"/>
          <w:sz w:val="24"/>
          <w:color w:val="black"/>
        </w:rPr>
        <w:t xml:space="preserve">b) </w:t>
      </w:r>
      <w:r>
        <w:rPr>
          <w:rFonts w:hAnsi="Arial"/>
          <w:rFonts w:ascii="Arial"/>
          <w:sz w:val="24"/>
          <w:b/>
          <w:color w:val="black"/>
        </w:rPr>
        <w:t xml:space="preserve">Gran Oficial. </w:t>
      </w:r>
      <w:r>
        <w:rPr>
          <w:rFonts w:hAnsi="Arial"/>
          <w:rFonts w:ascii="Arial"/>
          <w:sz w:val="24"/>
          <w:color w:val="black"/>
        </w:rPr>
        <w:t xml:space="preserve">Se podrá conferir o promover a los señores Oficiales Generales y de Insignia de las Fuerzas Militares, en los grados de General, Mayor General y Brigadier General o sus equivalentes en las Fuerzas Militares. </w:t>
      </w:r>
    </w:p>
    <w:p>
      <w:pPr>
        <w:jc w:val="both"/>
        <w:outlineLvl w:val="1"/>
      </w:pPr>
      <w:rPr>
        <w:sz w:val="24"/>
        <w:color w:val="black"/>
      </w:rPr>
    </w:p>
    <w:p>
      <w:pPr>
        <w:jc w:val="both"/>
        <w:outlineLvl w:val="1"/>
      </w:pPr>
      <w:r>
        <w:rPr>
          <w:rFonts w:hAnsi="Arial"/>
          <w:rFonts w:ascii="Arial"/>
          <w:sz w:val="24"/>
          <w:color w:val="black"/>
        </w:rPr>
        <w:t xml:space="preserve">c) </w:t>
      </w:r>
      <w:r>
        <w:rPr>
          <w:rFonts w:hAnsi="Arial"/>
          <w:rFonts w:ascii="Arial"/>
          <w:sz w:val="24"/>
          <w:b/>
          <w:color w:val="black"/>
        </w:rPr>
        <w:t xml:space="preserve">Comendador. </w:t>
      </w:r>
      <w:r>
        <w:rPr>
          <w:rFonts w:hAnsi="Arial"/>
          <w:rFonts w:ascii="Arial"/>
          <w:sz w:val="24"/>
          <w:color w:val="black"/>
        </w:rPr>
        <w:t xml:space="preserve">Se podrá conferir y promover a los Oficiales de las Fuerzas Militares en los grados de Coronel o Capitán de Navío, Teniente Coronel o Capitán de Fragata, al Sargento Mayor de Comando Conjunto y al Sargento Mayor de Comando o su equivalente en cada Fuerza. </w:t>
      </w:r>
    </w:p>
    <w:p>
      <w:pPr>
        <w:jc w:val="both"/>
        <w:outlineLvl w:val="1"/>
      </w:pPr>
      <w:rPr>
        <w:sz w:val="24"/>
        <w:color w:val="black"/>
      </w:rPr>
    </w:p>
    <w:p>
      <w:pPr>
        <w:jc w:val="both"/>
        <w:outlineLvl w:val="1"/>
      </w:pPr>
      <w:r>
        <w:rPr>
          <w:rFonts w:hAnsi="Arial"/>
          <w:rFonts w:ascii="Arial"/>
          <w:sz w:val="24"/>
          <w:color w:val="black"/>
        </w:rPr>
        <w:t xml:space="preserve">d) </w:t>
      </w:r>
      <w:r>
        <w:rPr>
          <w:rFonts w:hAnsi="Arial"/>
          <w:rFonts w:ascii="Arial"/>
          <w:sz w:val="24"/>
          <w:b/>
          <w:color w:val="black"/>
        </w:rPr>
        <w:t xml:space="preserve">Oficial. </w:t>
      </w:r>
      <w:r>
        <w:rPr>
          <w:rFonts w:hAnsi="Arial"/>
          <w:rFonts w:ascii="Arial"/>
          <w:sz w:val="24"/>
          <w:color w:val="black"/>
        </w:rPr>
        <w:t xml:space="preserve">Se podrá conferir y promover a los Oficiales de las Fuerzas Militares, en los grados de Mayor o Capitán de Corbeta, Capitán o Teniente de Navío, a los Sargentos Mayores o sus equivalentes en las Fuerzas.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personalidades indicadas en la categoría Gran Cruz, por el simple hecho de su dignidad, se harán acreedoras de la Orden del Mérito Militar al “Mando”. Para las demás categorías, se requiere acreditar que el personal haya prestado eminentes servicios en su función de mando de unidad militar y asesor de Comando, contribuyendo de manera significativa a la defensa de la soberanía, la independencia, la integridad del territorio nacional y del orden constitucional. </w:t>
      </w:r>
    </w:p>
    <w:p>
      <w:pPr>
        <w:jc w:val="both"/>
        <w:outlineLvl w:val="1"/>
      </w:pPr>
      <w:rPr>
        <w:color w:val="black"/>
      </w:rPr>
    </w:p>
    <w:p>
      <w:pPr>
        <w:jc w:val="both"/>
        <w:outlineLvl w:val="1"/>
      </w:pPr>
      <w:r>
        <w:rPr>
          <w:rFonts w:hAnsi="Arial"/>
          <w:rFonts w:ascii="Arial"/>
          <w:sz w:val="24"/>
          <w:b/>
          <w:vanish/>
          <w:color w:val="black"/>
        </w:rPr>
        <w:t>&amp;$</w:t>
      </w:r>
      <w:bookmarkStart w:id="60611" w:name="2.3.1.3.5.7.6"/>
      <w:r>
        <w:rPr>
          <w:rFonts w:hAnsi="Arial"/>
          <w:rFonts w:ascii="Arial"/>
          <w:sz w:val="24"/>
          <w:color w:val="navy"/>
        </w:rPr>
        <w:t xml:space="preserve">ARTÍCULO 2.3.1.3.5.7.6. </w:t>
      </w:r>
      <w:r>
        <w:rPr>
          <w:rFonts w:hAnsi="Arial"/>
          <w:rFonts w:ascii="Arial"/>
          <w:sz w:val="24"/>
          <w:i/>
          <w:color w:val="navy"/>
        </w:rPr>
        <w:t>DIPLOMA</w:t>
      </w:r>
      <w:r>
        <w:rPr>
          <w:rFonts w:hAnsi="Arial"/>
          <w:rFonts w:ascii="Arial"/>
          <w:sz w:val="24"/>
          <w:color w:val="navy"/>
        </w:rPr>
        <w:t>.</w:t>
      </w:r>
      <w:bookmarkEnd w:id="606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2226 de 2023. El nuevo texto es el siguiente:&gt; Los diplomas en cada categoría deben ser elaborados en papel pergamino o cartulina blanca, con las siguientes dimensiones: treinta y dos (32) centímetros de ancho, por veintidós (22) centímetros de alto, con el dibujo del adverso de la medalla en la Parte superior izquierda y el reverso en la Parte superior derecha. </w:t>
      </w:r>
    </w:p>
    <w:p>
      <w:pPr>
        <w:jc w:val="both"/>
        <w:outlineLvl w:val="1"/>
      </w:pPr>
      <w:r>
        <w:drawing>
          <wp:inline distT="0" distB="0" distL="0" distR="0">
            <wp:extent cx="5612130" cy="3204210"/>
            <wp:docPr id="13" name=""/>
            <a:graphic xmlns:a="http://schemas.openxmlformats.org/drawingml/2006/main">
              <a:graphicData uri="http://schemas.openxmlformats.org/drawingml/2006/picture">
                <pic:pic xmlns:pic="http://schemas.openxmlformats.org/drawingml/2006/picture">
                  <pic:nvPicPr>
                    <pic:cNvPr id="12" name="Picture "/>
                    <pic:cNvPicPr/>
                  </pic:nvPicPr>
                  <pic:blipFill>
                    <a:blip r:embed="id12"/>
                    <a:stretch>
                      <a:fillRect/>
                    </a:stretch>
                  </pic:blipFill>
                  <pic:spPr>
                    <a:xfrm>
                      <a:off x="0" y="0"/>
                      <a:ext cx="5612130" cy="3204210"/>
                    </a:xfrm>
                    <a:prstGeom prst="rect">
                      <a:avLst/>
                    </a:prstGeom>
                  </pic:spPr>
                </pic:pic>
              </a:graphicData>
            </a:graphic>
          </wp:inline>
        </w:drawing>
      </w:r>
    </w:p>
    <w:p>
      <w:pPr>
        <w:jc w:val="both"/>
        <w:outlineLvl w:val="1"/>
      </w:pPr>
      <w:rPr>
        <w:color w:val="black"/>
      </w:rPr>
    </w:p>
    <w:p>
      <w:pPr>
        <w:jc w:val="both"/>
        <w:outlineLvl w:val="1"/>
      </w:pPr>
      <w:r>
        <w:rPr>
          <w:rFonts w:hAnsi="Arial"/>
          <w:rFonts w:ascii="Arial"/>
          <w:sz w:val="24"/>
          <w:vanish/>
          <w:color w:val="black"/>
        </w:rPr>
        <w:t>&amp;$</w:t>
      </w:r>
    </w:p>
    <w:p>
      <w:pPr>
        <w:jc w:val="both"/>
        <w:outlineLvl w:val="1"/>
      </w:pPr>
      <w:rPr>
        <w:sz w:val="24"/>
        <w:color w:val="black"/>
      </w:rPr>
    </w:p>
    <w:p>
      <w:pPr>
        <w:jc w:val="center"/>
        <w:outlineLvl w:val="1"/>
      </w:pPr>
      <w:r>
        <w:rPr>
          <w:rFonts w:hAnsi="Arial"/>
          <w:rFonts w:ascii="Arial"/>
          <w:sz w:val="24"/>
          <w:vanish/>
          <w:color w:val="black"/>
        </w:rPr>
        <w:t>&amp;$</w:t>
      </w:r>
      <w:bookmarkStart w:id="60612" w:name="SECCIÓN 2.3.1.3.6"/>
      <w:r>
        <w:rPr>
          <w:rFonts w:hAnsi="Arial"/>
          <w:rFonts w:ascii="Arial"/>
          <w:sz w:val="24"/>
          <w:color w:val="navy"/>
        </w:rPr>
        <w:t xml:space="preserve">SECCIÓN 6. </w:t>
      </w:r>
    </w:p>
    <w:p>
      <w:pPr>
        <w:jc w:val="center"/>
        <w:outlineLvl w:val="1"/>
      </w:pPr>
      <w:r>
        <w:rPr>
          <w:rFonts w:hAnsi="Arial"/>
          <w:rFonts w:ascii="Arial"/>
          <w:sz w:val="24"/>
          <w:color w:val="navy"/>
        </w:rPr>
        <w:t xml:space="preserve">ORIGEN, CATEGORÍAS Y CARACTERÍSTICAS ESPECIALES DE LAS CONDECORACIONES POR SERVICIOS DISTINGUIDOS PRESTADOS A LA INSTITUCIÓN MILITAR.</w:t>
      </w:r>
      <w:bookmarkEnd w:id="60612"/>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60613" w:name="2.3.1.3.6.1"/>
      <w:r>
        <w:rPr>
          <w:rFonts w:hAnsi="Arial"/>
          <w:rFonts w:ascii="Arial"/>
          <w:sz w:val="24"/>
          <w:color w:val="navy"/>
        </w:rPr>
        <w:t xml:space="preserve">ARTÍCULO 2.3.1.3.6.1. </w:t>
      </w:r>
      <w:r>
        <w:rPr>
          <w:rFonts w:hAnsi="Arial"/>
          <w:rFonts w:ascii="Arial"/>
          <w:sz w:val="24"/>
          <w:i/>
          <w:color w:val="navy"/>
        </w:rPr>
        <w:t xml:space="preserve">CONDECORACIONES POR SERVICIOS DISTINGUIDOS.</w:t>
      </w:r>
      <w:bookmarkEnd w:id="60613"/>
      <w:r>
        <w:rPr>
          <w:rFonts w:hAnsi="Arial"/>
          <w:rFonts w:ascii="Arial"/>
          <w:sz w:val="24"/>
          <w:b/>
          <w:i/>
          <w:color w:val="black"/>
        </w:rPr>
        <w:t xml:space="preserve"> </w:t>
      </w:r>
      <w:r>
        <w:rPr>
          <w:rFonts w:hAnsi="Arial"/>
          <w:rFonts w:ascii="Arial"/>
          <w:sz w:val="24"/>
          <w:color w:val="black"/>
        </w:rPr>
        <w:t xml:space="preserve">Son condecoraciones militares por servicios distinguidos prestados a la Institución Militar, las siguientes:</w:t>
      </w:r>
    </w:p>
    <w:p>
      <w:pPr>
        <w:jc w:val="both"/>
        <w:outlineLvl w:val="1"/>
      </w:pPr>
      <w:rPr>
        <w:sz w:val="24"/>
        <w:color w:val="black"/>
      </w:rPr>
    </w:p>
    <w:p>
      <w:pPr>
        <w:jc w:val="both"/>
        <w:outlineLvl w:val="1"/>
        <w:keepNext/>
      </w:pPr>
      <w:r>
        <w:rPr>
          <w:rFonts w:hAnsi="Arial"/>
          <w:rFonts w:ascii="Arial"/>
          <w:sz w:val="24"/>
          <w:color w:val="black"/>
        </w:rPr>
        <w:t xml:space="preserve">&lt;Textos subrayados adicionados. Ver Notas de Vigencia&gt; Medalla Militar Ministerio de Defensa Nacional, Medalla "Servicios Distinguidos a la Justicia Penal Militar", Medalla Militar "Fe en la Causa" del Comando General de las Fuerzas Militares", Medalla Militar "Servicios Distinguidos a las Fuerzas Militares de Colombia", Medalla Militar "Escuela Superior de Guerra", Medalla Militar "Al Mérito de la Reserva", Medalla Militar "General José Hilario López Valdés", Medalla Militar "Cruz de Plata en Operaciones Especiales", Medalla Militar "Bicentenario de los Ingenieros Militares", </w:t>
      </w:r>
      <w:r>
        <w:rPr>
          <w:rFonts w:hAnsi="Arial"/>
          <w:rFonts w:ascii="Arial"/>
          <w:sz w:val="24"/>
          <w:u w:val="single"/>
          <w:color w:val="black"/>
        </w:rPr>
        <w:t xml:space="preserve">Medalla Militar “Bicentenario de la Campaña Libertadora”</w:t>
      </w:r>
      <w:r>
        <w:rPr>
          <w:rFonts w:hAnsi="Arial"/>
          <w:rFonts w:ascii="Arial"/>
          <w:sz w:val="24"/>
          <w:vertAlign w:val="superscript"/>
          <w:u w:val="none"/>
          <w:color w:val="black"/>
        </w:rPr>
        <w:t>&lt;2&gt;</w:t>
      </w:r>
      <w:r>
        <w:rPr>
          <w:rFonts w:hAnsi="Arial"/>
          <w:rFonts w:ascii="Arial"/>
          <w:sz w:val="24"/>
          <w:u w:val="none"/>
          <w:color w:val="black"/>
        </w:rPr>
        <w:t xml:space="preserve">, </w:t>
      </w:r>
      <w:r>
        <w:rPr>
          <w:rFonts w:hAnsi="Arial"/>
          <w:rFonts w:ascii="Arial"/>
          <w:sz w:val="24"/>
          <w:u w:val="single"/>
          <w:color w:val="black"/>
        </w:rPr>
        <w:t xml:space="preserve">Medalla Militar “Bicentenario de la Caballería”</w:t>
      </w:r>
      <w:r>
        <w:rPr>
          <w:rFonts w:hAnsi="Arial"/>
          <w:rFonts w:ascii="Arial"/>
          <w:sz w:val="24"/>
          <w:vertAlign w:val="superscript"/>
          <w:u w:val="none"/>
          <w:color w:val="black"/>
        </w:rPr>
        <w:t>&lt;2&gt;</w:t>
      </w:r>
      <w:r>
        <w:rPr>
          <w:rFonts w:hAnsi="Arial"/>
          <w:rFonts w:ascii="Arial"/>
          <w:sz w:val="24"/>
          <w:u w:val="none"/>
          <w:color w:val="black"/>
        </w:rPr>
        <w:t xml:space="preserve">, Medalla Militar "Fe en la Causa" del Ejército Nacional, Medalla Militar "Escuela Militar de Cadetes", Medalla Militar "Centenario Escuela Militar de Cadetes General José María Córdova", Medalla Militar "Escuela de Armas y Servicios José Celestino Mutis Bossio", Medalla "Batalla de Ayacucho", Medalla "San Jorge", Medalla "Santa Bárbara", Medalla "Torre de Castilla", Medalla "Brigadier General Ricardo Charry Solano", Medalla al Mérito Logístico y Administrativo "General Francisco de Paula Santander", Medalla "Guardia Presidencial", Medalla Policía Militar "General Tomás Cipriano de Mosquera", Medalla "Escuela de Lanceros", Medalla "San Gabriel", Medalla Militar "Escuela de Suboficiales del Ejército "Sargento Inocencio Chincá", Medalla Militar "San Miguel Arcángel", Medalla Militar "Honor al Deber Cumplido", Medalla Militar Escuela de Soldados Profesionales "Teniente General Gustavo Rojas Pinilla", Medalla Militar "Servicios Meritorios Inteligencia Militar Guardián de la Patria", Medalla "Servicios Distinguidos en Operaciones de Aviación", Medalla Centenario Servicios Distinguidos a Reclutamiento "Simona Duque de Alzate", Medalla Militar "San Rafael Arcángel", Medalla Militar "Guardia de Honor de Colombia", Medalla Militar "Servicios Distinguidos en Operaciones Contra el Narcotráfico en Categoría Única", Medalla "Servicios Distinguidos a la Armada Nacional", Medalla "Servicios Distinguidos a la Escuela Naval de Cadetes Almirante Padilla", Medalla Militar "Fe en la Causa" de la Armada Nacional, Medalla "Servicios Distinguidos a la Escuela Naval de Suboficiales", Medalla "Servicios Distinguidos a la Fuerza de Superficie", Medalla "Servicios Distinguidos a la Infantería de Marina", Medalla "Servicios Distinguidos a la Fuerza Submarina", Medalla "Servicios Distinguidos a la Aviación Naval", Medalla "Servicios Distinguidos al Cuerpo de Guardacostas", Medalla "Servicios Distinguidos a la Escuela de Formación de Infantería de Marina", Medalla al Mérito Logístico y Administrativo "Contralmirante Rafael Tono", Medalla "Servicios distinguidos a la Dirección General Marítima", Medalla "Servicios Distinguidos a la Ingeniería Naval", Medalla "Servicios Distinguidos a la Inteligencia Naval", Medalla "Marco Fidel Suárez", Medalla "Águila de Gules", Medalla Militar "Fe en la Causa"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Medalla "Servicios Distinguidos a la Seguridad y Defensa de Bases Aéreas", Medalla "Servicios Distinguidos a la Inteligencia Aérea", Medalla "Servicios Distinguidos a la Defensa Aérea y Navegación Aérea", Medalla "Servicios Distinguidos al Cuerpo Logístico y Administrativo" y Medalla "Ciencia y Tecnología", Medalla Militar "Servicios Distinguidos a la Escuela de Suboficiales CT Andrés M. Díaz Díaz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Medalla Militar "Servicios Meritorios a la Jefatura Jurídica y Derechos Humanos y al Derecho Internacional Humanitario"; </w:t>
      </w:r>
      <w:r>
        <w:rPr>
          <w:rFonts w:hAnsi="Arial"/>
          <w:rFonts w:ascii="Arial"/>
          <w:sz w:val="24"/>
          <w:u w:val="single"/>
          <w:color w:val="black"/>
        </w:rPr>
        <w:t xml:space="preserve">Medalla Militar Desminado “Soldado Profesional Wilson de Jesús Martínez Jaraba</w:t>
      </w:r>
      <w:r>
        <w:rPr>
          <w:rFonts w:hAnsi="Arial"/>
          <w:rFonts w:ascii="Arial"/>
          <w:sz w:val="24"/>
          <w:u w:val="none"/>
          <w:color w:val="black"/>
        </w:rPr>
        <w:t>”</w:t>
      </w:r>
      <w:r>
        <w:rPr>
          <w:rFonts w:hAnsi="Arial"/>
          <w:rFonts w:ascii="Arial"/>
          <w:sz w:val="24"/>
          <w:vertAlign w:val="superscript"/>
          <w:u w:val="none"/>
          <w:color w:val="black"/>
        </w:rPr>
        <w:t>&lt;1&gt;</w:t>
      </w:r>
      <w:r>
        <w:rPr>
          <w:rFonts w:hAnsi="Arial"/>
          <w:rFonts w:ascii="Arial"/>
          <w:sz w:val="24"/>
          <w:u w:val="none"/>
          <w:color w:val="black"/>
        </w:rPr>
        <w:t xml:space="preserve">, </w:t>
      </w:r>
      <w:r>
        <w:rPr>
          <w:rFonts w:hAnsi="Arial"/>
          <w:rFonts w:ascii="Arial"/>
          <w:sz w:val="24"/>
          <w:u w:val="single"/>
          <w:color w:val="black"/>
        </w:rPr>
        <w:t xml:space="preserve">Medalla Militar “Protectores de la Espada del Libertador” </w:t>
      </w:r>
      <w:r>
        <w:rPr>
          <w:rFonts w:hAnsi="Arial"/>
          <w:rFonts w:ascii="Arial"/>
          <w:sz w:val="24"/>
          <w:vertAlign w:val="superscript"/>
          <w:u w:val="none"/>
          <w:color w:val="black"/>
        </w:rPr>
        <w:t>&lt;3&gt;</w:t>
      </w:r>
      <w:r>
        <w:rPr>
          <w:rFonts w:hAnsi="Arial"/>
          <w:rFonts w:ascii="Arial"/>
          <w:sz w:val="24"/>
          <w:u w:val="none"/>
          <w:color w:val="black"/>
        </w:rPr>
        <w:t xml:space="preserve">, </w:t>
      </w:r>
      <w:r>
        <w:rPr>
          <w:rFonts w:hAnsi="Arial"/>
          <w:rFonts w:ascii="Arial"/>
          <w:sz w:val="24"/>
          <w:u w:val="single"/>
          <w:color w:val="black"/>
        </w:rPr>
        <w:t xml:space="preserve">Medalla Militar “Simona Amaya” </w:t>
      </w:r>
      <w:r>
        <w:rPr>
          <w:rFonts w:hAnsi="Arial"/>
          <w:rFonts w:ascii="Arial"/>
          <w:sz w:val="24"/>
          <w:vertAlign w:val="superscript"/>
          <w:u w:val="none"/>
          <w:color w:val="black"/>
        </w:rPr>
        <w:t xml:space="preserve">&lt;4&gt;, </w:t>
      </w:r>
      <w:r>
        <w:rPr>
          <w:rFonts w:hAnsi="Arial"/>
          <w:rFonts w:ascii="Arial"/>
          <w:sz w:val="24"/>
          <w:u w:val="single"/>
          <w:color w:val="black"/>
        </w:rPr>
        <w:t xml:space="preserve">Medalla Militar “Bicentenario de la Logística Militar</w:t>
      </w:r>
      <w:r>
        <w:rPr>
          <w:rFonts w:hAnsi="Arial"/>
          <w:rFonts w:ascii="Arial"/>
          <w:sz w:val="24"/>
          <w:vertAlign w:val="superscript"/>
          <w:u w:val="none"/>
          <w:color w:val="black"/>
        </w:rPr>
        <w:t xml:space="preserve">&lt;5&gt; </w:t>
      </w:r>
      <w:r>
        <w:rPr>
          <w:rFonts w:hAnsi="Arial"/>
          <w:rFonts w:ascii="Arial"/>
          <w:sz w:val="24"/>
          <w:u w:val="single"/>
          <w:color w:val="black"/>
        </w:rPr>
        <w:t xml:space="preserve">Medalla Militar “Corazón Azul”</w:t>
      </w:r>
      <w:r>
        <w:rPr>
          <w:rFonts w:hAnsi="Arial"/>
          <w:rFonts w:ascii="Arial"/>
          <w:sz w:val="24"/>
          <w:vertAlign w:val="superscript"/>
          <w:u w:val="single"/>
          <w:color w:val="black"/>
        </w:rPr>
        <w:t>&lt;6&gt;</w:t>
      </w:r>
      <w:r>
        <w:rPr>
          <w:rFonts w:hAnsi="Arial"/>
          <w:rFonts w:ascii="Arial"/>
          <w:sz w:val="24"/>
          <w:u w:val="single"/>
          <w:color w:val="black"/>
        </w:rPr>
        <w:t xml:space="preserve">, Medalla Militar “Alma Mater Escuela Militar de Aviación"</w:t>
      </w:r>
      <w:r>
        <w:rPr>
          <w:rFonts w:hAnsi="Arial"/>
          <w:rFonts w:ascii="Arial"/>
          <w:sz w:val="24"/>
          <w:vertAlign w:val="superscript"/>
          <w:u w:val="single"/>
          <w:color w:val="black"/>
        </w:rPr>
        <w:t>&lt;6&gt;,</w:t>
      </w:r>
      <w:r>
        <w:rPr>
          <w:rFonts w:hAnsi="Arial"/>
          <w:rFonts w:ascii="Arial"/>
          <w:sz w:val="24"/>
          <w:u w:val="single"/>
          <w:color w:val="black"/>
        </w:rPr>
        <w:t xml:space="preserve">  Medalla Militar “Servicios Distinguidos al Desarrollo de Operaciones y Actividades Espaciales ADSTRA</w:t>
      </w:r>
      <w:r>
        <w:rPr>
          <w:rFonts w:hAnsi="Arial"/>
          <w:rFonts w:ascii="Arial"/>
          <w:sz w:val="24"/>
          <w:vertAlign w:val="superscript"/>
          <w:u w:val="single"/>
          <w:color w:val="black"/>
        </w:rPr>
        <w:t>&lt;</w:t>
      </w:r>
      <w:r>
        <w:rPr>
          <w:rFonts w:hAnsi="Arial"/>
          <w:rFonts w:ascii="Arial"/>
          <w:sz w:val="24"/>
          <w:vertAlign w:val="superscript"/>
          <w:u w:val="none"/>
          <w:color w:val="black"/>
        </w:rPr>
        <w:t>6&gt;,</w:t>
      </w:r>
      <w:r>
        <w:rPr>
          <w:rFonts w:hAnsi="Arial"/>
          <w:rFonts w:ascii="Arial"/>
          <w:sz w:val="24"/>
          <w:u w:val="none"/>
          <w:color w:val="black"/>
        </w:rPr>
        <w:t xml:space="preserve"> </w:t>
      </w:r>
      <w:r>
        <w:rPr>
          <w:rFonts w:hAnsi="Arial"/>
          <w:rFonts w:ascii="Arial"/>
          <w:sz w:val="24"/>
          <w:u w:val="single"/>
          <w:color w:val="black"/>
        </w:rPr>
        <w:t xml:space="preserve">Medalla Militar "Servicios Distinguidos en la Acción integral”</w:t>
      </w:r>
      <w:r>
        <w:rPr>
          <w:rFonts w:hAnsi="Arial"/>
          <w:rFonts w:ascii="Arial"/>
          <w:sz w:val="24"/>
          <w:u w:val="none"/>
          <w:color w:val="black"/>
        </w:rPr>
        <w:t xml:space="preserve"> </w:t>
      </w:r>
      <w:r>
        <w:rPr>
          <w:rFonts w:hAnsi="Arial"/>
          <w:rFonts w:ascii="Arial"/>
          <w:sz w:val="24"/>
          <w:vertAlign w:val="superscript"/>
          <w:u w:val="none"/>
          <w:color w:val="black"/>
        </w:rPr>
        <w:t>&lt;7&gt;</w:t>
      </w:r>
      <w:r>
        <w:rPr>
          <w:rFonts w:hAnsi="Arial"/>
          <w:rFonts w:ascii="Arial"/>
          <w:sz w:val="24"/>
          <w:u w:val="none"/>
          <w:color w:val="black"/>
        </w:rPr>
        <w:t xml:space="preserve">, </w:t>
      </w:r>
      <w:r>
        <w:rPr>
          <w:rFonts w:hAnsi="Arial"/>
          <w:rFonts w:ascii="Arial"/>
          <w:sz w:val="24"/>
          <w:u w:val="single"/>
          <w:color w:val="black"/>
        </w:rPr>
        <w:t xml:space="preserve">Medalla Militar “Al Espíritu del Bicentenario de la Armada Nacional de la República de Colombia”</w:t>
      </w:r>
      <w:r>
        <w:rPr>
          <w:rFonts w:hAnsi="Arial"/>
          <w:rFonts w:ascii="Arial"/>
          <w:sz w:val="24"/>
          <w:vertAlign w:val="superscript"/>
          <w:u w:val="single"/>
          <w:color w:val="black"/>
        </w:rPr>
        <w:t>&lt;8&gt;</w:t>
      </w:r>
      <w:r>
        <w:rPr>
          <w:rFonts w:hAnsi="Arial"/>
          <w:rFonts w:ascii="Arial"/>
          <w:sz w:val="24"/>
          <w:u w:val="single"/>
          <w:color w:val="black"/>
        </w:rPr>
        <w:t xml:space="preserve">;  Medalla Militar “Servicios Distinguidos al Buceo en la Armada Nacional</w:t>
      </w:r>
      <w:r>
        <w:rPr>
          <w:rFonts w:hAnsi="Arial"/>
          <w:rFonts w:ascii="Arial"/>
          <w:sz w:val="24"/>
          <w:u w:val="none"/>
          <w:color w:val="black"/>
        </w:rPr>
        <w:t>”</w:t>
      </w:r>
      <w:r>
        <w:rPr>
          <w:rFonts w:hAnsi="Arial"/>
          <w:rFonts w:ascii="Arial"/>
          <w:sz w:val="24"/>
          <w:vertAlign w:val="superscript"/>
          <w:u w:val="single"/>
          <w:color w:val="black"/>
        </w:rPr>
        <w:t>&lt;9&gt;</w:t>
      </w:r>
      <w:r>
        <w:rPr>
          <w:rFonts w:hAnsi="Arial"/>
          <w:rFonts w:ascii="Arial"/>
          <w:sz w:val="24"/>
          <w:vertAlign w:val="superscript"/>
          <w:u w:val="none"/>
          <w:color w:val="black"/>
        </w:rPr>
        <w:t xml:space="preserve"> </w:t>
      </w:r>
      <w:r>
        <w:rPr>
          <w:rFonts w:hAnsi="Arial"/>
          <w:rFonts w:ascii="Arial"/>
          <w:sz w:val="24"/>
          <w:u w:val="single"/>
          <w:color w:val="black"/>
        </w:rPr>
        <w:t xml:space="preserve">,Medalla Militar “Servicios Distinguidos a la Acción Integral Naval”</w:t>
      </w:r>
      <w:r>
        <w:rPr>
          <w:rFonts w:hAnsi="Arial"/>
          <w:rFonts w:ascii="Arial"/>
          <w:sz w:val="24"/>
          <w:vertAlign w:val="superscript"/>
          <w:u w:val="single"/>
          <w:color w:val="black"/>
        </w:rPr>
        <w:t>&lt;10&gt;</w:t>
      </w:r>
      <w:r>
        <w:rPr>
          <w:rFonts w:hAnsi="Arial"/>
          <w:rFonts w:ascii="Arial"/>
          <w:sz w:val="24"/>
          <w:u w:val="none"/>
          <w:color w:val="black"/>
        </w:rPr>
        <w:t xml:space="preserve">; </w:t>
      </w:r>
      <w:r>
        <w:rPr>
          <w:rFonts w:hAnsi="Arial"/>
          <w:rFonts w:ascii="Arial"/>
          <w:sz w:val="24"/>
          <w:u w:val="single"/>
          <w:color w:val="black"/>
        </w:rPr>
        <w:t xml:space="preserve">Medalla Militar “Operaciones Aeromédicas Especiales”</w:t>
      </w:r>
      <w:r>
        <w:rPr>
          <w:rFonts w:hAnsi="Arial"/>
          <w:rFonts w:ascii="Arial"/>
          <w:sz w:val="24"/>
          <w:vertAlign w:val="superscript"/>
          <w:u w:val="single"/>
          <w:color w:val="black"/>
        </w:rPr>
        <w:t>&lt;11&gt;</w:t>
      </w:r>
      <w:r>
        <w:rPr>
          <w:rFonts w:hAnsi="Arial"/>
          <w:rFonts w:ascii="Arial"/>
          <w:sz w:val="24"/>
          <w:u w:val="single"/>
          <w:color w:val="black"/>
        </w:rPr>
        <w:t xml:space="preserve">, Medalla Militar “Servicios Distinguidos a la Contrainteligencia Aérea”</w:t>
      </w:r>
      <w:r>
        <w:rPr>
          <w:rFonts w:hAnsi="Arial"/>
          <w:rFonts w:ascii="Arial"/>
          <w:sz w:val="24"/>
          <w:vertAlign w:val="superscript"/>
          <w:u w:val="single"/>
          <w:color w:val="black"/>
        </w:rPr>
        <w:t>&lt;11&gt;</w:t>
      </w:r>
      <w:r>
        <w:rPr>
          <w:rFonts w:hAnsi="Arial"/>
          <w:rFonts w:ascii="Arial"/>
          <w:sz w:val="24"/>
          <w:u w:val="single"/>
          <w:color w:val="black"/>
        </w:rPr>
        <w:t xml:space="preserve">, Medalla Militar “Autoridad Aeronáutica Aviación de Estado”</w:t>
      </w:r>
      <w:r>
        <w:rPr>
          <w:rFonts w:hAnsi="Arial"/>
          <w:rFonts w:ascii="Arial"/>
          <w:sz w:val="24"/>
          <w:vertAlign w:val="superscript"/>
          <w:u w:val="single"/>
          <w:color w:val="black"/>
        </w:rPr>
        <w:t>&lt;11&gt;</w:t>
      </w:r>
      <w:r>
        <w:rPr>
          <w:rFonts w:hAnsi="Arial"/>
          <w:rFonts w:ascii="Arial"/>
          <w:sz w:val="24"/>
          <w:u w:val="single"/>
          <w:color w:val="black"/>
        </w:rPr>
        <w:t>,</w:t>
      </w:r>
      <w:r>
        <w:rPr>
          <w:rFonts w:hAnsi="Arial"/>
          <w:rFonts w:ascii="Arial"/>
          <w:sz w:val="24"/>
          <w:u w:val="none"/>
          <w:color w:val="black"/>
        </w:rPr>
        <w:t xml:space="preserve">  </w:t>
      </w:r>
      <w:r>
        <w:rPr>
          <w:rFonts w:hAnsi="Arial"/>
          <w:rFonts w:ascii="Arial"/>
          <w:sz w:val="24"/>
          <w:u w:val="single"/>
          <w:color w:val="black"/>
        </w:rPr>
        <w:t xml:space="preserve">Medalla Militar “Servicios Distinguidos al Comando Desarrollo Humano”</w:t>
      </w:r>
      <w:r>
        <w:rPr>
          <w:rFonts w:hAnsi="Arial"/>
          <w:rFonts w:ascii="Arial"/>
          <w:sz w:val="24"/>
          <w:vertAlign w:val="superscript"/>
          <w:u w:val="single"/>
          <w:color w:val="black"/>
        </w:rPr>
        <w:t>&lt;11&gt;</w:t>
      </w:r>
      <w:r>
        <w:rPr>
          <w:rFonts w:hAnsi="Arial"/>
          <w:rFonts w:ascii="Arial"/>
          <w:sz w:val="24"/>
          <w:vertAlign w:val="superscript"/>
          <w:u w:val="none"/>
          <w:color w:val="black"/>
        </w:rPr>
        <w:t xml:space="preserve">, </w:t>
      </w:r>
      <w:r>
        <w:rPr>
          <w:rFonts w:hAnsi="Arial"/>
          <w:rFonts w:ascii="Arial"/>
          <w:sz w:val="24"/>
          <w:u w:val="none"/>
          <w:color w:val="black"/>
        </w:rPr>
        <w:t xml:space="preserve">y </w:t>
      </w:r>
      <w:r>
        <w:rPr>
          <w:rFonts w:hAnsi="Arial"/>
          <w:rFonts w:ascii="Arial"/>
          <w:sz w:val="24"/>
          <w:u w:val="single"/>
          <w:color w:val="black"/>
        </w:rPr>
        <w:t xml:space="preserve">Medalla Militar “Servicios Distinguidos Bicentenario Batalla de Ayacucho”</w:t>
      </w:r>
      <w:r>
        <w:rPr>
          <w:rFonts w:hAnsi="Arial"/>
          <w:rFonts w:ascii="Arial"/>
          <w:sz w:val="24"/>
          <w:vertAlign w:val="superscript"/>
          <w:u w:val="single"/>
          <w:color w:val="black"/>
        </w:rPr>
        <w:t>&lt;12&gt;</w:t>
      </w:r>
      <w:r>
        <w:rPr>
          <w:rFonts w:hAnsi="Arial"/>
          <w:rFonts w:ascii="Arial"/>
          <w:sz w:val="24"/>
          <w:u w:val="none"/>
          <w:color w:val="black"/>
        </w:rPr>
        <w:t xml:space="preserve">, tienen como propósito estimular a quienes se destaquen por su consagración, espíritu de cuerpo y eminentes servicios.</w:t>
      </w:r>
    </w:p>
    <w:p>
      <w:pPr>
        <w:jc w:val="both"/>
        <w:keepNext/>
        <w:outlineLvl w:val="1"/>
      </w:pPr>
      <w:rPr>
        <w:sz w:val="24"/>
        <w:color w:val="black"/>
      </w:rPr>
    </w:p>
    <w:p>
      <w:pPr>
        <w:jc w:val="both"/>
        <w:keepNext/>
        <w:outlineLvl w:val="1"/>
      </w:pPr>
      <w:r>
        <w:rPr>
          <w:rFonts w:hAnsi="Arial"/>
          <w:rFonts w:ascii="Arial"/>
          <w:sz w:val="24"/>
          <w:i/>
          <w:color w:val="black"/>
        </w:rPr>
        <w:t xml:space="preserve">(Decreto 4444 de 2010 artículo </w:t>
      </w:r>
      <w:r>
        <w:fldChar w:fldCharType="begin"/>
      </w:r>
      <w:r>
        <w:instrText>HYPERLINK "http://www.redjurista.com/document.aspx?ajcode=d4444010&amp;arts=89"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0614" w:name="2.3.1.3.6.2"/>
      <w:r>
        <w:rPr>
          <w:rFonts w:hAnsi="Arial"/>
          <w:rFonts w:ascii="Arial"/>
          <w:sz w:val="24"/>
          <w:color w:val="navy"/>
        </w:rPr>
        <w:t xml:space="preserve">ARTÍCULO 2.3.1.3.6.2. </w:t>
      </w:r>
      <w:r>
        <w:rPr>
          <w:rFonts w:hAnsi="Arial"/>
          <w:rFonts w:ascii="Arial"/>
          <w:sz w:val="24"/>
          <w:i/>
          <w:color w:val="navy"/>
        </w:rPr>
        <w:t xml:space="preserve">ATRIBUCIONES Y FUNCIONES DE LOS CONSEJOS DE LAS MEDALLAS POR SERVICIOS DISTINGUIDOS PRESTADOS A LA INSTITUCIÓN MILITAR.</w:t>
      </w:r>
      <w:bookmarkEnd w:id="60614"/>
      <w:r>
        <w:rPr>
          <w:rFonts w:hAnsi="Arial"/>
          <w:rFonts w:ascii="Arial"/>
          <w:sz w:val="24"/>
          <w:b/>
          <w:i/>
          <w:color w:val="black"/>
        </w:rPr>
        <w:t xml:space="preserve"> </w:t>
      </w:r>
      <w:r>
        <w:rPr>
          <w:rFonts w:hAnsi="Arial"/>
          <w:rFonts w:ascii="Arial"/>
          <w:sz w:val="24"/>
          <w:color w:val="black"/>
        </w:rPr>
        <w:t xml:space="preserve">Los Consejos sesionarán en forma extraordinaria a solicitud de alguno de sus miembros.</w:t>
      </w:r>
    </w:p>
    <w:p>
      <w:pPr>
        <w:jc w:val="both"/>
      </w:pPr>
      <w:rPr>
        <w:sz w:val="24"/>
        <w:color w:val="black"/>
      </w:rPr>
    </w:p>
    <w:p>
      <w:pPr>
        <w:jc w:val="both"/>
      </w:pPr>
      <w:r>
        <w:rPr>
          <w:rFonts w:hAnsi="Arial"/>
          <w:rFonts w:ascii="Arial"/>
          <w:sz w:val="24"/>
          <w:color w:val="black"/>
        </w:rPr>
        <w:t xml:space="preserve">El Consejo de las Medallas estará integrado en el Ministerio de Defensa Nacional, en el Comando General de las Fuerzas Militares, en cada Fuerza y para cada medalla, como en cada caso se especifica.</w:t>
      </w:r>
    </w:p>
    <w:p>
      <w:pPr>
        <w:jc w:val="both"/>
      </w:pPr>
      <w:rPr>
        <w:sz w:val="24"/>
        <w:color w:val="black"/>
      </w:rPr>
    </w:p>
    <w:p>
      <w:pPr>
        <w:jc w:val="both"/>
      </w:pPr>
      <w:r>
        <w:rPr>
          <w:rFonts w:hAnsi="Arial"/>
          <w:rFonts w:ascii="Arial"/>
          <w:sz w:val="24"/>
          <w:color w:val="black"/>
        </w:rPr>
        <w:t xml:space="preserve">Son atribuciones del Consejo:</w:t>
      </w:r>
    </w:p>
    <w:p>
      <w:pPr>
        <w:jc w:val="both"/>
      </w:pPr>
      <w:rPr>
        <w:sz w:val="24"/>
        <w:color w:val="black"/>
      </w:rPr>
    </w:p>
    <w:p>
      <w:pPr>
        <w:jc w:val="both"/>
      </w:pPr>
      <w:r>
        <w:rPr>
          <w:rFonts w:hAnsi="Arial"/>
          <w:rFonts w:ascii="Arial"/>
          <w:sz w:val="24"/>
          <w:color w:val="black"/>
        </w:rPr>
        <w:t xml:space="preserve">a) Recibir las solicitudes formuladas para el otorgamiento de la medalla;</w:t>
      </w:r>
    </w:p>
    <w:p>
      <w:pPr>
        <w:jc w:val="both"/>
      </w:pPr>
      <w:rPr>
        <w:sz w:val="24"/>
        <w:color w:val="black"/>
      </w:rPr>
    </w:p>
    <w:p>
      <w:pPr>
        <w:jc w:val="both"/>
      </w:pPr>
      <w:r>
        <w:rPr>
          <w:rFonts w:hAnsi="Arial"/>
          <w:rFonts w:ascii="Arial"/>
          <w:sz w:val="24"/>
          <w:color w:val="black"/>
        </w:rPr>
        <w:t xml:space="preserve">b) Analizar las solicitudes comprobando el estricto cumplimiento de los requisitos exigidos para el otorgamiento de la respectiva medalla;</w:t>
      </w:r>
    </w:p>
    <w:p>
      <w:pPr>
        <w:jc w:val="both"/>
      </w:pPr>
      <w:rPr>
        <w:sz w:val="24"/>
        <w:color w:val="black"/>
      </w:rPr>
    </w:p>
    <w:p>
      <w:pPr>
        <w:jc w:val="both"/>
      </w:pPr>
      <w:r>
        <w:rPr>
          <w:rFonts w:hAnsi="Arial"/>
          <w:rFonts w:ascii="Arial"/>
          <w:sz w:val="24"/>
          <w:color w:val="black"/>
        </w:rPr>
        <w:t xml:space="preserve">c) Conceder o negar en votación secreta las solicitudes puestas a su consideración;</w:t>
      </w:r>
    </w:p>
    <w:p>
      <w:pPr>
        <w:jc w:val="both"/>
      </w:pPr>
      <w:rPr>
        <w:sz w:val="24"/>
        <w:color w:val="black"/>
      </w:rPr>
    </w:p>
    <w:p>
      <w:pPr>
        <w:jc w:val="both"/>
      </w:pPr>
      <w:r>
        <w:rPr>
          <w:rFonts w:hAnsi="Arial"/>
          <w:rFonts w:ascii="Arial"/>
          <w:sz w:val="24"/>
          <w:color w:val="black"/>
        </w:rPr>
        <w:t xml:space="preserve">d) Suspender por medio de acto administrativo motivado, previo análisis de los hechos el privilegio de portar la medalla a quien incurra en las causales contempladas para tal efecto;</w:t>
      </w:r>
    </w:p>
    <w:p>
      <w:pPr>
        <w:jc w:val="both"/>
      </w:pPr>
      <w:rPr>
        <w:sz w:val="24"/>
        <w:color w:val="black"/>
      </w:rPr>
    </w:p>
    <w:p>
      <w:pPr>
        <w:jc w:val="both"/>
      </w:pPr>
      <w:r>
        <w:rPr>
          <w:rFonts w:hAnsi="Arial"/>
          <w:rFonts w:ascii="Arial"/>
          <w:sz w:val="24"/>
          <w:color w:val="black"/>
        </w:rPr>
        <w:t xml:space="preserve">e) Remitir al Comando de Fuerza respectivo, para la aprobación final cuando sea del caso, la relación del otorgamiento, recomendados, acordadas por el Consejo.</w:t>
      </w:r>
    </w:p>
    <w:p>
      <w:pPr>
        <w:jc w:val="both"/>
      </w:pPr>
      <w:rPr>
        <w:sz w:val="24"/>
        <w:color w:val="black"/>
      </w:rPr>
    </w:p>
    <w:p>
      <w:pPr>
        <w:jc w:val="both"/>
      </w:pPr>
      <w:r>
        <w:rPr>
          <w:rFonts w:hAnsi="Arial"/>
          <w:rFonts w:ascii="Arial"/>
          <w:sz w:val="24"/>
          <w:color w:val="black"/>
        </w:rPr>
        <w:t xml:space="preserve">Son atribuciones del Presidente:</w:t>
      </w:r>
    </w:p>
    <w:p>
      <w:pPr>
        <w:jc w:val="both"/>
      </w:pPr>
      <w:rPr>
        <w:sz w:val="24"/>
        <w:color w:val="black"/>
      </w:rPr>
    </w:p>
    <w:p>
      <w:pPr>
        <w:jc w:val="both"/>
      </w:pPr>
      <w:r>
        <w:rPr>
          <w:rFonts w:hAnsi="Arial"/>
          <w:rFonts w:ascii="Arial"/>
          <w:sz w:val="24"/>
          <w:color w:val="black"/>
        </w:rPr>
        <w:t xml:space="preserve">a) Convocar y presidir las reuniones ordinarias y extraordinarias del Consejo;</w:t>
      </w:r>
    </w:p>
    <w:p>
      <w:pPr>
        <w:jc w:val="both"/>
      </w:pPr>
      <w:rPr>
        <w:sz w:val="24"/>
        <w:color w:val="black"/>
      </w:rPr>
    </w:p>
    <w:p>
      <w:pPr>
        <w:jc w:val="both"/>
      </w:pPr>
      <w:r>
        <w:rPr>
          <w:rFonts w:hAnsi="Arial"/>
          <w:rFonts w:ascii="Arial"/>
          <w:sz w:val="24"/>
          <w:color w:val="black"/>
        </w:rPr>
        <w:t xml:space="preserve">b) Dirigir las deliberaciones del Consejo de conformidad con el orden del día que se elabore para cada sesión;</w:t>
      </w:r>
    </w:p>
    <w:p>
      <w:pPr>
        <w:jc w:val="both"/>
      </w:pPr>
      <w:rPr>
        <w:sz w:val="24"/>
        <w:color w:val="black"/>
      </w:rPr>
    </w:p>
    <w:p>
      <w:pPr>
        <w:jc w:val="both"/>
      </w:pPr>
      <w:r>
        <w:rPr>
          <w:rFonts w:hAnsi="Arial"/>
          <w:rFonts w:ascii="Arial"/>
          <w:sz w:val="24"/>
          <w:color w:val="black"/>
        </w:rPr>
        <w:t xml:space="preserve">c) Presentar al Consejo las proposiciones que estime convenientes, con el fin de conferir el uso de la Medalla respectiva;</w:t>
      </w:r>
    </w:p>
    <w:p>
      <w:pPr>
        <w:jc w:val="both"/>
      </w:pPr>
      <w:rPr>
        <w:sz w:val="24"/>
        <w:color w:val="black"/>
      </w:rPr>
    </w:p>
    <w:p>
      <w:pPr>
        <w:jc w:val="both"/>
      </w:pPr>
      <w:r>
        <w:rPr>
          <w:rFonts w:hAnsi="Arial"/>
          <w:rFonts w:ascii="Arial"/>
          <w:sz w:val="24"/>
          <w:color w:val="black"/>
        </w:rPr>
        <w:t xml:space="preserve">d) Suscribir los actos administrativos de otorgamiento de las condecoraciones contenidas en este Capítulo, salvo norma expresa en contrario;</w:t>
      </w:r>
    </w:p>
    <w:p>
      <w:pPr>
        <w:jc w:val="both"/>
      </w:pPr>
      <w:rPr>
        <w:sz w:val="24"/>
        <w:color w:val="black"/>
      </w:rPr>
    </w:p>
    <w:p>
      <w:pPr>
        <w:jc w:val="both"/>
      </w:pPr>
      <w:r>
        <w:rPr>
          <w:rFonts w:hAnsi="Arial"/>
          <w:rFonts w:ascii="Arial"/>
          <w:sz w:val="24"/>
          <w:color w:val="black"/>
        </w:rPr>
        <w:t xml:space="preserve">Son atribuciones de los demás miembros del Consejo:</w:t>
      </w:r>
    </w:p>
    <w:p>
      <w:pPr>
        <w:jc w:val="both"/>
      </w:pPr>
      <w:rPr>
        <w:sz w:val="24"/>
        <w:color w:val="black"/>
      </w:rPr>
    </w:p>
    <w:p>
      <w:pPr>
        <w:jc w:val="both"/>
      </w:pPr>
      <w:r>
        <w:rPr>
          <w:rFonts w:hAnsi="Arial"/>
          <w:rFonts w:ascii="Arial"/>
          <w:sz w:val="24"/>
          <w:color w:val="black"/>
        </w:rPr>
        <w:t xml:space="preserve">a) Emitir concepto y votar sobre los asuntos que se sometan a consideración en la sesión o aquellos que se les haya asignado en comisión;</w:t>
      </w:r>
    </w:p>
    <w:p>
      <w:pPr>
        <w:jc w:val="both"/>
      </w:pPr>
      <w:rPr>
        <w:sz w:val="24"/>
        <w:color w:val="black"/>
      </w:rPr>
    </w:p>
    <w:p>
      <w:pPr>
        <w:jc w:val="both"/>
      </w:pPr>
      <w:r>
        <w:rPr>
          <w:rFonts w:hAnsi="Arial"/>
          <w:rFonts w:ascii="Arial"/>
          <w:sz w:val="24"/>
          <w:color w:val="black"/>
        </w:rPr>
        <w:t xml:space="preserve">b) Presentar proposiciones al Consejo con el fin de conferir las medallas que a su juicio crean conveniente.</w:t>
      </w:r>
    </w:p>
    <w:p>
      <w:pPr>
        <w:jc w:val="both"/>
      </w:pPr>
      <w:rPr>
        <w:sz w:val="24"/>
        <w:color w:val="black"/>
      </w:rPr>
    </w:p>
    <w:p>
      <w:pPr>
        <w:jc w:val="both"/>
      </w:pPr>
      <w:r>
        <w:rPr>
          <w:rFonts w:hAnsi="Arial"/>
          <w:rFonts w:ascii="Arial"/>
          <w:sz w:val="24"/>
          <w:color w:val="black"/>
        </w:rPr>
        <w:t xml:space="preserve">Son funciones del Secretario del Consejo:</w:t>
      </w:r>
    </w:p>
    <w:p>
      <w:pPr>
        <w:jc w:val="both"/>
      </w:pPr>
      <w:rPr>
        <w:sz w:val="24"/>
        <w:color w:val="black"/>
      </w:rPr>
    </w:p>
    <w:p>
      <w:pPr>
        <w:jc w:val="both"/>
      </w:pPr>
      <w:r>
        <w:rPr>
          <w:rFonts w:hAnsi="Arial"/>
          <w:rFonts w:ascii="Arial"/>
          <w:sz w:val="24"/>
          <w:color w:val="black"/>
        </w:rPr>
        <w:t xml:space="preserve">a) Llevar una minuta detallada de las sesiones y elaborar el acta correspondiente en el libro de actas;</w:t>
      </w:r>
    </w:p>
    <w:p>
      <w:pPr>
        <w:jc w:val="both"/>
      </w:pPr>
      <w:rPr>
        <w:sz w:val="24"/>
        <w:color w:val="black"/>
      </w:rPr>
    </w:p>
    <w:p>
      <w:pPr>
        <w:jc w:val="both"/>
      </w:pPr>
      <w:r>
        <w:rPr>
          <w:rFonts w:hAnsi="Arial"/>
          <w:rFonts w:ascii="Arial"/>
          <w:sz w:val="24"/>
          <w:color w:val="black"/>
        </w:rPr>
        <w:t xml:space="preserve">b) Recopilar y suministrar toda la información que los miembros del Consejo soliciten en relación con los candidatos a la Medalla;</w:t>
      </w:r>
    </w:p>
    <w:p>
      <w:pPr>
        <w:jc w:val="both"/>
      </w:pPr>
      <w:rPr>
        <w:sz w:val="24"/>
        <w:color w:val="black"/>
      </w:rPr>
    </w:p>
    <w:p>
      <w:pPr>
        <w:jc w:val="both"/>
      </w:pPr>
      <w:r>
        <w:rPr>
          <w:rFonts w:hAnsi="Arial"/>
          <w:rFonts w:ascii="Arial"/>
          <w:sz w:val="24"/>
          <w:color w:val="black"/>
        </w:rPr>
        <w:t xml:space="preserve">c) Dar lectura al acta de la última reunión al iniciar cada sesión;</w:t>
      </w:r>
    </w:p>
    <w:p>
      <w:pPr>
        <w:jc w:val="both"/>
      </w:pPr>
      <w:rPr>
        <w:sz w:val="24"/>
        <w:color w:val="black"/>
      </w:rPr>
    </w:p>
    <w:p>
      <w:pPr>
        <w:jc w:val="both"/>
      </w:pPr>
      <w:r>
        <w:rPr>
          <w:rFonts w:hAnsi="Arial"/>
          <w:rFonts w:ascii="Arial"/>
          <w:sz w:val="24"/>
          <w:color w:val="black"/>
        </w:rPr>
        <w:t xml:space="preserve">d) Proponer los nombres de quienes fallezcan en el servicio, por causa y con ocasión del mismo en actividades relacionadas con el arma o instituto que concede la Medalla, para el otorgamiento en homenaje póstumo;</w:t>
      </w:r>
    </w:p>
    <w:p>
      <w:pPr>
        <w:jc w:val="both"/>
      </w:pPr>
      <w:rPr>
        <w:sz w:val="24"/>
        <w:color w:val="black"/>
      </w:rPr>
    </w:p>
    <w:p>
      <w:pPr>
        <w:jc w:val="both"/>
      </w:pPr>
      <w:r>
        <w:rPr>
          <w:rFonts w:hAnsi="Arial"/>
          <w:rFonts w:ascii="Arial"/>
          <w:sz w:val="24"/>
          <w:color w:val="black"/>
        </w:rPr>
        <w:t xml:space="preserve">e) Coordinar la elaboración de los proyectos de resolución de otorgamiento de la Medalla;</w:t>
      </w:r>
    </w:p>
    <w:p>
      <w:pPr>
        <w:jc w:val="both"/>
      </w:pPr>
      <w:rPr>
        <w:sz w:val="24"/>
        <w:color w:val="black"/>
      </w:rPr>
    </w:p>
    <w:p>
      <w:pPr>
        <w:jc w:val="both"/>
      </w:pPr>
      <w:r>
        <w:rPr>
          <w:rFonts w:hAnsi="Arial"/>
          <w:rFonts w:ascii="Arial"/>
          <w:sz w:val="24"/>
          <w:color w:val="black"/>
        </w:rPr>
        <w:t xml:space="preserve">f) Elaborar la agenda de cada sesión y darla a conocer a los miembros con suficiente anticipación;</w:t>
      </w:r>
    </w:p>
    <w:p>
      <w:pPr>
        <w:jc w:val="both"/>
      </w:pPr>
      <w:rPr>
        <w:sz w:val="24"/>
        <w:color w:val="black"/>
      </w:rPr>
    </w:p>
    <w:p>
      <w:pPr>
        <w:jc w:val="both"/>
      </w:pPr>
      <w:r>
        <w:rPr>
          <w:rFonts w:hAnsi="Arial"/>
          <w:rFonts w:ascii="Arial"/>
          <w:sz w:val="24"/>
          <w:color w:val="black"/>
        </w:rPr>
        <w:t xml:space="preserve">g) Coordinar el envío al personal favorecido copia de la disposición con que se le otorga la Medalla;</w:t>
      </w:r>
    </w:p>
    <w:p>
      <w:pPr>
        <w:jc w:val="both"/>
      </w:pPr>
      <w:rPr>
        <w:sz w:val="24"/>
        <w:color w:val="black"/>
      </w:rPr>
    </w:p>
    <w:p>
      <w:pPr>
        <w:jc w:val="both"/>
      </w:pPr>
      <w:r>
        <w:rPr>
          <w:rFonts w:hAnsi="Arial"/>
          <w:rFonts w:ascii="Arial"/>
          <w:sz w:val="24"/>
          <w:color w:val="black"/>
        </w:rPr>
        <w:t xml:space="preserve">h) Coordinar la elaboración de los diplomas correspondientes;</w:t>
      </w:r>
    </w:p>
    <w:p>
      <w:pPr>
        <w:jc w:val="both"/>
      </w:pPr>
      <w:rPr>
        <w:sz w:val="24"/>
        <w:color w:val="black"/>
      </w:rPr>
    </w:p>
    <w:p>
      <w:pPr>
        <w:jc w:val="both"/>
      </w:pPr>
      <w:r>
        <w:rPr>
          <w:rFonts w:hAnsi="Arial"/>
          <w:rFonts w:ascii="Arial"/>
          <w:sz w:val="24"/>
          <w:color w:val="black"/>
        </w:rPr>
        <w:t xml:space="preserve">i) Llevar el libro de registro de resoluciones, disposiciones o actas que concedan la Medalla;</w:t>
      </w:r>
    </w:p>
    <w:p>
      <w:pPr>
        <w:jc w:val="both"/>
      </w:pPr>
      <w:rPr>
        <w:sz w:val="24"/>
        <w:color w:val="black"/>
      </w:rPr>
    </w:p>
    <w:p>
      <w:pPr>
        <w:jc w:val="both"/>
      </w:pPr>
      <w:r>
        <w:rPr>
          <w:rFonts w:hAnsi="Arial"/>
          <w:rFonts w:ascii="Arial"/>
          <w:sz w:val="24"/>
          <w:color w:val="black"/>
        </w:rPr>
        <w:t xml:space="preserve">j) Las demás que le sean asignadas por el Consejo de la Medalla.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 xml:space="preserve"> parágrafo 1o y 2o)</w:t>
      </w:r>
    </w:p>
    <w:p>
      <w:pPr>
        <w:jc w:val="both"/>
      </w:pPr>
      <w:rPr>
        <w:sz w:val="24"/>
        <w:color w:val="black"/>
      </w:rPr>
    </w:p>
    <w:p>
      <w:pPr>
        <w:jc w:val="both"/>
      </w:pPr>
      <w:r>
        <w:rPr>
          <w:rFonts w:hAnsi="Arial"/>
          <w:rFonts w:ascii="Arial"/>
          <w:sz w:val="24"/>
          <w:vanish/>
          <w:color w:val="black"/>
        </w:rPr>
        <w:t>&amp;$</w:t>
      </w:r>
      <w:bookmarkStart w:id="60615" w:name="2.3.1.3.6.3"/>
      <w:r>
        <w:rPr>
          <w:rFonts w:hAnsi="Arial"/>
          <w:rFonts w:ascii="Arial"/>
          <w:sz w:val="24"/>
          <w:color w:val="navy"/>
        </w:rPr>
        <w:t xml:space="preserve">ARTÍCULO 2.3.1.3.6.3. </w:t>
      </w:r>
      <w:r>
        <w:rPr>
          <w:rFonts w:hAnsi="Arial"/>
          <w:rFonts w:ascii="Arial"/>
          <w:sz w:val="24"/>
          <w:i/>
          <w:color w:val="navy"/>
        </w:rPr>
        <w:t xml:space="preserve">OTORGAMIENTO E IMPOSICIÓN DE LAS MEDALLAS POR SERVICIOS DISTINGUIDOS PRESTADOS A LA INSTITUCIÓN MILITAR.</w:t>
      </w:r>
      <w:bookmarkEnd w:id="60615"/>
      <w:r>
        <w:rPr>
          <w:rFonts w:hAnsi="Arial"/>
          <w:rFonts w:ascii="Arial"/>
          <w:sz w:val="24"/>
          <w:b/>
          <w:i/>
          <w:color w:val="black"/>
        </w:rPr>
        <w:t xml:space="preserve"> </w:t>
      </w:r>
      <w:r>
        <w:rPr>
          <w:rFonts w:hAnsi="Arial"/>
          <w:rFonts w:ascii="Arial"/>
          <w:sz w:val="24"/>
          <w:color w:val="black"/>
        </w:rPr>
        <w:t xml:space="preserve">Puede otorgarse por una sola vez al personal Militar o de Policía, civil y particular y a entidades oficiales o particulares previo el cumplimiento de lo establecido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y que a consideración del Consejo de la Medalla se hagan merecedores a esta distinción, por su decisiva colaboración y apoyo al cumplimiento de la misión del Ministerio de Defensa Nacional, del Comando General de las Fuerzas Militares y de cada una de las Fuerzas Militares, así:</w:t>
      </w:r>
    </w:p>
    <w:p>
      <w:pPr>
        <w:jc w:val="both"/>
      </w:pPr>
      <w:rPr>
        <w:sz w:val="24"/>
        <w:color w:val="black"/>
      </w:rPr>
    </w:p>
    <w:p>
      <w:pPr>
        <w:jc w:val="both"/>
      </w:pPr>
      <w:r>
        <w:rPr>
          <w:rFonts w:hAnsi="Arial"/>
          <w:rFonts w:ascii="Arial"/>
          <w:sz w:val="24"/>
          <w:color w:val="black"/>
        </w:rPr>
        <w:t xml:space="preserve">a) A los Oficiales y Suboficiales de las Fuerzas Militares, que siendo del arma o especialidad a que corresponde la Medalla alcancen la jerarquía de General de la República, oficial de insignia, sargento mayor de comando conjunto, sargento mayor de comando y sargento mayor, o su equivalente en las otras fuerzas y a los servidores públicos del Sector Defensa que cumpla veinte (20) años de servicio;</w:t>
      </w:r>
    </w:p>
    <w:p>
      <w:pPr>
        <w:jc w:val="both"/>
      </w:pPr>
      <w:rPr>
        <w:sz w:val="24"/>
        <w:color w:val="black"/>
      </w:rPr>
    </w:p>
    <w:p>
      <w:pPr>
        <w:jc w:val="both"/>
      </w:pPr>
      <w:r>
        <w:rPr>
          <w:rFonts w:hAnsi="Arial"/>
          <w:rFonts w:ascii="Arial"/>
          <w:sz w:val="24"/>
          <w:color w:val="black"/>
        </w:rPr>
        <w:t xml:space="preserve">b) A los Oficiales y Suboficiales de las Fuerzas Militares, que siendo de la escuela, arma o especialidad se hayan destacado por sus virtudes militares, servicios eminentes, compañerismo, disciplina, consagración al trabajo y sobresaliente desempeño;</w:t>
      </w:r>
    </w:p>
    <w:p>
      <w:pPr>
        <w:jc w:val="both"/>
      </w:pPr>
      <w:rPr>
        <w:sz w:val="24"/>
        <w:color w:val="black"/>
      </w:rPr>
    </w:p>
    <w:p>
      <w:pPr>
        <w:jc w:val="both"/>
      </w:pPr>
      <w:r>
        <w:rPr>
          <w:rFonts w:hAnsi="Arial"/>
          <w:rFonts w:ascii="Arial"/>
          <w:sz w:val="24"/>
          <w:color w:val="black"/>
        </w:rPr>
        <w:t xml:space="preserve">c) Al Director o Comandante de las Escuelas de Formación y a los comandantes de las unidades tácticas del arma o especialidad que en el desempeño de su cargo hayan mantenido ejecutoria ejemplar y sus realizaciones sean de sobresaliente beneficio para la unidad; así como su celo por estrechar los lazos de compañerismo y solidaridad entre el personal a su mando que merezcan ser reconocidos;</w:t>
      </w:r>
    </w:p>
    <w:p>
      <w:pPr>
        <w:jc w:val="both"/>
      </w:pPr>
      <w:rPr>
        <w:sz w:val="24"/>
        <w:color w:val="black"/>
      </w:rPr>
    </w:p>
    <w:p>
      <w:pPr>
        <w:jc w:val="both"/>
      </w:pPr>
      <w:r>
        <w:rPr>
          <w:rFonts w:hAnsi="Arial"/>
          <w:rFonts w:ascii="Arial"/>
          <w:sz w:val="24"/>
          <w:color w:val="black"/>
        </w:rPr>
        <w:t xml:space="preserve">d) A las Unidades Operativas Mayores y Menores, Unidades de Apoyo Logístico, Escuelas de Formación de Oficiales y Suboficiales, Unidades Tácticas o su equivalente en la Armada Nacional y la Fuerza Aérea, que por sus realizaciones sobresalientes, hayan participado en actos de gran conveniencia para el país;</w:t>
      </w:r>
    </w:p>
    <w:p>
      <w:pPr>
        <w:jc w:val="both"/>
      </w:pPr>
      <w:rPr>
        <w:sz w:val="24"/>
        <w:color w:val="black"/>
      </w:rPr>
    </w:p>
    <w:p>
      <w:pPr>
        <w:jc w:val="both"/>
      </w:pPr>
      <w:r>
        <w:rPr>
          <w:rFonts w:hAnsi="Arial"/>
          <w:rFonts w:ascii="Arial"/>
          <w:sz w:val="24"/>
          <w:color w:val="black"/>
        </w:rPr>
        <w:t xml:space="preserve">e) A oficiales y Suboficiales de las Fuerzas Militares o de la Policía Nacional en servicio activo que hayan prestado distinguidos servicios a la unidad, arma o especialidad o que por su posición, jerarquía y méritos personales se hagan acreedores a la distinción;</w:t>
      </w:r>
    </w:p>
    <w:p>
      <w:pPr>
        <w:jc w:val="both"/>
      </w:pPr>
      <w:rPr>
        <w:sz w:val="24"/>
        <w:color w:val="black"/>
      </w:rPr>
    </w:p>
    <w:p>
      <w:pPr>
        <w:jc w:val="both"/>
      </w:pPr>
      <w:r>
        <w:rPr>
          <w:rFonts w:hAnsi="Arial"/>
          <w:rFonts w:ascii="Arial"/>
          <w:sz w:val="24"/>
          <w:color w:val="black"/>
        </w:rPr>
        <w:t xml:space="preserve">f) En forma honoraria a oficiales, suboficiales y civiles extranjeros en servicio activo y a particulares que en una u otra forma hayan colaborado al prestigio y progreso de la unidad, arma o especialidad o que por su posición oficial, jerarquía o méritos personales se hagan acreedores a la distinción;</w:t>
      </w:r>
    </w:p>
    <w:p>
      <w:pPr>
        <w:jc w:val="both"/>
      </w:pPr>
      <w:rPr>
        <w:sz w:val="24"/>
        <w:color w:val="black"/>
      </w:rPr>
    </w:p>
    <w:p>
      <w:pPr>
        <w:jc w:val="both"/>
      </w:pPr>
      <w:r>
        <w:rPr>
          <w:rFonts w:hAnsi="Arial"/>
          <w:rFonts w:ascii="Arial"/>
          <w:sz w:val="24"/>
          <w:color w:val="black"/>
        </w:rPr>
        <w:t xml:space="preserve">g) A los oficiales o suboficiales de las Fuerzas Militares Nacionales o extranjeros que adelanten cursos de formación en las escuelas de las armas o especialidad y sean distinguidos como "Graduados de Honor";</w:t>
      </w:r>
    </w:p>
    <w:p>
      <w:pPr>
        <w:jc w:val="both"/>
      </w:pPr>
      <w:rPr>
        <w:sz w:val="24"/>
        <w:color w:val="black"/>
      </w:rPr>
    </w:p>
    <w:p>
      <w:pPr>
        <w:jc w:val="both"/>
      </w:pPr>
      <w:r>
        <w:rPr>
          <w:rFonts w:hAnsi="Arial"/>
          <w:rFonts w:ascii="Arial"/>
          <w:sz w:val="24"/>
          <w:color w:val="black"/>
        </w:rPr>
        <w:t xml:space="preserve">h) Al personal de oficiales, suboficiales y servidores públicos del Sector Defensa en retiro y a los oficiales y Suboficiales de la reserva que se hayan destacado en forma sobresaliente por sus servicios a la unidad, arma o especialidad o que por su posición, jerarquía y méritos personales se hagan acreedores a la distinción;</w:t>
      </w:r>
    </w:p>
    <w:p>
      <w:pPr>
        <w:jc w:val="both"/>
      </w:pPr>
      <w:rPr>
        <w:sz w:val="24"/>
        <w:color w:val="black"/>
      </w:rPr>
    </w:p>
    <w:p>
      <w:pPr>
        <w:jc w:val="both"/>
      </w:pPr>
      <w:r>
        <w:rPr>
          <w:rFonts w:hAnsi="Arial"/>
          <w:rFonts w:ascii="Arial"/>
          <w:sz w:val="24"/>
          <w:color w:val="black"/>
        </w:rPr>
        <w:t xml:space="preserve">i) A los servidores públicos del Sector Defensa que se hayan distinguido por su conducta intachable, sobresaliente dedicación al trabajo y excelente desempeño en beneficio de la unidad, arma o especialidad;</w:t>
      </w:r>
    </w:p>
    <w:p>
      <w:pPr>
        <w:jc w:val="both"/>
      </w:pPr>
      <w:rPr>
        <w:sz w:val="24"/>
        <w:color w:val="black"/>
      </w:rPr>
    </w:p>
    <w:p>
      <w:pPr>
        <w:jc w:val="both"/>
      </w:pPr>
      <w:r>
        <w:rPr>
          <w:rFonts w:hAnsi="Arial"/>
          <w:rFonts w:ascii="Arial"/>
          <w:sz w:val="24"/>
          <w:color w:val="black"/>
        </w:rPr>
        <w:t xml:space="preserve">j) A entidades oficiales o particulares que a criterio del Consejo de la Medalla hayan tenido especial significación en el desarrollo y progreso de la unidad, arma o especialidad y se hagan acreedores a la distinción;</w:t>
      </w:r>
    </w:p>
    <w:p>
      <w:pPr>
        <w:jc w:val="both"/>
      </w:pPr>
      <w:rPr>
        <w:sz w:val="24"/>
        <w:color w:val="black"/>
      </w:rPr>
    </w:p>
    <w:p>
      <w:pPr>
        <w:jc w:val="both"/>
      </w:pPr>
      <w:r>
        <w:rPr>
          <w:rFonts w:hAnsi="Arial"/>
          <w:rFonts w:ascii="Arial"/>
          <w:sz w:val="24"/>
          <w:color w:val="black"/>
        </w:rPr>
        <w:t xml:space="preserve">k) La medalla podrá otorgarse como homenaje póstumo al personal fallecido en actividades propias del servicio a criterio del Consejo de la Medalla;</w:t>
      </w:r>
    </w:p>
    <w:p>
      <w:pPr>
        <w:jc w:val="both"/>
      </w:pPr>
      <w:rPr>
        <w:sz w:val="24"/>
        <w:color w:val="black"/>
      </w:rPr>
    </w:p>
    <w:p>
      <w:pPr>
        <w:jc w:val="both"/>
      </w:pPr>
      <w:r>
        <w:rPr>
          <w:rFonts w:hAnsi="Arial"/>
          <w:rFonts w:ascii="Arial"/>
          <w:sz w:val="24"/>
          <w:color w:val="black"/>
        </w:rPr>
        <w:t xml:space="preserve">l) Para las Medallas "Águila de Gules", Servicios Distinguidos a la "Seguridad y Defensa de Bases Aéreas" y Servicios Distinguidos al Cuerpo Logístico y Administrativo, se establece como requisito indispensable contar con la especialidad primaria o secundaria en cada una de las especialidades;</w:t>
      </w:r>
    </w:p>
    <w:p>
      <w:pPr>
        <w:jc w:val="both"/>
      </w:pPr>
      <w:rPr>
        <w:sz w:val="24"/>
        <w:color w:val="black"/>
      </w:rPr>
    </w:p>
    <w:p>
      <w:pPr>
        <w:jc w:val="both"/>
      </w:pPr>
      <w:r>
        <w:rPr>
          <w:rFonts w:hAnsi="Arial"/>
          <w:rFonts w:ascii="Arial"/>
          <w:sz w:val="24"/>
          <w:color w:val="black"/>
        </w:rPr>
        <w:t xml:space="preserve">m) Para el otorgamiento de la Medalla Militar Centenario Servicios Distinguidos a Reclutamiento "Simona Duque de Alzate", el personal propuesto debe haber prestado eminentes Servicios a Reclutamiento y Control Reservas del Ejército Nacional. Su imposición se hará de acuerdo con lo dispuesto en el reglamento de ceremonial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"http://www.redjurista.com/document.aspx?ajcode=d4444010&amp;arts=91"</w:instrText>
      </w:r>
      <w:r>
        <w:fldChar w:fldCharType="separate"/>
      </w:r>
      <w:r>
        <w:rPr>
          <w:rFonts w:hAnsi="Arial"/>
          <w:rFonts w:ascii="Arial"/>
          <w:sz w:val="24"/>
          <w:i/>
          <w:u w:val="single"/>
          <w:color w:val="black"/>
        </w:rPr>
        <w:t>91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16" w:name="2.3.1.3.6.4"/>
      <w:r>
        <w:rPr>
          <w:rFonts w:hAnsi="Arial"/>
          <w:rFonts w:ascii="Arial"/>
          <w:sz w:val="24"/>
          <w:color w:val="navy"/>
        </w:rPr>
        <w:t xml:space="preserve">ARTÍCULO 2.3.1.3.6.4. </w:t>
      </w:r>
      <w:r>
        <w:rPr>
          <w:rFonts w:hAnsi="Arial"/>
          <w:rFonts w:ascii="Arial"/>
          <w:sz w:val="24"/>
          <w:i/>
          <w:color w:val="navy"/>
        </w:rPr>
        <w:t xml:space="preserve">DIPLOMAS DE LAS MEDALLAS POR SERVICIOS DISTINGUIDOS PRESTADOS A LA INSTITUCIÓN MILITAR.</w:t>
      </w:r>
      <w:bookmarkEnd w:id="60616"/>
      <w:r>
        <w:rPr>
          <w:rFonts w:hAnsi="Arial"/>
          <w:rFonts w:ascii="Arial"/>
          <w:sz w:val="24"/>
          <w:b/>
          <w:i/>
          <w:color w:val="black"/>
        </w:rPr>
        <w:t xml:space="preserve"> </w:t>
      </w:r>
      <w:r>
        <w:rPr>
          <w:rFonts w:hAnsi="Arial"/>
          <w:rFonts w:ascii="Arial"/>
          <w:sz w:val="24"/>
          <w:color w:val="black"/>
        </w:rPr>
        <w:t xml:space="preserve">Deben ser elaborados en papel pergamino o cartulina blanca, de las siguientes dimensiones: Treinta y cinco (35) centímetros de largo por veinticinco (25) centímetros de ancho, con el dibujo del anverso de la medalla al lado izquierdo superior y el reverso al lado derecho superior y en el centro la siguiente leyenda:</w:t>
      </w:r>
    </w:p>
    <w:p>
      <w:pPr>
        <w:jc w:val="center"/>
      </w:pPr>
      <w:r>
        <w:drawing>
          <wp:inline distT="0" distB="0" distL="0" distR="0">
            <wp:extent cx="3726180" cy="1965960"/>
            <wp:docPr id="14" name=""/>
            <a:graphic xmlns:a="http://schemas.openxmlformats.org/drawingml/2006/main">
              <a:graphicData uri="http://schemas.openxmlformats.org/drawingml/2006/picture">
                <pic:pic xmlns:pic="http://schemas.openxmlformats.org/drawingml/2006/picture">
                  <pic:nvPicPr>
                    <pic:cNvPr id="13" name="Picture "/>
                    <pic:cNvPicPr/>
                  </pic:nvPicPr>
                  <pic:blipFill>
                    <a:blip r:embed="id13"/>
                    <a:stretch>
                      <a:fillRect/>
                    </a:stretch>
                  </pic:blipFill>
                  <pic:spPr>
                    <a:xfrm>
                      <a:off x="0" y="0"/>
                      <a:ext cx="3726180" cy="196596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"http://www.redjurista.com/document.aspx?ajcode=d4444010&amp;arts=92"</w:instrText>
      </w:r>
      <w:r>
        <w:fldChar w:fldCharType="separate"/>
      </w:r>
      <w:r>
        <w:rPr>
          <w:rFonts w:hAnsi="Arial"/>
          <w:rFonts w:ascii="Arial"/>
          <w:sz w:val="24"/>
          <w:i/>
          <w:u w:val="single"/>
          <w:color w:val="black"/>
        </w:rPr>
        <w:t>92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17" w:name="2.3.1.3.6.5"/>
      <w:r>
        <w:rPr>
          <w:rFonts w:hAnsi="Arial"/>
          <w:rFonts w:ascii="Arial"/>
          <w:sz w:val="24"/>
          <w:color w:val="navy"/>
        </w:rPr>
        <w:t xml:space="preserve">ARTÍCULO 2.3.1.3.6.5. </w:t>
      </w:r>
      <w:r>
        <w:rPr>
          <w:rFonts w:hAnsi="Arial"/>
          <w:rFonts w:ascii="Arial"/>
          <w:sz w:val="24"/>
          <w:i/>
          <w:color w:val="navy"/>
        </w:rPr>
        <w:t>ENTIDADES</w:t>
      </w:r>
      <w:r>
        <w:rPr>
          <w:rFonts w:hAnsi="Arial"/>
          <w:rFonts w:ascii="Arial"/>
          <w:sz w:val="24"/>
          <w:color w:val="navy"/>
        </w:rPr>
        <w:t>.</w:t>
      </w:r>
      <w:bookmarkEnd w:id="60617"/>
      <w:r>
        <w:rPr>
          <w:rFonts w:hAnsi="Arial"/>
          <w:rFonts w:ascii="Arial"/>
          <w:sz w:val="24"/>
          <w:b/>
          <w:color w:val="black"/>
        </w:rPr>
        <w:t xml:space="preserve"> </w:t>
      </w:r>
      <w:r>
        <w:rPr>
          <w:rFonts w:hAnsi="Arial"/>
          <w:rFonts w:ascii="Arial"/>
          <w:sz w:val="24"/>
          <w:color w:val="black"/>
        </w:rPr>
        <w:t xml:space="preserve">Las condecoraciones militares por servicios distinguidos prestados a la Institución Militar, serán otorgadas por las siguientes entidades, así:</w:t>
      </w:r>
    </w:p>
    <w:p>
      <w:pPr>
        <w:jc w:val="both"/>
      </w:pPr>
      <w:rPr>
        <w:sz w:val="24"/>
        <w:color w:val="black"/>
      </w:rPr>
    </w:p>
    <w:p>
      <w:pPr>
        <w:jc w:val="both"/>
      </w:pPr>
      <w:r>
        <w:rPr>
          <w:rFonts w:hAnsi="Arial"/>
          <w:rFonts w:ascii="Arial"/>
          <w:sz w:val="24"/>
          <w:b/>
          <w:u w:val="single"/>
          <w:color w:val="black"/>
        </w:rPr>
        <w:t xml:space="preserve">1) MINISTERIO DE DEFENSA NACIONAL:</w:t>
      </w:r>
    </w:p>
    <w:p>
      <w:pPr>
        <w:jc w:val="both"/>
      </w:pPr>
      <w:rPr>
        <w:sz w:val="24"/>
        <w:color w:val="black"/>
      </w:rPr>
    </w:p>
    <w:p>
      <w:pPr>
        <w:jc w:val="center"/>
      </w:pPr>
      <w:r>
        <w:rPr>
          <w:rFonts w:hAnsi="Arial"/>
          <w:rFonts w:ascii="Arial"/>
          <w:sz w:val="24"/>
          <w:vanish/>
          <w:color w:val="black"/>
        </w:rPr>
        <w:t>&amp;$</w:t>
      </w:r>
      <w:bookmarkStart w:id="60618" w:name="SUBSECCIÓN 2.3.1.3.6.1"/>
      <w:r>
        <w:rPr>
          <w:rFonts w:hAnsi="Arial"/>
          <w:rFonts w:ascii="Arial"/>
          <w:sz w:val="24"/>
          <w:color w:val="navy"/>
        </w:rPr>
        <w:t xml:space="preserve">SUBSECCIÓN 1. </w:t>
      </w:r>
    </w:p>
    <w:p>
      <w:pPr>
        <w:jc w:val="center"/>
      </w:pPr>
      <w:r>
        <w:rPr>
          <w:rFonts w:hAnsi="Arial"/>
          <w:rFonts w:ascii="Arial"/>
          <w:sz w:val="24"/>
          <w:color w:val="navy"/>
        </w:rPr>
        <w:t xml:space="preserve">MEDALLA MILITAR MINISTERIO DE DEFENSA NACIONAL.</w:t>
      </w:r>
      <w:bookmarkEnd w:id="6061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19" w:name="2.3.1.3.6.1.1"/>
      <w:r>
        <w:rPr>
          <w:rFonts w:hAnsi="Arial"/>
          <w:rFonts w:ascii="Arial"/>
          <w:sz w:val="24"/>
          <w:color w:val="navy"/>
        </w:rPr>
        <w:t xml:space="preserve">ARTÍCULO 2.3.1.3.6.1.1. </w:t>
      </w:r>
      <w:r>
        <w:rPr>
          <w:rFonts w:hAnsi="Arial"/>
          <w:rFonts w:ascii="Arial"/>
          <w:sz w:val="24"/>
          <w:i/>
          <w:color w:val="navy"/>
        </w:rPr>
        <w:t>ORIGEN.</w:t>
      </w:r>
      <w:bookmarkEnd w:id="60619"/>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"http://www.redjurista.com/document.aspx?ajcode=d0784_96&amp;arts=INICIO"</w:instrText>
      </w:r>
      <w:r>
        <w:fldChar w:fldCharType="separate"/>
      </w:r>
      <w:r>
        <w:rPr>
          <w:rFonts w:hAnsi="Arial"/>
          <w:rFonts w:ascii="Arial"/>
          <w:sz w:val="24"/>
          <w:u w:val="single"/>
          <w:color w:val="black"/>
        </w:rPr>
        <w:t>784</w:t>
      </w:r>
      <w:r>
        <w:fldChar w:fldCharType="end"/>
      </w:r>
      <w:r>
        <w:rPr>
          <w:rFonts w:hAnsi="Arial"/>
          <w:rFonts w:ascii="Arial"/>
          <w:sz w:val="24"/>
          <w:u w:val="none"/>
          <w:color w:val="black"/>
        </w:rPr>
        <w:t xml:space="preserve"> del 29 de abril de 1996 (modificado por el artículo </w:t>
      </w:r>
      <w:r>
        <w:fldChar w:fldCharType="begin"/>
      </w:r>
      <w:r>
        <w:instrText>HYPERLINK "http://www.redjurista.com/document.aspx?ajcode=d0699009&amp;arts=1"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Decreto 699 de 2009), para estimular a quienes se hayan caracterizado por su consagración al trabajo, disciplina, colaboración y servicios eminentes al Ministerio de Defensa Nacional.</w:t>
      </w:r>
    </w:p>
    <w:p>
      <w:pPr>
        <w:jc w:val="both"/>
      </w:pPr>
      <w:rPr>
        <w:sz w:val="24"/>
        <w:color w:val="black"/>
      </w:rPr>
    </w:p>
    <w:p>
      <w:pPr>
        <w:jc w:val="both"/>
      </w:pPr>
      <w:r>
        <w:rPr>
          <w:rFonts w:hAnsi="Arial"/>
          <w:rFonts w:ascii="Arial"/>
          <w:sz w:val="24"/>
          <w:color w:val="black"/>
        </w:rPr>
        <w:t xml:space="preserve">La Medalla Militar "Ministerio de Defensa Nacional", podrá conferirse o promoverse en las siguientes categorías:</w:t>
      </w:r>
    </w:p>
    <w:p>
      <w:pPr>
        <w:jc w:val="both"/>
      </w:pPr>
      <w:rPr>
        <w:sz w:val="24"/>
        <w:color w:val="black"/>
      </w:rPr>
    </w:p>
    <w:p>
      <w:pPr>
        <w:jc w:val="both"/>
      </w:pPr>
      <w:r>
        <w:rPr>
          <w:rFonts w:hAnsi="Arial"/>
          <w:rFonts w:ascii="Arial"/>
          <w:sz w:val="24"/>
          <w:color w:val="black"/>
        </w:rPr>
        <w:t xml:space="preserve">a) En categoría de "Gran Cruz por Servicios Distinguidos", se podrá conferir a los Presidentes, Vicepresidentes, Ministros, Viceministros, Secretarios Generales de Ministerios, Comandante General de las Fuerzas Militares, Jefe de Estado Mayor Conjunto, Comandantes de Fuerza, Director General de la Policía Nacional de Colombia o al personal uniformado de la Fuerza Pública nacional o extranjero, y a otros ciudadanos nacionales o extranjeros que se hayan hecho acreedores por su posición y méritos a esta gracia; así como promover a esta categoría, a quienes se les haya otorgado la Medalla Militar "Ministerio de Defensa Nacional" en la categoría "Servicios Distinguidos".</w:t>
      </w:r>
    </w:p>
    <w:p>
      <w:pPr>
        <w:jc w:val="both"/>
      </w:pPr>
      <w:rPr>
        <w:sz w:val="24"/>
        <w:color w:val="black"/>
      </w:rPr>
    </w:p>
    <w:p>
      <w:pPr>
        <w:jc w:val="both"/>
      </w:pPr>
      <w:r>
        <w:rPr>
          <w:rFonts w:hAnsi="Arial"/>
          <w:rFonts w:ascii="Arial"/>
          <w:sz w:val="24"/>
          <w:color w:val="black"/>
        </w:rPr>
        <w:t xml:space="preserve">b) En la categoría de "Gran Oficial por Servicios Distinguidos", se podrá conferir a Oficiales de la Fuerza Pública de grado oficial general o de insignia, a oficiales superiores o al personal uniformado de la Fuerza Pública nacional o extranjero, a los funcionarios públicos del nivel directivo de entidades públicas y otros ciudadanos nacionales o extranjeros que se hayan hecho acreedores por sus eminentes servicios al Ministerio de Defensa Nacional; así como promover a esta categoría, a quienes se les haya otorgado la Medalla Militar "Ministerio de Defensa Nacional" en la categoría "Servicios Distinguidos".</w:t>
      </w:r>
    </w:p>
    <w:p>
      <w:pPr>
        <w:jc w:val="both"/>
      </w:pPr>
      <w:rPr>
        <w:sz w:val="24"/>
        <w:color w:val="black"/>
      </w:rPr>
    </w:p>
    <w:p>
      <w:pPr>
        <w:jc w:val="both"/>
      </w:pPr>
      <w:r>
        <w:rPr>
          <w:rFonts w:hAnsi="Arial"/>
          <w:rFonts w:ascii="Arial"/>
          <w:sz w:val="24"/>
          <w:color w:val="black"/>
        </w:rPr>
        <w:t xml:space="preserve">c) En la categoría de "Servicios Distinguidos", se podrá conferir a militares, policiales, y civiles nacionales o extranjeros que por sus meritorios servicios prestados al Ministerio de Defensa Nacional, se hagan acreedores a 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"http://www.redjurista.com/document.aspx?ajcode=d4444010&amp;arts=93"</w:instrText>
      </w:r>
      <w:r>
        <w:fldChar w:fldCharType="separate"/>
      </w:r>
      <w:r>
        <w:rPr>
          <w:rFonts w:hAnsi="Arial"/>
          <w:rFonts w:ascii="Arial"/>
          <w:sz w:val="24"/>
          <w:i/>
          <w:u w:val="single"/>
          <w:color w:val="black"/>
        </w:rPr>
        <w:t>93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20" w:name="2.3.1.3.6.1.2"/>
      <w:r>
        <w:rPr>
          <w:rFonts w:hAnsi="Arial"/>
          <w:rFonts w:ascii="Arial"/>
          <w:sz w:val="24"/>
          <w:color w:val="navy"/>
        </w:rPr>
        <w:t xml:space="preserve">ARTÍCULO 2.3.1.3.6.1.2. </w:t>
      </w:r>
      <w:r>
        <w:rPr>
          <w:rFonts w:hAnsi="Arial"/>
          <w:rFonts w:ascii="Arial"/>
          <w:sz w:val="24"/>
          <w:i/>
          <w:color w:val="navy"/>
        </w:rPr>
        <w:t>CARACTERÍSTICAS.</w:t>
      </w:r>
      <w:bookmarkEnd w:id="60620"/>
      <w:r>
        <w:rPr>
          <w:rFonts w:hAnsi="Arial"/>
          <w:rFonts w:ascii="Arial"/>
          <w:sz w:val="24"/>
          <w:b/>
          <w:i/>
          <w:color w:val="black"/>
        </w:rPr>
        <w:t xml:space="preserve"> </w:t>
      </w:r>
      <w:r>
        <w:rPr>
          <w:rFonts w:hAnsi="Arial"/>
          <w:rFonts w:ascii="Arial"/>
          <w:sz w:val="24"/>
          <w:color w:val="black"/>
        </w:rPr>
        <w:t xml:space="preserve">La Medalla Militar "Ministerio de Defensa Nacional", tiene las siguientes características:</w:t>
      </w:r>
    </w:p>
    <w:p>
      <w:pPr>
        <w:jc w:val="both"/>
      </w:pPr>
      <w:rPr>
        <w:sz w:val="24"/>
        <w:color w:val="black"/>
      </w:rPr>
    </w:p>
    <w:p>
      <w:pPr>
        <w:jc w:val="both"/>
      </w:pPr>
      <w:r>
        <w:rPr>
          <w:rFonts w:hAnsi="Arial"/>
          <w:rFonts w:ascii="Arial"/>
          <w:sz w:val="24"/>
          <w:color w:val="black"/>
        </w:rPr>
        <w:t xml:space="preserve">a) En la categoría "Gran Cruz por Servicios Distinguidos". La joya consiste en una cruz de malta de cuarenta y cinco (45) milímetros de diámetro de color dorado, con las puntas rematadas en esferas, con los brazos horizontales esmaltados en color verde y los brazos verticales en color gris. Entre cada brazo de la cruz van tres rayos dorados de cuarenta (40) milímetros de longitud. La cruz de malta irá sobrepuesta en una base medalla fabricada en crisocal dorado. Lleva una banda de cien (100) milímetros de ancho con colores verde inglés y gris plomo repartidos, los dos colores de la banda estarán separados por una línea vertical dorada de diez (10) milímetros de ancho. Esta banda se lleva terciada del hombro derecho al costado izquierdo; la longitud de la banda es de uno punto sesenta y cinco (1.65) metros, con un lazo especial en el extremo, del cual pende la joya descrita.</w:t>
      </w:r>
    </w:p>
    <w:p>
      <w:pPr>
        <w:jc w:val="both"/>
      </w:pPr>
      <w:rPr>
        <w:sz w:val="24"/>
        <w:color w:val="black"/>
      </w:rPr>
    </w:p>
    <w:p>
      <w:pPr>
        <w:jc w:val="both"/>
      </w:pPr>
      <w:r>
        <w:rPr>
          <w:rFonts w:hAnsi="Arial"/>
          <w:rFonts w:ascii="Arial"/>
          <w:sz w:val="24"/>
          <w:color w:val="black"/>
        </w:rPr>
        <w:t xml:space="preserve">b) En la categoría "Gran Oficial por Servicios Distinguidos". La joya consiste en una cruz de malta de cuarenta y cinco (45) milímetros de diámetro de color dorado, con las puntas rematadas en esferas. Entre cada brazo de la cruz van tres rayos dorados de cuarenta (40) milímetros de longitud. La cruz de malta irá sobrepuesta en una base medalla fabricada en crisocal dorado, para suspender al cuello por medio de una cinta de cuarenta (40) milímetros de ancho con los colores verde inglés y gris plomo repartidos, con una longitud de cincuenta y cinco (55) centímetros de longitud, con tiras de tres (3) o cuatro (4) milímetros de ancho para anudarla detrás. Debe pasar dentro del cuello si se trata de un militar y sobre el cuello si es civil.</w:t>
      </w:r>
    </w:p>
    <w:p>
      <w:pPr>
        <w:jc w:val="both"/>
      </w:pPr>
      <w:rPr>
        <w:sz w:val="24"/>
        <w:color w:val="black"/>
      </w:rPr>
    </w:p>
    <w:p>
      <w:pPr>
        <w:jc w:val="both"/>
      </w:pPr>
      <w:r>
        <w:rPr>
          <w:rFonts w:hAnsi="Arial"/>
          <w:rFonts w:ascii="Arial"/>
          <w:sz w:val="24"/>
          <w:color w:val="black"/>
        </w:rPr>
        <w:t xml:space="preserve">c) En la categoría "Servicios Distinguidos". La joya pende de una argolla dorada unida a una cinta de cuarenta (40) milímetros de ancho con los colores verde inglés y gris plomo repartidos, con una longitud de cincuenta y dos (52) milímetros medida desde el borde superior del gancho de fijación hasta el vértice donde va la argolla soportando la medalla; los dos colores de la cinta estarán separados por una línea vertical dorada de un milímetro de ancho.</w:t>
      </w:r>
    </w:p>
    <w:p>
      <w:pPr>
        <w:jc w:val="both"/>
      </w:pPr>
      <w:rPr>
        <w:sz w:val="24"/>
        <w:color w:val="black"/>
      </w:rPr>
    </w:p>
    <w:p>
      <w:pPr>
        <w:jc w:val="both"/>
      </w:pPr>
      <w:r>
        <w:rPr>
          <w:rFonts w:hAnsi="Arial"/>
          <w:rFonts w:ascii="Arial"/>
          <w:sz w:val="24"/>
          <w:color w:val="black"/>
        </w:rPr>
        <w:t xml:space="preserve">La venera y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"http://www.redjurista.com/document.aspx?ajcode=d4444010&amp;arts=94"</w:instrText>
      </w:r>
      <w:r>
        <w:fldChar w:fldCharType="separate"/>
      </w:r>
      <w:r>
        <w:rPr>
          <w:rFonts w:hAnsi="Arial"/>
          <w:rFonts w:ascii="Arial"/>
          <w:sz w:val="24"/>
          <w:i/>
          <w:u w:val="single"/>
          <w:color w:val="black"/>
        </w:rPr>
        <w:t>94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21" w:name="2.3.1.3.6.1.3"/>
      <w:r>
        <w:rPr>
          <w:rFonts w:hAnsi="Arial"/>
          <w:rFonts w:ascii="Arial"/>
          <w:sz w:val="24"/>
          <w:color w:val="navy"/>
        </w:rPr>
        <w:t xml:space="preserve">ARTÍCULO 2.3.1.3.6.1.3. </w:t>
      </w:r>
      <w:r>
        <w:rPr>
          <w:rFonts w:hAnsi="Arial"/>
          <w:rFonts w:ascii="Arial"/>
          <w:sz w:val="24"/>
          <w:i/>
          <w:color w:val="navy"/>
        </w:rPr>
        <w:t>OTORGAMIENTO.</w:t>
      </w:r>
      <w:bookmarkEnd w:id="60621"/>
      <w:r>
        <w:rPr>
          <w:rFonts w:hAnsi="Arial"/>
          <w:rFonts w:ascii="Arial"/>
          <w:sz w:val="24"/>
          <w:b/>
          <w:i/>
          <w:color w:val="black"/>
        </w:rPr>
        <w:t xml:space="preserve"> </w:t>
      </w:r>
      <w:r>
        <w:rPr>
          <w:rFonts w:hAnsi="Arial"/>
          <w:rFonts w:ascii="Arial"/>
          <w:sz w:val="24"/>
          <w:color w:val="black"/>
        </w:rPr>
        <w:t xml:space="preserve">La medalla será conferida a militares, policiales y civiles nacionales o extranjeros que por sus meritorios servicios prestados al Ministerio de Defensa Nacional, se hagan acreedores a ella.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"http://www.redjurista.com/document.aspx?ajcode=d4444010&amp;arts=95"</w:instrText>
      </w:r>
      <w:r>
        <w:fldChar w:fldCharType="separate"/>
      </w:r>
      <w:r>
        <w:rPr>
          <w:rFonts w:hAnsi="Arial"/>
          <w:rFonts w:ascii="Arial"/>
          <w:sz w:val="24"/>
          <w:i/>
          <w:u w:val="single"/>
          <w:color w:val="black"/>
        </w:rPr>
        <w:t>95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22" w:name="2.3.1.3.6.1.4"/>
      <w:r>
        <w:rPr>
          <w:rFonts w:hAnsi="Arial"/>
          <w:rFonts w:ascii="Arial"/>
          <w:sz w:val="24"/>
          <w:color w:val="navy"/>
        </w:rPr>
        <w:t xml:space="preserve">ARTÍCULO 2.3.1.3.6.1.4. </w:t>
      </w:r>
      <w:r>
        <w:rPr>
          <w:rFonts w:hAnsi="Arial"/>
          <w:rFonts w:ascii="Arial"/>
          <w:sz w:val="24"/>
          <w:i/>
          <w:color w:val="navy"/>
        </w:rPr>
        <w:t>CONSEJO.</w:t>
      </w:r>
      <w:bookmarkEnd w:id="60622"/>
      <w:r>
        <w:rPr>
          <w:rFonts w:hAnsi="Arial"/>
          <w:rFonts w:ascii="Arial"/>
          <w:sz w:val="24"/>
          <w:b/>
          <w:i/>
          <w:color w:val="black"/>
        </w:rPr>
        <w:t xml:space="preserve"> </w:t>
      </w:r>
      <w:r>
        <w:rPr>
          <w:rFonts w:hAnsi="Arial"/>
          <w:rFonts w:ascii="Arial"/>
          <w:sz w:val="24"/>
          <w:color w:val="black"/>
        </w:rPr>
        <w:t xml:space="preserve">El Consejo de la Medalla Militar "Ministerio de Defensa Nacional",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Ministro de Defensa Nacional o su Delegado.</w:t>
      </w:r>
    </w:p>
    <w:p>
      <w:pPr>
        <w:jc w:val="both"/>
      </w:pPr>
      <w:rPr>
        <w:sz w:val="24"/>
        <w:color w:val="black"/>
      </w:rPr>
    </w:p>
    <w:p>
      <w:pPr>
        <w:jc w:val="both"/>
      </w:pPr>
      <w:r>
        <w:rPr>
          <w:rFonts w:hAnsi="Arial"/>
          <w:rFonts w:ascii="Arial"/>
          <w:sz w:val="24"/>
          <w:b/>
          <w:color w:val="black"/>
        </w:rPr>
        <w:t>Vicepresidente</w:t>
      </w:r>
      <w:r>
        <w:rPr>
          <w:rFonts w:hAnsi="Arial"/>
          <w:rFonts w:ascii="Arial"/>
          <w:sz w:val="24"/>
          <w:color w:val="black"/>
        </w:rPr>
        <w:t xml:space="preserve">: El Secretario General del Ministro de Defensa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Coordinador del Grupo de Talento Humano o quien haga sus veces.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Ayudante General o quien haga sus veces.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23" w:name="SUBSECCIÓN 2.3.1.3.6.2"/>
      <w:r>
        <w:rPr>
          <w:rFonts w:hAnsi="Arial"/>
          <w:rFonts w:ascii="Arial"/>
          <w:sz w:val="24"/>
          <w:color w:val="navy"/>
        </w:rPr>
        <w:t xml:space="preserve">SUBSECCIÓN 2. </w:t>
      </w:r>
    </w:p>
    <w:p>
      <w:pPr>
        <w:jc w:val="center"/>
      </w:pPr>
      <w:r>
        <w:rPr>
          <w:rFonts w:hAnsi="Arial"/>
          <w:rFonts w:ascii="Arial"/>
          <w:sz w:val="24"/>
          <w:color w:val="navy"/>
        </w:rPr>
        <w:t xml:space="preserve">MEDALLA MILITAR "SERVICIOS DISTINGUIDOS A LA JUSTICIA PENAL MILITAR".</w:t>
      </w:r>
      <w:bookmarkEnd w:id="6062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24" w:name="2.3.1.3.6.2.1"/>
      <w:r>
        <w:rPr>
          <w:rFonts w:hAnsi="Arial"/>
          <w:rFonts w:ascii="Arial"/>
          <w:sz w:val="24"/>
          <w:color w:val="navy"/>
        </w:rPr>
        <w:t xml:space="preserve">ARTÍCULO 2.3.1.3.6.2.1. </w:t>
      </w:r>
      <w:r>
        <w:rPr>
          <w:rFonts w:hAnsi="Arial"/>
          <w:rFonts w:ascii="Arial"/>
          <w:sz w:val="24"/>
          <w:i/>
          <w:color w:val="navy"/>
        </w:rPr>
        <w:t xml:space="preserve">ORIGEN Y CATEGORÍAS.</w:t>
      </w:r>
      <w:bookmarkEnd w:id="60624"/>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"http://www.redjurista.com/document.aspx?ajcode=d0798001&amp;arts=INICIO"</w:instrText>
      </w:r>
      <w:r>
        <w:fldChar w:fldCharType="separate"/>
      </w:r>
      <w:r>
        <w:rPr>
          <w:rFonts w:hAnsi="Arial"/>
          <w:rFonts w:ascii="Arial"/>
          <w:sz w:val="24"/>
          <w:u w:val="single"/>
          <w:color w:val="black"/>
        </w:rPr>
        <w:t>798</w:t>
      </w:r>
      <w:r>
        <w:fldChar w:fldCharType="end"/>
      </w:r>
      <w:r>
        <w:rPr>
          <w:rFonts w:hAnsi="Arial"/>
          <w:rFonts w:ascii="Arial"/>
          <w:sz w:val="24"/>
          <w:u w:val="none"/>
          <w:color w:val="black"/>
        </w:rPr>
        <w:t xml:space="preserve"> del 8 de mayo de 2001 para estimular a quienes se caractericen por su amor a la Institución, traducido en sobresalientes servicios personales y profesionales en ejercicio o apoyo de la función que cumple la Justicia Penal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"http://www.redjurista.com/document.aspx?ajcode=d4444010&amp;arts=96"</w:instrText>
      </w:r>
      <w:r>
        <w:fldChar w:fldCharType="separate"/>
      </w:r>
      <w:r>
        <w:rPr>
          <w:rFonts w:hAnsi="Arial"/>
          <w:rFonts w:ascii="Arial"/>
          <w:sz w:val="24"/>
          <w:i/>
          <w:u w:val="single"/>
          <w:color w:val="black"/>
        </w:rPr>
        <w:t>96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25" w:name="2.3.1.3.6.2.2"/>
      <w:r>
        <w:rPr>
          <w:rFonts w:hAnsi="Arial"/>
          <w:rFonts w:ascii="Arial"/>
          <w:sz w:val="24"/>
          <w:color w:val="navy"/>
        </w:rPr>
        <w:t xml:space="preserve">ARTÍCULO 2.3.1.3.6.2.2. </w:t>
      </w:r>
      <w:r>
        <w:rPr>
          <w:rFonts w:hAnsi="Arial"/>
          <w:rFonts w:ascii="Arial"/>
          <w:sz w:val="24"/>
          <w:i/>
          <w:color w:val="navy"/>
        </w:rPr>
        <w:t>CARACTERÍSTICAS.</w:t>
      </w:r>
      <w:bookmarkEnd w:id="60625"/>
      <w:r>
        <w:rPr>
          <w:rFonts w:hAnsi="Arial"/>
          <w:rFonts w:ascii="Arial"/>
          <w:sz w:val="24"/>
          <w:b/>
          <w:i/>
          <w:color w:val="black"/>
        </w:rPr>
        <w:t xml:space="preserve"> </w:t>
      </w:r>
      <w:r>
        <w:rPr>
          <w:rFonts w:hAnsi="Arial"/>
          <w:rFonts w:ascii="Arial"/>
          <w:sz w:val="24"/>
          <w:color w:val="black"/>
        </w:rPr>
        <w:t xml:space="preserve">Las características de la Medalla "Servicios Distinguidos a la Justicia Penal Militar" son: La joya. Placa convexa de plata brillante, lisa de cincuenta (50) milímetros de diámetro, con un círculo central de veinticinco (25) milímetros de radio también de plata brillante y en alto relieve, en cuyo centro va igualmente en alto relieve y en negro brillante un laurel cruzado por un espada y pluma, símbolo que identifica a la justicia. En el anverso lleva inscrita la frase latina "DURA LEX, SED LEX", la ley es dura pero es ley, como expresión de la imparcialidad y rectitud que debe caracterizar el actuar de los que al seno de las Fuerzas Militares tienen a su cargo administrar justicia en estricto cumplimiento de los preceptos constitucionales y legales.</w:t>
      </w:r>
    </w:p>
    <w:p>
      <w:pPr>
        <w:jc w:val="both"/>
      </w:pPr>
      <w:rPr>
        <w:sz w:val="24"/>
        <w:color w:val="black"/>
      </w:rPr>
    </w:p>
    <w:p>
      <w:pPr>
        <w:jc w:val="both"/>
      </w:pPr>
      <w:r>
        <w:rPr>
          <w:rFonts w:hAnsi="Arial"/>
          <w:rFonts w:ascii="Arial"/>
          <w:sz w:val="24"/>
          <w:color w:val="black"/>
        </w:rPr>
        <w:t xml:space="preserve">En la esquina superior de la placa va fijo un anillo que hace unión con la cinta y en cuyo reverso va fija la joya de plata brillante; la cinta está conformada por los colores rojo, azul oscuro, blanco, azul celeste y verde significando el color blanco como manifestación de la transparencia, diafanidad y honestidad que deben caracterizar a quienes administran justicia al interior de la Institución; los colores rojo, azul oscuro, azul celeste y verde, así como los escudos de armas, representan a cada una de las fuerzas en las cuales la Justicia Penal Militar presta su servicio: Ejército Nacional, Armada Nacional,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Policía Nacional.</w:t>
      </w:r>
    </w:p>
    <w:p>
      <w:pPr>
        <w:jc w:val="both"/>
      </w:pPr>
      <w:rPr>
        <w:sz w:val="24"/>
        <w:color w:val="black"/>
      </w:rPr>
    </w:p>
    <w:p>
      <w:pPr>
        <w:jc w:val="both"/>
      </w:pPr>
      <w:r>
        <w:rPr>
          <w:rFonts w:hAnsi="Arial"/>
          <w:rFonts w:ascii="Arial"/>
          <w:sz w:val="24"/>
          <w:color w:val="black"/>
        </w:rPr>
        <w:t xml:space="preserve">Las veneras y miniaturas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"http://www.redjurista.com/document.aspx?ajcode=d4444010&amp;arts=97"</w:instrText>
      </w:r>
      <w:r>
        <w:fldChar w:fldCharType="separate"/>
      </w:r>
      <w:r>
        <w:rPr>
          <w:rFonts w:hAnsi="Arial"/>
          <w:rFonts w:ascii="Arial"/>
          <w:sz w:val="24"/>
          <w:i/>
          <w:u w:val="single"/>
          <w:color w:val="black"/>
        </w:rPr>
        <w:t>97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26" w:name="2.3.1.3.6.2.3"/>
      <w:r>
        <w:rPr>
          <w:rFonts w:hAnsi="Arial"/>
          <w:rFonts w:ascii="Arial"/>
          <w:sz w:val="24"/>
          <w:color w:val="navy"/>
        </w:rPr>
        <w:t xml:space="preserve">ARTÍCULO 2.3.1.3.6.2.3. </w:t>
      </w:r>
      <w:r>
        <w:rPr>
          <w:rFonts w:hAnsi="Arial"/>
          <w:rFonts w:ascii="Arial"/>
          <w:sz w:val="24"/>
          <w:i/>
          <w:color w:val="navy"/>
        </w:rPr>
        <w:t>CONSEJO.</w:t>
      </w:r>
      <w:bookmarkEnd w:id="60626"/>
      <w:r>
        <w:rPr>
          <w:rFonts w:hAnsi="Arial"/>
          <w:rFonts w:ascii="Arial"/>
          <w:sz w:val="24"/>
          <w:b/>
          <w:i/>
          <w:color w:val="black"/>
        </w:rPr>
        <w:t xml:space="preserve"> </w:t>
      </w:r>
      <w:r>
        <w:rPr>
          <w:rFonts w:hAnsi="Arial"/>
          <w:rFonts w:ascii="Arial"/>
          <w:sz w:val="24"/>
          <w:color w:val="black"/>
        </w:rPr>
        <w:t xml:space="preserve">El Consejo de la Medalla Militar "Servicios Distinguidos a la Justicia Penal Militar",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Ministro de Defensa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General de las Fuerzas Militares.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Director Ejecutivo de la Justicia Penal Militar.</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Asesor de la Dirección Ejecutiva de la Justicia Penal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b/>
          <w:u w:val="single"/>
          <w:color w:val="black"/>
        </w:rPr>
        <w:t xml:space="preserve">2) COMANDO GENERAL DE LAS FUERZAS MILITARES:</w:t>
      </w:r>
    </w:p>
    <w:p>
      <w:pPr>
        <w:jc w:val="both"/>
      </w:pPr>
      <w:rPr>
        <w:sz w:val="24"/>
        <w:color w:val="black"/>
      </w:rPr>
    </w:p>
    <w:p>
      <w:pPr>
        <w:jc w:val="center"/>
      </w:pPr>
      <w:r>
        <w:rPr>
          <w:rFonts w:hAnsi="Arial"/>
          <w:rFonts w:ascii="Arial"/>
          <w:sz w:val="24"/>
          <w:vanish/>
          <w:color w:val="black"/>
        </w:rPr>
        <w:t>&amp;$</w:t>
      </w:r>
      <w:bookmarkStart w:id="60627" w:name="SUBSECCIÓN 2.3.1.3.6.3"/>
      <w:r>
        <w:rPr>
          <w:rFonts w:hAnsi="Arial"/>
          <w:rFonts w:ascii="Arial"/>
          <w:sz w:val="24"/>
          <w:color w:val="navy"/>
        </w:rPr>
        <w:t xml:space="preserve">SUBSECCIÓN 3. </w:t>
      </w:r>
    </w:p>
    <w:p>
      <w:pPr>
        <w:jc w:val="center"/>
      </w:pPr>
      <w:r>
        <w:rPr>
          <w:rFonts w:hAnsi="Arial"/>
          <w:rFonts w:ascii="Arial"/>
          <w:sz w:val="24"/>
          <w:color w:val="navy"/>
        </w:rPr>
        <w:t xml:space="preserve">MEDALLA MILITAR "FE EN LA CAUSA" DEL COMANDO GENERAL DE LA FUERZAS MILITARES.</w:t>
      </w:r>
      <w:bookmarkEnd w:id="6062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28" w:name="2.3.1.3.6.3.1"/>
      <w:r>
        <w:rPr>
          <w:rFonts w:hAnsi="Arial"/>
          <w:rFonts w:ascii="Arial"/>
          <w:sz w:val="24"/>
          <w:color w:val="navy"/>
        </w:rPr>
        <w:t xml:space="preserve">ARTÍCULO 2.3.1.3.6.3.1. </w:t>
      </w:r>
      <w:r>
        <w:rPr>
          <w:rFonts w:hAnsi="Arial"/>
          <w:rFonts w:ascii="Arial"/>
          <w:sz w:val="24"/>
          <w:i/>
          <w:color w:val="navy"/>
        </w:rPr>
        <w:t>ORIGEN.</w:t>
      </w:r>
      <w:bookmarkEnd w:id="60628"/>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"http://www.redjurista.com/document.aspx?ajcode=d0932014&amp;arts=INICIO"</w:instrText>
      </w:r>
      <w:r>
        <w:fldChar w:fldCharType="separate"/>
      </w:r>
      <w:r>
        <w:rPr>
          <w:rFonts w:hAnsi="Arial"/>
          <w:rFonts w:ascii="Arial"/>
          <w:sz w:val="24"/>
          <w:u w:val="single"/>
          <w:color w:val="black"/>
        </w:rPr>
        <w:t>932</w:t>
      </w:r>
      <w:r>
        <w:fldChar w:fldCharType="end"/>
      </w:r>
      <w:r>
        <w:rPr>
          <w:rFonts w:hAnsi="Arial"/>
          <w:rFonts w:ascii="Arial"/>
          <w:sz w:val="24"/>
          <w:u w:val="none"/>
          <w:color w:val="black"/>
        </w:rPr>
        <w:t xml:space="preserve"> de 2014, para premiar al personal de Oficiales, Suboficiales, Soldados y civiles, que se destaquen en la recuperación de la paz, el orden y la democracia de la Nación, así como al personal militar en uso de buen retiro, a personalidades Nacionales y Extranjeras y entidades públicas o privadas que presten sus servicios meritorios en beneficio de la Fuerzas Militares.</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29" w:name="2.3.1.3.6.3.2"/>
      <w:r>
        <w:rPr>
          <w:rFonts w:hAnsi="Arial"/>
          <w:rFonts w:ascii="Arial"/>
          <w:sz w:val="24"/>
          <w:color w:val="navy"/>
        </w:rPr>
        <w:t xml:space="preserve">ARTÍCULO 2.3.1.3.6.3.2. </w:t>
      </w:r>
      <w:r>
        <w:rPr>
          <w:rFonts w:hAnsi="Arial"/>
          <w:rFonts w:ascii="Arial"/>
          <w:sz w:val="24"/>
          <w:i/>
          <w:color w:val="navy"/>
        </w:rPr>
        <w:t>CATEGORÍAS.</w:t>
      </w:r>
      <w:bookmarkEnd w:id="60629"/>
      <w:r>
        <w:rPr>
          <w:rFonts w:hAnsi="Arial"/>
          <w:rFonts w:ascii="Arial"/>
          <w:sz w:val="24"/>
          <w:b/>
          <w:i/>
          <w:color w:val="black"/>
        </w:rPr>
        <w:t xml:space="preserve"> </w:t>
      </w:r>
      <w:r>
        <w:rPr>
          <w:rFonts w:hAnsi="Arial"/>
          <w:rFonts w:ascii="Arial"/>
          <w:sz w:val="24"/>
          <w:color w:val="black"/>
        </w:rPr>
        <w:t xml:space="preserve">La Medalla Militar "FE EN LA CAUSA" del Comando General de las Fuerzas Militares, tendrá dos categorías, así:</w:t>
      </w:r>
    </w:p>
    <w:p>
      <w:pPr>
        <w:jc w:val="both"/>
      </w:pPr>
      <w:rPr>
        <w:sz w:val="24"/>
        <w:color w:val="black"/>
      </w:rPr>
    </w:p>
    <w:p>
      <w:pPr>
        <w:jc w:val="both"/>
      </w:pPr>
      <w:r>
        <w:rPr>
          <w:rFonts w:hAnsi="Arial"/>
          <w:rFonts w:ascii="Arial"/>
          <w:sz w:val="24"/>
          <w:color w:val="black"/>
        </w:rPr>
        <w:t xml:space="preserve">1. Categoría Excepcional. Se podrá conceder al personal de Oficiales Subalternos y Superiores, Suboficiales, Soldados, Infantes de Marina en servicio activo o en uso de buen retiro; personal civil de las Fuerzas Militares y no uniformado de la Policía Nacional, que se destaquen en la recuperación de la paz, el orden y la democracia de la nación.</w:t>
      </w:r>
    </w:p>
    <w:p>
      <w:pPr>
        <w:jc w:val="both"/>
      </w:pPr>
      <w:rPr>
        <w:sz w:val="24"/>
        <w:color w:val="black"/>
      </w:rPr>
    </w:p>
    <w:p>
      <w:pPr>
        <w:jc w:val="both"/>
      </w:pPr>
      <w:r>
        <w:rPr>
          <w:rFonts w:hAnsi="Arial"/>
          <w:rFonts w:ascii="Arial"/>
          <w:sz w:val="24"/>
          <w:color w:val="black"/>
        </w:rPr>
        <w:t xml:space="preserve">2. Categoría Extraordinaria. Se podrá conceder a los Oficiales Generales en actividad y que ostenten los cargos de Jefe de Estado Mayor Conjunto y Comandantes de Fuerza; aquellos en uso de buen retiro, que hayan ostentado los cargos de Comandante General de las Fuerzas Militares, Jefe de Estado Mayor Conjunto y Comandante de Fuerza.</w:t>
      </w:r>
    </w:p>
    <w:p>
      <w:pPr>
        <w:jc w:val="both"/>
      </w:pPr>
      <w:rPr>
        <w:sz w:val="24"/>
        <w:color w:val="black"/>
      </w:rPr>
    </w:p>
    <w:p>
      <w:pPr>
        <w:jc w:val="both"/>
      </w:pPr>
      <w:r>
        <w:rPr>
          <w:rFonts w:hAnsi="Arial"/>
          <w:rFonts w:ascii="Arial"/>
          <w:sz w:val="24"/>
          <w:color w:val="black"/>
        </w:rPr>
        <w:t xml:space="preserve">Igualmente se podrá conferir a personalidades nacionales y extranjeras, y entidades públicas o privadas que presten sus servicios meritorios en beneficio de las Fuerzas Militares de Colombia, demostrando compromiso y trabajo a favor de las Fuerzas Militares.</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0" w:name="2.3.1.3.6.3.3"/>
      <w:r>
        <w:rPr>
          <w:rFonts w:hAnsi="Arial"/>
          <w:rFonts w:ascii="Arial"/>
          <w:sz w:val="24"/>
          <w:color w:val="navy"/>
        </w:rPr>
        <w:t xml:space="preserve">ARTÍCULO 2.3.1.3.6.3.3. </w:t>
      </w:r>
      <w:r>
        <w:rPr>
          <w:rFonts w:hAnsi="Arial"/>
          <w:rFonts w:ascii="Arial"/>
          <w:sz w:val="24"/>
          <w:i/>
          <w:color w:val="navy"/>
        </w:rPr>
        <w:t xml:space="preserve">CARACTERÍSTICAS DE LAS JOYAS EN CADA CATEGORÍA.</w:t>
      </w:r>
      <w:bookmarkEnd w:id="60630"/>
      <w:r>
        <w:rPr>
          <w:rFonts w:hAnsi="Arial"/>
          <w:rFonts w:ascii="Arial"/>
          <w:sz w:val="24"/>
          <w:b/>
          <w:i/>
          <w:color w:val="black"/>
        </w:rPr>
        <w:t xml:space="preserve"> </w:t>
      </w:r>
      <w:r>
        <w:rPr>
          <w:rFonts w:hAnsi="Arial"/>
          <w:rFonts w:ascii="Arial"/>
          <w:sz w:val="24"/>
          <w:color w:val="black"/>
        </w:rPr>
        <w:t xml:space="preserve">Categoría Excepcional. La joya consta de una cruz de malta de color rojo de 56,7mm de alto, por 56.7mm de ancho, su aspecto es de cuatro puntas de flecha apuntando al centro, con lo que queda una cruz de ocho picos, al frente de la joya reposa una circunferencia de 20,2mm de diámetro en donde sobresale el escudo del Comando General de las Fuerzas Militares, rodeado por un laurel ubicado en el centro de la cruz y al respaldo de esta circunferencia encontramos en la contracara o reverso, el grabado de los tres rostros de "FE EN LA CAUSA CON TODAS NUESTRAS FUERZAS" con su respectivo lema. Es de color bronce platinado, suspendida de una corona de acero tipo rumana que en la base lleva la bandera de Colombia de l8mm de ancho, por l4mm de alto, que a su vez cuelga de una cinta de color púrpura, que en sus bordes lleva los colores del tricolor nacional.</w:t>
      </w:r>
    </w:p>
    <w:p>
      <w:pPr>
        <w:jc w:val="both"/>
      </w:pPr>
      <w:rPr>
        <w:sz w:val="24"/>
        <w:color w:val="black"/>
      </w:rPr>
    </w:p>
    <w:p>
      <w:pPr>
        <w:jc w:val="both"/>
      </w:pPr>
      <w:r>
        <w:rPr>
          <w:rFonts w:hAnsi="Arial"/>
          <w:rFonts w:ascii="Arial"/>
          <w:sz w:val="24"/>
          <w:color w:val="black"/>
        </w:rPr>
        <w:t xml:space="preserve">Categoría Extraordinaria. La joya en Categoría Extraordinaria conservará las mismas características de la joya en Categoría Excepcional, solo que a esta se le agrega una estrella plateada a la venera.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réplicas serán condecoraciones similares a las joyas descritas anteriormente, pero reducidas a 15mm, la cual irá suspendida de una cinta con los mismos colores de la establecida para la joya, tendrá l5mm de ancho, por 35mm de largo y en el centro ostentará el distintivo indicado para la venera.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metálica con el tricolor nacional en los extremos, y los colores representativos de cada una de las Fuerzas por secciones en el centro de 40mm de largo, por 10 mm de ancho, en esmalte al fuego, con el Escudo del Comando General en el centro para la Categoría Excepcional o una estrella plateada en el centro para la Categoría Extraordinaria, conservando las mismas características antes descritas.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joya de Categoría Extraordinaria se impondrá al cuello, con las mismas características de la Categoría Excepcional.</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1" w:name="2.3.1.3.6.3.4"/>
      <w:r>
        <w:rPr>
          <w:rFonts w:hAnsi="Arial"/>
          <w:rFonts w:ascii="Arial"/>
          <w:sz w:val="24"/>
          <w:color w:val="navy"/>
        </w:rPr>
        <w:t xml:space="preserve">ARTÍCULO 2.3.1.3.6.3.4. </w:t>
      </w:r>
      <w:r>
        <w:rPr>
          <w:rFonts w:hAnsi="Arial"/>
          <w:rFonts w:ascii="Arial"/>
          <w:sz w:val="24"/>
          <w:i/>
          <w:color w:val="navy"/>
        </w:rPr>
        <w:t>CONSEJO.</w:t>
      </w:r>
      <w:bookmarkEnd w:id="60631"/>
      <w:r>
        <w:rPr>
          <w:rFonts w:hAnsi="Arial"/>
          <w:rFonts w:ascii="Arial"/>
          <w:sz w:val="24"/>
          <w:b/>
          <w:i/>
          <w:color w:val="black"/>
        </w:rPr>
        <w:t xml:space="preserve"> </w:t>
      </w:r>
      <w:r>
        <w:rPr>
          <w:rFonts w:hAnsi="Arial"/>
          <w:rFonts w:ascii="Arial"/>
          <w:sz w:val="24"/>
          <w:color w:val="black"/>
        </w:rPr>
        <w:t xml:space="preserve">El Consejo de la Medalla Militar "Fe en la Causa" del Comando General de la Fuerzas Militares,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del Estado Mayor Conjunto.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Jefe de Desarrollo Humano Conjunto CGFM.</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General del Comando General Fuerzas Militares.</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2" w:name="2.3.1.3.6.3.5"/>
      <w:r>
        <w:rPr>
          <w:rFonts w:hAnsi="Arial"/>
          <w:rFonts w:ascii="Arial"/>
          <w:sz w:val="24"/>
          <w:color w:val="navy"/>
        </w:rPr>
        <w:t xml:space="preserve">ARTÍCULO 2.3.1.3.6.3.5. </w:t>
      </w:r>
      <w:r>
        <w:rPr>
          <w:rFonts w:hAnsi="Arial"/>
          <w:rFonts w:ascii="Arial"/>
          <w:sz w:val="24"/>
          <w:i/>
          <w:color w:val="navy"/>
        </w:rPr>
        <w:t>REQUISITOS.</w:t>
      </w:r>
      <w:bookmarkEnd w:id="60632"/>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se tendrán en cuenta para cada categoría los siguientes, para su otorgamiento, así:</w:t>
      </w:r>
    </w:p>
    <w:p>
      <w:pPr>
        <w:jc w:val="both"/>
      </w:pPr>
      <w:rPr>
        <w:sz w:val="24"/>
        <w:color w:val="black"/>
      </w:rPr>
    </w:p>
    <w:p>
      <w:pPr>
        <w:jc w:val="both"/>
      </w:pPr>
      <w:r>
        <w:rPr>
          <w:rFonts w:hAnsi="Arial"/>
          <w:rFonts w:ascii="Arial"/>
          <w:sz w:val="24"/>
          <w:color w:val="black"/>
        </w:rPr>
        <w:t xml:space="preserve">En la Categoría Extraordinaria.</w:t>
      </w:r>
    </w:p>
    <w:p>
      <w:pPr>
        <w:jc w:val="both"/>
      </w:pPr>
      <w:rPr>
        <w:sz w:val="24"/>
        <w:color w:val="black"/>
      </w:rPr>
    </w:p>
    <w:p>
      <w:pPr>
        <w:jc w:val="both"/>
      </w:pPr>
      <w:r>
        <w:rPr>
          <w:rFonts w:hAnsi="Arial"/>
          <w:rFonts w:ascii="Arial"/>
          <w:sz w:val="24"/>
          <w:color w:val="black"/>
        </w:rPr>
        <w:t xml:space="preserve">Para Oficiales.</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protagonista en el respeto por los Derechos Humanos.</w:t>
      </w:r>
    </w:p>
    <w:p>
      <w:pPr>
        <w:jc w:val="both"/>
      </w:pPr>
      <w:rPr>
        <w:sz w:val="24"/>
        <w:color w:val="black"/>
      </w:rPr>
    </w:p>
    <w:p>
      <w:pPr>
        <w:jc w:val="both"/>
      </w:pPr>
      <w:r>
        <w:rPr>
          <w:rFonts w:hAnsi="Arial"/>
          <w:rFonts w:ascii="Arial"/>
          <w:sz w:val="24"/>
          <w:color w:val="black"/>
        </w:rPr>
        <w:t xml:space="preserve">3. Debe haber liderado, planeado, dirigido o ejecutado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4. Haberse destacado en forma sobresaliente por sus servicios al Comando General o a la unidad que pertenezca, por su conducta, dedicación al trabajo y excelente desempeño en beneficio de las Fuerzas o unidad.</w:t>
      </w:r>
    </w:p>
    <w:p>
      <w:pPr>
        <w:jc w:val="both"/>
      </w:pPr>
      <w:rPr>
        <w:sz w:val="24"/>
        <w:color w:val="black"/>
      </w:rPr>
    </w:p>
    <w:p>
      <w:pPr>
        <w:jc w:val="both"/>
      </w:pPr>
      <w:r>
        <w:rPr>
          <w:rFonts w:hAnsi="Arial"/>
          <w:rFonts w:ascii="Arial"/>
          <w:sz w:val="24"/>
          <w:color w:val="black"/>
        </w:rPr>
        <w:t xml:space="preserve">Para Suboficiales.</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protagonista en el respeto por los Derechos Humanos.</w:t>
      </w:r>
    </w:p>
    <w:p>
      <w:pPr>
        <w:jc w:val="both"/>
      </w:pPr>
      <w:rPr>
        <w:sz w:val="24"/>
        <w:color w:val="black"/>
      </w:rPr>
    </w:p>
    <w:p>
      <w:pPr>
        <w:jc w:val="both"/>
      </w:pPr>
      <w:r>
        <w:rPr>
          <w:rFonts w:hAnsi="Arial"/>
          <w:rFonts w:ascii="Arial"/>
          <w:sz w:val="24"/>
          <w:color w:val="black"/>
        </w:rPr>
        <w:t xml:space="preserve">3. Debe haber participado en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4. Haberse destacado en forma sobresaliente por sus servicios al Comando General o a la unidad que pertenezca, por su conducta, dedicación al trabajo y excelente desempeño en beneficio de las Fuerzas o unidad.</w:t>
      </w:r>
    </w:p>
    <w:p>
      <w:pPr>
        <w:jc w:val="both"/>
      </w:pPr>
      <w:rPr>
        <w:sz w:val="24"/>
        <w:color w:val="black"/>
      </w:rPr>
    </w:p>
    <w:p>
      <w:pPr>
        <w:jc w:val="both"/>
      </w:pPr>
      <w:r>
        <w:rPr>
          <w:rFonts w:hAnsi="Arial"/>
          <w:rFonts w:ascii="Arial"/>
          <w:sz w:val="24"/>
          <w:color w:val="black"/>
        </w:rPr>
        <w:t xml:space="preserve">Para Soldados e Infantes de Marina.</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protagonista en el respeto por los Derechos Humanos.</w:t>
      </w:r>
    </w:p>
    <w:p>
      <w:pPr>
        <w:jc w:val="both"/>
      </w:pPr>
      <w:rPr>
        <w:sz w:val="24"/>
        <w:color w:val="black"/>
      </w:rPr>
    </w:p>
    <w:p>
      <w:pPr>
        <w:jc w:val="both"/>
      </w:pPr>
      <w:r>
        <w:rPr>
          <w:rFonts w:hAnsi="Arial"/>
          <w:rFonts w:ascii="Arial"/>
          <w:sz w:val="24"/>
          <w:color w:val="black"/>
        </w:rPr>
        <w:t xml:space="preserve">3. Debe haber participado en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4. Haberse destacado en forma sobresaliente por sus servicios al Comando General o a la unidad que pertenezca, por su conducta, dedicación al trabajo y excelente desempeño en beneficio de las Fuerzas o unidad.</w:t>
      </w:r>
    </w:p>
    <w:p>
      <w:pPr>
        <w:jc w:val="both"/>
      </w:pPr>
      <w:rPr>
        <w:sz w:val="24"/>
        <w:color w:val="black"/>
      </w:rPr>
    </w:p>
    <w:p>
      <w:pPr>
        <w:jc w:val="both"/>
      </w:pPr>
      <w:r>
        <w:rPr>
          <w:rFonts w:hAnsi="Arial"/>
          <w:rFonts w:ascii="Arial"/>
          <w:sz w:val="24"/>
          <w:color w:val="black"/>
        </w:rPr>
        <w:t xml:space="preserve">Para el personal civil perteneciente a las Fuerzas Militares y al Comando General, personal no uniformado de la Policía Nacional, empleados públicos que conforman el Sector Defensa.</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protagonista en el respeto por los Derechos Humanos.</w:t>
      </w:r>
    </w:p>
    <w:p>
      <w:pPr>
        <w:jc w:val="both"/>
      </w:pPr>
      <w:rPr>
        <w:sz w:val="24"/>
        <w:color w:val="black"/>
      </w:rPr>
    </w:p>
    <w:p>
      <w:pPr>
        <w:jc w:val="both"/>
      </w:pPr>
      <w:r>
        <w:rPr>
          <w:rFonts w:hAnsi="Arial"/>
          <w:rFonts w:ascii="Arial"/>
          <w:sz w:val="24"/>
          <w:color w:val="black"/>
        </w:rPr>
        <w:t xml:space="preserve">3. Haberse destacado en forma sobresaliente por sus servicios al Comando General o a la unidad que pertenezca, por su conducta, dedicación al trabajo y excelente desempeño en beneficio de las Fuerzas o unidad.</w:t>
      </w:r>
    </w:p>
    <w:p>
      <w:pPr>
        <w:jc w:val="both"/>
      </w:pPr>
      <w:rPr>
        <w:sz w:val="24"/>
        <w:color w:val="black"/>
      </w:rPr>
    </w:p>
    <w:p>
      <w:pPr>
        <w:jc w:val="both"/>
      </w:pPr>
      <w:r>
        <w:rPr>
          <w:rFonts w:hAnsi="Arial"/>
          <w:rFonts w:ascii="Arial"/>
          <w:sz w:val="24"/>
          <w:color w:val="black"/>
        </w:rPr>
        <w:t xml:space="preserve">Para Dignatarios, Instituciones de Derecho Público o Privadas.</w:t>
      </w:r>
    </w:p>
    <w:p>
      <w:pPr>
        <w:jc w:val="both"/>
      </w:pPr>
      <w:rPr>
        <w:sz w:val="24"/>
        <w:color w:val="black"/>
      </w:rPr>
    </w:p>
    <w:p>
      <w:pPr>
        <w:jc w:val="both"/>
      </w:pPr>
      <w:r>
        <w:rPr>
          <w:rFonts w:hAnsi="Arial"/>
          <w:rFonts w:ascii="Arial"/>
          <w:sz w:val="24"/>
          <w:color w:val="black"/>
        </w:rPr>
        <w:t xml:space="preserve">1. Que hayan prestado servicios eminentes a las Fuerzas Militares.</w:t>
      </w:r>
    </w:p>
    <w:p>
      <w:pPr>
        <w:jc w:val="both"/>
      </w:pPr>
      <w:rPr>
        <w:sz w:val="24"/>
        <w:color w:val="black"/>
      </w:rPr>
    </w:p>
    <w:p>
      <w:pPr>
        <w:jc w:val="both"/>
      </w:pPr>
      <w:r>
        <w:rPr>
          <w:rFonts w:hAnsi="Arial"/>
          <w:rFonts w:ascii="Arial"/>
          <w:sz w:val="24"/>
          <w:color w:val="black"/>
        </w:rPr>
        <w:t xml:space="preserve">2. Que reúnan condiciones morales, éticas, profesionales y personales ejemplares.</w:t>
      </w:r>
    </w:p>
    <w:p>
      <w:pPr>
        <w:jc w:val="both"/>
      </w:pPr>
      <w:rPr>
        <w:sz w:val="24"/>
        <w:color w:val="black"/>
      </w:rPr>
    </w:p>
    <w:p>
      <w:pPr>
        <w:jc w:val="both"/>
      </w:pPr>
      <w:r>
        <w:rPr>
          <w:rFonts w:hAnsi="Arial"/>
          <w:rFonts w:ascii="Arial"/>
          <w:sz w:val="24"/>
          <w:color w:val="black"/>
        </w:rPr>
        <w:t xml:space="preserve">3. Que por su posición y méritos se hayan hecho acreedores a esta categoría.</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el otorgamiento al personal de Oficiales, Suboficiales, Soldados e Infantes de Marina, podrán cumplir con cualquiera de los dos (2) requisitos establecidos en los numerales 3 y 4, correspondientes.</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3" w:name="2.3.1.3.6.3.6"/>
      <w:r>
        <w:rPr>
          <w:rFonts w:hAnsi="Arial"/>
          <w:rFonts w:ascii="Arial"/>
          <w:sz w:val="24"/>
          <w:color w:val="navy"/>
        </w:rPr>
        <w:t xml:space="preserve">ARTÍCULO 2.3.1.3.6.3.6. </w:t>
      </w:r>
      <w:r>
        <w:rPr>
          <w:rFonts w:hAnsi="Arial"/>
          <w:rFonts w:ascii="Arial"/>
          <w:sz w:val="24"/>
          <w:i/>
          <w:color w:val="navy"/>
        </w:rPr>
        <w:t>DIPLOMA.</w:t>
      </w:r>
      <w:bookmarkEnd w:id="60633"/>
      <w:r>
        <w:rPr>
          <w:rFonts w:hAnsi="Arial"/>
          <w:rFonts w:ascii="Arial"/>
          <w:sz w:val="24"/>
          <w:b/>
          <w:i/>
          <w:color w:val="black"/>
        </w:rPr>
        <w:t xml:space="preserve"> </w:t>
      </w:r>
      <w:r>
        <w:rPr>
          <w:rFonts w:hAnsi="Arial"/>
          <w:rFonts w:ascii="Arial"/>
          <w:sz w:val="24"/>
          <w:color w:val="black"/>
        </w:rPr>
        <w:t xml:space="preserve">El Diploma que acredita el otorgamiento de la Medalla Militar "FE EN LA CAUSA" del Comando General de las Fuerzas Militares, debe ser elaborado en papel cartulina blanco, con las siguientes dimensiones: treinta y dos (32) centímetros de largo, por veintidós (22) centímetros de ancho, con el dibujo de la medalla al lado izquierdo superior y el reverso al lado derecho superior, en el fondo el escudo de Fe en la Causa del Comando General FF. MM.</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4" w:name="2.3.1.3.6.3.7"/>
      <w:r>
        <w:rPr>
          <w:rFonts w:hAnsi="Arial"/>
          <w:rFonts w:ascii="Arial"/>
          <w:sz w:val="24"/>
          <w:color w:val="navy"/>
        </w:rPr>
        <w:t xml:space="preserve">ARTÍCULO 2.3.1.3.6.3.7. </w:t>
      </w:r>
      <w:r>
        <w:rPr>
          <w:rFonts w:hAnsi="Arial"/>
          <w:rFonts w:ascii="Arial"/>
          <w:sz w:val="24"/>
          <w:i/>
          <w:color w:val="navy"/>
        </w:rPr>
        <w:t>OTORGAMIENTO.</w:t>
      </w:r>
      <w:bookmarkEnd w:id="60634"/>
      <w:r>
        <w:rPr>
          <w:rFonts w:hAnsi="Arial"/>
          <w:rFonts w:ascii="Arial"/>
          <w:sz w:val="24"/>
          <w:b/>
          <w:i/>
          <w:color w:val="black"/>
        </w:rPr>
        <w:t xml:space="preserve"> </w:t>
      </w:r>
      <w:r>
        <w:rPr>
          <w:rFonts w:hAnsi="Arial"/>
          <w:rFonts w:ascii="Arial"/>
          <w:sz w:val="24"/>
          <w:color w:val="black"/>
        </w:rPr>
        <w:t xml:space="preserve">La Medalla Militar "FE EN LA CAUSA" del Comando General de las Fuerzas Militares, será conferida por una sola vez, previo cumplimiento de los requisitos establecidos para el efecto y que a consideración del Consejo de la Medalla se hagan merecedores de esta distinción.</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Al personal de las Fuerzas Militares que falleciere como consecuencia del cumplimiento del deber en actos del servicio para mantener o restablecer el orden público, se le podrá conceder en forma póstuma, igualmente a los miembros de la Policía Nacional que fallecieren por la misma causa, participando en operaciones conjuntas con las Fuerzas Militares.</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35" w:name="2.3.1.3.6.3.8"/>
      <w:r>
        <w:rPr>
          <w:rFonts w:hAnsi="Arial"/>
          <w:rFonts w:ascii="Arial"/>
          <w:sz w:val="24"/>
          <w:color w:val="navy"/>
        </w:rPr>
        <w:t xml:space="preserve">ARTÍCULO 2.3.1.3.6.3.8. </w:t>
      </w:r>
      <w:r>
        <w:rPr>
          <w:rFonts w:hAnsi="Arial"/>
          <w:rFonts w:ascii="Arial"/>
          <w:sz w:val="24"/>
          <w:i/>
          <w:color w:val="navy"/>
        </w:rPr>
        <w:t>IMPOSICIÓN.</w:t>
      </w:r>
      <w:bookmarkEnd w:id="60635"/>
      <w:r>
        <w:rPr>
          <w:rFonts w:hAnsi="Arial"/>
          <w:rFonts w:ascii="Arial"/>
          <w:sz w:val="24"/>
          <w:b/>
          <w:i/>
          <w:color w:val="black"/>
        </w:rPr>
        <w:t xml:space="preserve"> </w:t>
      </w:r>
      <w:r>
        <w:rPr>
          <w:rFonts w:hAnsi="Arial"/>
          <w:rFonts w:ascii="Arial"/>
          <w:sz w:val="24"/>
          <w:color w:val="black"/>
        </w:rPr>
        <w:t xml:space="preserve">Además de lo establecido en los artículos </w:t>
      </w:r>
      <w:r>
        <w:fldChar w:fldCharType="begin"/>
      </w:r>
      <w:r>
        <w:instrText>HYPERLINK "http://www.redjurista.com/document.aspx?ajcode=d1070015&amp;arts=2.3.1.3.2.1"</w:instrText>
      </w:r>
      <w:r>
        <w:fldChar w:fldCharType="separate"/>
      </w:r>
      <w:r>
        <w:rPr>
          <w:rFonts w:hAnsi="Arial"/>
          <w:rFonts w:ascii="Arial"/>
          <w:sz w:val="24"/>
          <w:u w:val="single"/>
          <w:color w:val="black"/>
        </w:rPr>
        <w:t>2.3.1.3.2.1</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imposición de la Medalla Militar "FE EN LA CAUSA" del Comando General de las Fuerzas Militares, revestirá la mayor solemnidad. Para la ceremonia se conformarán destacamentos de acuerdo con el reglamento de ceremonial militar y estará presidida por el señor Comandante General de las Fuerzas Militares, quien la impondrá.</w:t>
      </w:r>
    </w:p>
    <w:p>
      <w:pPr>
        <w:jc w:val="both"/>
      </w:pPr>
      <w:rPr>
        <w:sz w:val="24"/>
        <w:color w:val="black"/>
      </w:rPr>
    </w:p>
    <w:p>
      <w:pPr>
        <w:jc w:val="both"/>
      </w:pPr>
      <w:r>
        <w:rPr>
          <w:rFonts w:hAnsi="Arial"/>
          <w:rFonts w:ascii="Arial"/>
          <w:sz w:val="24"/>
          <w:i/>
          <w:color w:val="black"/>
        </w:rPr>
        <w:t xml:space="preserve">(Decreto 0932 de 2014 artículo </w:t>
      </w:r>
      <w:r>
        <w:fldChar w:fldCharType="begin"/>
      </w:r>
      <w:r>
        <w:instrText>HYPERLINK "http://www.redjurista.com/document.aspx?ajcode=d0932014&amp;arts=8"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636" w:name="SUBSECCIÓN 2.3.1.3.6.4"/>
      <w:r>
        <w:rPr>
          <w:rFonts w:hAnsi="Arial"/>
          <w:rFonts w:ascii="Arial"/>
          <w:sz w:val="24"/>
          <w:color w:val="navy"/>
        </w:rPr>
        <w:t xml:space="preserve">SUBSECCIÓN 4. </w:t>
      </w:r>
    </w:p>
    <w:p>
      <w:pPr>
        <w:jc w:val="center"/>
      </w:pPr>
      <w:r>
        <w:rPr>
          <w:rFonts w:hAnsi="Arial"/>
          <w:rFonts w:ascii="Arial"/>
          <w:sz w:val="24"/>
          <w:color w:val="navy"/>
        </w:rPr>
        <w:t xml:space="preserve">MEDALLA MILITAR "SERVICIOS DISTINGUIDOS A LAS FUERZAS MILITARES DE COLOMBIA" DEL COMANDO GENERAL DE LA FUERZAS MILITARES.</w:t>
      </w:r>
      <w:bookmarkEnd w:id="6063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37" w:name="2.3.1.3.6.4.1"/>
      <w:r>
        <w:rPr>
          <w:rFonts w:hAnsi="Arial"/>
          <w:rFonts w:ascii="Arial"/>
          <w:sz w:val="24"/>
          <w:color w:val="navy"/>
        </w:rPr>
        <w:t xml:space="preserve">ARTÍCULO 2.3.1.3.6.4.1. </w:t>
      </w:r>
      <w:r>
        <w:rPr>
          <w:rFonts w:hAnsi="Arial"/>
          <w:rFonts w:ascii="Arial"/>
          <w:sz w:val="24"/>
          <w:i/>
          <w:color w:val="navy"/>
        </w:rPr>
        <w:t>ORIGEN.</w:t>
      </w:r>
      <w:bookmarkEnd w:id="60637"/>
      <w:r>
        <w:rPr>
          <w:rFonts w:hAnsi="Arial"/>
          <w:rFonts w:ascii="Arial"/>
          <w:sz w:val="24"/>
          <w:b/>
          <w:i/>
          <w:color w:val="black"/>
        </w:rPr>
        <w:t xml:space="preserve"> </w:t>
      </w:r>
      <w:r>
        <w:rPr>
          <w:rFonts w:hAnsi="Arial"/>
          <w:rFonts w:ascii="Arial"/>
          <w:sz w:val="24"/>
          <w:color w:val="black"/>
        </w:rPr>
        <w:t xml:space="preserve">Creada mediante el Decreto </w:t>
      </w:r>
      <w:r>
        <w:fldChar w:fldCharType="begin"/>
      </w:r>
      <w:r>
        <w:instrText>HYPERLINK "http://www.redjurista.com/document.aspx?ajcode=d1816007&amp;arts=INICIO"</w:instrText>
      </w:r>
      <w:r>
        <w:fldChar w:fldCharType="separate"/>
      </w:r>
      <w:r>
        <w:rPr>
          <w:rFonts w:hAnsi="Arial"/>
          <w:rFonts w:ascii="Arial"/>
          <w:sz w:val="24"/>
          <w:u w:val="single"/>
          <w:color w:val="black"/>
        </w:rPr>
        <w:t>1816</w:t>
      </w:r>
      <w:r>
        <w:fldChar w:fldCharType="end"/>
      </w:r>
      <w:r>
        <w:rPr>
          <w:rFonts w:hAnsi="Arial"/>
          <w:rFonts w:ascii="Arial"/>
          <w:sz w:val="24"/>
          <w:u w:val="none"/>
          <w:color w:val="black"/>
        </w:rPr>
        <w:t xml:space="preserve"> de 2007, en categoría única, para estimular y premiar al personal de la Fuerza Pública, nacionales o extranjeros, autoridades civiles y eclesiásticas, Servidores Públicos del Sector Defensa y a particulares que hayan sobresalido por sus eminentes servicios a las Fuerzas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"http://www.redjurista.com/document.aspx?ajcode=d4444010&amp;arts=98"</w:instrText>
      </w:r>
      <w:r>
        <w:fldChar w:fldCharType="separate"/>
      </w:r>
      <w:r>
        <w:rPr>
          <w:rFonts w:hAnsi="Arial"/>
          <w:rFonts w:ascii="Arial"/>
          <w:sz w:val="24"/>
          <w:i/>
          <w:u w:val="single"/>
          <w:color w:val="black"/>
        </w:rPr>
        <w:t>98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38" w:name="2.3.1.3.6.4.2"/>
      <w:r>
        <w:rPr>
          <w:rFonts w:hAnsi="Arial"/>
          <w:rFonts w:ascii="Arial"/>
          <w:sz w:val="24"/>
          <w:color w:val="navy"/>
        </w:rPr>
        <w:t xml:space="preserve">ARTÍCULO 2.3.1.3.6.4.2. </w:t>
      </w:r>
      <w:r>
        <w:rPr>
          <w:rFonts w:hAnsi="Arial"/>
          <w:rFonts w:ascii="Arial"/>
          <w:sz w:val="24"/>
          <w:i/>
          <w:color w:val="navy"/>
        </w:rPr>
        <w:t>CARACTERÍSTICAS.</w:t>
      </w:r>
      <w:bookmarkEnd w:id="60638"/>
      <w:r>
        <w:rPr>
          <w:rFonts w:hAnsi="Arial"/>
          <w:rFonts w:ascii="Arial"/>
          <w:sz w:val="24"/>
          <w:b/>
          <w:i/>
          <w:color w:val="black"/>
        </w:rPr>
        <w:t xml:space="preserve"> </w:t>
      </w:r>
      <w:r>
        <w:rPr>
          <w:rFonts w:hAnsi="Arial"/>
          <w:rFonts w:ascii="Arial"/>
          <w:sz w:val="24"/>
          <w:color w:val="black"/>
        </w:rPr>
        <w:t xml:space="preserve">La joya es una cruz teutónica de color dorado de cincuenta (50) milímetros en sus ejes máximos, en el centro y dentro de un círculo de veinticinco (25) milímetros de diámetro, ostenta en alto relieve el Escudo del Comando General de las Fuerzas Militares en sus colores originales. El reverso lleva el mismo círculo con la inscripción "Fuerzas Militares" en la parte superior formando un semicírculo y en la parte inferior "Comando General", en la parte superior del escudo lleva un cóndor con las alas desplegadas. La joya pende de una argolla y esta a su vez de una cinta de cuarenta (40) milímetros de ancho y cincuenta y cinco (55) centímetros de longitud, para suspender al cuello, con tiras de tres (3) o cuatro (4) milímetros de ancho para anudarla. La cinta se divide en tres (3) franjas en los colores con el siguiente orden: de izquierda a derecha (13.33) milímetros azul marino, (13.33) milímetros rojo y (13.33) milímetros azul celeste.</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"http://www.redjurista.com/document.aspx?ajcode=d4444010&amp;arts=99"</w:instrText>
      </w:r>
      <w:r>
        <w:fldChar w:fldCharType="separate"/>
      </w:r>
      <w:r>
        <w:rPr>
          <w:rFonts w:hAnsi="Arial"/>
          <w:rFonts w:ascii="Arial"/>
          <w:sz w:val="24"/>
          <w:i/>
          <w:u w:val="single"/>
          <w:color w:val="black"/>
        </w:rPr>
        <w:t>99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39" w:name="2.3.1.3.6.4.3"/>
      <w:r>
        <w:rPr>
          <w:rFonts w:hAnsi="Arial"/>
          <w:rFonts w:ascii="Arial"/>
          <w:sz w:val="24"/>
          <w:color w:val="navy"/>
        </w:rPr>
        <w:t xml:space="preserve">ARTÍCULO 2.3.1.3.6.4.3. CONSEJO.</w:t>
      </w:r>
      <w:bookmarkEnd w:id="60639"/>
      <w:r>
        <w:rPr>
          <w:rFonts w:hAnsi="Arial"/>
          <w:rFonts w:ascii="Arial"/>
          <w:sz w:val="24"/>
          <w:b/>
          <w:color w:val="black"/>
        </w:rPr>
        <w:t xml:space="preserve"> </w:t>
      </w:r>
      <w:r>
        <w:rPr>
          <w:rFonts w:hAnsi="Arial"/>
          <w:rFonts w:ascii="Arial"/>
          <w:sz w:val="24"/>
          <w:color w:val="black"/>
        </w:rPr>
        <w:t xml:space="preserve">El Consejo de la Medalla Militar "Servicios Distinguidos a las Fuerzas Militares de Colombia" del Comando General de la Fuerzas Militares,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del Estado Mayor Conjunto.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Jefe de Desarrollo Humano Conjunto CGFM.</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General del Comando General de las Fuerzas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40" w:name="SUBSECCIÓN 2.3.1.3.6.5"/>
      <w:r>
        <w:rPr>
          <w:rFonts w:hAnsi="Arial"/>
          <w:rFonts w:ascii="Arial"/>
          <w:sz w:val="24"/>
          <w:color w:val="navy"/>
        </w:rPr>
        <w:t xml:space="preserve">SUBSECCIÓN 5. </w:t>
      </w:r>
    </w:p>
    <w:p>
      <w:pPr>
        <w:jc w:val="center"/>
      </w:pPr>
      <w:r>
        <w:rPr>
          <w:rFonts w:hAnsi="Arial"/>
          <w:rFonts w:ascii="Arial"/>
          <w:sz w:val="24"/>
          <w:color w:val="navy"/>
        </w:rPr>
        <w:t xml:space="preserve">MEDALLA MILITAR "ESCUELA SUPERIOR DE GUERRA".</w:t>
      </w:r>
      <w:bookmarkEnd w:id="606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41" w:name="2.3.1.3.6.5.1"/>
      <w:r>
        <w:rPr>
          <w:rFonts w:hAnsi="Arial"/>
          <w:rFonts w:ascii="Arial"/>
          <w:sz w:val="24"/>
          <w:color w:val="navy"/>
        </w:rPr>
        <w:t xml:space="preserve">ARTÍCULO 2.3.1.3.6.5.1. </w:t>
      </w:r>
      <w:r>
        <w:rPr>
          <w:rFonts w:hAnsi="Arial"/>
          <w:rFonts w:ascii="Arial"/>
          <w:sz w:val="24"/>
          <w:i/>
          <w:color w:val="navy"/>
        </w:rPr>
        <w:t>ORIGEN.</w:t>
      </w:r>
      <w:bookmarkEnd w:id="60641"/>
      <w:r>
        <w:rPr>
          <w:rFonts w:hAnsi="Arial"/>
          <w:rFonts w:ascii="Arial"/>
          <w:sz w:val="24"/>
          <w:b/>
          <w:i/>
          <w:color w:val="black"/>
        </w:rPr>
        <w:t xml:space="preserve"> </w:t>
      </w:r>
      <w:r>
        <w:rPr>
          <w:rFonts w:hAnsi="Arial"/>
          <w:rFonts w:ascii="Arial"/>
          <w:sz w:val="24"/>
          <w:color w:val="black"/>
        </w:rPr>
        <w:t xml:space="preserve">Creada en su categoría única, mediante Decreto número </w:t>
      </w:r>
      <w:r>
        <w:fldChar w:fldCharType="begin"/>
      </w:r>
      <w:r>
        <w:instrText>HYPERLINK "http://www.redjurista.com/document.aspx?ajcode=d0654_96&amp;arts=INICIO"</w:instrText>
      </w:r>
      <w:r>
        <w:fldChar w:fldCharType="separate"/>
      </w:r>
      <w:r>
        <w:rPr>
          <w:rFonts w:hAnsi="Arial"/>
          <w:rFonts w:ascii="Arial"/>
          <w:sz w:val="24"/>
          <w:u w:val="single"/>
          <w:color w:val="black"/>
        </w:rPr>
        <w:t>654</w:t>
      </w:r>
      <w:r>
        <w:fldChar w:fldCharType="end"/>
      </w:r>
      <w:r>
        <w:rPr>
          <w:rFonts w:hAnsi="Arial"/>
          <w:rFonts w:ascii="Arial"/>
          <w:sz w:val="24"/>
          <w:u w:val="none"/>
          <w:color w:val="black"/>
        </w:rPr>
        <w:t xml:space="preserve"> del 8 de abril de 1996, para estimular a quienes se hayan caracterizado por su consagración al trabajo, colaboración y servicios eminentes para con la Escuela Superior de Guerra.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"http://www.redjurista.com/document.aspx?ajcode=d4444010&amp;arts=100"</w:instrText>
      </w:r>
      <w:r>
        <w:fldChar w:fldCharType="separate"/>
      </w:r>
      <w:r>
        <w:rPr>
          <w:rFonts w:hAnsi="Arial"/>
          <w:rFonts w:ascii="Arial"/>
          <w:sz w:val="24"/>
          <w:i/>
          <w:u w:val="single"/>
          <w:color w:val="black"/>
        </w:rPr>
        <w:t>100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42" w:name="2.3.1.3.6.5.2"/>
      <w:r>
        <w:rPr>
          <w:rFonts w:hAnsi="Arial"/>
          <w:rFonts w:ascii="Arial"/>
          <w:sz w:val="24"/>
          <w:color w:val="navy"/>
        </w:rPr>
        <w:t xml:space="preserve">ARTÍCULO 2.3.1.3.6.5.2. </w:t>
      </w:r>
      <w:r>
        <w:rPr>
          <w:rFonts w:hAnsi="Arial"/>
          <w:rFonts w:ascii="Arial"/>
          <w:sz w:val="24"/>
          <w:i/>
          <w:color w:val="navy"/>
        </w:rPr>
        <w:t>CARACTERÍSTICAS.</w:t>
      </w:r>
      <w:bookmarkEnd w:id="60642"/>
      <w:r>
        <w:rPr>
          <w:rFonts w:hAnsi="Arial"/>
          <w:rFonts w:ascii="Arial"/>
          <w:sz w:val="24"/>
          <w:b/>
          <w:i/>
          <w:color w:val="black"/>
        </w:rPr>
        <w:t xml:space="preserve"> </w:t>
      </w:r>
      <w:r>
        <w:rPr>
          <w:rFonts w:hAnsi="Arial"/>
          <w:rFonts w:ascii="Arial"/>
          <w:sz w:val="24"/>
          <w:color w:val="black"/>
        </w:rPr>
        <w:t xml:space="preserve">La joya es una estrella radiada de cincuenta y cinco (55) milímetros de diámetro con ocho (8) puntas rematadas en sendas esferas equidistantes quince (15) milímetros. Por el anverso en el centro sobre un círculo realzado de veinte (20) milímetros de diámetro esmaltada en azul, ostenta en alto relieve el escudo de la Escuela Superior de Guerra en el reverso sobre el círculo realzado de veinte (20) milímetros de diámetro lleva grabado en la periferia y en la parte superior "Escuela Superior de Guerra", la joya pende de una cinta azul de cuarenta (40) milímetros de ancho y cincuenta y cinco (55) milímetros de longitud y bordes de cuatro (4) milímetros con los tres (3) colores de las Fuerzas Militares. Ejército, Armada y Fuerza Aérea, rojo, azul marino y azul celeste.</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"http://www.redjurista.com/document.aspx?ajcode=d4444010&amp;arts=101"</w:instrText>
      </w:r>
      <w:r>
        <w:fldChar w:fldCharType="separate"/>
      </w:r>
      <w:r>
        <w:rPr>
          <w:rFonts w:hAnsi="Arial"/>
          <w:rFonts w:ascii="Arial"/>
          <w:sz w:val="24"/>
          <w:i/>
          <w:u w:val="single"/>
          <w:color w:val="black"/>
        </w:rPr>
        <w:t>101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43" w:name="2.3.1.3.6.5.3"/>
      <w:r>
        <w:rPr>
          <w:rFonts w:hAnsi="Arial"/>
          <w:rFonts w:ascii="Arial"/>
          <w:sz w:val="24"/>
          <w:color w:val="navy"/>
        </w:rPr>
        <w:t xml:space="preserve">ARTÍCULO 2.3.1.3.6.5.3. </w:t>
      </w:r>
      <w:r>
        <w:rPr>
          <w:rFonts w:hAnsi="Arial"/>
          <w:rFonts w:ascii="Arial"/>
          <w:sz w:val="24"/>
          <w:i/>
          <w:color w:val="navy"/>
        </w:rPr>
        <w:t>CONSEJO.</w:t>
      </w:r>
      <w:bookmarkEnd w:id="60643"/>
      <w:r>
        <w:rPr>
          <w:rFonts w:hAnsi="Arial"/>
          <w:rFonts w:ascii="Arial"/>
          <w:sz w:val="24"/>
          <w:b/>
          <w:i/>
          <w:color w:val="black"/>
        </w:rPr>
        <w:t xml:space="preserve"> </w:t>
      </w:r>
      <w:r>
        <w:rPr>
          <w:rFonts w:hAnsi="Arial"/>
          <w:rFonts w:ascii="Arial"/>
          <w:sz w:val="24"/>
          <w:color w:val="black"/>
        </w:rPr>
        <w:t xml:space="preserve">El Consejo de la Medalla Militar "Escuela Superior de Guerra" del Comando General de la Fuerzas Militares,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Superior de Guerra.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Subdirector de la Escuela Superior de Guerra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Oficial de Personal de la Escuela Superior de Guerra.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44" w:name="SUBSECCIÓN 2.3.1.3.6.6"/>
      <w:r>
        <w:rPr>
          <w:rFonts w:hAnsi="Arial"/>
          <w:rFonts w:ascii="Arial"/>
          <w:sz w:val="24"/>
          <w:color w:val="navy"/>
        </w:rPr>
        <w:t xml:space="preserve">SUBSECCIÓN 6. </w:t>
      </w:r>
    </w:p>
    <w:p>
      <w:pPr>
        <w:jc w:val="center"/>
      </w:pPr>
      <w:r>
        <w:rPr>
          <w:rFonts w:hAnsi="Arial"/>
          <w:rFonts w:ascii="Arial"/>
          <w:sz w:val="24"/>
          <w:color w:val="navy"/>
        </w:rPr>
        <w:t xml:space="preserve">MEDALLA MILITAR "AL MÉRITO DE LA RESERVA".</w:t>
      </w:r>
      <w:bookmarkEnd w:id="6064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45" w:name="2.3.1.3.6.6.1"/>
      <w:r>
        <w:rPr>
          <w:rFonts w:hAnsi="Arial"/>
          <w:rFonts w:ascii="Arial"/>
          <w:sz w:val="24"/>
          <w:color w:val="navy"/>
        </w:rPr>
        <w:t xml:space="preserve">ARTÍCULO 2.3.1.3.6.6.1. </w:t>
      </w:r>
      <w:r>
        <w:rPr>
          <w:rFonts w:hAnsi="Arial"/>
          <w:rFonts w:ascii="Arial"/>
          <w:sz w:val="24"/>
          <w:i/>
          <w:color w:val="navy"/>
        </w:rPr>
        <w:t>ORIGEN.</w:t>
      </w:r>
      <w:bookmarkEnd w:id="60645"/>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"http://www.redjurista.com/document.aspx?ajcode=d0880_99&amp;arts=INICIO"</w:instrText>
      </w:r>
      <w:r>
        <w:fldChar w:fldCharType="separate"/>
      </w:r>
      <w:r>
        <w:rPr>
          <w:rFonts w:hAnsi="Arial"/>
          <w:rFonts w:ascii="Arial"/>
          <w:sz w:val="24"/>
          <w:u w:val="single"/>
          <w:color w:val="black"/>
        </w:rPr>
        <w:t>880</w:t>
      </w:r>
      <w:r>
        <w:fldChar w:fldCharType="end"/>
      </w:r>
      <w:r>
        <w:rPr>
          <w:rFonts w:hAnsi="Arial"/>
          <w:rFonts w:ascii="Arial"/>
          <w:sz w:val="24"/>
          <w:u w:val="none"/>
          <w:color w:val="black"/>
        </w:rPr>
        <w:t xml:space="preserve"> del 24 de mayo de 1999, para estimular y premiar al personal del Comando de Oficiales Profesionales de la Reserva que sobresalga por su dedicación, participación y capacidad profesional o técnica puestas al servicio de las Fuerzas Militares, de la Reserva en general y al cumplimiento de los objetivos del Comando de Oficiales Profesionales de la Reserva en particular, o aquellas personas o entidades privadas o públicas, que prestaren servicios meritorios a la Institución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"http://www.redjurista.com/document.aspx?ajcode=d4444010&amp;arts=102"</w:instrText>
      </w:r>
      <w:r>
        <w:fldChar w:fldCharType="separate"/>
      </w:r>
      <w:r>
        <w:rPr>
          <w:rFonts w:hAnsi="Arial"/>
          <w:rFonts w:ascii="Arial"/>
          <w:sz w:val="24"/>
          <w:i/>
          <w:u w:val="single"/>
          <w:color w:val="black"/>
        </w:rPr>
        <w:t>102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46" w:name="2.3.1.3.6.6.2"/>
      <w:r>
        <w:rPr>
          <w:rFonts w:hAnsi="Arial"/>
          <w:rFonts w:ascii="Arial"/>
          <w:sz w:val="24"/>
          <w:color w:val="navy"/>
        </w:rPr>
        <w:t xml:space="preserve">ARTÍCULO 2.3.1.3.6.6.2. </w:t>
      </w:r>
      <w:r>
        <w:rPr>
          <w:rFonts w:hAnsi="Arial"/>
          <w:rFonts w:ascii="Arial"/>
          <w:sz w:val="24"/>
          <w:i/>
          <w:color w:val="navy"/>
        </w:rPr>
        <w:t>CARACTERÍSTICAS.</w:t>
      </w:r>
      <w:bookmarkEnd w:id="60646"/>
      <w:r>
        <w:rPr>
          <w:rFonts w:hAnsi="Arial"/>
          <w:rFonts w:ascii="Arial"/>
          <w:sz w:val="24"/>
          <w:b/>
          <w:i/>
          <w:color w:val="black"/>
        </w:rPr>
        <w:t xml:space="preserve"> </w:t>
      </w:r>
      <w:r>
        <w:rPr>
          <w:rFonts w:hAnsi="Arial"/>
          <w:rFonts w:ascii="Arial"/>
          <w:sz w:val="24"/>
          <w:color w:val="black"/>
        </w:rPr>
        <w:t xml:space="preserve">La Joya será una cruz simétrica de 50 mm, compuesta por cuatro aspas isósceles dentadas que se unen por su vértice inferior con base de 8 mm, 20 mm en el extremo superior y altura de 15 mm, foliadas en tres rayos así: Rojo el central, azul marino el izquierdo y azul cielo el derecho, en esmalte. En el centro conforman la unión de las cuatro aspas dos círculos concéntricos: el interior de 14 mm y el exterior de 20 mm de diámetro, entre los cuáles se leerá en letras de oro sobre fondo blanco: "TODO POR LA PATRIA". Dos ramas de laurel encerrarán por atrás la medalla, de 5 mm, y separación de 3 mm, del círculo externo. En el interior del círculo central llevará en esmalte blanco sobre fondo de oro la letra "R" del escudo de la reserva de 10 mm, de altura. En el reverso, sobre fondo de oro y realzados en el mismo color, ostentará: arriba dos fusiles cruzados, un ancla en el centro y unas alas abajo, símbolos de las tres Fuerzas presentes en la joya.</w:t>
      </w:r>
    </w:p>
    <w:p>
      <w:pPr>
        <w:jc w:val="both"/>
      </w:pPr>
      <w:rPr>
        <w:sz w:val="24"/>
        <w:color w:val="black"/>
      </w:rPr>
    </w:p>
    <w:p>
      <w:pPr>
        <w:jc w:val="both"/>
      </w:pPr>
      <w:r>
        <w:rPr>
          <w:rFonts w:hAnsi="Arial"/>
          <w:rFonts w:ascii="Arial"/>
          <w:sz w:val="24"/>
          <w:color w:val="black"/>
        </w:rPr>
        <w:t xml:space="preserve">La cinta: En la parte superior de la cruz, un eslabón fijo de tres (3) milímetros, sujetará otro de cinco (5) milímetros que unirá la cruz con la cinta de la medalla, que será en seda moiré amarillo dorado de sesenta (60) milímetros de alto por cuarenta (40) milímetros de ancho, con tres franjas verticales laterales de cuatro (4) milímetros cada una de color azul marino a la derecha, rojo al centro y azul cielo a la izquierda. 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"http://www.redjurista.com/document.aspx?ajcode=d4444010&amp;arts=103"</w:instrText>
      </w:r>
      <w:r>
        <w:fldChar w:fldCharType="separate"/>
      </w:r>
      <w:r>
        <w:rPr>
          <w:rFonts w:hAnsi="Arial"/>
          <w:rFonts w:ascii="Arial"/>
          <w:sz w:val="24"/>
          <w:i/>
          <w:u w:val="single"/>
          <w:color w:val="black"/>
        </w:rPr>
        <w:t>103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47" w:name="2.3.1.3.6.6.3"/>
      <w:r>
        <w:rPr>
          <w:rFonts w:hAnsi="Arial"/>
          <w:rFonts w:ascii="Arial"/>
          <w:sz w:val="24"/>
          <w:color w:val="navy"/>
        </w:rPr>
        <w:t xml:space="preserve">ARTÍCULO 2.3.1.3.6.6.3. </w:t>
      </w:r>
      <w:r>
        <w:rPr>
          <w:rFonts w:hAnsi="Arial"/>
          <w:rFonts w:ascii="Arial"/>
          <w:sz w:val="24"/>
          <w:i/>
          <w:color w:val="navy"/>
        </w:rPr>
        <w:t>CONSEJO.</w:t>
      </w:r>
      <w:bookmarkEnd w:id="60647"/>
      <w:r>
        <w:rPr>
          <w:rFonts w:hAnsi="Arial"/>
          <w:rFonts w:ascii="Arial"/>
          <w:sz w:val="24"/>
          <w:b/>
          <w:i/>
          <w:color w:val="black"/>
        </w:rPr>
        <w:t xml:space="preserve"> </w:t>
      </w:r>
      <w:r>
        <w:rPr>
          <w:rFonts w:hAnsi="Arial"/>
          <w:rFonts w:ascii="Arial"/>
          <w:sz w:val="24"/>
          <w:color w:val="black"/>
        </w:rPr>
        <w:t xml:space="preserve">El Consejo de la Medalla Militar "Al Mérito de la Reserva", estará conformado de la siguiente manera:</w:t>
      </w:r>
    </w:p>
    <w:p>
      <w:pPr>
        <w:jc w:val="both"/>
      </w:pPr>
      <w:rPr>
        <w:sz w:val="24"/>
        <w:color w:val="black"/>
      </w:rPr>
    </w:p>
    <w:p>
      <w:pPr>
        <w:jc w:val="both"/>
      </w:pPr>
      <w:r>
        <w:rPr>
          <w:rFonts w:hAnsi="Arial"/>
          <w:rFonts w:ascii="Arial"/>
          <w:sz w:val="24"/>
          <w:b/>
          <w:color w:val="black"/>
        </w:rPr>
        <w:t>Presidente</w:t>
      </w:r>
      <w:r>
        <w:rPr>
          <w:rFonts w:hAnsi="Arial"/>
          <w:rFonts w:ascii="Arial"/>
          <w:sz w:val="24"/>
          <w:color w:val="black"/>
        </w:rPr>
        <w:t xml:space="preserve">: El Comandante General de las Fuerzas Militares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 Estado Mayor Conjunto o su delegado.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del Departamento de Acción Integral del E.M.C.</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Comandante de los Profesionales Oficiales de la Reserva.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48" w:name="SUBSECCIÓN 2.3.1.3.6.7"/>
      <w:r>
        <w:rPr>
          <w:rFonts w:hAnsi="Arial"/>
          <w:rFonts w:ascii="Arial"/>
          <w:sz w:val="24"/>
          <w:color w:val="navy"/>
        </w:rPr>
        <w:t xml:space="preserve">SUBSECCIÓN 7. </w:t>
      </w:r>
    </w:p>
    <w:p>
      <w:pPr>
        <w:jc w:val="center"/>
      </w:pPr>
      <w:r>
        <w:rPr>
          <w:rFonts w:hAnsi="Arial"/>
          <w:rFonts w:ascii="Arial"/>
          <w:sz w:val="24"/>
          <w:color w:val="navy"/>
        </w:rPr>
        <w:t xml:space="preserve">MEDALLA MILITAR "GENERAL JOSÉ HILARIO LÓPEZ VALDÉS".</w:t>
      </w:r>
      <w:bookmarkEnd w:id="6064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49" w:name="2.3.1.3.6.7.1"/>
      <w:r>
        <w:rPr>
          <w:rFonts w:hAnsi="Arial"/>
          <w:rFonts w:ascii="Arial"/>
          <w:sz w:val="24"/>
          <w:color w:val="navy"/>
        </w:rPr>
        <w:t xml:space="preserve">ARTÍCULO 2.3.1.3.6.7.1. </w:t>
      </w:r>
      <w:r>
        <w:rPr>
          <w:rFonts w:hAnsi="Arial"/>
          <w:rFonts w:ascii="Arial"/>
          <w:sz w:val="24"/>
          <w:i/>
          <w:color w:val="navy"/>
        </w:rPr>
        <w:t>ORIGEN.</w:t>
      </w:r>
      <w:bookmarkEnd w:id="60649"/>
      <w:r>
        <w:rPr>
          <w:rFonts w:hAnsi="Arial"/>
          <w:rFonts w:ascii="Arial"/>
          <w:sz w:val="24"/>
          <w:b/>
          <w:i/>
          <w:color w:val="black"/>
        </w:rPr>
        <w:t xml:space="preserve"> </w:t>
      </w:r>
      <w:r>
        <w:rPr>
          <w:rFonts w:hAnsi="Arial"/>
          <w:rFonts w:ascii="Arial"/>
          <w:sz w:val="24"/>
          <w:color w:val="black"/>
        </w:rPr>
        <w:t xml:space="preserve">La Medalla Militar "General José Hilario López Valdés" creada mediante Decreto número </w:t>
      </w:r>
      <w:r>
        <w:fldChar w:fldCharType="begin"/>
      </w:r>
      <w:r>
        <w:instrText>HYPERLINK "http://www.redjurista.com/document.aspx?ajcode=d1974_99&amp;arts=INICIO"</w:instrText>
      </w:r>
      <w:r>
        <w:fldChar w:fldCharType="separate"/>
      </w:r>
      <w:r>
        <w:rPr>
          <w:rFonts w:hAnsi="Arial"/>
          <w:rFonts w:ascii="Arial"/>
          <w:sz w:val="24"/>
          <w:u w:val="single"/>
          <w:color w:val="black"/>
        </w:rPr>
        <w:t>1974</w:t>
      </w:r>
      <w:r>
        <w:fldChar w:fldCharType="end"/>
      </w:r>
      <w:r>
        <w:rPr>
          <w:rFonts w:hAnsi="Arial"/>
          <w:rFonts w:ascii="Arial"/>
          <w:sz w:val="24"/>
          <w:u w:val="none"/>
          <w:color w:val="black"/>
        </w:rPr>
        <w:t xml:space="preserve"> del 9 de octubre de 1999, como reconocimiento al personal de la Fuerza Pública, a las personas, entidades, organizaciones e instituciones nacionales e internacionales que han dedicado sus esfuerzos profesionales a la labor y a la promoción de los derechos humanos y el derecho internacional humanitario, realizando un ingente trabajo en procura de estas disciplinas jurídicas, a favor de las distintas instancias en las que se hayan comprometidas.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"http://www.redjurista.com/document.aspx?ajcode=d4444010&amp;arts=104"</w:instrText>
      </w:r>
      <w:r>
        <w:fldChar w:fldCharType="separate"/>
      </w:r>
      <w:r>
        <w:rPr>
          <w:rFonts w:hAnsi="Arial"/>
          <w:rFonts w:ascii="Arial"/>
          <w:sz w:val="24"/>
          <w:i/>
          <w:u w:val="single"/>
          <w:color w:val="black"/>
        </w:rPr>
        <w:t>104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50" w:name="2.3.1.3.6.7.2"/>
      <w:r>
        <w:rPr>
          <w:rFonts w:hAnsi="Arial"/>
          <w:rFonts w:ascii="Arial"/>
          <w:sz w:val="24"/>
          <w:color w:val="navy"/>
        </w:rPr>
        <w:t xml:space="preserve">ARTÍCULO 2.3.1.3.6.7.2. </w:t>
      </w:r>
      <w:r>
        <w:rPr>
          <w:rFonts w:hAnsi="Arial"/>
          <w:rFonts w:ascii="Arial"/>
          <w:sz w:val="24"/>
          <w:i/>
          <w:color w:val="navy"/>
        </w:rPr>
        <w:t>CARACTERÍSTICAS.</w:t>
      </w:r>
      <w:bookmarkEnd w:id="60650"/>
      <w:r>
        <w:rPr>
          <w:rFonts w:hAnsi="Arial"/>
          <w:rFonts w:ascii="Arial"/>
          <w:sz w:val="24"/>
          <w:b/>
          <w:i/>
          <w:color w:val="black"/>
        </w:rPr>
        <w:t xml:space="preserve"> </w:t>
      </w:r>
      <w:r>
        <w:rPr>
          <w:rFonts w:hAnsi="Arial"/>
          <w:rFonts w:ascii="Arial"/>
          <w:sz w:val="24"/>
          <w:color w:val="black"/>
        </w:rPr>
        <w:t xml:space="preserve">La joya Medalla circular plateada de cuarenta (40) milímetros de diámetro. Lleva en el anverso la efigie del General José Hilario López Valdés, bajo el lema "Soldado de la democracia, de la libertad, de los derechos humanos". Al reverso el Escudo del Comando General con la siguiente inscripción: "Los militares son los principales defensores de los derechos humanos".</w:t>
      </w:r>
    </w:p>
    <w:p>
      <w:pPr>
        <w:jc w:val="both"/>
      </w:pPr>
      <w:rPr>
        <w:sz w:val="24"/>
        <w:color w:val="black"/>
      </w:rPr>
    </w:p>
    <w:p>
      <w:pPr>
        <w:jc w:val="both"/>
      </w:pPr>
      <w:r>
        <w:rPr>
          <w:rFonts w:hAnsi="Arial"/>
          <w:rFonts w:ascii="Arial"/>
          <w:sz w:val="24"/>
          <w:color w:val="black"/>
        </w:rPr>
        <w:t xml:space="preserve">La medalla va suspendida de una argolla plateada, por medio de una cinta de sesenta (60) milímetros de largo y cuarenta (40) milímetros de ancho y borde rojo, con cuatro (4) franjas verticales de diez (10) milímetros de ancho, con los colores rojo del Ejército, azul de la Armada Nacional, azul celeste de la Fuerza Aérea y verde la Policía Nacional. Al centro de la cinta irá la efigie de Temis, la diosa de la justicia.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"http://www.redjurista.com/document.aspx?ajcode=d4444010&amp;arts=105"</w:instrText>
      </w:r>
      <w:r>
        <w:fldChar w:fldCharType="separate"/>
      </w:r>
      <w:r>
        <w:rPr>
          <w:rFonts w:hAnsi="Arial"/>
          <w:rFonts w:ascii="Arial"/>
          <w:sz w:val="24"/>
          <w:i/>
          <w:u w:val="single"/>
          <w:color w:val="black"/>
        </w:rPr>
        <w:t>105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51" w:name="2.3.1.3.6.7.3"/>
      <w:r>
        <w:rPr>
          <w:rFonts w:hAnsi="Arial"/>
          <w:rFonts w:ascii="Arial"/>
          <w:sz w:val="24"/>
          <w:color w:val="navy"/>
        </w:rPr>
        <w:t xml:space="preserve">ARTÍCULO 2.3.1.3.6.7.3. </w:t>
      </w:r>
      <w:r>
        <w:rPr>
          <w:rFonts w:hAnsi="Arial"/>
          <w:rFonts w:ascii="Arial"/>
          <w:sz w:val="24"/>
          <w:i/>
          <w:color w:val="navy"/>
        </w:rPr>
        <w:t>CONSEJO.</w:t>
      </w:r>
      <w:bookmarkEnd w:id="60651"/>
      <w:r>
        <w:rPr>
          <w:rFonts w:hAnsi="Arial"/>
          <w:rFonts w:ascii="Arial"/>
          <w:sz w:val="24"/>
          <w:b/>
          <w:i/>
          <w:color w:val="black"/>
        </w:rPr>
        <w:t xml:space="preserve"> </w:t>
      </w:r>
      <w:r>
        <w:rPr>
          <w:rFonts w:hAnsi="Arial"/>
          <w:rFonts w:ascii="Arial"/>
          <w:sz w:val="24"/>
          <w:color w:val="black"/>
        </w:rPr>
        <w:t xml:space="preserve">El Consejo de la Medalla Militar "General José Hilario López Valdés",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General de las Fuerzas Militares</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 Estado Mayor Conjunto.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Inspector General de las Fuerzas Militares.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Jefe de la Oficina de Derechos Humanos del Comando General.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52" w:name="SUBSECCIÓN 2.3.1.3.6.8"/>
      <w:r>
        <w:rPr>
          <w:rFonts w:hAnsi="Arial"/>
          <w:rFonts w:ascii="Arial"/>
          <w:sz w:val="24"/>
          <w:color w:val="navy"/>
        </w:rPr>
        <w:t xml:space="preserve">SUBSECCIÓN 8. </w:t>
      </w:r>
    </w:p>
    <w:p>
      <w:pPr>
        <w:jc w:val="center"/>
      </w:pPr>
      <w:r>
        <w:rPr>
          <w:rFonts w:hAnsi="Arial"/>
          <w:rFonts w:ascii="Arial"/>
          <w:sz w:val="24"/>
          <w:color w:val="navy"/>
        </w:rPr>
        <w:t xml:space="preserve">MEDALLA MILITAR "CRUZ DE PLATA EN OPERACIONES ESPECIALES".</w:t>
      </w:r>
      <w:bookmarkEnd w:id="606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53" w:name="2.3.1.3.6.8.1"/>
      <w:r>
        <w:rPr>
          <w:rFonts w:hAnsi="Arial"/>
          <w:rFonts w:ascii="Arial"/>
          <w:sz w:val="24"/>
          <w:color w:val="navy"/>
        </w:rPr>
        <w:t xml:space="preserve">ARTÍCULO 2.3.1.3.6.8.1. </w:t>
      </w:r>
      <w:r>
        <w:rPr>
          <w:rFonts w:hAnsi="Arial"/>
          <w:rFonts w:ascii="Arial"/>
          <w:sz w:val="24"/>
          <w:i/>
          <w:color w:val="navy"/>
        </w:rPr>
        <w:t>ORIGEN.</w:t>
      </w:r>
      <w:bookmarkEnd w:id="6065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1564 de 2022. El nuevo texto es el siguiente:&gt; Créase la Medalla Militar “Cruz de Plata en Operaciones Especiales”, otorgada como un reconocimiento al personal de Oficiales, Suboficiales, Soldados e Infantes de Marina de las Fuerzas Militares y personal de la Policía Nacional, que participen de manera sobresaliente por acciones excepcionales de valor, arrojo y heroísmo en las cuales ponga en riesgo su vida más allá de lo que exige el deber durante la ejecución de las operaciones especiales conducidas por el Comando Conjunto de Operaciones Especiales e independientemente de los resultados de la operación especial. </w:t>
      </w:r>
    </w:p>
    <w:p>
      <w:pPr>
        <w:jc w:val="both"/>
        <w:outlineLvl w:val="1"/>
        <w:tabs>
          <w:tab w:val="left" w:leader="none" w:pos="8840"/>
        </w:tabs>
      </w:pPr>
      <w:rPr>
        <w:sz w:val="24"/>
        <w:color w:val="black"/>
      </w:rPr>
    </w:p>
    <w:p>
      <w:pPr>
        <w:jc w:val="both"/>
        <w:outlineLvl w:val="1"/>
        <w:tabs>
          <w:tab w:val="left" w:leader="none" w:pos="8840"/>
        </w:tabs>
      </w:pPr>
      <w:r>
        <w:rPr>
          <w:rFonts w:hAnsi="Arial"/>
          <w:rFonts w:ascii="Arial"/>
          <w:sz w:val="24"/>
          <w:color w:val="navy"/>
        </w:rPr>
        <w:t xml:space="preserve">PARÁGRAFO 1o.</w:t>
      </w:r>
      <w:r>
        <w:rPr>
          <w:rFonts w:hAnsi="Arial"/>
          <w:rFonts w:ascii="Arial"/>
          <w:sz w:val="24"/>
          <w:color w:val="black"/>
        </w:rPr>
        <w:t xml:space="preserve"> La medalla podrá otorgarse en forma póstuma al personal fallecido en la ejecución de operaciones especiales conducidas por el Comando Conjunto de Operaciones Especiales, a criterio del consejo de la medalla. </w:t>
      </w:r>
    </w:p>
    <w:p>
      <w:pPr>
        <w:jc w:val="both"/>
        <w:outlineLvl w:val="1"/>
        <w:tabs>
          <w:tab w:val="left" w:leader="none" w:pos="8840"/>
        </w:tabs>
      </w:pPr>
      <w:rPr>
        <w:sz w:val="24"/>
        <w:color w:val="black"/>
      </w:rPr>
    </w:p>
    <w:p>
      <w:pPr>
        <w:jc w:val="both"/>
        <w:outlineLvl w:val="1"/>
        <w:tabs>
          <w:tab w:val="left" w:leader="none" w:pos="8840"/>
        </w:tabs>
      </w:pPr>
      <w:r>
        <w:rPr>
          <w:rFonts w:hAnsi="Arial"/>
          <w:rFonts w:ascii="Arial"/>
          <w:sz w:val="24"/>
          <w:color w:val="navy"/>
        </w:rPr>
        <w:t xml:space="preserve">PARÁGRAFO 2o.</w:t>
      </w:r>
      <w:r>
        <w:rPr>
          <w:rFonts w:hAnsi="Arial"/>
          <w:rFonts w:ascii="Arial"/>
          <w:sz w:val="24"/>
          <w:color w:val="black"/>
        </w:rPr>
        <w:t xml:space="preserve"> Cuando esta condecoración ha sido impuesta en varias oportunidades, únicamente se usará la joya, venera o miniatura de mayor categoría.</w:t>
      </w:r>
    </w:p>
    <w:p>
      <w:pPr>
        <w:jc w:val="both"/>
      </w:pPr>
      <w:rPr>
        <w:sz w:val="24"/>
        <w:color w:val="black"/>
      </w:rPr>
    </w:p>
    <w:p>
      <w:pPr>
        <w:jc w:val="both"/>
      </w:pPr>
      <w:r>
        <w:rPr>
          <w:rFonts w:hAnsi="Arial"/>
          <w:rFonts w:ascii="Arial"/>
          <w:sz w:val="24"/>
          <w:vanish/>
          <w:color w:val="black"/>
        </w:rPr>
        <w:t>&amp;$</w:t>
      </w:r>
      <w:bookmarkStart w:id="60654" w:name="2.3.1.3.6.8.2"/>
      <w:r>
        <w:rPr>
          <w:rFonts w:hAnsi="Arial"/>
          <w:rFonts w:ascii="Arial"/>
          <w:sz w:val="24"/>
          <w:color w:val="navy"/>
        </w:rPr>
        <w:t xml:space="preserve">ARTÍCULO 2.3.1.3.6.8.2. </w:t>
      </w:r>
      <w:r>
        <w:rPr>
          <w:rFonts w:hAnsi="Arial"/>
          <w:rFonts w:ascii="Arial"/>
          <w:sz w:val="24"/>
          <w:i/>
          <w:color w:val="navy"/>
        </w:rPr>
        <w:t>CARACTERÍSTICAS.</w:t>
      </w:r>
      <w:bookmarkEnd w:id="6065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1564 de 2022. El nuevo texto es el siguiente:&gt; La medalla militar “Cruz de Plata en Operaciones Especiales” del Comando General de las Fuerzas Militares está conformada por tres piezas; la primera; una base con forma de cruz templaría de 50 mm de ancho x 50 mm de alto, en acabado plateado brillante, moldeada y troquelada en 3D; sobre esta va situada unas flechas cruzadas en diagonal de 34 mm de ancho x 34 mm de alto y un ancla en caída vertical de 20 mm de ancho, con acabados en dorado brillante y moldeado en 3D.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tercera; es un sobrepuesto central de 25 mm de ancho x 25 mm de alto conformado por el actual escudo de armas del CCOES, con pintura al fuego en color terracota (Pantone 476) y negro (Pantone Black), el laurel y espada tienen acabado plateado brillante y la bandera tricolor, mientras que el Grifo tiene acabado dorado brillante y moldeado en 3D. A su vez en sus laterales se despliegan unas alas que sobresalen del escudo del CCOES.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joya estará suspendida por una cinta de 40 mm de ancho x 55 mm de alto, de color gris (Pantone Cool Gray 7) en el centro, y en sus laterales la bandera tricolor de 6 mm de ancho. A su vez la cinta llevará bordados en el centro tres rayos (rojo, azul reflejo y azul celeste) en forma vertical. El revés de la joya llevará una leyenda en la parte superior “CRUZ DE PLATA”, en la parte inferior “OPERACIONES ESPECIALES”, y en el centro CCOES.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miniatura o réplica; será similar a la joya de la condecoración, pero reducida a un diámetro de 20 mm, suspendida por una cinta similar de la joya, de 15 mm de ancho X 35 mm de alto, según lo contemplado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black"/>
        </w:rPr>
        <w:t xml:space="preserve">La venera, será un rectángulo metálico esmaltado de 40 mm de ancho x 10 mm de alto, dividida de igual forma que la cinta; de color gris (Pantone Cool Gray 7) en el centro, y en sus laterales la bandera tricolor de 6 mm de ancho, en el centro tres rayos (rojo, azul reflejo y azul celeste) en forma horizontal. A su vez la venera llevará estrellas de cinco puntas sobrepuestas dependiendo la vez recibida, de 6 mm de diámetro, en acabado dorado brillante y moldeado en 3D. La venera por primera llevará es escudo del CCOES en color dorado, la venera por segunda vez llevará una estrella de cinco puntas sobrepuesta, de 6 mm de diámetro, en acabado dorado brillante y moldeado en 3D, y así sucesivamente.</w:t>
      </w:r>
    </w:p>
    <w:p>
      <w:pPr>
        <w:jc w:val="both"/>
      </w:pPr>
      <w:rPr>
        <w:sz w:val="24"/>
        <w:color w:val="black"/>
      </w:rPr>
    </w:p>
    <w:p>
      <w:pPr>
        <w:jc w:val="both"/>
      </w:pPr>
      <w:r>
        <w:rPr>
          <w:rFonts w:hAnsi="Arial"/>
          <w:rFonts w:ascii="Arial"/>
          <w:sz w:val="24"/>
          <w:vanish/>
          <w:color w:val="black"/>
        </w:rPr>
        <w:t>&amp;$</w:t>
      </w:r>
      <w:bookmarkStart w:id="60655" w:name="2.3.1.3.6.8.3"/>
      <w:r>
        <w:rPr>
          <w:rFonts w:hAnsi="Arial"/>
          <w:rFonts w:ascii="Arial"/>
          <w:sz w:val="24"/>
          <w:color w:val="navy"/>
        </w:rPr>
        <w:t xml:space="preserve">ARTÍCULO 2.3.1.3.6.8.3. </w:t>
      </w:r>
      <w:r>
        <w:rPr>
          <w:rFonts w:hAnsi="Arial"/>
          <w:rFonts w:ascii="Arial"/>
          <w:sz w:val="24"/>
          <w:i/>
          <w:color w:val="navy"/>
        </w:rPr>
        <w:t>CONSEJO.</w:t>
      </w:r>
      <w:bookmarkEnd w:id="60655"/>
      <w:r>
        <w:rPr>
          <w:rFonts w:hAnsi="Arial"/>
          <w:rFonts w:ascii="Arial"/>
          <w:sz w:val="24"/>
          <w:b/>
          <w:i/>
          <w:color w:val="black"/>
        </w:rPr>
        <w:t xml:space="preserve"> </w:t>
      </w:r>
      <w:r>
        <w:rPr>
          <w:rFonts w:hAnsi="Arial"/>
          <w:rFonts w:ascii="Arial"/>
          <w:sz w:val="24"/>
          <w:color w:val="black"/>
        </w:rPr>
        <w:t xml:space="preserve">El Consejo de la Medalla Militar "Cruz de Plata en Operaciones Especiales",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General de las Fuerzas Militares o su delegado.</w:t>
      </w:r>
    </w:p>
    <w:p>
      <w:pPr>
        <w:jc w:val="both"/>
      </w:pPr>
      <w:rPr>
        <w:sz w:val="24"/>
        <w:color w:val="black"/>
      </w:rPr>
    </w:p>
    <w:p>
      <w:pPr>
        <w:jc w:val="both"/>
      </w:pPr>
      <w:r>
        <w:rPr>
          <w:rFonts w:hAnsi="Arial"/>
          <w:rFonts w:ascii="Arial"/>
          <w:sz w:val="24"/>
          <w:b/>
          <w:color w:val="black"/>
        </w:rPr>
        <w:t>Vicepresidente</w:t>
      </w:r>
      <w:r>
        <w:rPr>
          <w:rFonts w:hAnsi="Arial"/>
          <w:rFonts w:ascii="Arial"/>
          <w:sz w:val="24"/>
          <w:color w:val="black"/>
        </w:rPr>
        <w:t xml:space="preserve">: Comandante del Comando Conjunto de Operaciones Especiales.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Estado Mayor y Segundo Comandante del Comando Conjunto de Operaciones Especiales.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Operaciones del Comando Conjunto de Operaciones Especiales.</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56" w:name="2.3.1.3.6.8.4"/>
      <w:r>
        <w:rPr>
          <w:rFonts w:hAnsi="Arial"/>
          <w:rFonts w:ascii="Arial"/>
          <w:sz w:val="24"/>
          <w:color w:val="navy"/>
        </w:rPr>
        <w:t xml:space="preserve">ARTÍCULO 2.3.1.3.6.8.4. </w:t>
      </w:r>
      <w:r>
        <w:rPr>
          <w:rFonts w:hAnsi="Arial"/>
          <w:rFonts w:ascii="Arial"/>
          <w:sz w:val="24"/>
          <w:i/>
          <w:color w:val="navy"/>
        </w:rPr>
        <w:t>REQUISITOS.</w:t>
      </w:r>
      <w:bookmarkEnd w:id="60656"/>
      <w:r>
        <w:rPr>
          <w:rFonts w:hAnsi="Arial"/>
          <w:rFonts w:ascii="Arial"/>
          <w:sz w:val="24"/>
          <w:b/>
          <w:i/>
          <w:color w:val="black"/>
        </w:rPr>
        <w:t xml:space="preserve"> </w:t>
      </w:r>
      <w:r>
        <w:rPr>
          <w:rFonts w:hAnsi="Arial"/>
          <w:rFonts w:ascii="Arial"/>
          <w:sz w:val="24"/>
          <w:color w:val="black"/>
        </w:rPr>
        <w:t xml:space="preserve">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serán requisitos mínimos, necesarios para el Otorgamiento de la Medalla Militar "Cruz de Plata en Operaciones Especiales".</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57" w:name="2.3.1.3.6.8.5"/>
      <w:r>
        <w:rPr>
          <w:rFonts w:hAnsi="Arial"/>
          <w:rFonts w:ascii="Arial"/>
          <w:sz w:val="24"/>
          <w:color w:val="navy"/>
        </w:rPr>
        <w:t xml:space="preserve">ARTÍCULO 2.3.1.3.6.8.5. </w:t>
      </w:r>
      <w:r>
        <w:rPr>
          <w:rFonts w:hAnsi="Arial"/>
          <w:rFonts w:ascii="Arial"/>
          <w:sz w:val="24"/>
          <w:i/>
          <w:color w:val="navy"/>
        </w:rPr>
        <w:t>OTORGAMIENTO.</w:t>
      </w:r>
      <w:bookmarkEnd w:id="6065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1564 de 2022. El nuevo texto es el siguiente:&gt; La Medalla Militar “Cruz de Plata en Operaciones Especiales”, será otorgada mediante Resolución expedida por el Comandante General de las Fuerzas Militares, de conformidad con lo previsto en el literal d), ATRIBUCIONES DEL PRESIDENTE, del artículo </w:t>
      </w:r>
      <w:r>
        <w:fldChar w:fldCharType="begin"/>
      </w:r>
      <w:r>
        <w:instrText>HYPERLINK "http://www.redjurista.com/document.aspx?ajcode=d1070015&amp;arts=2.3.1.3.6.2"</w:instrText>
      </w:r>
      <w:r>
        <w:fldChar w:fldCharType="separate"/>
      </w:r>
      <w:r>
        <w:rPr>
          <w:rFonts w:hAnsi="Arial"/>
          <w:rFonts w:ascii="Arial"/>
          <w:sz w:val="24"/>
          <w:u w:val="single"/>
          <w:color w:val="black"/>
        </w:rPr>
        <w:t>2.3.1.3.6.2</w:t>
      </w:r>
      <w:r>
        <w:fldChar w:fldCharType="end"/>
      </w:r>
      <w:r>
        <w:rPr>
          <w:rFonts w:hAnsi="Arial"/>
          <w:rFonts w:ascii="Arial"/>
          <w:sz w:val="24"/>
          <w:u w:val="none"/>
          <w:color w:val="black"/>
        </w:rPr>
        <w:t xml:space="preserve"> del presente Capítulo, previo cumplimiento de los requisitos establecidos para el efecto y aprobación del Consejo de la Medalla. </w:t>
      </w:r>
    </w:p>
    <w:p>
      <w:pPr>
        <w:jc w:val="both"/>
        <w:outlineLvl w:val="1"/>
        <w:tabs>
          <w:tab w:val="left" w:leader="none" w:pos="8840"/>
        </w:tabs>
      </w:pPr>
      <w:rPr>
        <w:sz w:val="24"/>
        <w:b/>
        <w:color w:val="black"/>
      </w:rPr>
    </w:p>
    <w:p>
      <w:pPr>
        <w:jc w:val="both"/>
        <w:outlineLvl w:val="1"/>
        <w:tabs>
          <w:tab w:val="left" w:leader="none" w:pos="8840"/>
        </w:tabs>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medalla militar “Cruz de Plata en Operaciones Especiales” será conferida a un mismo individuo tantas veces como se haga acreedor a ella en acciones diferentes.</w:t>
      </w:r>
    </w:p>
    <w:p>
      <w:pPr>
        <w:jc w:val="both"/>
      </w:pPr>
      <w:rPr>
        <w:sz w:val="24"/>
        <w:color w:val="black"/>
      </w:rPr>
    </w:p>
    <w:p>
      <w:pPr>
        <w:jc w:val="both"/>
      </w:pPr>
      <w:r>
        <w:rPr>
          <w:rFonts w:hAnsi="Arial"/>
          <w:rFonts w:ascii="Arial"/>
          <w:sz w:val="24"/>
          <w:vanish/>
          <w:color w:val="black"/>
        </w:rPr>
        <w:t>&amp;$</w:t>
      </w:r>
      <w:bookmarkStart w:id="60658" w:name="2.3.1.3.6.8.6"/>
      <w:r>
        <w:rPr>
          <w:rFonts w:hAnsi="Arial"/>
          <w:rFonts w:ascii="Arial"/>
          <w:sz w:val="24"/>
          <w:color w:val="navy"/>
        </w:rPr>
        <w:t xml:space="preserve">ARTÍCULO 2.3.1.3.6.8.6. </w:t>
      </w:r>
      <w:r>
        <w:rPr>
          <w:rFonts w:hAnsi="Arial"/>
          <w:rFonts w:ascii="Arial"/>
          <w:sz w:val="24"/>
          <w:i/>
          <w:color w:val="navy"/>
        </w:rPr>
        <w:t>IMPOSICIÓN.</w:t>
      </w:r>
      <w:bookmarkEnd w:id="60658"/>
      <w:r>
        <w:rPr>
          <w:rFonts w:hAnsi="Arial"/>
          <w:rFonts w:ascii="Arial"/>
          <w:sz w:val="24"/>
          <w:b/>
          <w:i/>
          <w:color w:val="black"/>
        </w:rPr>
        <w:t xml:space="preserve"> </w:t>
      </w:r>
      <w:r>
        <w:rPr>
          <w:rFonts w:hAnsi="Arial"/>
          <w:rFonts w:ascii="Arial"/>
          <w:sz w:val="24"/>
          <w:color w:val="black"/>
        </w:rPr>
        <w:t xml:space="preserve">La Medalla Militar "Cruz de Plata en Operaciones Especiales", será impuesta en ceremonia especial por el Comandante del Comando Conjunto de Operaciones Especiales, de acuerdo con lo previsto en el Reglamento de Ceremonial Militar.</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su otorgamiento sea por resultados operacionales, se impondrá en el menor tiempo posible, en ceremonia especial de acuerdo con lo previsto en el Reglamento de Ceremonial Militar.</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59" w:name="2.3.1.3.6.8.7"/>
      <w:r>
        <w:rPr>
          <w:rFonts w:hAnsi="Arial"/>
          <w:rFonts w:ascii="Arial"/>
          <w:sz w:val="24"/>
          <w:color w:val="navy"/>
        </w:rPr>
        <w:t xml:space="preserve">ARTÍCULO 2.3.1.3.6.8.7. </w:t>
      </w:r>
      <w:r>
        <w:rPr>
          <w:rFonts w:hAnsi="Arial"/>
          <w:rFonts w:ascii="Arial"/>
          <w:sz w:val="24"/>
          <w:i/>
          <w:color w:val="navy"/>
        </w:rPr>
        <w:t>DIPLOMA.</w:t>
      </w:r>
      <w:bookmarkEnd w:id="6065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"http://www.redjurista.com/document.aspx?ajcode=d1564022&amp;arts=9"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1564 de 2022. El nuevo texto es el siguiente:&gt; El diploma que acredita el otorgamiento de la Medalla Militar “Cruz de plata en Operaciones Especiales” lleva en su parte superior central la réplica de la medalla, estará firmado por el Comandante General de las Fuerzas Militares y el Comandante del Comando Conjunto de Operaciones Especiales, será elaborado en papel pergamino blanco o cartulina de 40 cm de largo por 30 cm de ancho, con la siguiente leyenda:”</w:t>
      </w:r>
    </w:p>
    <w:p>
      <w:pPr>
        <w:jc w:val="center"/>
        <w:tabs>
          <w:tab w:val="left" w:leader="none" w:pos="8840"/>
        </w:tabs>
      </w:pPr>
      <w:r>
        <w:drawing>
          <wp:inline distT="0" distB="0" distL="0" distR="0">
            <wp:extent cx="4457700" cy="3276600"/>
            <wp:docPr id="15" name=""/>
            <a:graphic xmlns:a="http://schemas.openxmlformats.org/drawingml/2006/main">
              <a:graphicData uri="http://schemas.openxmlformats.org/drawingml/2006/picture">
                <pic:pic xmlns:pic="http://schemas.openxmlformats.org/drawingml/2006/picture">
                  <pic:nvPicPr>
                    <pic:cNvPr id="14" name="Picture "/>
                    <pic:cNvPicPr/>
                  </pic:nvPicPr>
                  <pic:blipFill>
                    <a:blip r:embed="id14"/>
                    <a:stretch>
                      <a:fillRect/>
                    </a:stretch>
                  </pic:blipFill>
                  <pic:spPr>
                    <a:xfrm>
                      <a:off x="0" y="0"/>
                      <a:ext cx="4457700" cy="3276600"/>
                    </a:xfrm>
                    <a:prstGeom prst="rect">
                      <a:avLst/>
                    </a:prstGeom>
                  </pic:spPr>
                </pic:pic>
              </a:graphicData>
            </a:graphic>
          </wp:inline>
        </w:drawing>
      </w:r>
    </w:p>
    <w:p>
      <w:pPr>
        <w:jc w:val="both"/>
      </w:pPr>
      <w:rPr>
        <w:sz w:val="24"/>
        <w:color w:val="black"/>
      </w:rPr>
    </w:p>
    <w:p>
      <w:pPr>
        <w:jc w:val="both"/>
      </w:pPr>
      <w:r>
        <w:rPr>
          <w:rFonts w:hAnsi="Arial"/>
          <w:rFonts w:ascii="Arial"/>
          <w:sz w:val="24"/>
          <w:vanish/>
          <w:color w:val="black"/>
        </w:rPr>
        <w:t>&amp;$</w:t>
      </w:r>
      <w:bookmarkStart w:id="60660" w:name="2.3.1.3.6.8.8"/>
      <w:r>
        <w:rPr>
          <w:rFonts w:hAnsi="Arial"/>
          <w:rFonts w:ascii="Arial"/>
          <w:sz w:val="24"/>
          <w:color w:val="navy"/>
        </w:rPr>
        <w:t xml:space="preserve">ARTÍCULO 2.3.1.3.6.8.8. USOS.</w:t>
      </w:r>
      <w:bookmarkEnd w:id="60660"/>
      <w:r>
        <w:rPr>
          <w:rFonts w:hAnsi="Arial"/>
          <w:rFonts w:ascii="Arial"/>
          <w:sz w:val="24"/>
          <w:b/>
          <w:color w:val="black"/>
        </w:rPr>
        <w:t xml:space="preserve"> </w:t>
      </w:r>
      <w:r>
        <w:rPr>
          <w:rFonts w:hAnsi="Arial"/>
          <w:rFonts w:ascii="Arial"/>
          <w:sz w:val="24"/>
          <w:color w:val="black"/>
        </w:rPr>
        <w:t xml:space="preserve">El uso de la Medalla Militar "Cruz de Plata en Operaciones Especiales", con su correspondiente descripción, así como los anexos del presente acto administrativo, deberán ser incluidos en el Reglamento de Uniformes, Insignias y Distintivos de cada una de las Fuerzas Militares.</w:t>
      </w:r>
    </w:p>
    <w:p>
      <w:pPr>
        <w:jc w:val="both"/>
      </w:pPr>
      <w:rPr>
        <w:sz w:val="24"/>
        <w:color w:val="black"/>
      </w:rPr>
    </w:p>
    <w:p>
      <w:pPr>
        <w:jc w:val="both"/>
      </w:pPr>
      <w:r>
        <w:rPr>
          <w:rFonts w:hAnsi="Arial"/>
          <w:rFonts w:ascii="Arial"/>
          <w:sz w:val="24"/>
          <w:i/>
          <w:color w:val="black"/>
        </w:rPr>
        <w:t xml:space="preserve">(Decreto 1425 de 2013 artículo </w:t>
      </w:r>
      <w:r>
        <w:fldChar w:fldCharType="begin"/>
      </w:r>
      <w:r>
        <w:instrText>HYPERLINK "http://www.redjurista.com/document.aspx?ajcode=d1425013&amp;arts=19"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61" w:name="SUBSECCIÓN 2.3.1.3.6.9"/>
      <w:r>
        <w:rPr>
          <w:rFonts w:hAnsi="Arial"/>
          <w:rFonts w:ascii="Arial"/>
          <w:sz w:val="24"/>
          <w:color w:val="navy"/>
        </w:rPr>
        <w:t xml:space="preserve">SUBSECCIÓN 9. </w:t>
      </w:r>
    </w:p>
    <w:p>
      <w:pPr>
        <w:jc w:val="center"/>
      </w:pPr>
      <w:r>
        <w:rPr>
          <w:rFonts w:hAnsi="Arial"/>
          <w:rFonts w:ascii="Arial"/>
          <w:sz w:val="24"/>
          <w:color w:val="navy"/>
        </w:rPr>
        <w:t xml:space="preserve">MEDALLA MILITAR "BICENTENARIO DE LOS INGENIEROS MILITARES".</w:t>
      </w:r>
      <w:bookmarkEnd w:id="6066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62" w:name="2.3.1.3.6.9.1"/>
      <w:r>
        <w:rPr>
          <w:rFonts w:hAnsi="Arial"/>
          <w:rFonts w:ascii="Arial"/>
          <w:sz w:val="24"/>
          <w:color w:val="navy"/>
        </w:rPr>
        <w:t xml:space="preserve">ARTÍCULO 2.3.1.3.6.9.1. </w:t>
      </w:r>
      <w:r>
        <w:rPr>
          <w:rFonts w:hAnsi="Arial"/>
          <w:rFonts w:ascii="Arial"/>
          <w:sz w:val="24"/>
          <w:i/>
          <w:color w:val="navy"/>
        </w:rPr>
        <w:t>ORIGEN.</w:t>
      </w:r>
      <w:bookmarkEnd w:id="60662"/>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"http://www.redjurista.com/document.aspx?ajcode=d1697014&amp;arts=INICIO"</w:instrText>
      </w:r>
      <w:r>
        <w:fldChar w:fldCharType="separate"/>
      </w:r>
      <w:r>
        <w:rPr>
          <w:rFonts w:hAnsi="Arial"/>
          <w:rFonts w:ascii="Arial"/>
          <w:sz w:val="24"/>
          <w:u w:val="single"/>
          <w:color w:val="black"/>
        </w:rPr>
        <w:t>1697</w:t>
      </w:r>
      <w:r>
        <w:fldChar w:fldCharType="end"/>
      </w:r>
      <w:r>
        <w:rPr>
          <w:rFonts w:hAnsi="Arial"/>
          <w:rFonts w:ascii="Arial"/>
          <w:sz w:val="24"/>
          <w:u w:val="none"/>
          <w:color w:val="black"/>
        </w:rPr>
        <w:t xml:space="preserve"> de 2014, en categoría única, para premiar y estimular por una sola vez al personal de Oficiales, Suboficiales, Soldados e Infantes de Marina de las Fuerzas Militares, miembros de la Policía nacional, Servidores Públicos del Sector Defensa, personal no uniformado de la Policía Nacional que con su excepcional servicio hayan sobresalido por su espíritu militar, disciplina, compañerismo, consagración al trabajo y servicios eminentes que demuestren actos de valor, arrojo, entrega, dedicación, participación y capacidad profesional o técnica puestas al servicio de las Fuerzas Militares más allá del común cumplimiento del deber, así como al Personal Militar de la Reserva Activa, a Personalidades Nacionales o Extranjeras, a Entidades Públicas y Privadas que hayan prestado sus servicios meritorios en beneficio de las Fuerzas Militares.</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3" w:name="2.3.1.3.6.9.2"/>
      <w:r>
        <w:rPr>
          <w:rFonts w:hAnsi="Arial"/>
          <w:rFonts w:ascii="Arial"/>
          <w:sz w:val="24"/>
          <w:color w:val="navy"/>
        </w:rPr>
        <w:t xml:space="preserve">ARTÍCULO 2.3.1.3.6.9.2. </w:t>
      </w:r>
      <w:r>
        <w:rPr>
          <w:rFonts w:hAnsi="Arial"/>
          <w:rFonts w:ascii="Arial"/>
          <w:sz w:val="24"/>
          <w:i/>
          <w:color w:val="navy"/>
        </w:rPr>
        <w:t xml:space="preserve">CARACTERÍSTICAS DE LA JOYA.</w:t>
      </w:r>
      <w:bookmarkEnd w:id="60663"/>
      <w:r>
        <w:rPr>
          <w:rFonts w:hAnsi="Arial"/>
          <w:rFonts w:ascii="Arial"/>
          <w:sz w:val="24"/>
          <w:b/>
          <w:i/>
          <w:color w:val="black"/>
        </w:rPr>
        <w:t xml:space="preserve"> </w:t>
      </w:r>
      <w:r>
        <w:rPr>
          <w:rFonts w:hAnsi="Arial"/>
          <w:rFonts w:ascii="Arial"/>
          <w:sz w:val="24"/>
          <w:color w:val="black"/>
        </w:rPr>
        <w:t xml:space="preserve">Será un sol de 26 puntas de 55 mm ancho por 58 mm de alto, con una argolla dorada en su parte superior, en la parte anterior un blasón grabado en alto relieve, en cuyo centro dorado con epicentro purpura enmarcan el numero doscientos (200) años en un semicírculo, en la parte superior las palabras Ingenieros Militares y en la parte inferior un semicírculo con las palabras Ejercito Nacional. En su parte posterior en alto relieve la efigie de un puente con unos soldados zapadores, símbolo de las constantes tareas de ingeniería militar, en la parte superior en letra cursiva el lema de los ingenieros "Vencer o Morir", esta joya penderá de una cinta de 40 mm de ancho, color purpura, sobre la cuál llevará bordados dos franjas de color blanco, en sus extremos el tricolor nacional de afuera hacia adentro. Usa el color púrpura cuya significación heráldica es la grandeza y sabiduría, virtudes sobre las cuales debe sostenerse el Cuerpo de Ingenieros, que significan la honra militar y el saber. La Torre de Castilla que ocupa el centro de la condecoración simbolizando así prudencia, honestidad y obediencia denota el asilo o salvaguardia que presenta la Ingeniería para las Fuerzas Militares, con su constancia, sabiduría, grandeza, prudencia, rigor, honestidad y obediencia.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venera será una cinta metálica de 40 mm de largo por 10 mm de ancho, con los detalles previstos para la cinta de la cual pende la joya, en esmalte al fuego.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miniatura o replica tiene el mismo diseño de la joya, con un diámetro de 15 mm, pende de una cinta de 15 mm de ancho y 35 mm de largo.</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4" w:name="2.3.1.3.6.9.3"/>
      <w:r>
        <w:rPr>
          <w:rFonts w:hAnsi="Arial"/>
          <w:rFonts w:ascii="Arial"/>
          <w:sz w:val="24"/>
          <w:color w:val="navy"/>
        </w:rPr>
        <w:t xml:space="preserve">ARTÍCULO 2.3.1.3.6.9.3. </w:t>
      </w:r>
      <w:r>
        <w:rPr>
          <w:rFonts w:hAnsi="Arial"/>
          <w:rFonts w:ascii="Arial"/>
          <w:sz w:val="24"/>
          <w:i/>
          <w:color w:val="navy"/>
        </w:rPr>
        <w:t>CONSEJO.</w:t>
      </w:r>
      <w:bookmarkEnd w:id="60664"/>
      <w:r>
        <w:rPr>
          <w:rFonts w:hAnsi="Arial"/>
          <w:rFonts w:ascii="Arial"/>
          <w:sz w:val="24"/>
          <w:b/>
          <w:i/>
          <w:color w:val="black"/>
        </w:rPr>
        <w:t xml:space="preserve"> </w:t>
      </w:r>
      <w:r>
        <w:rPr>
          <w:rFonts w:hAnsi="Arial"/>
          <w:rFonts w:ascii="Arial"/>
          <w:sz w:val="24"/>
          <w:color w:val="black"/>
        </w:rPr>
        <w:t xml:space="preserve">El Consejo de la Medalla Militar "Bicentenario de los Ingenieros Militares",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las Fuerzas Militares</w:t>
      </w:r>
    </w:p>
    <w:p>
      <w:pPr>
        <w:jc w:val="both"/>
      </w:pPr>
      <w:rPr>
        <w:sz w:val="24"/>
        <w:color w:val="black"/>
      </w:rPr>
    </w:p>
    <w:p>
      <w:pPr>
        <w:jc w:val="both"/>
      </w:pPr>
      <w:r>
        <w:rPr>
          <w:rFonts w:hAnsi="Arial"/>
          <w:rFonts w:ascii="Arial"/>
          <w:sz w:val="24"/>
          <w:b/>
          <w:color w:val="black"/>
        </w:rPr>
        <w:t>Vicepresidente</w:t>
      </w:r>
      <w:r>
        <w:rPr>
          <w:rFonts w:hAnsi="Arial"/>
          <w:rFonts w:ascii="Arial"/>
          <w:sz w:val="24"/>
          <w:color w:val="black"/>
        </w:rPr>
        <w:t xml:space="preserve">: Jefe de Estado Mayor Conjunto de las Fuerzas Militares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Jefatura Desarrollo Humano</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General de las Fuerzas Militares</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5" w:name="2.3.1.3.6.9.4"/>
      <w:r>
        <w:rPr>
          <w:rFonts w:hAnsi="Arial"/>
          <w:rFonts w:ascii="Arial"/>
          <w:sz w:val="24"/>
          <w:color w:val="navy"/>
        </w:rPr>
        <w:t xml:space="preserve">ARTÍCULO 2.3.1.3.6.9.4. </w:t>
      </w:r>
      <w:r>
        <w:rPr>
          <w:rFonts w:hAnsi="Arial"/>
          <w:rFonts w:ascii="Arial"/>
          <w:sz w:val="24"/>
          <w:i/>
          <w:color w:val="navy"/>
        </w:rPr>
        <w:t>REQUISITOS.</w:t>
      </w:r>
      <w:bookmarkEnd w:id="60665"/>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se tendrán en cuenta los siguientes, para su otorgamiento:</w:t>
      </w:r>
    </w:p>
    <w:p>
      <w:pPr>
        <w:jc w:val="both"/>
      </w:pPr>
      <w:rPr>
        <w:sz w:val="24"/>
        <w:color w:val="black"/>
      </w:rPr>
    </w:p>
    <w:p>
      <w:pPr>
        <w:jc w:val="both"/>
      </w:pPr>
      <w:r>
        <w:rPr>
          <w:rFonts w:hAnsi="Arial"/>
          <w:rFonts w:ascii="Arial"/>
          <w:sz w:val="24"/>
          <w:color w:val="black"/>
        </w:rPr>
        <w:t xml:space="preserve">Para Oficiales, Suboficiales, Soldados e Infantes de Marina de las Fuerzas Militares Miembros de la Policía Nacional:</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arma a la cual pertenece.</w:t>
      </w:r>
    </w:p>
    <w:p>
      <w:pPr>
        <w:jc w:val="both"/>
      </w:pPr>
      <w:rPr>
        <w:sz w:val="24"/>
        <w:color w:val="black"/>
      </w:rPr>
    </w:p>
    <w:p>
      <w:pPr>
        <w:jc w:val="both"/>
      </w:pPr>
      <w:r>
        <w:rPr>
          <w:rFonts w:hAnsi="Arial"/>
          <w:rFonts w:ascii="Arial"/>
          <w:sz w:val="24"/>
          <w:color w:val="black"/>
        </w:rPr>
        <w:t xml:space="preserve">2. Debe haber liderado, planeado, dirigido o ejecutado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3. Haberse destacado en forma sobresaliente por sus servicios a las Fuerzas Militares, por su conducta, dedicación al trabajo y excelente desempeño en beneficio del desarrollo del país.</w:t>
      </w:r>
    </w:p>
    <w:p>
      <w:pPr>
        <w:jc w:val="both"/>
      </w:pPr>
      <w:rPr>
        <w:sz w:val="24"/>
        <w:color w:val="black"/>
      </w:rPr>
    </w:p>
    <w:p>
      <w:pPr>
        <w:jc w:val="both"/>
      </w:pPr>
      <w:r>
        <w:rPr>
          <w:rFonts w:hAnsi="Arial"/>
          <w:rFonts w:ascii="Arial"/>
          <w:sz w:val="24"/>
          <w:color w:val="black"/>
        </w:rPr>
        <w:t xml:space="preserve">Para los Servidores Públicos del Sector Defensa y Personal no uniformado de la Policía Nacional:</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unidad a la cual pertenece.</w:t>
      </w:r>
    </w:p>
    <w:p>
      <w:pPr>
        <w:jc w:val="both"/>
      </w:pPr>
      <w:rPr>
        <w:sz w:val="24"/>
        <w:color w:val="black"/>
      </w:rPr>
    </w:p>
    <w:p>
      <w:pPr>
        <w:jc w:val="both"/>
      </w:pPr>
      <w:r>
        <w:rPr>
          <w:rFonts w:hAnsi="Arial"/>
          <w:rFonts w:ascii="Arial"/>
          <w:sz w:val="24"/>
          <w:color w:val="black"/>
        </w:rPr>
        <w:t xml:space="preserve">2. Haberse destacado por su conducta, dedicación al trabajo, excelente desempeño en beneficio de las Fuerzas Militares.</w:t>
      </w:r>
    </w:p>
    <w:p>
      <w:pPr>
        <w:jc w:val="both"/>
      </w:pPr>
      <w:rPr>
        <w:sz w:val="24"/>
        <w:color w:val="black"/>
      </w:rPr>
    </w:p>
    <w:p>
      <w:pPr>
        <w:jc w:val="both"/>
      </w:pPr>
      <w:r>
        <w:rPr>
          <w:rFonts w:hAnsi="Arial"/>
          <w:rFonts w:ascii="Arial"/>
          <w:sz w:val="24"/>
          <w:color w:val="black"/>
        </w:rPr>
        <w:t xml:space="preserve">Para el Personal Militar de la Reserva Activa:</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unidad a la cual pertenece.</w:t>
      </w:r>
    </w:p>
    <w:p>
      <w:pPr>
        <w:jc w:val="both"/>
      </w:pPr>
      <w:rPr>
        <w:sz w:val="24"/>
        <w:color w:val="black"/>
      </w:rPr>
    </w:p>
    <w:p>
      <w:pPr>
        <w:jc w:val="both"/>
      </w:pPr>
      <w:r>
        <w:rPr>
          <w:rFonts w:hAnsi="Arial"/>
          <w:rFonts w:ascii="Arial"/>
          <w:sz w:val="24"/>
          <w:color w:val="black"/>
        </w:rPr>
        <w:t xml:space="preserve">2. Haber prestado servicios eminentes a las Fuerzas Militares.</w:t>
      </w:r>
    </w:p>
    <w:p>
      <w:pPr>
        <w:jc w:val="both"/>
      </w:pPr>
      <w:rPr>
        <w:sz w:val="24"/>
        <w:color w:val="black"/>
      </w:rPr>
    </w:p>
    <w:p>
      <w:pPr>
        <w:jc w:val="both"/>
      </w:pPr>
      <w:r>
        <w:rPr>
          <w:rFonts w:hAnsi="Arial"/>
          <w:rFonts w:ascii="Arial"/>
          <w:sz w:val="24"/>
          <w:color w:val="black"/>
        </w:rPr>
        <w:t xml:space="preserve">Para Personalidades Nacionales o Extranjeras. Entidades Públicas y Privadas:</w:t>
      </w:r>
    </w:p>
    <w:p>
      <w:pPr>
        <w:jc w:val="both"/>
      </w:pPr>
      <w:rPr>
        <w:sz w:val="24"/>
        <w:color w:val="black"/>
      </w:rPr>
    </w:p>
    <w:p>
      <w:pPr>
        <w:jc w:val="both"/>
      </w:pPr>
      <w:r>
        <w:rPr>
          <w:rFonts w:hAnsi="Arial"/>
          <w:rFonts w:ascii="Arial"/>
          <w:sz w:val="24"/>
          <w:color w:val="black"/>
        </w:rPr>
        <w:t xml:space="preserve">1. Haber prestado servicios eminentes a las Fuerzas Militares.</w:t>
      </w:r>
    </w:p>
    <w:p>
      <w:pPr>
        <w:jc w:val="both"/>
      </w:pPr>
      <w:rPr>
        <w:sz w:val="24"/>
        <w:color w:val="black"/>
      </w:rPr>
    </w:p>
    <w:p>
      <w:pPr>
        <w:jc w:val="both"/>
      </w:pPr>
      <w:r>
        <w:rPr>
          <w:rFonts w:hAnsi="Arial"/>
          <w:rFonts w:ascii="Arial"/>
          <w:sz w:val="24"/>
          <w:color w:val="black"/>
        </w:rPr>
        <w:t xml:space="preserve">2. Reunir condiciones morales, éticas, profesionales y personales ejemplares.</w:t>
      </w:r>
    </w:p>
    <w:p>
      <w:pPr>
        <w:jc w:val="both"/>
      </w:pPr>
      <w:rPr>
        <w:sz w:val="24"/>
        <w:color w:val="black"/>
      </w:rPr>
    </w:p>
    <w:p>
      <w:pPr>
        <w:jc w:val="both"/>
      </w:pPr>
      <w:r>
        <w:rPr>
          <w:rFonts w:hAnsi="Arial"/>
          <w:rFonts w:ascii="Arial"/>
          <w:sz w:val="24"/>
          <w:color w:val="black"/>
        </w:rPr>
        <w:t xml:space="preserve">3. Que por su posición y méritos se hayan hecho acreedores a esta condecoración.</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6" w:name="2.3.1.3.6.9.5"/>
      <w:r>
        <w:rPr>
          <w:rFonts w:hAnsi="Arial"/>
          <w:rFonts w:ascii="Arial"/>
          <w:sz w:val="24"/>
          <w:color w:val="navy"/>
        </w:rPr>
        <w:t xml:space="preserve">ARTÍCULO 2.3.1.3.6.9.5. </w:t>
      </w:r>
      <w:r>
        <w:rPr>
          <w:rFonts w:hAnsi="Arial"/>
          <w:rFonts w:ascii="Arial"/>
          <w:sz w:val="24"/>
          <w:i/>
          <w:color w:val="navy"/>
        </w:rPr>
        <w:t>DIPLOMA.</w:t>
      </w:r>
      <w:bookmarkEnd w:id="60666"/>
      <w:r>
        <w:rPr>
          <w:rFonts w:hAnsi="Arial"/>
          <w:rFonts w:ascii="Arial"/>
          <w:sz w:val="24"/>
          <w:b/>
          <w:i/>
          <w:color w:val="black"/>
        </w:rPr>
        <w:t xml:space="preserve"> </w:t>
      </w:r>
      <w:r>
        <w:rPr>
          <w:rFonts w:hAnsi="Arial"/>
          <w:rFonts w:ascii="Arial"/>
          <w:sz w:val="24"/>
          <w:color w:val="black"/>
        </w:rPr>
        <w:t xml:space="preserve">La Medalla Militar "BICENTENARIO DE LOS INGENIEROS MILITARES" del Comando General de las Fuerzas Militares, va acompañada de un diploma credencial, el cual se elaborará en papel pergamino o cartulina blanca con medidas de 35 cm de largo, por 25 cm de ancho. En la parte superior izquierda se exhibirá el anverso de la medalla y en la parte superior derecha el reverso de la misma, igualmente lleva el escudo del Comando General en marca de agua en la parte superior y en el centro, en la parte inferior llevará las firmas del Comandante General de las Fuerzas Militares y del Jefe de Estado Mayor Conjunto de las FF.MM., con la siguiente leyenda:</w:t>
      </w:r>
    </w:p>
    <w:p>
      <w:pPr>
        <w:jc w:val="center"/>
      </w:pPr>
      <w:r>
        <w:drawing>
          <wp:inline distT="0" distB="0" distL="0" distR="0">
            <wp:extent cx="4000500" cy="2034540"/>
            <wp:docPr id="16" name=""/>
            <a:graphic xmlns:a="http://schemas.openxmlformats.org/drawingml/2006/main">
              <a:graphicData uri="http://schemas.openxmlformats.org/drawingml/2006/picture">
                <pic:pic xmlns:pic="http://schemas.openxmlformats.org/drawingml/2006/picture">
                  <pic:nvPicPr>
                    <pic:cNvPr id="15" name="Picture "/>
                    <pic:cNvPicPr/>
                  </pic:nvPicPr>
                  <pic:blipFill>
                    <a:blip r:embed="id15"/>
                    <a:stretch>
                      <a:fillRect/>
                    </a:stretch>
                  </pic:blipFill>
                  <pic:spPr>
                    <a:xfrm>
                      <a:off x="0" y="0"/>
                      <a:ext cx="4000500" cy="203454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7" w:name="2.3.1.3.6.9.6"/>
      <w:r>
        <w:rPr>
          <w:rFonts w:hAnsi="Arial"/>
          <w:rFonts w:ascii="Arial"/>
          <w:sz w:val="24"/>
          <w:color w:val="navy"/>
        </w:rPr>
        <w:t xml:space="preserve">ARTÍCULO 2.3.1.3.6.9.6. </w:t>
      </w:r>
      <w:r>
        <w:rPr>
          <w:rFonts w:hAnsi="Arial"/>
          <w:rFonts w:ascii="Arial"/>
          <w:sz w:val="24"/>
          <w:i/>
          <w:color w:val="navy"/>
        </w:rPr>
        <w:t>OTORGAMIENTO.</w:t>
      </w:r>
      <w:bookmarkEnd w:id="60667"/>
      <w:r>
        <w:rPr>
          <w:rFonts w:hAnsi="Arial"/>
          <w:rFonts w:ascii="Arial"/>
          <w:sz w:val="24"/>
          <w:b/>
          <w:i/>
          <w:color w:val="black"/>
        </w:rPr>
        <w:t xml:space="preserve"> </w:t>
      </w:r>
      <w:r>
        <w:rPr>
          <w:rFonts w:hAnsi="Arial"/>
          <w:rFonts w:ascii="Arial"/>
          <w:sz w:val="24"/>
          <w:color w:val="black"/>
        </w:rPr>
        <w:t xml:space="preserve">La Medalla Militar "BICENTENARIO DE LOS INGENIEROS MILITARES" del Comando General de las Fuerzas Militares, será conferida por una sola vez, mediante resolución, previo cumplimiento de los requisitos establecidos para el efecto y que a consideración del consejo de la medalla se hagan merecedores de esta distinción.</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68" w:name="2.3.1.3.6.9.7"/>
      <w:r>
        <w:rPr>
          <w:rFonts w:hAnsi="Arial"/>
          <w:rFonts w:ascii="Arial"/>
          <w:sz w:val="24"/>
          <w:color w:val="navy"/>
        </w:rPr>
        <w:t xml:space="preserve">ARTÍCULO 2.3.1.3.6.9.7. </w:t>
      </w:r>
      <w:r>
        <w:rPr>
          <w:rFonts w:hAnsi="Arial"/>
          <w:rFonts w:ascii="Arial"/>
          <w:sz w:val="24"/>
          <w:i/>
          <w:color w:val="navy"/>
        </w:rPr>
        <w:t>IMPOSICIÓN.</w:t>
      </w:r>
      <w:bookmarkEnd w:id="60668"/>
      <w:r>
        <w:rPr>
          <w:rFonts w:hAnsi="Arial"/>
          <w:rFonts w:ascii="Arial"/>
          <w:sz w:val="24"/>
          <w:b/>
          <w:i/>
          <w:color w:val="black"/>
        </w:rPr>
        <w:t xml:space="preserve"> </w:t>
      </w:r>
      <w:r>
        <w:rPr>
          <w:rFonts w:hAnsi="Arial"/>
          <w:rFonts w:ascii="Arial"/>
          <w:sz w:val="24"/>
          <w:color w:val="black"/>
        </w:rPr>
        <w:t xml:space="preserve">La imposición de la Medalla Militar "BICENTENARIO DE LOS INGENIEROS MILITARES" del Comando General de las Fuerzas Militares, debe revestir la mayor solemnidad. Será impuesta en la ceremonia de celebración de los 200 años del arma de Ingenieros Militares. La ceremonia se realizará de acuerdo con el reglamento de ceremonial militar y estará presidida por el señor Comandante General de las Fuerzas Militares quien impondrá la condecoración</w:t>
      </w:r>
      <w:r>
        <w:rPr>
          <w:rFonts w:hAnsi="Arial"/>
          <w:rFonts w:ascii="Arial"/>
          <w:sz w:val="24"/>
          <w:b/>
          <w:color w:val="black"/>
        </w:rPr>
        <w:t>.</w:t>
      </w:r>
    </w:p>
    <w:p>
      <w:pPr>
        <w:jc w:val="both"/>
      </w:pPr>
      <w:rPr>
        <w:sz w:val="24"/>
        <w:color w:val="black"/>
      </w:rPr>
    </w:p>
    <w:p>
      <w:pPr>
        <w:jc w:val="both"/>
      </w:pPr>
      <w:r>
        <w:rPr>
          <w:rFonts w:hAnsi="Arial"/>
          <w:rFonts w:ascii="Arial"/>
          <w:sz w:val="24"/>
          <w:i/>
          <w:color w:val="black"/>
        </w:rPr>
        <w:t xml:space="preserve">(Decreto 1697 de 2014 artículo </w:t>
      </w:r>
      <w:r>
        <w:fldChar w:fldCharType="begin"/>
      </w:r>
      <w:r>
        <w:instrText>HYPERLINK "http://www.redjurista.com/document.aspx?ajcode=d1697014&amp;arts=7"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u w:val="single"/>
          <w:color w:val="black"/>
        </w:rPr>
        <w:t xml:space="preserve">3) EJÉRCITO NACIONAL:</w:t>
      </w:r>
    </w:p>
    <w:p>
      <w:pPr>
        <w:jc w:val="both"/>
      </w:pPr>
      <w:rPr>
        <w:sz w:val="24"/>
        <w:color w:val="black"/>
      </w:rPr>
    </w:p>
    <w:p>
      <w:pPr>
        <w:jc w:val="center"/>
      </w:pPr>
      <w:r>
        <w:rPr>
          <w:rFonts w:hAnsi="Arial"/>
          <w:rFonts w:ascii="Arial"/>
          <w:sz w:val="24"/>
          <w:vanish/>
          <w:color w:val="black"/>
        </w:rPr>
        <w:t>&amp;$</w:t>
      </w:r>
      <w:bookmarkStart w:id="60669" w:name="SUBSECCIÓN 2.3.1.3.6.10"/>
      <w:r>
        <w:rPr>
          <w:rFonts w:hAnsi="Arial"/>
          <w:rFonts w:ascii="Arial"/>
          <w:sz w:val="24"/>
          <w:color w:val="navy"/>
        </w:rPr>
        <w:t xml:space="preserve">SUBSECCIÓN 10. </w:t>
      </w:r>
    </w:p>
    <w:p>
      <w:pPr>
        <w:jc w:val="center"/>
      </w:pPr>
      <w:r>
        <w:rPr>
          <w:rFonts w:hAnsi="Arial"/>
          <w:rFonts w:ascii="Arial"/>
          <w:sz w:val="24"/>
          <w:color w:val="navy"/>
        </w:rPr>
        <w:t xml:space="preserve">MEDALLA MILITAR "FE EN LA CAUSA" DEL EJÉRCITO NACIONAL.</w:t>
      </w:r>
      <w:bookmarkEnd w:id="6066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70" w:name="2.3.1.3.6.10.1"/>
      <w:r>
        <w:rPr>
          <w:rFonts w:hAnsi="Arial"/>
          <w:rFonts w:ascii="Arial"/>
          <w:sz w:val="24"/>
          <w:color w:val="navy"/>
        </w:rPr>
        <w:t xml:space="preserve">ARTÍCULO 2.3.1.3.6.10.1. </w:t>
      </w:r>
      <w:r>
        <w:rPr>
          <w:rFonts w:hAnsi="Arial"/>
          <w:rFonts w:ascii="Arial"/>
          <w:sz w:val="24"/>
          <w:i/>
          <w:color w:val="navy"/>
        </w:rPr>
        <w:t>ORIGEN.</w:t>
      </w:r>
      <w:bookmarkEnd w:id="60670"/>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"http://www.redjurista.com/document.aspx?ajcode=d2066011&amp;arts=INICIO"</w:instrText>
      </w:r>
      <w:r>
        <w:fldChar w:fldCharType="separate"/>
      </w:r>
      <w:r>
        <w:rPr>
          <w:rFonts w:hAnsi="Arial"/>
          <w:rFonts w:ascii="Arial"/>
          <w:sz w:val="24"/>
          <w:u w:val="single"/>
          <w:color w:val="black"/>
        </w:rPr>
        <w:t>2066</w:t>
      </w:r>
      <w:r>
        <w:fldChar w:fldCharType="end"/>
      </w:r>
      <w:r>
        <w:rPr>
          <w:rFonts w:hAnsi="Arial"/>
          <w:rFonts w:ascii="Arial"/>
          <w:sz w:val="24"/>
          <w:u w:val="none"/>
          <w:color w:val="black"/>
        </w:rPr>
        <w:t xml:space="preserve"> de 2011, en categoría única, para premiar al personal de Oficiales, Suboficiales, Soldados y Civiles, que se destaquen en la recuperación de la paz, el orden y la democracia de la Nación, así como al personal militar en uso de buen retiro, a personalidades Nacionales y Extranjeras y entidades públicas o privadas que presten sus servicios meritorios en beneficio del Ejército Nacional.</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1" w:name="2.3.1.3.6.10.2"/>
      <w:r>
        <w:rPr>
          <w:rFonts w:hAnsi="Arial"/>
          <w:rFonts w:ascii="Arial"/>
          <w:sz w:val="24"/>
          <w:color w:val="navy"/>
        </w:rPr>
        <w:t xml:space="preserve">ARTÍCULO 2.3.1.3.6.10.2. </w:t>
      </w:r>
      <w:r>
        <w:rPr>
          <w:rFonts w:hAnsi="Arial"/>
          <w:rFonts w:ascii="Arial"/>
          <w:sz w:val="24"/>
          <w:i/>
          <w:color w:val="navy"/>
        </w:rPr>
        <w:t>CARACTERÍSTICAS.</w:t>
      </w:r>
      <w:bookmarkEnd w:id="60671"/>
      <w:r>
        <w:rPr>
          <w:rFonts w:hAnsi="Arial"/>
          <w:rFonts w:ascii="Arial"/>
          <w:sz w:val="24"/>
          <w:b/>
          <w:i/>
          <w:color w:val="black"/>
        </w:rPr>
        <w:t xml:space="preserve"> </w:t>
      </w:r>
      <w:r>
        <w:rPr>
          <w:rFonts w:hAnsi="Arial"/>
          <w:rFonts w:ascii="Arial"/>
          <w:sz w:val="24"/>
          <w:color w:val="black"/>
        </w:rPr>
        <w:t xml:space="preserve">La Joya consiste en una medalla esmaltada, de 55 mm de ancho por 55 mm de alto, con corona cóncava plateada de la cuál pende un circulo en laurel donde estarán expuestas, una estrella de color plata de 56 puntas y una estrella de color dorado de 8 puntas; con el escudo del Ejército Nacional sobre la estrella dorada y en su base el emblema "FE EN LA CAUSA". En la parte inferior de la joya vendrá una cinta dorada con la descripción del lema esculpido "PATRIA, HONOR, LEALTAD", esta joya penderá de una cinta de 40 mm, de ancho de color rojo, sobre la cual llevará bordados los ocho colores representativos de las armas que conforman el Ejército Nacional, al respaldo lleva impresa en alto relieve el símbolo de los siete Pilates con tres palabras "DIGNIDAD, EQUILIBRIO, EQUIPO".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réplicas serán condecoraciones similares a la joya descrita anteriormente, pero reducidas a 15 milímetros, la cual irá suspendida de una cinta con los mismos colores de la establecida para la joya, tendrá 15 mm de ancho por 35 mm de largo y en el centro ostentara el distintivo indicado para la venera.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una cinta de color rojo rectangular de 40 mm de ancho, por 11 de alto, llevará las secciones de las ocho armas representativas del Ejército Nacional en sus respectivos colores, en esmalte al fuego, con el escudo del Ejército Nacional en el centro y en su base el lema "FE EN LA CAUSA".</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2" w:name="2.3.1.3.6.10.3"/>
      <w:r>
        <w:rPr>
          <w:rFonts w:hAnsi="Arial"/>
          <w:rFonts w:ascii="Arial"/>
          <w:sz w:val="24"/>
          <w:color w:val="navy"/>
        </w:rPr>
        <w:t xml:space="preserve">ARTÍCULO 2.3.1.3.6.10.3. </w:t>
      </w:r>
      <w:r>
        <w:rPr>
          <w:rFonts w:hAnsi="Arial"/>
          <w:rFonts w:ascii="Arial"/>
          <w:sz w:val="24"/>
          <w:i/>
          <w:color w:val="navy"/>
        </w:rPr>
        <w:t>CONSEJO.</w:t>
      </w:r>
      <w:bookmarkEnd w:id="60672"/>
      <w:r>
        <w:rPr>
          <w:rFonts w:hAnsi="Arial"/>
          <w:rFonts w:ascii="Arial"/>
          <w:sz w:val="24"/>
          <w:b/>
          <w:i/>
          <w:color w:val="black"/>
        </w:rPr>
        <w:t xml:space="preserve"> </w:t>
      </w:r>
      <w:r>
        <w:rPr>
          <w:rFonts w:hAnsi="Arial"/>
          <w:rFonts w:ascii="Arial"/>
          <w:sz w:val="24"/>
          <w:color w:val="black"/>
        </w:rPr>
        <w:t xml:space="preserve">El Consejo de la Medalla Militar "Fe en la Causa" del Ejército Nacional,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Nacional</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Estado Mayor del Ejército Nacional</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Jefe de Operaciones del Ejército Nacional</w:t>
      </w:r>
    </w:p>
    <w:p>
      <w:pPr>
        <w:jc w:val="both"/>
      </w:pPr>
      <w:rPr>
        <w:sz w:val="24"/>
        <w:color w:val="black"/>
      </w:rPr>
    </w:p>
    <w:p>
      <w:pPr>
        <w:jc w:val="both"/>
      </w:pPr>
      <w:r>
        <w:rPr>
          <w:rFonts w:hAnsi="Arial"/>
          <w:rFonts w:ascii="Arial"/>
          <w:sz w:val="24"/>
          <w:color w:val="black"/>
        </w:rPr>
        <w:t xml:space="preserve">Jefe de Desarrollo Humano del Ejército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Bienestar y Disciplina del Ejército Nacional</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3" w:name="2.3.1.3.6.10.4"/>
      <w:r>
        <w:rPr>
          <w:rFonts w:hAnsi="Arial"/>
          <w:rFonts w:ascii="Arial"/>
          <w:sz w:val="24"/>
          <w:color w:val="navy"/>
        </w:rPr>
        <w:t xml:space="preserve">ARTÍCULO 2.3.1.3.6.10.4. </w:t>
      </w:r>
      <w:r>
        <w:rPr>
          <w:rFonts w:hAnsi="Arial"/>
          <w:rFonts w:ascii="Arial"/>
          <w:sz w:val="24"/>
          <w:i/>
          <w:color w:val="navy"/>
        </w:rPr>
        <w:t>REQUISITOS.</w:t>
      </w:r>
      <w:bookmarkEnd w:id="60673"/>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se tendrán en cuenta los siguientes, para su otorgamiento:</w:t>
      </w:r>
    </w:p>
    <w:p>
      <w:pPr>
        <w:jc w:val="both"/>
      </w:pPr>
      <w:rPr>
        <w:sz w:val="24"/>
        <w:color w:val="black"/>
      </w:rPr>
    </w:p>
    <w:p>
      <w:pPr>
        <w:jc w:val="both"/>
      </w:pPr>
      <w:r>
        <w:rPr>
          <w:rFonts w:hAnsi="Arial"/>
          <w:rFonts w:ascii="Arial"/>
          <w:sz w:val="24"/>
          <w:color w:val="black"/>
        </w:rPr>
        <w:t xml:space="preserve">Para Oficiales:</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protagonista en el respeto por los derechos humanos.</w:t>
      </w:r>
    </w:p>
    <w:p>
      <w:pPr>
        <w:jc w:val="both"/>
      </w:pPr>
      <w:rPr>
        <w:sz w:val="24"/>
        <w:color w:val="black"/>
      </w:rPr>
    </w:p>
    <w:p>
      <w:pPr>
        <w:jc w:val="both"/>
      </w:pPr>
      <w:r>
        <w:rPr>
          <w:rFonts w:hAnsi="Arial"/>
          <w:rFonts w:ascii="Arial"/>
          <w:sz w:val="24"/>
          <w:color w:val="black"/>
        </w:rPr>
        <w:t xml:space="preserve">3. Debe haber liderado, planeado, dirigido o ejecutado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Suboficiales:</w:t>
      </w:r>
    </w:p>
    <w:p>
      <w:pPr>
        <w:jc w:val="both"/>
      </w:pPr>
      <w:rPr>
        <w:sz w:val="24"/>
        <w:color w:val="black"/>
      </w:rPr>
    </w:p>
    <w:p>
      <w:pPr>
        <w:jc w:val="both"/>
      </w:pPr>
      <w:r>
        <w:rPr>
          <w:rFonts w:hAnsi="Arial"/>
          <w:rFonts w:ascii="Arial"/>
          <w:sz w:val="24"/>
          <w:color w:val="black"/>
        </w:rPr>
        <w:t xml:space="preserve">1. Diligenciar en el formato de solicitud los Apellidos, Nombres, Grado, número de cédula y el arma a la cual pertenece.</w:t>
      </w:r>
    </w:p>
    <w:p>
      <w:pPr>
        <w:jc w:val="both"/>
      </w:pPr>
      <w:rPr>
        <w:sz w:val="24"/>
        <w:color w:val="black"/>
      </w:rPr>
    </w:p>
    <w:p>
      <w:pPr>
        <w:jc w:val="both"/>
      </w:pPr>
      <w:r>
        <w:rPr>
          <w:rFonts w:hAnsi="Arial"/>
          <w:rFonts w:ascii="Arial"/>
          <w:sz w:val="24"/>
          <w:color w:val="black"/>
        </w:rPr>
        <w:t xml:space="preserve">2. Debe haber sido un protagonista en el respeto por los derechos humanos</w:t>
      </w:r>
    </w:p>
    <w:p>
      <w:pPr>
        <w:jc w:val="both"/>
      </w:pPr>
      <w:rPr>
        <w:sz w:val="24"/>
        <w:color w:val="black"/>
      </w:rPr>
    </w:p>
    <w:p>
      <w:pPr>
        <w:jc w:val="both"/>
      </w:pPr>
      <w:r>
        <w:rPr>
          <w:rFonts w:hAnsi="Arial"/>
          <w:rFonts w:ascii="Arial"/>
          <w:sz w:val="24"/>
          <w:color w:val="black"/>
        </w:rPr>
        <w:t xml:space="preserve">3.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4. Que al momento de solicitarle la medalla, ostente todas las jinetas de buena conducta reglamentadas y que le correspondan de acuerdo a su grado y tiempo en el escalafón.</w:t>
      </w:r>
    </w:p>
    <w:p>
      <w:pPr>
        <w:jc w:val="both"/>
      </w:pPr>
      <w:rPr>
        <w:sz w:val="24"/>
        <w:color w:val="black"/>
      </w:rPr>
    </w:p>
    <w:p>
      <w:pPr>
        <w:jc w:val="both"/>
      </w:pPr>
      <w:r>
        <w:rPr>
          <w:rFonts w:hAnsi="Arial"/>
          <w:rFonts w:ascii="Arial"/>
          <w:sz w:val="24"/>
          <w:color w:val="black"/>
        </w:rPr>
        <w:t xml:space="preserve">Para Soldados:</w:t>
      </w:r>
    </w:p>
    <w:p>
      <w:pPr>
        <w:jc w:val="both"/>
      </w:pPr>
      <w:rPr>
        <w:sz w:val="24"/>
        <w:color w:val="black"/>
      </w:rPr>
    </w:p>
    <w:p>
      <w:pPr>
        <w:jc w:val="both"/>
      </w:pPr>
      <w:r>
        <w:rPr>
          <w:rFonts w:hAnsi="Arial"/>
          <w:rFonts w:ascii="Arial"/>
          <w:sz w:val="24"/>
          <w:color w:val="black"/>
        </w:rPr>
        <w:t xml:space="preserve">1. Diligenciar en el formato de solicitud los Apellidos, Nombres, Grado, numero de cedula y el arma a la cual pertenece.</w:t>
      </w:r>
    </w:p>
    <w:p>
      <w:pPr>
        <w:jc w:val="both"/>
      </w:pPr>
      <w:rPr>
        <w:sz w:val="24"/>
        <w:color w:val="black"/>
      </w:rPr>
    </w:p>
    <w:p>
      <w:pPr>
        <w:jc w:val="both"/>
      </w:pPr>
      <w:r>
        <w:rPr>
          <w:rFonts w:hAnsi="Arial"/>
          <w:rFonts w:ascii="Arial"/>
          <w:sz w:val="24"/>
          <w:color w:val="black"/>
        </w:rPr>
        <w:t xml:space="preserve">2. Debe haber sido un protagonista en el respeto por los derechos humanos.</w:t>
      </w:r>
    </w:p>
    <w:p>
      <w:pPr>
        <w:jc w:val="both"/>
      </w:pPr>
      <w:rPr>
        <w:sz w:val="24"/>
        <w:color w:val="black"/>
      </w:rPr>
    </w:p>
    <w:p>
      <w:pPr>
        <w:jc w:val="both"/>
      </w:pPr>
      <w:r>
        <w:rPr>
          <w:rFonts w:hAnsi="Arial"/>
          <w:rFonts w:ascii="Arial"/>
          <w:sz w:val="24"/>
          <w:color w:val="black"/>
        </w:rPr>
        <w:t xml:space="preserve">3.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el Personal Civil perteneciente a las Fuerzas Militares. Personal no uniformado de la Policía Nacional, Empleados Públicos que conforman el Sector Defensa.</w:t>
      </w:r>
    </w:p>
    <w:p>
      <w:pPr>
        <w:jc w:val="both"/>
      </w:pPr>
      <w:rPr>
        <w:sz w:val="24"/>
        <w:color w:val="black"/>
      </w:rPr>
    </w:p>
    <w:p>
      <w:pPr>
        <w:jc w:val="both"/>
      </w:pPr>
      <w:r>
        <w:rPr>
          <w:rFonts w:hAnsi="Arial"/>
          <w:rFonts w:ascii="Arial"/>
          <w:sz w:val="24"/>
          <w:color w:val="black"/>
        </w:rPr>
        <w:t xml:space="preserve">1. Diligenciar en el formato de solicitud los Apellidos, Nombres, Grado, numero de cedula y el arma a la cual pertenece.</w:t>
      </w:r>
    </w:p>
    <w:p>
      <w:pPr>
        <w:jc w:val="both"/>
      </w:pPr>
      <w:rPr>
        <w:sz w:val="24"/>
        <w:color w:val="black"/>
      </w:rPr>
    </w:p>
    <w:p>
      <w:pPr>
        <w:jc w:val="both"/>
      </w:pPr>
      <w:r>
        <w:rPr>
          <w:rFonts w:hAnsi="Arial"/>
          <w:rFonts w:ascii="Arial"/>
          <w:sz w:val="24"/>
          <w:color w:val="black"/>
        </w:rPr>
        <w:t xml:space="preserve">2. Debe haber sido un protagonista en el respeto por los derechos humanos.</w:t>
      </w:r>
    </w:p>
    <w:p>
      <w:pPr>
        <w:jc w:val="both"/>
      </w:pPr>
      <w:rPr>
        <w:sz w:val="24"/>
        <w:color w:val="black"/>
      </w:rPr>
    </w:p>
    <w:p>
      <w:pPr>
        <w:jc w:val="both"/>
      </w:pPr>
      <w:r>
        <w:rPr>
          <w:rFonts w:hAnsi="Arial"/>
          <w:rFonts w:ascii="Arial"/>
          <w:sz w:val="24"/>
          <w:color w:val="black"/>
        </w:rPr>
        <w:t xml:space="preserve">3.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Instituciones de Derecho Público o Privadas:</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4" w:name="2.3.1.3.6.10.5"/>
      <w:r>
        <w:rPr>
          <w:rFonts w:hAnsi="Arial"/>
          <w:rFonts w:ascii="Arial"/>
          <w:sz w:val="24"/>
          <w:color w:val="navy"/>
        </w:rPr>
        <w:t xml:space="preserve">ARTÍCULO 2.3.1.3.6.10.5. </w:t>
      </w:r>
      <w:r>
        <w:rPr>
          <w:rFonts w:hAnsi="Arial"/>
          <w:rFonts w:ascii="Arial"/>
          <w:sz w:val="24"/>
          <w:i/>
          <w:color w:val="navy"/>
        </w:rPr>
        <w:t>DIPLOMA</w:t>
      </w:r>
      <w:r>
        <w:rPr>
          <w:rFonts w:hAnsi="Arial"/>
          <w:rFonts w:ascii="Arial"/>
          <w:sz w:val="24"/>
          <w:color w:val="navy"/>
        </w:rPr>
        <w:t>.</w:t>
      </w:r>
      <w:bookmarkEnd w:id="60674"/>
      <w:r>
        <w:rPr>
          <w:rFonts w:hAnsi="Arial"/>
          <w:rFonts w:ascii="Arial"/>
          <w:sz w:val="24"/>
          <w:b/>
          <w:color w:val="black"/>
        </w:rPr>
        <w:t xml:space="preserve"> </w:t>
      </w:r>
      <w:r>
        <w:rPr>
          <w:rFonts w:hAnsi="Arial"/>
          <w:rFonts w:ascii="Arial"/>
          <w:sz w:val="24"/>
          <w:color w:val="black"/>
        </w:rPr>
        <w:t xml:space="preserve">Los diplomas correspondientes a la Medalla "Fe en la Causa" llevarán las firmas del Comandante y Jefe de Estado Mayor del Ejército Nacional.</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5" w:name="2.3.1.3.6.10.6"/>
      <w:r>
        <w:rPr>
          <w:rFonts w:hAnsi="Arial"/>
          <w:rFonts w:ascii="Arial"/>
          <w:sz w:val="24"/>
          <w:color w:val="navy"/>
        </w:rPr>
        <w:t xml:space="preserve">ARTÍCULO 2.3.1.3.6.10.6. </w:t>
      </w:r>
      <w:r>
        <w:rPr>
          <w:rFonts w:hAnsi="Arial"/>
          <w:rFonts w:ascii="Arial"/>
          <w:sz w:val="24"/>
          <w:i/>
          <w:color w:val="navy"/>
        </w:rPr>
        <w:t>OTORGAMIENTO.</w:t>
      </w:r>
      <w:bookmarkEnd w:id="60675"/>
      <w:r>
        <w:rPr>
          <w:rFonts w:hAnsi="Arial"/>
          <w:rFonts w:ascii="Arial"/>
          <w:sz w:val="24"/>
          <w:b/>
          <w:i/>
          <w:color w:val="black"/>
        </w:rPr>
        <w:t xml:space="preserve"> </w:t>
      </w:r>
      <w:r>
        <w:rPr>
          <w:rFonts w:hAnsi="Arial"/>
          <w:rFonts w:ascii="Arial"/>
          <w:sz w:val="24"/>
          <w:color w:val="black"/>
        </w:rPr>
        <w:t xml:space="preserve">La Medalla Fe en la Causa, será conferida por una sola vez, previo cumplimiento de los requisitos establecidos para el efecto y que a consideración del Consejo de la Medalla se hagan merecedores de esta distinción.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Al personal del Ejército Nacional que falleciere como consecuencia del cumplimiento del deber en actos del servicio para mantener o restablecer el orden público, se le podrá conceder en forma póstuma, igualmente a los miembros de la Policía Nacional que fallecieren por la misma causa, participando en operaciones conjuntas con las Fuerzas Militares.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De igual manera, para el otorgamiento de la Medalla Fe en la Causa, se seguirán las normas establecidas en el parágrafo del artículo </w:t>
      </w:r>
      <w:r>
        <w:fldChar w:fldCharType="begin"/>
      </w:r>
      <w:r>
        <w:instrText>HYPERLINK "http://www.redjurista.com/document.aspx?ajcode=d1070015&amp;arts=2.3.1.3.5.4"</w:instrText>
      </w:r>
      <w:r>
        <w:fldChar w:fldCharType="separate"/>
      </w:r>
      <w:r>
        <w:rPr>
          <w:rFonts w:hAnsi="Arial"/>
          <w:rFonts w:ascii="Arial"/>
          <w:sz w:val="24"/>
          <w:u w:val="single"/>
          <w:color w:val="black"/>
        </w:rPr>
        <w:t>2.3.1.3.5.4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676" w:name="2.3.1.3.6.10.7"/>
      <w:r>
        <w:rPr>
          <w:rFonts w:hAnsi="Arial"/>
          <w:rFonts w:ascii="Arial"/>
          <w:sz w:val="24"/>
          <w:color w:val="navy"/>
        </w:rPr>
        <w:t xml:space="preserve">ARTÍCULO 2.3.1.3.6.10.7. </w:t>
      </w:r>
      <w:r>
        <w:rPr>
          <w:rFonts w:hAnsi="Arial"/>
          <w:rFonts w:ascii="Arial"/>
          <w:sz w:val="24"/>
          <w:i/>
          <w:color w:val="navy"/>
        </w:rPr>
        <w:t>IMPOSICIÓN.</w:t>
      </w:r>
      <w:bookmarkEnd w:id="60676"/>
      <w:r>
        <w:rPr>
          <w:rFonts w:hAnsi="Arial"/>
          <w:rFonts w:ascii="Arial"/>
          <w:sz w:val="24"/>
          <w:b/>
          <w:i/>
          <w:color w:val="black"/>
        </w:rPr>
        <w:t xml:space="preserve"> </w:t>
      </w:r>
      <w:r>
        <w:rPr>
          <w:rFonts w:hAnsi="Arial"/>
          <w:rFonts w:ascii="Arial"/>
          <w:sz w:val="24"/>
          <w:color w:val="black"/>
        </w:rPr>
        <w:t xml:space="preserve">Además de lo establecido en los artículos </w:t>
      </w:r>
      <w:r>
        <w:fldChar w:fldCharType="begin"/>
      </w:r>
      <w:r>
        <w:instrText>HYPERLINK "http://www.redjurista.com/document.aspx?ajcode=d1070015&amp;arts=2.3.1.3.2.1"</w:instrText>
      </w:r>
      <w:r>
        <w:fldChar w:fldCharType="separate"/>
      </w:r>
      <w:r>
        <w:rPr>
          <w:rFonts w:hAnsi="Arial"/>
          <w:rFonts w:ascii="Arial"/>
          <w:sz w:val="24"/>
          <w:u w:val="single"/>
          <w:color w:val="black"/>
        </w:rPr>
        <w:t>2.3.1.3.2.1</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imposición de la Medalla Fe en la Causa revestirá la mayor solemnidad. Para la ceremonia se conformarán destacamentos de acuerdo con el reglamento de ceremonial militar y estará precedida por el señor Comandante del Ejército Nacional quien impondrá la condecoración.</w:t>
      </w:r>
    </w:p>
    <w:p>
      <w:pPr>
        <w:jc w:val="both"/>
      </w:pPr>
      <w:rPr>
        <w:sz w:val="24"/>
        <w:color w:val="black"/>
      </w:rPr>
    </w:p>
    <w:p>
      <w:pPr>
        <w:jc w:val="both"/>
      </w:pPr>
      <w:r>
        <w:rPr>
          <w:rFonts w:hAnsi="Arial"/>
          <w:rFonts w:ascii="Arial"/>
          <w:sz w:val="24"/>
          <w:i/>
          <w:color w:val="black"/>
        </w:rPr>
        <w:t xml:space="preserve">(Decreto 2066 de 2011 artículo </w:t>
      </w:r>
      <w:r>
        <w:fldChar w:fldCharType="begin"/>
      </w:r>
      <w:r>
        <w:instrText>HYPERLINK "http://www.redjurista.com/document.aspx?ajcode=d2066011&amp;arts=7"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677" w:name="SUBSECCIÓN 2.3.1.3.6.11"/>
      <w:r>
        <w:rPr>
          <w:rFonts w:hAnsi="Arial"/>
          <w:rFonts w:ascii="Arial"/>
          <w:sz w:val="24"/>
          <w:color w:val="navy"/>
        </w:rPr>
        <w:t xml:space="preserve">SUBSECCIÓN 11. </w:t>
      </w:r>
    </w:p>
    <w:p>
      <w:pPr>
        <w:jc w:val="center"/>
      </w:pPr>
      <w:r>
        <w:rPr>
          <w:rFonts w:hAnsi="Arial"/>
          <w:rFonts w:ascii="Arial"/>
          <w:sz w:val="24"/>
          <w:color w:val="navy"/>
        </w:rPr>
        <w:t xml:space="preserve">MEDALLA MILITAR "ESCUELA MILITAR DE CADETES".</w:t>
      </w:r>
      <w:bookmarkEnd w:id="606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78" w:name="2.3.1.3.6.11.1"/>
      <w:r>
        <w:rPr>
          <w:rFonts w:hAnsi="Arial"/>
          <w:rFonts w:ascii="Arial"/>
          <w:sz w:val="24"/>
          <w:color w:val="navy"/>
        </w:rPr>
        <w:t xml:space="preserve">ARTÍCULO 2.3.1.3.6.11.1. </w:t>
      </w:r>
      <w:r>
        <w:rPr>
          <w:rFonts w:hAnsi="Arial"/>
          <w:rFonts w:ascii="Arial"/>
          <w:sz w:val="24"/>
          <w:i/>
          <w:color w:val="navy"/>
        </w:rPr>
        <w:t>ORIGEN.</w:t>
      </w:r>
      <w:bookmarkEnd w:id="60678"/>
      <w:r>
        <w:rPr>
          <w:rFonts w:hAnsi="Arial"/>
          <w:rFonts w:ascii="Arial"/>
          <w:sz w:val="24"/>
          <w:b/>
          <w:i/>
          <w:color w:val="black"/>
        </w:rPr>
        <w:t xml:space="preserve"> </w:t>
      </w:r>
      <w:r>
        <w:rPr>
          <w:rFonts w:hAnsi="Arial"/>
          <w:rFonts w:ascii="Arial"/>
          <w:sz w:val="24"/>
          <w:color w:val="black"/>
        </w:rPr>
        <w:t xml:space="preserve">La Medalla Militar "Escuela Militar de Cadetes", categoría única, creada mediante Decreto número </w:t>
      </w:r>
      <w:r>
        <w:fldChar w:fldCharType="begin"/>
      </w:r>
      <w:r>
        <w:instrText>HYPERLINK "http://www.redjurista.com/document.aspx?ajcode=d0971_96&amp;arts=INICIO"</w:instrText>
      </w:r>
      <w:r>
        <w:fldChar w:fldCharType="separate"/>
      </w:r>
      <w:r>
        <w:rPr>
          <w:rFonts w:hAnsi="Arial"/>
          <w:rFonts w:ascii="Arial"/>
          <w:sz w:val="24"/>
          <w:u w:val="single"/>
          <w:color w:val="black"/>
        </w:rPr>
        <w:t>971</w:t>
      </w:r>
      <w:r>
        <w:fldChar w:fldCharType="end"/>
      </w:r>
      <w:r>
        <w:rPr>
          <w:rFonts w:hAnsi="Arial"/>
          <w:rFonts w:ascii="Arial"/>
          <w:sz w:val="24"/>
          <w:u w:val="none"/>
          <w:color w:val="black"/>
        </w:rPr>
        <w:t xml:space="preserve"> del 30 de mayo de 1996, para estimular a quienes se hayan caracterizado por sus méritos militares, profesionales y servicios eminentes prestados en beneficio del Instituto.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"http://www.redjurista.com/document.aspx?ajcode=d4444010&amp;arts=106"</w:instrText>
      </w:r>
      <w:r>
        <w:fldChar w:fldCharType="separate"/>
      </w:r>
      <w:r>
        <w:rPr>
          <w:rFonts w:hAnsi="Arial"/>
          <w:rFonts w:ascii="Arial"/>
          <w:sz w:val="24"/>
          <w:i/>
          <w:u w:val="single"/>
          <w:color w:val="black"/>
        </w:rPr>
        <w:t>106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79" w:name="2.3.1.3.6.11.2"/>
      <w:r>
        <w:rPr>
          <w:rFonts w:hAnsi="Arial"/>
          <w:rFonts w:ascii="Arial"/>
          <w:sz w:val="24"/>
          <w:color w:val="navy"/>
        </w:rPr>
        <w:t xml:space="preserve">ARTÍCULO 2.3.1.3.6.11.2. </w:t>
      </w:r>
      <w:r>
        <w:rPr>
          <w:rFonts w:hAnsi="Arial"/>
          <w:rFonts w:ascii="Arial"/>
          <w:sz w:val="24"/>
          <w:i/>
          <w:color w:val="navy"/>
        </w:rPr>
        <w:t>CARACTERÍSTICAS.</w:t>
      </w:r>
      <w:bookmarkEnd w:id="60679"/>
      <w:r>
        <w:rPr>
          <w:rFonts w:hAnsi="Arial"/>
          <w:rFonts w:ascii="Arial"/>
          <w:sz w:val="24"/>
          <w:b/>
          <w:i/>
          <w:color w:val="black"/>
        </w:rPr>
        <w:t xml:space="preserve"> </w:t>
      </w:r>
      <w:r>
        <w:rPr>
          <w:rFonts w:hAnsi="Arial"/>
          <w:rFonts w:ascii="Arial"/>
          <w:sz w:val="24"/>
          <w:color w:val="black"/>
        </w:rPr>
        <w:t xml:space="preserve">La Joya es una cruz de malta de color azul ultramar, con rayos de setenta (70) milímetros, de color dorado con sus puntas rematadas en esferas, llevará sobre el área central de su anverso un círculo de treinta (30) milímetros de diámetro y sobre él en alto relieve, el escudo de la Escuela Militar de Cadetes; al reverso y al centro llevará un círculo de treinta milímetros de diámetro, grabada la efigie del General José María Córdova, circundándola la inscripción en alto relieve en la parte superior, la leyenda "Servicios Distinguidos" y en la parte inferior la leyenda "General José María Córdova". La joya pende de una argolla dorada unida mediante un aro dorado a una cinta de cuarenta (40) milímetros de ancho con los colores al centro azul ultramar con un ancho de veinticuatro (24) milímetros y dos franjas verticales de color verde esmeralda en los extremos y rojo escarlata seguidamente, de cuatro (4) milímetros de ancho cada una. La longitud de la cinta será de cincuenta y dos (52) milímetros medida desde el borde superior del gancho de fijación, hasta el borde inferior donde va el aro soportando la argolla de la cual pende la medalla.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"http://www.redjurista.com/document.aspx?ajcode=d4444010&amp;arts=107"</w:instrText>
      </w:r>
      <w:r>
        <w:fldChar w:fldCharType="separate"/>
      </w:r>
      <w:r>
        <w:rPr>
          <w:rFonts w:hAnsi="Arial"/>
          <w:rFonts w:ascii="Arial"/>
          <w:sz w:val="24"/>
          <w:i/>
          <w:u w:val="single"/>
          <w:color w:val="black"/>
        </w:rPr>
        <w:t>107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80" w:name="2.3.1.3.6.11.3"/>
      <w:r>
        <w:rPr>
          <w:rFonts w:hAnsi="Arial"/>
          <w:rFonts w:ascii="Arial"/>
          <w:sz w:val="24"/>
          <w:color w:val="navy"/>
        </w:rPr>
        <w:t xml:space="preserve">ARTÍCULO 2.3.1.3.6.11.3. </w:t>
      </w:r>
      <w:r>
        <w:rPr>
          <w:rFonts w:hAnsi="Arial"/>
          <w:rFonts w:ascii="Arial"/>
          <w:sz w:val="24"/>
          <w:i/>
          <w:color w:val="navy"/>
        </w:rPr>
        <w:t>CONSEJO.</w:t>
      </w:r>
      <w:bookmarkEnd w:id="60680"/>
      <w:r>
        <w:rPr>
          <w:rFonts w:hAnsi="Arial"/>
          <w:rFonts w:ascii="Arial"/>
          <w:sz w:val="24"/>
          <w:b/>
          <w:i/>
          <w:color w:val="black"/>
        </w:rPr>
        <w:t xml:space="preserve"> </w:t>
      </w:r>
      <w:r>
        <w:rPr>
          <w:rFonts w:hAnsi="Arial"/>
          <w:rFonts w:ascii="Arial"/>
          <w:sz w:val="24"/>
          <w:color w:val="black"/>
        </w:rPr>
        <w:t xml:space="preserve">El Consejo de la Medalla Militar "Escuela Militar de Cadetes",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Militar de Cadetes.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Subdirector de la Escuela Militar de Cadetes.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de Personal de la Escuela Militar de Cadetes.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81" w:name="SUBSECCIÓN 2.3.1.3.6.12"/>
      <w:r>
        <w:rPr>
          <w:rFonts w:hAnsi="Arial"/>
          <w:rFonts w:ascii="Arial"/>
          <w:sz w:val="24"/>
          <w:color w:val="navy"/>
        </w:rPr>
        <w:t xml:space="preserve">SUBSECCIÓN 12. </w:t>
      </w:r>
    </w:p>
    <w:p>
      <w:pPr>
        <w:jc w:val="center"/>
      </w:pPr>
      <w:r>
        <w:rPr>
          <w:rFonts w:hAnsi="Arial"/>
          <w:rFonts w:ascii="Arial"/>
          <w:sz w:val="24"/>
          <w:color w:val="navy"/>
        </w:rPr>
        <w:t xml:space="preserve">MEDALLA MILITAR "CENTENARIO DE LA ESCUELA MILITAR DE CADETES GENERAL JOSÉ MARÍA CÓRDOVA".</w:t>
      </w:r>
      <w:bookmarkEnd w:id="6068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82" w:name="2.3.1.3.6.12.1"/>
      <w:r>
        <w:rPr>
          <w:rFonts w:hAnsi="Arial"/>
          <w:rFonts w:ascii="Arial"/>
          <w:sz w:val="24"/>
          <w:color w:val="navy"/>
        </w:rPr>
        <w:t xml:space="preserve">ARTÍCULO 2.3.1.3.6.12.1. </w:t>
      </w:r>
      <w:r>
        <w:rPr>
          <w:rFonts w:hAnsi="Arial"/>
          <w:rFonts w:ascii="Arial"/>
          <w:sz w:val="24"/>
          <w:i/>
          <w:color w:val="navy"/>
        </w:rPr>
        <w:t>ORIGEN.</w:t>
      </w:r>
      <w:bookmarkEnd w:id="60682"/>
      <w:r>
        <w:rPr>
          <w:rFonts w:hAnsi="Arial"/>
          <w:rFonts w:ascii="Arial"/>
          <w:sz w:val="24"/>
          <w:b/>
          <w:i/>
          <w:color w:val="black"/>
        </w:rPr>
        <w:t xml:space="preserve"> </w:t>
      </w:r>
      <w:r>
        <w:rPr>
          <w:rFonts w:hAnsi="Arial"/>
          <w:rFonts w:ascii="Arial"/>
          <w:sz w:val="24"/>
          <w:color w:val="black"/>
        </w:rPr>
        <w:t xml:space="preserve">La Medalla Militar "Centenario de la Escuela Militar de Cadetes General José María Córdova", fue creada en el artículo </w:t>
      </w:r>
      <w:r>
        <w:fldChar w:fldCharType="begin"/>
      </w:r>
      <w:r>
        <w:instrText>HYPERLINK "http://www.redjurista.com/document.aspx?ajcode=d1816007&amp;arts=103"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Decreto 1816 de 2007, en categoría única, para reconocer, exaltar y premiar a los alumnos eméritos, oficiales y suboficiales del Ejército Nacional y servidores públicos que con sus servicios distinguidos han contribuido al progreso, fortalecimiento, logro de los objetivos misionales, enaltecer la magna labor y nombre de la Escuela Militar de Cadetes "General José María Córdova".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"http://www.redjurista.com/document.aspx?ajcode=d4444010&amp;arts=108"</w:instrText>
      </w:r>
      <w:r>
        <w:fldChar w:fldCharType="separate"/>
      </w:r>
      <w:r>
        <w:rPr>
          <w:rFonts w:hAnsi="Arial"/>
          <w:rFonts w:ascii="Arial"/>
          <w:sz w:val="24"/>
          <w:i/>
          <w:u w:val="single"/>
          <w:color w:val="black"/>
        </w:rPr>
        <w:t>108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83" w:name="2.3.1.3.6.12.2"/>
      <w:r>
        <w:rPr>
          <w:rFonts w:hAnsi="Arial"/>
          <w:rFonts w:ascii="Arial"/>
          <w:sz w:val="24"/>
          <w:color w:val="navy"/>
        </w:rPr>
        <w:t xml:space="preserve">ARTÍCULO 2.3.1.3.6.12.2. </w:t>
      </w:r>
      <w:r>
        <w:rPr>
          <w:rFonts w:hAnsi="Arial"/>
          <w:rFonts w:ascii="Arial"/>
          <w:sz w:val="24"/>
          <w:i/>
          <w:color w:val="navy"/>
        </w:rPr>
        <w:t>CARACTERÍSTICAS.</w:t>
      </w:r>
      <w:bookmarkEnd w:id="60683"/>
      <w:r>
        <w:rPr>
          <w:rFonts w:hAnsi="Arial"/>
          <w:rFonts w:ascii="Arial"/>
          <w:sz w:val="24"/>
          <w:b/>
          <w:i/>
          <w:color w:val="black"/>
        </w:rPr>
        <w:t xml:space="preserve"> </w:t>
      </w:r>
      <w:r>
        <w:rPr>
          <w:rFonts w:hAnsi="Arial"/>
          <w:rFonts w:ascii="Arial"/>
          <w:sz w:val="24"/>
          <w:color w:val="black"/>
        </w:rPr>
        <w:t xml:space="preserve">La Joya de la Medalla Militar "Centenario de la Escuela Militar de Cadetes, General José María Córdova" consiste en un sol de General con relieve artístico de 60 mm de diámetro, que lleva en su centro en un círculo 16 mm con una esfinge escultural dorada de José María Córdova, bordeada por un círculo de 24 mm de fondo rojo escarlata con la leyenda: "Escuela Militar de Cadetes 100 años" en letras doradas, rodeada esta por dos ramas de laurel de color plata que forman un semicírculo sobrepuesto de 32 mm de diámetro. En el anverso tendrá dentro de un círculo de 27 mm color plata el casco con penacho y la daga de cadete sobre un libro, simbolizando los principios y valores que enmarcan la formación del Oficial; en la parte superior lleva la inscripción "1907" y en la parte inferior "2007" que corresponde a la creación y el centenario de la Escuela Militar de Cadetes "General José María Córdova". La joya se adhiere a dos ramas de laurel dorado en semicírculo de 16 milímetros de diámetro que en su unión forman una argolla a la cual también se enlazan a la cinta de la joya. La cinta para oficiales Generales y Superiores es de tipo moaré de 4 cm de ancho por 55 centímetros de longitud, dividida en tres (3) franjas, una de color azul ultramar de dos (2) centímetros de ancho al costado izquierdo, seguidamente una verde esmeralda en el centro de un centímetro de ancho y una rojo escarlata al costado derecho también de un centímetro de ancho. La cinta para oficiales subalternos, suboficiales y civiles es de tipo moaré de 4 centímetros de ancho por 16 centímetros de alto, dividida en tres franjas una de color azul ultramar de 2 cm de ancho al costado izquierdo, seguidamente una verde esmeralda en el centro de 1 centímetro de ancho y una rojo escarlata al costado derecho también de un centímetro de ancho, se fijará en una barra dorada en forma rectangular de 4.5 centímetros de ancho, por 2 cm de alto, con una ventana de 4 cm de ancho por 1.5 centímetros de alto.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"http://www.redjurista.com/document.aspx?ajcode=d4444010&amp;arts=109"</w:instrText>
      </w:r>
      <w:r>
        <w:fldChar w:fldCharType="separate"/>
      </w:r>
      <w:r>
        <w:rPr>
          <w:rFonts w:hAnsi="Arial"/>
          <w:rFonts w:ascii="Arial"/>
          <w:sz w:val="24"/>
          <w:i/>
          <w:u w:val="single"/>
          <w:color w:val="black"/>
        </w:rPr>
        <w:t>109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84" w:name="2.3.1.3.6.12.3"/>
      <w:r>
        <w:rPr>
          <w:rFonts w:hAnsi="Arial"/>
          <w:rFonts w:ascii="Arial"/>
          <w:sz w:val="24"/>
          <w:color w:val="navy"/>
        </w:rPr>
        <w:t xml:space="preserve">ARTÍCULO 2.3.1.3.6.12.3. </w:t>
      </w:r>
      <w:r>
        <w:rPr>
          <w:rFonts w:hAnsi="Arial"/>
          <w:rFonts w:ascii="Arial"/>
          <w:sz w:val="24"/>
          <w:i/>
          <w:color w:val="navy"/>
        </w:rPr>
        <w:t>CONSEJO.</w:t>
      </w:r>
      <w:bookmarkEnd w:id="60684"/>
      <w:r>
        <w:rPr>
          <w:rFonts w:hAnsi="Arial"/>
          <w:rFonts w:ascii="Arial"/>
          <w:sz w:val="24"/>
          <w:b/>
          <w:i/>
          <w:color w:val="black"/>
        </w:rPr>
        <w:t xml:space="preserve"> </w:t>
      </w:r>
      <w:r>
        <w:rPr>
          <w:rFonts w:hAnsi="Arial"/>
          <w:rFonts w:ascii="Arial"/>
          <w:sz w:val="24"/>
          <w:color w:val="black"/>
        </w:rPr>
        <w:t xml:space="preserve">El Consejo de la Medalla Militar "Centenario de la Escuela Militar de Cadetes General José María Córdova",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Militar de Cadetes.</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El Subdirector y el Comandante del Batallón de la Escuela Militar de Cadetes.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de Personal de la Escuela Militar de Cadetes.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85" w:name="SUBSECCIÓN 2.3.1.3.6.13"/>
      <w:r>
        <w:rPr>
          <w:rFonts w:hAnsi="Arial"/>
          <w:rFonts w:ascii="Arial"/>
          <w:sz w:val="24"/>
          <w:color w:val="navy"/>
        </w:rPr>
        <w:t xml:space="preserve">SUBSECCIÓN 13. </w:t>
      </w:r>
    </w:p>
    <w:p>
      <w:pPr>
        <w:jc w:val="center"/>
      </w:pPr>
      <w:bookmarkEnd w:id="60685"/>
      <w:r>
        <w:rPr>
          <w:rFonts w:hAnsi="Arial"/>
          <w:rFonts w:ascii="Arial"/>
          <w:sz w:val="24"/>
          <w:color w:val="navy"/>
        </w:rPr>
        <w:t xml:space="preserve">MEDALLA MILITAR "ESCUELA DE ARMAS Y SERVICIOS</w:t>
      </w:r>
    </w:p>
    <w:p>
      <w:pPr>
        <w:jc w:val="center"/>
      </w:pPr>
      <w:r>
        <w:rPr>
          <w:rFonts w:hAnsi="Arial"/>
          <w:rFonts w:ascii="Arial"/>
          <w:sz w:val="24"/>
          <w:color w:val="navy"/>
        </w:rPr>
        <w:t xml:space="preserve">"JOSÉ CELESTINO MUTIS BOSSIO".</w:t>
      </w:r>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86" w:name="2.3.1.3.6.13.1"/>
      <w:r>
        <w:rPr>
          <w:rFonts w:hAnsi="Arial"/>
          <w:rFonts w:ascii="Arial"/>
          <w:sz w:val="24"/>
          <w:color w:val="navy"/>
        </w:rPr>
        <w:t xml:space="preserve">ARTÍCULO 2.3.1.3.6.13.1. </w:t>
      </w:r>
      <w:r>
        <w:rPr>
          <w:rFonts w:hAnsi="Arial"/>
          <w:rFonts w:ascii="Arial"/>
          <w:sz w:val="24"/>
          <w:i/>
          <w:color w:val="navy"/>
        </w:rPr>
        <w:t>ORIGEN.</w:t>
      </w:r>
      <w:bookmarkEnd w:id="60686"/>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"http://www.redjurista.com/document.aspx?ajcode=d1434_98&amp;arts=INICIO"</w:instrText>
      </w:r>
      <w:r>
        <w:fldChar w:fldCharType="separate"/>
      </w:r>
      <w:r>
        <w:rPr>
          <w:rFonts w:hAnsi="Arial"/>
          <w:rFonts w:ascii="Arial"/>
          <w:sz w:val="24"/>
          <w:u w:val="single"/>
          <w:color w:val="black"/>
        </w:rPr>
        <w:t>1434</w:t>
      </w:r>
      <w:r>
        <w:fldChar w:fldCharType="end"/>
      </w:r>
      <w:r>
        <w:rPr>
          <w:rFonts w:hAnsi="Arial"/>
          <w:rFonts w:ascii="Arial"/>
          <w:sz w:val="24"/>
          <w:u w:val="none"/>
          <w:color w:val="black"/>
        </w:rPr>
        <w:t xml:space="preserve"> del 27 de julio de 1998 para estimular y premiar al personal de la Institución que sobresalga por su dedicación, capacidad Profesional, desarrollo Académico, colaboración y Servicios eminentes en beneficio de la Escuela de Armas y Servicios, y a las Entidades Públicas y Privadas que con su colaboración contribuyan al engrandecimiento de la Institución.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87" w:name="2.3.1.3.6.13.2"/>
      <w:r>
        <w:rPr>
          <w:rFonts w:hAnsi="Arial"/>
          <w:rFonts w:ascii="Arial"/>
          <w:sz w:val="24"/>
          <w:color w:val="navy"/>
        </w:rPr>
        <w:t xml:space="preserve">ARTÍCULO 2.3.1.3.6.13.2. </w:t>
      </w:r>
      <w:r>
        <w:rPr>
          <w:rFonts w:hAnsi="Arial"/>
          <w:rFonts w:ascii="Arial"/>
          <w:sz w:val="24"/>
          <w:i/>
          <w:color w:val="navy"/>
        </w:rPr>
        <w:t>CARACTERÍSTICAS.</w:t>
      </w:r>
      <w:bookmarkEnd w:id="60687"/>
      <w:r>
        <w:rPr>
          <w:rFonts w:hAnsi="Arial"/>
          <w:rFonts w:ascii="Arial"/>
          <w:sz w:val="24"/>
          <w:b/>
          <w:i/>
          <w:color w:val="black"/>
        </w:rPr>
        <w:t xml:space="preserve"> </w:t>
      </w:r>
      <w:r>
        <w:rPr>
          <w:rFonts w:hAnsi="Arial"/>
          <w:rFonts w:ascii="Arial"/>
          <w:sz w:val="24"/>
          <w:color w:val="black"/>
        </w:rPr>
        <w:t xml:space="preserve">La Joya de la Medalla Militar Escuela de Armas y Servicios "JOSÉ CELESTINO MUTIS BOSSIO", consiste en una estrella radiada de 5.5 centímetros de diámetro, con un laurel de 5 centímetros de color verde y dorado, con un círculo anterior dorado de 2 centímetros de diámetro adornado con óvalos, un círculo interno color azul de 1.3 centímetros de diámetro y en el centro una antorcha dorada de 0.9 centímetros. Tendrá aspas con bordes exteriores dorados, una franja de color púrpura, borde exterior dorado y centro blanco, en medio de las aspas se encuentran unas flechas cruzadas en color dorado y en la parte inferior una cinta dorada, es de cinco (5) centímetros de ancho, dorada, lleva una franja roja en el centro de 2 centímetros y dos blancos a los lados de 1.5 centímetros cada una.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y </w:t>
      </w:r>
      <w:r>
        <w:fldChar w:fldCharType="begin"/>
      </w:r>
      <w:r>
        <w:instrText>HYPERLINK "http://www.redjurista.com/document.aspx?ajcode=d4444010&amp;arts=111"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88" w:name="2.3.1.3.6.13.3"/>
      <w:r>
        <w:rPr>
          <w:rFonts w:hAnsi="Arial"/>
          <w:rFonts w:ascii="Arial"/>
          <w:sz w:val="24"/>
          <w:color w:val="navy"/>
        </w:rPr>
        <w:t xml:space="preserve">ARTÍCULO 2.3.1.3.6.13.3. </w:t>
      </w:r>
      <w:r>
        <w:rPr>
          <w:rFonts w:hAnsi="Arial"/>
          <w:rFonts w:ascii="Arial"/>
          <w:sz w:val="24"/>
          <w:i/>
          <w:color w:val="navy"/>
        </w:rPr>
        <w:t>CONSEJO.</w:t>
      </w:r>
      <w:bookmarkEnd w:id="60688"/>
      <w:r>
        <w:rPr>
          <w:rFonts w:hAnsi="Arial"/>
          <w:rFonts w:ascii="Arial"/>
          <w:sz w:val="24"/>
          <w:b/>
          <w:i/>
          <w:color w:val="black"/>
        </w:rPr>
        <w:t xml:space="preserve"> </w:t>
      </w:r>
      <w:r>
        <w:rPr>
          <w:rFonts w:hAnsi="Arial"/>
          <w:rFonts w:ascii="Arial"/>
          <w:sz w:val="24"/>
          <w:color w:val="black"/>
        </w:rPr>
        <w:t xml:space="preserve">El Consejo de la Medalla Militar Escuela de Armas y Servicios "José Celestino Mutis Bossio",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de Armas y Servicios.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Subdirector de la Escuela de Armas y Servicios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Ayudante de Comando de la Escuela de Armas y Servicios.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89" w:name="SUBSECCIÓN 2.3.1.3.6.14"/>
      <w:r>
        <w:rPr>
          <w:rFonts w:hAnsi="Arial"/>
          <w:rFonts w:ascii="Arial"/>
          <w:sz w:val="24"/>
          <w:color w:val="navy"/>
        </w:rPr>
        <w:t xml:space="preserve">SUBSECCIÓN 14. </w:t>
      </w:r>
    </w:p>
    <w:p>
      <w:pPr>
        <w:jc w:val="center"/>
      </w:pPr>
      <w:r>
        <w:rPr>
          <w:rFonts w:hAnsi="Arial"/>
          <w:rFonts w:ascii="Arial"/>
          <w:sz w:val="24"/>
          <w:color w:val="navy"/>
        </w:rPr>
        <w:t xml:space="preserve">MEDALLA MILITAR "BATALLA DE AYACUCHO".</w:t>
      </w:r>
      <w:bookmarkEnd w:id="606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90" w:name="2.3.1.3.6.14.1"/>
      <w:r>
        <w:rPr>
          <w:rFonts w:hAnsi="Arial"/>
          <w:rFonts w:ascii="Arial"/>
          <w:sz w:val="24"/>
          <w:color w:val="navy"/>
        </w:rPr>
        <w:t xml:space="preserve">ARTÍCULO 2.3.1.3.6.14.1. </w:t>
      </w:r>
      <w:r>
        <w:rPr>
          <w:rFonts w:hAnsi="Arial"/>
          <w:rFonts w:ascii="Arial"/>
          <w:sz w:val="24"/>
          <w:i/>
          <w:color w:val="navy"/>
        </w:rPr>
        <w:t>ORIGEN.</w:t>
      </w:r>
      <w:bookmarkEnd w:id="60690"/>
      <w:r>
        <w:rPr>
          <w:rFonts w:hAnsi="Arial"/>
          <w:rFonts w:ascii="Arial"/>
          <w:sz w:val="24"/>
          <w:b/>
          <w:i/>
          <w:color w:val="black"/>
        </w:rPr>
        <w:t xml:space="preserve"> </w:t>
      </w:r>
      <w:r>
        <w:rPr>
          <w:rFonts w:hAnsi="Arial"/>
          <w:rFonts w:ascii="Arial"/>
          <w:sz w:val="24"/>
          <w:color w:val="black"/>
        </w:rPr>
        <w:t xml:space="preserve">Creada mediante Disposición número 0019 del 17 de octubre de 1979 del Comando del Ejército y aprobada por Resolución número </w:t>
      </w:r>
      <w:r>
        <w:fldChar w:fldCharType="begin"/>
      </w:r>
      <w:r>
        <w:instrText>HYPERLINK "http://www.redjurista.com/document.aspx?ajcode=r_mdef_2276_1979&amp;arts=INICIO"</w:instrText>
      </w:r>
      <w:r>
        <w:fldChar w:fldCharType="separate"/>
      </w:r>
      <w:r>
        <w:rPr>
          <w:rFonts w:hAnsi="Arial"/>
          <w:rFonts w:ascii="Arial"/>
          <w:sz w:val="24"/>
          <w:u w:val="single"/>
          <w:color w:val="black"/>
        </w:rPr>
        <w:t>2276</w:t>
      </w:r>
      <w:r>
        <w:fldChar w:fldCharType="end"/>
      </w:r>
      <w:r>
        <w:rPr>
          <w:rFonts w:hAnsi="Arial"/>
          <w:rFonts w:ascii="Arial"/>
          <w:sz w:val="24"/>
          <w:u w:val="none"/>
          <w:color w:val="black"/>
        </w:rPr>
        <w:t xml:space="preserve"> de 1979 del Ministerio de Defensa y reglamentada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ostenta una sola categoría.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91" w:name="2.3.1.3.6.14.2"/>
      <w:r>
        <w:rPr>
          <w:rFonts w:hAnsi="Arial"/>
          <w:rFonts w:ascii="Arial"/>
          <w:sz w:val="24"/>
          <w:color w:val="navy"/>
        </w:rPr>
        <w:t xml:space="preserve">ARTÍCULO 2.3.1.3.6.14.2. </w:t>
      </w:r>
      <w:r>
        <w:rPr>
          <w:rFonts w:hAnsi="Arial"/>
          <w:rFonts w:ascii="Arial"/>
          <w:sz w:val="24"/>
          <w:i/>
          <w:color w:val="navy"/>
        </w:rPr>
        <w:t>CARACTERÍSTICAS.</w:t>
      </w:r>
      <w:bookmarkEnd w:id="60691"/>
      <w:r>
        <w:rPr>
          <w:rFonts w:hAnsi="Arial"/>
          <w:rFonts w:ascii="Arial"/>
          <w:sz w:val="24"/>
          <w:b/>
          <w:i/>
          <w:color w:val="black"/>
        </w:rPr>
        <w:t xml:space="preserve"> </w:t>
      </w:r>
      <w:r>
        <w:rPr>
          <w:rFonts w:hAnsi="Arial"/>
          <w:rFonts w:ascii="Arial"/>
          <w:sz w:val="24"/>
          <w:color w:val="black"/>
        </w:rPr>
        <w:t xml:space="preserve">La Joya es una cruz teutónica de color plata, con eje de cincuenta (50) milímetros. En la parte superior lleva una corona de laurel y en el centro del anverso la efigie de la carga de Ayacucho. Al reverso y al centro lleva grabada la leyenda: "Infantería Colombiana - Medalla Ayacucho". La joya va suspendida por una cinta de cuarenta (40) milímetros de ancho y cuarenta (40) milímetros de largo. La cinta se divide en franjas verticales dobles con los colores en el siguiente orden, de afuera hacia el centro, rojo, verde, amarillo, azul y blanco, siendo el rojo de los extremos de ocho (8) milímetros de ancho y que son los colores correspondientes a las banderas nacionales de Venezuela, Colombia, Ecuador, Perú y Bolivia, donde la Infantería colombiana se coronó de gloria.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92" w:name="2.3.1.3.6.14.3"/>
      <w:r>
        <w:rPr>
          <w:rFonts w:hAnsi="Arial"/>
          <w:rFonts w:ascii="Arial"/>
          <w:sz w:val="24"/>
          <w:color w:val="navy"/>
        </w:rPr>
        <w:t xml:space="preserve">ARTÍCULO 2.3.1.3.6.14.3. </w:t>
      </w:r>
      <w:r>
        <w:rPr>
          <w:rFonts w:hAnsi="Arial"/>
          <w:rFonts w:ascii="Arial"/>
          <w:sz w:val="24"/>
          <w:i/>
          <w:color w:val="navy"/>
        </w:rPr>
        <w:t>CONSEJO.</w:t>
      </w:r>
      <w:bookmarkEnd w:id="60692"/>
      <w:r>
        <w:rPr>
          <w:rFonts w:hAnsi="Arial"/>
          <w:rFonts w:ascii="Arial"/>
          <w:sz w:val="24"/>
          <w:b/>
          <w:i/>
          <w:color w:val="black"/>
        </w:rPr>
        <w:t xml:space="preserve"> </w:t>
      </w:r>
      <w:r>
        <w:rPr>
          <w:rFonts w:hAnsi="Arial"/>
          <w:rFonts w:ascii="Arial"/>
          <w:sz w:val="24"/>
          <w:color w:val="black"/>
        </w:rPr>
        <w:t xml:space="preserve">El Consejo de la Medalla Militar "Batalla de Ayacucho",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93" w:name="SUBSECCIÓN 2.3.1.3.6.15"/>
      <w:r>
        <w:rPr>
          <w:rFonts w:hAnsi="Arial"/>
          <w:rFonts w:ascii="Arial"/>
          <w:sz w:val="24"/>
          <w:color w:val="navy"/>
        </w:rPr>
        <w:t xml:space="preserve">SUBSECCIÓN 15. </w:t>
      </w:r>
    </w:p>
    <w:p>
      <w:pPr>
        <w:jc w:val="center"/>
      </w:pPr>
      <w:r>
        <w:rPr>
          <w:rFonts w:hAnsi="Arial"/>
          <w:rFonts w:ascii="Arial"/>
          <w:sz w:val="24"/>
          <w:color w:val="navy"/>
        </w:rPr>
        <w:t xml:space="preserve">MEDALLA MILITAR "SAN JORGE".</w:t>
      </w:r>
      <w:bookmarkEnd w:id="6069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94" w:name="2.3.1.3.6.15.1"/>
      <w:r>
        <w:rPr>
          <w:rFonts w:hAnsi="Arial"/>
          <w:rFonts w:ascii="Arial"/>
          <w:sz w:val="24"/>
          <w:color w:val="navy"/>
        </w:rPr>
        <w:t xml:space="preserve">ARTÍCULO 2.3.1.3.6.15.1. </w:t>
      </w:r>
      <w:r>
        <w:rPr>
          <w:rFonts w:hAnsi="Arial"/>
          <w:rFonts w:ascii="Arial"/>
          <w:sz w:val="24"/>
          <w:i/>
          <w:color w:val="navy"/>
        </w:rPr>
        <w:t>ORIGEN.</w:t>
      </w:r>
      <w:bookmarkEnd w:id="60694"/>
      <w:r>
        <w:rPr>
          <w:rFonts w:hAnsi="Arial"/>
          <w:rFonts w:ascii="Arial"/>
          <w:sz w:val="24"/>
          <w:b/>
          <w:i/>
          <w:color w:val="black"/>
        </w:rPr>
        <w:t xml:space="preserve"> </w:t>
      </w:r>
      <w:r>
        <w:rPr>
          <w:rFonts w:hAnsi="Arial"/>
          <w:rFonts w:ascii="Arial"/>
          <w:sz w:val="24"/>
          <w:color w:val="black"/>
        </w:rPr>
        <w:t xml:space="preserve">La Medalla "San Jorge" categoría única, creada mediante Disposición número 003 del 31 de marzo de 1955 del Comando del Ejército y reglamentada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como estímulo al espíritu de arma y premio al esfuerzo de quienes al servicio de la Escuela de Caballería y unidades del arma, se han distinguido en el cumplimiento de sus deberes.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"http://www.redjurista.com/document.aspx?ajcode=d4444010&amp;arts=114"</w:instrText>
      </w:r>
      <w:r>
        <w:fldChar w:fldCharType="separate"/>
      </w:r>
      <w:r>
        <w:rPr>
          <w:rFonts w:hAnsi="Arial"/>
          <w:rFonts w:ascii="Arial"/>
          <w:sz w:val="24"/>
          <w:i/>
          <w:u w:val="single"/>
          <w:color w:val="black"/>
        </w:rPr>
        <w:t>114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95" w:name="2.3.1.3.6.15.2"/>
      <w:r>
        <w:rPr>
          <w:rFonts w:hAnsi="Arial"/>
          <w:rFonts w:ascii="Arial"/>
          <w:sz w:val="24"/>
          <w:color w:val="navy"/>
        </w:rPr>
        <w:t xml:space="preserve">ARTÍCULO 2.3.1.3.6.15.2. </w:t>
      </w:r>
      <w:r>
        <w:rPr>
          <w:rFonts w:hAnsi="Arial"/>
          <w:rFonts w:ascii="Arial"/>
          <w:sz w:val="24"/>
          <w:i/>
          <w:color w:val="navy"/>
        </w:rPr>
        <w:t>CARACTERÍSTICAS.</w:t>
      </w:r>
      <w:bookmarkEnd w:id="60695"/>
      <w:r>
        <w:rPr>
          <w:rFonts w:hAnsi="Arial"/>
          <w:rFonts w:ascii="Arial"/>
          <w:sz w:val="24"/>
          <w:b/>
          <w:i/>
          <w:color w:val="black"/>
        </w:rPr>
        <w:t xml:space="preserve"> </w:t>
      </w:r>
      <w:r>
        <w:rPr>
          <w:rFonts w:hAnsi="Arial"/>
          <w:rFonts w:ascii="Arial"/>
          <w:sz w:val="24"/>
          <w:color w:val="black"/>
        </w:rPr>
        <w:t xml:space="preserve">La Joya es una medalla circular con un diámetro de cuarenta (40) milímetros, recubierta de oro, en el anverso lleva grabado el Escudo de la Caballería Colombiana, con la siguiente inscripción: "Por Mi Dios, Por Mi Patria, Por Mi Arma". Al reverso lleva grabada la efigie de San Jorge. Va suspendida por una cinta de cuarenta (40) milímetros de ancho y cincuenta y cinco (55) milímetros de longitud, con cuatro (4) franjas verticales de diez (10) milímetros de ancho, de colores amarillo y negro, que se alternan iniciando con la de color amarillo.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"http://www.redjurista.com/document.aspx?ajcode=d4444010&amp;arts=115"</w:instrText>
      </w:r>
      <w:r>
        <w:fldChar w:fldCharType="separate"/>
      </w:r>
      <w:r>
        <w:rPr>
          <w:rFonts w:hAnsi="Arial"/>
          <w:rFonts w:ascii="Arial"/>
          <w:sz w:val="24"/>
          <w:i/>
          <w:u w:val="single"/>
          <w:color w:val="black"/>
        </w:rPr>
        <w:t>115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96" w:name="2.3.1.3.6.15.3"/>
      <w:r>
        <w:rPr>
          <w:rFonts w:hAnsi="Arial"/>
          <w:rFonts w:ascii="Arial"/>
          <w:sz w:val="24"/>
          <w:color w:val="navy"/>
        </w:rPr>
        <w:t xml:space="preserve">ARTÍCULO 2.3.1.3.6.15.3. </w:t>
      </w:r>
      <w:r>
        <w:rPr>
          <w:rFonts w:hAnsi="Arial"/>
          <w:rFonts w:ascii="Arial"/>
          <w:sz w:val="24"/>
          <w:i/>
          <w:color w:val="navy"/>
        </w:rPr>
        <w:t>CONSEJO.</w:t>
      </w:r>
      <w:bookmarkEnd w:id="60696"/>
      <w:r>
        <w:rPr>
          <w:rFonts w:hAnsi="Arial"/>
          <w:rFonts w:ascii="Arial"/>
          <w:sz w:val="24"/>
          <w:b/>
          <w:i/>
          <w:color w:val="black"/>
        </w:rPr>
        <w:t xml:space="preserve"> </w:t>
      </w:r>
      <w:r>
        <w:rPr>
          <w:rFonts w:hAnsi="Arial"/>
          <w:rFonts w:ascii="Arial"/>
          <w:sz w:val="24"/>
          <w:color w:val="black"/>
        </w:rPr>
        <w:t xml:space="preserve">El Consejo de la Medalla Militar "San Jorge",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697" w:name="SUBSECCIÓN 2.3.1.3.6.16"/>
      <w:r>
        <w:rPr>
          <w:rFonts w:hAnsi="Arial"/>
          <w:rFonts w:ascii="Arial"/>
          <w:sz w:val="24"/>
          <w:color w:val="navy"/>
        </w:rPr>
        <w:t xml:space="preserve">SUBSECCIÓN 16. </w:t>
      </w:r>
    </w:p>
    <w:p>
      <w:pPr>
        <w:jc w:val="center"/>
      </w:pPr>
      <w:r>
        <w:rPr>
          <w:rFonts w:hAnsi="Arial"/>
          <w:rFonts w:ascii="Arial"/>
          <w:sz w:val="24"/>
          <w:color w:val="navy"/>
        </w:rPr>
        <w:t xml:space="preserve">MEDALLA MILITAR "SANTA BÁRBARA".</w:t>
      </w:r>
      <w:bookmarkEnd w:id="6069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698" w:name="2.3.1.3.6.16.1"/>
      <w:r>
        <w:rPr>
          <w:rFonts w:hAnsi="Arial"/>
          <w:rFonts w:ascii="Arial"/>
          <w:sz w:val="24"/>
          <w:color w:val="navy"/>
        </w:rPr>
        <w:t xml:space="preserve">ARTÍCULO 2.3.1.3.6.16.1. </w:t>
      </w:r>
      <w:r>
        <w:rPr>
          <w:rFonts w:hAnsi="Arial"/>
          <w:rFonts w:ascii="Arial"/>
          <w:sz w:val="24"/>
          <w:i/>
          <w:color w:val="navy"/>
        </w:rPr>
        <w:t>ORIGEN.</w:t>
      </w:r>
      <w:bookmarkEnd w:id="60698"/>
      <w:r>
        <w:rPr>
          <w:rFonts w:hAnsi="Arial"/>
          <w:rFonts w:ascii="Arial"/>
          <w:sz w:val="24"/>
          <w:b/>
          <w:i/>
          <w:color w:val="black"/>
        </w:rPr>
        <w:t xml:space="preserve"> </w:t>
      </w:r>
      <w:r>
        <w:rPr>
          <w:rFonts w:hAnsi="Arial"/>
          <w:rFonts w:ascii="Arial"/>
          <w:sz w:val="24"/>
          <w:color w:val="black"/>
        </w:rPr>
        <w:t xml:space="preserve">La Medalla "Santa Barbará" categoría única, creada en la Escuela de Artillería mediante la Orden del Día número 096 para el 10 de septiembre de 1963 y aprobada por el Comando del Ejército con Oficio número 41991-CE-E1-184 de octubre de 1963, y reglamentada por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para acrecentar el espíritu de cuerpo, compañerismo y estimular a quienes hayan prestado eminentes servicios al Arma de Artillería, a juicio del Consejo de la Medalla.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"http://www.redjurista.com/document.aspx?ajcode=d4444010&amp;arts=116"</w:instrText>
      </w:r>
      <w:r>
        <w:fldChar w:fldCharType="separate"/>
      </w:r>
      <w:r>
        <w:rPr>
          <w:rFonts w:hAnsi="Arial"/>
          <w:rFonts w:ascii="Arial"/>
          <w:sz w:val="24"/>
          <w:i/>
          <w:u w:val="single"/>
          <w:color w:val="black"/>
        </w:rPr>
        <w:t>116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699" w:name="2.3.1.3.6.16.2"/>
      <w:r>
        <w:rPr>
          <w:rFonts w:hAnsi="Arial"/>
          <w:rFonts w:ascii="Arial"/>
          <w:sz w:val="24"/>
          <w:color w:val="navy"/>
        </w:rPr>
        <w:t xml:space="preserve">ARTÍCULO 2.3.1.3.6.16.2. </w:t>
      </w:r>
      <w:r>
        <w:rPr>
          <w:rFonts w:hAnsi="Arial"/>
          <w:rFonts w:ascii="Arial"/>
          <w:sz w:val="24"/>
          <w:i/>
          <w:color w:val="navy"/>
        </w:rPr>
        <w:t>CARACTERÍSTICAS.</w:t>
      </w:r>
      <w:bookmarkEnd w:id="60699"/>
      <w:r>
        <w:rPr>
          <w:rFonts w:hAnsi="Arial"/>
          <w:rFonts w:ascii="Arial"/>
          <w:sz w:val="24"/>
          <w:b/>
          <w:i/>
          <w:color w:val="black"/>
        </w:rPr>
        <w:t xml:space="preserve"> </w:t>
      </w:r>
      <w:r>
        <w:rPr>
          <w:rFonts w:hAnsi="Arial"/>
          <w:rFonts w:ascii="Arial"/>
          <w:sz w:val="24"/>
          <w:color w:val="black"/>
        </w:rPr>
        <w:t xml:space="preserve">La Joya es una medalla circular dorada, de cuarenta (40) milímetros de diámetro; lleva en el anverso la efigie de Santa Bárbara, en alto relieve y la inscripción: "Santa Bárbara, Patrona de los Artilleros, Ruega por Nosotros", alrededor de un borde de dos (2) milímetros de ancho. Al reverso lleva una figura de un cañón Skoda de setenta y cinco (75) milímetros modelo 1928 en alto relieve y la leyenda: "Medalla Santa Bárbara Deber antes que vida". Va suspendida de una argolla dorada por medio de una cinta de cuarenta (40) milímetros de ancho y cincuenta y cinco (55) milímetros de longitud, de tres (3) franjas verticales con los colores negro, rojo y blanco, de izquierda a derecha y en cuyo centro lleva dos cañones cruzados por una granada de setenta y cinco (75) milímetros en metal dorado. Las fajas laterales son de quince (15) milímetros de ancho y la roja del centro de diez (10) milímetros.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"http://www.redjurista.com/document.aspx?ajcode=d4444010&amp;arts=117"</w:instrText>
      </w:r>
      <w:r>
        <w:fldChar w:fldCharType="separate"/>
      </w:r>
      <w:r>
        <w:rPr>
          <w:rFonts w:hAnsi="Arial"/>
          <w:rFonts w:ascii="Arial"/>
          <w:sz w:val="24"/>
          <w:i/>
          <w:u w:val="single"/>
          <w:color w:val="black"/>
        </w:rPr>
        <w:t>117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00" w:name="2.3.1.3.6.16.3"/>
      <w:r>
        <w:rPr>
          <w:rFonts w:hAnsi="Arial"/>
          <w:rFonts w:ascii="Arial"/>
          <w:sz w:val="24"/>
          <w:color w:val="navy"/>
        </w:rPr>
        <w:t xml:space="preserve">ARTÍCULO 2.3.1.3.6.16.3. </w:t>
      </w:r>
      <w:r>
        <w:rPr>
          <w:rFonts w:hAnsi="Arial"/>
          <w:rFonts w:ascii="Arial"/>
          <w:sz w:val="24"/>
          <w:i/>
          <w:color w:val="navy"/>
        </w:rPr>
        <w:t>CONSEJO.</w:t>
      </w:r>
      <w:bookmarkEnd w:id="60700"/>
      <w:r>
        <w:rPr>
          <w:rFonts w:hAnsi="Arial"/>
          <w:rFonts w:ascii="Arial"/>
          <w:sz w:val="24"/>
          <w:b/>
          <w:i/>
          <w:color w:val="black"/>
        </w:rPr>
        <w:t xml:space="preserve"> </w:t>
      </w:r>
      <w:r>
        <w:rPr>
          <w:rFonts w:hAnsi="Arial"/>
          <w:rFonts w:ascii="Arial"/>
          <w:sz w:val="24"/>
          <w:color w:val="black"/>
        </w:rPr>
        <w:t xml:space="preserve">El Consejo de la Medalla Militar "Santa Bárbara",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01" w:name="SUBSECCIÓN 2.3.1.3.6.17"/>
      <w:r>
        <w:rPr>
          <w:rFonts w:hAnsi="Arial"/>
          <w:rFonts w:ascii="Arial"/>
          <w:sz w:val="24"/>
          <w:color w:val="navy"/>
        </w:rPr>
        <w:t xml:space="preserve">SUBSECCIÓN 17. </w:t>
      </w:r>
    </w:p>
    <w:p>
      <w:pPr>
        <w:jc w:val="center"/>
      </w:pPr>
      <w:r>
        <w:rPr>
          <w:rFonts w:hAnsi="Arial"/>
          <w:rFonts w:ascii="Arial"/>
          <w:sz w:val="24"/>
          <w:color w:val="navy"/>
        </w:rPr>
        <w:t xml:space="preserve">MEDALLA MILITAR "TORRE DE CASTILLA".</w:t>
      </w:r>
      <w:bookmarkEnd w:id="607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02" w:name="2.3.1.3.6.17.1"/>
      <w:r>
        <w:rPr>
          <w:rFonts w:hAnsi="Arial"/>
          <w:rFonts w:ascii="Arial"/>
          <w:sz w:val="24"/>
          <w:color w:val="navy"/>
        </w:rPr>
        <w:t xml:space="preserve">ARTÍCULO 2.3.1.3.6.17.1. </w:t>
      </w:r>
      <w:r>
        <w:rPr>
          <w:rFonts w:hAnsi="Arial"/>
          <w:rFonts w:ascii="Arial"/>
          <w:sz w:val="24"/>
          <w:i/>
          <w:color w:val="navy"/>
        </w:rPr>
        <w:t>ORIGEN.</w:t>
      </w:r>
      <w:bookmarkEnd w:id="60702"/>
      <w:r>
        <w:rPr>
          <w:rFonts w:hAnsi="Arial"/>
          <w:rFonts w:ascii="Arial"/>
          <w:sz w:val="24"/>
          <w:b/>
          <w:i/>
          <w:color w:val="black"/>
        </w:rPr>
        <w:t xml:space="preserve"> </w:t>
      </w:r>
      <w:r>
        <w:rPr>
          <w:rFonts w:hAnsi="Arial"/>
          <w:rFonts w:ascii="Arial"/>
          <w:sz w:val="24"/>
          <w:color w:val="black"/>
        </w:rPr>
        <w:t xml:space="preserve">La Medalla "Torre de Castilla" categoría única, creada mediante Disposición número 00012 del Comando del Ejército, de septiembre 30 de 1981, y reglamentada por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para acrecentar el espíritu de cuerpo y compañerismo y para estimular a quienes hayan prestado servicios eminentes al Arma de Ingenieros, de acuerdo con el concepto del Consejo de la Medalla.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"http://www.redjurista.com/document.aspx?ajcode=d4444010&amp;arts=118"</w:instrText>
      </w:r>
      <w:r>
        <w:fldChar w:fldCharType="separate"/>
      </w:r>
      <w:r>
        <w:rPr>
          <w:rFonts w:hAnsi="Arial"/>
          <w:rFonts w:ascii="Arial"/>
          <w:sz w:val="24"/>
          <w:i/>
          <w:u w:val="single"/>
          <w:color w:val="black"/>
        </w:rPr>
        <w:t>118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03" w:name="2.3.1.3.6.17.2"/>
      <w:r>
        <w:rPr>
          <w:rFonts w:hAnsi="Arial"/>
          <w:rFonts w:ascii="Arial"/>
          <w:sz w:val="24"/>
          <w:color w:val="navy"/>
        </w:rPr>
        <w:t xml:space="preserve">ARTÍCULO 2.3.1.3.6.17.2. </w:t>
      </w:r>
      <w:r>
        <w:rPr>
          <w:rFonts w:hAnsi="Arial"/>
          <w:rFonts w:ascii="Arial"/>
          <w:sz w:val="24"/>
          <w:i/>
          <w:color w:val="navy"/>
        </w:rPr>
        <w:t>CARACTERÍSTICAS.</w:t>
      </w:r>
      <w:bookmarkEnd w:id="60703"/>
      <w:r>
        <w:rPr>
          <w:rFonts w:hAnsi="Arial"/>
          <w:rFonts w:ascii="Arial"/>
          <w:sz w:val="24"/>
          <w:b/>
          <w:i/>
          <w:color w:val="black"/>
        </w:rPr>
        <w:t xml:space="preserve"> </w:t>
      </w:r>
      <w:r>
        <w:rPr>
          <w:rFonts w:hAnsi="Arial"/>
          <w:rFonts w:ascii="Arial"/>
          <w:sz w:val="24"/>
          <w:color w:val="black"/>
        </w:rPr>
        <w:t xml:space="preserve">La joya es una estrella de ocho (8) puntas, con radios mayores de treinta (30) milímetros y menores de veinte (20) milímetros. En el centro lleva acolado un escudo de color púrpura y cenefa blanca sobre el cual va grabada la Torre de Castilla, en metal dorado, representando así los dos símbolos del Arma de Ingenieros. Este escudo estará orlado por una corona de laurel que nace en la parte inferior cuyos extremos se tocan en la parte superior; la corona de laurel tendrá un diámetro exterior de treinta y siete (37) milímetros, será de cuatro (4) milímetros de espesor, con sus detalles en alto relieve.</w:t>
      </w:r>
    </w:p>
    <w:p>
      <w:pPr>
        <w:jc w:val="both"/>
      </w:pPr>
      <w:rPr>
        <w:sz w:val="24"/>
        <w:color w:val="black"/>
      </w:rPr>
    </w:p>
    <w:p>
      <w:pPr>
        <w:jc w:val="both"/>
      </w:pPr>
      <w:r>
        <w:rPr>
          <w:rFonts w:hAnsi="Arial"/>
          <w:rFonts w:ascii="Arial"/>
          <w:sz w:val="24"/>
          <w:color w:val="black"/>
        </w:rPr>
        <w:t xml:space="preserve">Al reverso lleva la inscripción "Vencer o Morir", lema del Arma. La joya va suspendida de una barreta dorada, por medio de una cinta de seda moaré, de cuarenta (40) milímetros de ancho por ochenta y siete (87) milímetros de longitud, de color púrpura, con dos franjas verticales de cinco (5) milímetros de ancho, separadas entre sí por quince (15) milímetros.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"http://www.redjurista.com/document.aspx?ajcode=d4444010&amp;arts=119"</w:instrText>
      </w:r>
      <w:r>
        <w:fldChar w:fldCharType="separate"/>
      </w:r>
      <w:r>
        <w:rPr>
          <w:rFonts w:hAnsi="Arial"/>
          <w:rFonts w:ascii="Arial"/>
          <w:sz w:val="24"/>
          <w:i/>
          <w:u w:val="single"/>
          <w:color w:val="black"/>
        </w:rPr>
        <w:t>119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04" w:name="2.3.1.3.6.17.3"/>
      <w:r>
        <w:rPr>
          <w:rFonts w:hAnsi="Arial"/>
          <w:rFonts w:ascii="Arial"/>
          <w:sz w:val="24"/>
          <w:color w:val="navy"/>
        </w:rPr>
        <w:t xml:space="preserve">ARTÍCULO 2.3.1.3.6.17.3. </w:t>
      </w:r>
      <w:r>
        <w:rPr>
          <w:rFonts w:hAnsi="Arial"/>
          <w:rFonts w:ascii="Arial"/>
          <w:sz w:val="24"/>
          <w:i/>
          <w:color w:val="navy"/>
        </w:rPr>
        <w:t>CONSEJO.</w:t>
      </w:r>
      <w:bookmarkEnd w:id="60704"/>
      <w:r>
        <w:rPr>
          <w:rFonts w:hAnsi="Arial"/>
          <w:rFonts w:ascii="Arial"/>
          <w:sz w:val="24"/>
          <w:b/>
          <w:i/>
          <w:color w:val="black"/>
        </w:rPr>
        <w:t xml:space="preserve"> </w:t>
      </w:r>
      <w:r>
        <w:rPr>
          <w:rFonts w:hAnsi="Arial"/>
          <w:rFonts w:ascii="Arial"/>
          <w:sz w:val="24"/>
          <w:color w:val="black"/>
        </w:rPr>
        <w:t xml:space="preserve">El Consejo de la Medalla Militar "Torre de Castilla",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05" w:name="SUBSECCIÓN 2.3.1.3.6.18"/>
      <w:r>
        <w:rPr>
          <w:rFonts w:hAnsi="Arial"/>
          <w:rFonts w:ascii="Arial"/>
          <w:sz w:val="24"/>
          <w:color w:val="navy"/>
        </w:rPr>
        <w:t xml:space="preserve">SUBSECCIÓN 18. </w:t>
      </w:r>
    </w:p>
    <w:p>
      <w:pPr>
        <w:jc w:val="center"/>
      </w:pPr>
      <w:r>
        <w:rPr>
          <w:rFonts w:hAnsi="Arial"/>
          <w:rFonts w:ascii="Arial"/>
          <w:sz w:val="24"/>
          <w:color w:val="navy"/>
        </w:rPr>
        <w:t xml:space="preserve">MEDALLA MILITAR "BRIGADIER GENERAL RICARDO CHARRY SOLANO".</w:t>
      </w:r>
      <w:bookmarkEnd w:id="6070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06" w:name="2.3.1.3.6.18.1"/>
      <w:r>
        <w:rPr>
          <w:rFonts w:hAnsi="Arial"/>
          <w:rFonts w:ascii="Arial"/>
          <w:sz w:val="24"/>
          <w:color w:val="navy"/>
        </w:rPr>
        <w:t xml:space="preserve">ARTÍCULO 2.3.1.3.6.18.1. </w:t>
      </w:r>
      <w:r>
        <w:rPr>
          <w:rFonts w:hAnsi="Arial"/>
          <w:rFonts w:ascii="Arial"/>
          <w:sz w:val="24"/>
          <w:i/>
          <w:color w:val="navy"/>
        </w:rPr>
        <w:t>ORIGEN.</w:t>
      </w:r>
      <w:bookmarkEnd w:id="60706"/>
      <w:r>
        <w:rPr>
          <w:rFonts w:hAnsi="Arial"/>
          <w:rFonts w:ascii="Arial"/>
          <w:sz w:val="24"/>
          <w:b/>
          <w:i/>
          <w:color w:val="black"/>
        </w:rPr>
        <w:t xml:space="preserve"> </w:t>
      </w:r>
      <w:r>
        <w:rPr>
          <w:rFonts w:hAnsi="Arial"/>
          <w:rFonts w:ascii="Arial"/>
          <w:sz w:val="24"/>
          <w:color w:val="black"/>
        </w:rPr>
        <w:t xml:space="preserve">Medalla "Brigadier General Ricardo Charry Solano", categoría única. Creada mediante Decreto </w:t>
      </w:r>
      <w:r>
        <w:fldChar w:fldCharType="begin"/>
      </w:r>
      <w:r>
        <w:instrText>HYPERLINK "http://www.redjurista.com/document.aspx?ajcode=d1880_93&amp;arts=INICIO"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16 de Septiembre de 1993, con el propósito de enaltecer a los militares, al personal civil al servicio de las Fuerzas Militares y a los particulares que se destaquen por los servicios distinguidos prestados a la Inteligencia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"http://www.redjurista.com/document.aspx?ajcode=d4444010&amp;arts=120"</w:instrText>
      </w:r>
      <w:r>
        <w:fldChar w:fldCharType="separate"/>
      </w:r>
      <w:r>
        <w:rPr>
          <w:rFonts w:hAnsi="Arial"/>
          <w:rFonts w:ascii="Arial"/>
          <w:sz w:val="24"/>
          <w:i/>
          <w:u w:val="single"/>
          <w:color w:val="black"/>
        </w:rPr>
        <w:t>120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07" w:name="2.3.1.3.6.18.2"/>
      <w:r>
        <w:rPr>
          <w:rFonts w:hAnsi="Arial"/>
          <w:rFonts w:ascii="Arial"/>
          <w:sz w:val="24"/>
          <w:color w:val="navy"/>
        </w:rPr>
        <w:t xml:space="preserve">ARTÍCULO 2.3.1.3.6.18.2. </w:t>
      </w:r>
      <w:r>
        <w:rPr>
          <w:rFonts w:hAnsi="Arial"/>
          <w:rFonts w:ascii="Arial"/>
          <w:sz w:val="24"/>
          <w:i/>
          <w:color w:val="navy"/>
        </w:rPr>
        <w:t>CARACTERÍSTICAS.</w:t>
      </w:r>
      <w:bookmarkEnd w:id="60707"/>
      <w:r>
        <w:rPr>
          <w:rFonts w:hAnsi="Arial"/>
          <w:rFonts w:ascii="Arial"/>
          <w:sz w:val="24"/>
          <w:b/>
          <w:i/>
          <w:color w:val="black"/>
        </w:rPr>
        <w:t xml:space="preserve"> </w:t>
      </w:r>
      <w:r>
        <w:rPr>
          <w:rFonts w:hAnsi="Arial"/>
          <w:rFonts w:ascii="Arial"/>
          <w:sz w:val="24"/>
          <w:color w:val="black"/>
        </w:rPr>
        <w:t xml:space="preserve">La Joya es una cruz de malta irradiada, de color dorado de cuarenta y cinco (45) milímetros de diámetro y sus brazos terminados en dos (2) ángulos rematados por esferas, con un círculo central de veinticuatro (24) milímetros, encerrado por un calabrote en fondo esmaltado; sobre este y en alto relieve llevará una lámpara de aceite con su llama encendida y en forma circular la leyenda "Brigadier General Ricardo Charry Solano". En el reverso llevará en forma circular la leyenda "INTELIGENCIA MILITAR" y penderá de una cinta de calidad moaré de cuarenta (40) milímetros de ancho y cincuenta y cinco (55) milímetros de longitud de colores plata y azul adornada con los colores del Tricolor Nacional en los extremos, siendo el color azul de dos cuartos (2/4) del total del ancho y el color plata de un cuarto (1/4) del total. La cinta irá acoplada a una barreta de color bronce platinado con gancho de fijación.</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"http://www.redjurista.com/document.aspx?ajcode=d4444010&amp;arts=121"</w:instrText>
      </w:r>
      <w:r>
        <w:fldChar w:fldCharType="separate"/>
      </w:r>
      <w:r>
        <w:rPr>
          <w:rFonts w:hAnsi="Arial"/>
          <w:rFonts w:ascii="Arial"/>
          <w:sz w:val="24"/>
          <w:i/>
          <w:u w:val="single"/>
          <w:color w:val="black"/>
        </w:rPr>
        <w:t>121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08" w:name="2.3.1.3.6.18.3"/>
      <w:r>
        <w:rPr>
          <w:rFonts w:hAnsi="Arial"/>
          <w:rFonts w:ascii="Arial"/>
          <w:sz w:val="24"/>
          <w:color w:val="navy"/>
        </w:rPr>
        <w:t xml:space="preserve">ARTÍCULO 2.3.1.3.6.18.3. </w:t>
      </w:r>
      <w:r>
        <w:rPr>
          <w:rFonts w:hAnsi="Arial"/>
          <w:rFonts w:ascii="Arial"/>
          <w:sz w:val="24"/>
          <w:i/>
          <w:color w:val="navy"/>
        </w:rPr>
        <w:t>CONSEJO.</w:t>
      </w:r>
      <w:bookmarkEnd w:id="60708"/>
      <w:r>
        <w:rPr>
          <w:rFonts w:hAnsi="Arial"/>
          <w:rFonts w:ascii="Arial"/>
          <w:sz w:val="24"/>
          <w:b/>
          <w:i/>
          <w:color w:val="black"/>
        </w:rPr>
        <w:t xml:space="preserve"> </w:t>
      </w:r>
      <w:r>
        <w:rPr>
          <w:rFonts w:hAnsi="Arial"/>
          <w:rFonts w:ascii="Arial"/>
          <w:sz w:val="24"/>
          <w:color w:val="black"/>
        </w:rPr>
        <w:t xml:space="preserve">El Consejo de la Medalla "Brigadier General Ricardo Charry Solano",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0709" w:name="SUBSECCIÓN 2.3.1.3.6.19"/>
      <w:r>
        <w:rPr>
          <w:rFonts w:hAnsi="Arial"/>
          <w:rFonts w:ascii="Arial"/>
          <w:sz w:val="24"/>
          <w:color w:val="navy"/>
        </w:rPr>
        <w:t xml:space="preserve">SUBSECCIÓN 19. </w:t>
      </w:r>
    </w:p>
    <w:p>
      <w:pPr>
        <w:jc w:val="center"/>
      </w:pPr>
      <w:r>
        <w:rPr>
          <w:rFonts w:hAnsi="Arial"/>
          <w:rFonts w:ascii="Arial"/>
          <w:sz w:val="24"/>
          <w:color w:val="navy"/>
        </w:rPr>
        <w:t xml:space="preserve">MEDALLA MILITAR "AL MÉRITO LOGÍSTICO Y ADMINISTRATIVO "GENERAL FRANCISCO DE PAULA SANTANDER".</w:t>
      </w:r>
      <w:bookmarkEnd w:id="6070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10" w:name="2.3.1.3.6.19.1"/>
      <w:r>
        <w:rPr>
          <w:rFonts w:hAnsi="Arial"/>
          <w:rFonts w:ascii="Arial"/>
          <w:sz w:val="24"/>
          <w:color w:val="navy"/>
        </w:rPr>
        <w:t xml:space="preserve">ARTÍCULO 2.3.1.3.6.19.1. </w:t>
      </w:r>
      <w:r>
        <w:rPr>
          <w:rFonts w:hAnsi="Arial"/>
          <w:rFonts w:ascii="Arial"/>
          <w:sz w:val="24"/>
          <w:i/>
          <w:color w:val="navy"/>
        </w:rPr>
        <w:t>ORIGEN.</w:t>
      </w:r>
      <w:bookmarkEnd w:id="60710"/>
      <w:r>
        <w:rPr>
          <w:rFonts w:hAnsi="Arial"/>
          <w:rFonts w:ascii="Arial"/>
          <w:sz w:val="24"/>
          <w:b/>
          <w:i/>
          <w:color w:val="black"/>
        </w:rPr>
        <w:t xml:space="preserve"> </w:t>
      </w:r>
      <w:r>
        <w:rPr>
          <w:rFonts w:hAnsi="Arial"/>
          <w:rFonts w:ascii="Arial"/>
          <w:sz w:val="24"/>
          <w:color w:val="black"/>
        </w:rPr>
        <w:t xml:space="preserve">Creada mediante Decreto 1880 del 12 de septiembre de 1988 artículo </w:t>
      </w:r>
      <w:r>
        <w:fldChar w:fldCharType="begin"/>
      </w:r>
      <w:r>
        <w:instrText>HYPERLINK "http://www.redjurista.com/document.aspx?ajcode=d1880_88&amp;arts=81"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con el fin de premiar a los miembros del Ejército Nacional que hayan sobresalido en las actividades administrativas y técnicas, al igual que a funcionarios de las entidades públicas y privadas que hayan prestado eminentes servicios en beneficio de los cuerpos logístico y administrativo del Ejército.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"http://www.redjurista.com/document.aspx?ajcode=d4444010&amp;arts=122"</w:instrText>
      </w:r>
      <w:r>
        <w:fldChar w:fldCharType="separate"/>
      </w:r>
      <w:r>
        <w:rPr>
          <w:rFonts w:hAnsi="Arial"/>
          <w:rFonts w:ascii="Arial"/>
          <w:sz w:val="24"/>
          <w:i/>
          <w:u w:val="single"/>
          <w:color w:val="black"/>
        </w:rPr>
        <w:t>122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11" w:name="2.3.1.3.6.19.2"/>
      <w:r>
        <w:rPr>
          <w:rFonts w:hAnsi="Arial"/>
          <w:rFonts w:ascii="Arial"/>
          <w:sz w:val="24"/>
          <w:color w:val="navy"/>
        </w:rPr>
        <w:t xml:space="preserve">ARTÍCULO 2.3.1.3.6.19.2. </w:t>
      </w:r>
      <w:r>
        <w:rPr>
          <w:rFonts w:hAnsi="Arial"/>
          <w:rFonts w:ascii="Arial"/>
          <w:sz w:val="24"/>
          <w:i/>
          <w:color w:val="navy"/>
        </w:rPr>
        <w:t>CARACTERÍSTICAS.</w:t>
      </w:r>
      <w:bookmarkEnd w:id="60711"/>
      <w:r>
        <w:rPr>
          <w:rFonts w:hAnsi="Arial"/>
          <w:rFonts w:ascii="Arial"/>
          <w:sz w:val="24"/>
          <w:b/>
          <w:i/>
          <w:color w:val="black"/>
        </w:rPr>
        <w:t xml:space="preserve"> </w:t>
      </w:r>
      <w:r>
        <w:rPr>
          <w:rFonts w:hAnsi="Arial"/>
          <w:rFonts w:ascii="Arial"/>
          <w:sz w:val="24"/>
          <w:color w:val="black"/>
        </w:rPr>
        <w:t xml:space="preserve">La joya es una cruz paté esmaltada de verde esmeralda de un tamaño de cincuenta y cinco (55) milímetros de diámetro, cuyos brazos se hallan envueltos por una corona de laurel, en el centro de la cruz y sobre campo esmaltado en blanco, irá escrito: "Orden al Mérito Militar General Francisco de Paula Santander", circundado por este se encuentra la efigie en alto relieve del General "Francisco de Paula Santander". En el reverso de la insignia lleva en alto relieve el escudo del Comando General de las Fuerzas Militares circundado por la inscripción: "Si las armas os dieron la independencia, las leyes os darán la libertad". Será de bronce platinado, la joya pende de una cinta de seda moaré, de cuarenta (40) milímetros de ancho y ochenta (80) milímetros de largo, en tres (3) franjas verticales iguales con los colores azul aguamarina, rojo cereza y azul Prusia, de derecha a izquierda.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"http://www.redjurista.com/document.aspx?ajcode=d4444010&amp;arts=123"</w:instrText>
      </w:r>
      <w:r>
        <w:fldChar w:fldCharType="separate"/>
      </w:r>
      <w:r>
        <w:rPr>
          <w:rFonts w:hAnsi="Arial"/>
          <w:rFonts w:ascii="Arial"/>
          <w:sz w:val="24"/>
          <w:i/>
          <w:u w:val="single"/>
          <w:color w:val="black"/>
        </w:rPr>
        <w:t>123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12" w:name="2.3.1.3.6.19.3"/>
      <w:r>
        <w:rPr>
          <w:rFonts w:hAnsi="Arial"/>
          <w:rFonts w:ascii="Arial"/>
          <w:sz w:val="24"/>
          <w:color w:val="navy"/>
        </w:rPr>
        <w:t xml:space="preserve">ARTÍCULO 2.3.1.3.6.19.3. </w:t>
      </w:r>
      <w:r>
        <w:rPr>
          <w:rFonts w:hAnsi="Arial"/>
          <w:rFonts w:ascii="Arial"/>
          <w:sz w:val="24"/>
          <w:i/>
          <w:color w:val="navy"/>
        </w:rPr>
        <w:t>CONSEJO.</w:t>
      </w:r>
      <w:bookmarkEnd w:id="60712"/>
      <w:r>
        <w:rPr>
          <w:rFonts w:hAnsi="Arial"/>
          <w:rFonts w:ascii="Arial"/>
          <w:sz w:val="24"/>
          <w:b/>
          <w:i/>
          <w:color w:val="black"/>
        </w:rPr>
        <w:t xml:space="preserve"> </w:t>
      </w:r>
      <w:r>
        <w:rPr>
          <w:rFonts w:hAnsi="Arial"/>
          <w:rFonts w:ascii="Arial"/>
          <w:sz w:val="24"/>
          <w:color w:val="black"/>
        </w:rPr>
        <w:t xml:space="preserve">El Consejo de la Medalla al Mérito Logístico y Administrativo "General Francisco de Paula Santander",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Oficial del arma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o Director de la Escuela del Arma respectiva.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del Arma respectiva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13" w:name="SUBSECCIÓN 2.3.1.3.6.20"/>
      <w:r>
        <w:rPr>
          <w:rFonts w:hAnsi="Arial"/>
          <w:rFonts w:ascii="Arial"/>
          <w:sz w:val="24"/>
          <w:color w:val="navy"/>
        </w:rPr>
        <w:t xml:space="preserve">SUBSECCIÓN 20. </w:t>
      </w:r>
    </w:p>
    <w:p>
      <w:pPr>
        <w:jc w:val="center"/>
      </w:pPr>
      <w:r>
        <w:rPr>
          <w:rFonts w:hAnsi="Arial"/>
          <w:rFonts w:ascii="Arial"/>
          <w:sz w:val="24"/>
          <w:color w:val="navy"/>
        </w:rPr>
        <w:t xml:space="preserve">MEDALLA MILITAR "GUARDIA PRESIDENCIAL".</w:t>
      </w:r>
      <w:bookmarkEnd w:id="6071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14" w:name="2.3.1.3.6.20.1"/>
      <w:r>
        <w:rPr>
          <w:rFonts w:hAnsi="Arial"/>
          <w:rFonts w:ascii="Arial"/>
          <w:sz w:val="24"/>
          <w:color w:val="navy"/>
        </w:rPr>
        <w:t xml:space="preserve">ARTÍCULO 2.3.1.3.6.20.1. </w:t>
      </w:r>
      <w:r>
        <w:rPr>
          <w:rFonts w:hAnsi="Arial"/>
          <w:rFonts w:ascii="Arial"/>
          <w:sz w:val="24"/>
          <w:i/>
          <w:color w:val="navy"/>
        </w:rPr>
        <w:t>ORIGEN.</w:t>
      </w:r>
      <w:bookmarkEnd w:id="60714"/>
      <w:r>
        <w:rPr>
          <w:rFonts w:hAnsi="Arial"/>
          <w:rFonts w:ascii="Arial"/>
          <w:sz w:val="24"/>
          <w:b/>
          <w:i/>
          <w:color w:val="black"/>
        </w:rPr>
        <w:t xml:space="preserve"> </w:t>
      </w:r>
      <w:r>
        <w:rPr>
          <w:rFonts w:hAnsi="Arial"/>
          <w:rFonts w:ascii="Arial"/>
          <w:sz w:val="24"/>
          <w:color w:val="black"/>
        </w:rPr>
        <w:t xml:space="preserve">Creada mediante Resolución número 3446 del 17 de agosto de 1955 del Ministerio de Guerra y reglamentada por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destinada a recompensar la lealtad, servicios distinguidos e intachable conducta de los miembros del Batallón Guardia Presidencial. La Medalla ostenta las categorías de: Honoraria y Mérito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"http://www.redjurista.com/document.aspx?ajcode=d4444010&amp;arts=124"</w:instrText>
      </w:r>
      <w:r>
        <w:fldChar w:fldCharType="separate"/>
      </w:r>
      <w:r>
        <w:rPr>
          <w:rFonts w:hAnsi="Arial"/>
          <w:rFonts w:ascii="Arial"/>
          <w:sz w:val="24"/>
          <w:i/>
          <w:u w:val="single"/>
          <w:color w:val="black"/>
        </w:rPr>
        <w:t>124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15" w:name="2.3.1.3.6.20.2"/>
      <w:r>
        <w:rPr>
          <w:rFonts w:hAnsi="Arial"/>
          <w:rFonts w:ascii="Arial"/>
          <w:sz w:val="24"/>
          <w:color w:val="navy"/>
        </w:rPr>
        <w:t xml:space="preserve">ARTÍCULO 2.3.1.3.6.20.2. </w:t>
      </w:r>
      <w:r>
        <w:rPr>
          <w:rFonts w:hAnsi="Arial"/>
          <w:rFonts w:ascii="Arial"/>
          <w:sz w:val="24"/>
          <w:i/>
          <w:color w:val="navy"/>
        </w:rPr>
        <w:t>OTORGAMIENTO.</w:t>
      </w:r>
      <w:bookmarkEnd w:id="60715"/>
      <w:r>
        <w:rPr>
          <w:rFonts w:hAnsi="Arial"/>
          <w:rFonts w:ascii="Arial"/>
          <w:sz w:val="24"/>
          <w:b/>
          <w:i/>
          <w:color w:val="black"/>
        </w:rPr>
        <w:t xml:space="preserve"> </w:t>
      </w:r>
      <w:r>
        <w:rPr>
          <w:rFonts w:hAnsi="Arial"/>
          <w:rFonts w:ascii="Arial"/>
          <w:sz w:val="24"/>
          <w:color w:val="black"/>
        </w:rPr>
        <w:t xml:space="preserve">La medalla podrá otorgarse en cada categoría, así:</w:t>
      </w:r>
    </w:p>
    <w:p>
      <w:pPr>
        <w:jc w:val="both"/>
      </w:pPr>
      <w:rPr>
        <w:sz w:val="24"/>
        <w:color w:val="black"/>
      </w:rPr>
    </w:p>
    <w:p>
      <w:pPr>
        <w:jc w:val="both"/>
      </w:pPr>
      <w:r>
        <w:rPr>
          <w:rFonts w:hAnsi="Arial"/>
          <w:rFonts w:ascii="Arial"/>
          <w:sz w:val="24"/>
          <w:color w:val="black"/>
        </w:rPr>
        <w:t xml:space="preserve">a) Honoraria:</w:t>
      </w:r>
    </w:p>
    <w:p>
      <w:pPr>
        <w:jc w:val="both"/>
      </w:pPr>
      <w:rPr>
        <w:sz w:val="24"/>
        <w:color w:val="black"/>
      </w:rPr>
    </w:p>
    <w:p>
      <w:pPr>
        <w:jc w:val="both"/>
      </w:pPr>
      <w:r>
        <w:rPr>
          <w:rFonts w:hAnsi="Arial"/>
          <w:rFonts w:ascii="Arial"/>
          <w:sz w:val="24"/>
          <w:color w:val="black"/>
        </w:rPr>
        <w:t xml:space="preserve">A los ex Presidentes de la República, a presidentes o primeros ministros de otras nacionalidades, a Cardenales Colombianos, a ministros de Estado, a los Generales y Oficiales de insignia de las Fuerzas Militares y a los embajadores que en cumplimiento de sus funciones hubieren efectuado acciones o actividades en beneficio del Batallón Guardia Presidencial.</w:t>
      </w:r>
    </w:p>
    <w:p>
      <w:pPr>
        <w:jc w:val="both"/>
      </w:pPr>
      <w:rPr>
        <w:sz w:val="24"/>
        <w:color w:val="black"/>
      </w:rPr>
    </w:p>
    <w:p>
      <w:pPr>
        <w:jc w:val="both"/>
      </w:pPr>
      <w:r>
        <w:rPr>
          <w:rFonts w:hAnsi="Arial"/>
          <w:rFonts w:ascii="Arial"/>
          <w:sz w:val="24"/>
          <w:color w:val="black"/>
        </w:rPr>
        <w:t xml:space="preserve">b) Mérito Militar:</w:t>
      </w:r>
    </w:p>
    <w:p>
      <w:pPr>
        <w:jc w:val="both"/>
      </w:pPr>
      <w:rPr>
        <w:sz w:val="24"/>
        <w:color w:val="black"/>
      </w:rPr>
    </w:p>
    <w:p>
      <w:pPr>
        <w:jc w:val="both"/>
      </w:pPr>
      <w:r>
        <w:rPr>
          <w:rFonts w:hAnsi="Arial"/>
          <w:rFonts w:ascii="Arial"/>
          <w:sz w:val="24"/>
          <w:color w:val="black"/>
        </w:rPr>
        <w:t xml:space="preserve">De acuerdo con lo establecido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"http://www.redjurista.com/document.aspx?ajcode=d4444010&amp;arts=125"</w:instrText>
      </w:r>
      <w:r>
        <w:fldChar w:fldCharType="separate"/>
      </w:r>
      <w:r>
        <w:rPr>
          <w:rFonts w:hAnsi="Arial"/>
          <w:rFonts w:ascii="Arial"/>
          <w:sz w:val="24"/>
          <w:i/>
          <w:u w:val="single"/>
          <w:color w:val="black"/>
        </w:rPr>
        <w:t>125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16" w:name="2.3.1.3.6.20.3"/>
      <w:r>
        <w:rPr>
          <w:rFonts w:hAnsi="Arial"/>
          <w:rFonts w:ascii="Arial"/>
          <w:sz w:val="24"/>
          <w:color w:val="navy"/>
        </w:rPr>
        <w:t xml:space="preserve">ARTÍCULO 2.3.1.3.6.20.3. </w:t>
      </w:r>
      <w:r>
        <w:rPr>
          <w:rFonts w:hAnsi="Arial"/>
          <w:rFonts w:ascii="Arial"/>
          <w:sz w:val="24"/>
          <w:i/>
          <w:color w:val="navy"/>
        </w:rPr>
        <w:t>CARACTERÍSTICAS.</w:t>
      </w:r>
      <w:bookmarkEnd w:id="60716"/>
      <w:r>
        <w:rPr>
          <w:rFonts w:hAnsi="Arial"/>
          <w:rFonts w:ascii="Arial"/>
          <w:sz w:val="24"/>
          <w:b/>
          <w:i/>
          <w:color w:val="black"/>
        </w:rPr>
        <w:t xml:space="preserve"> </w:t>
      </w:r>
      <w:r>
        <w:rPr>
          <w:rFonts w:hAnsi="Arial"/>
          <w:rFonts w:ascii="Arial"/>
          <w:sz w:val="24"/>
          <w:color w:val="black"/>
        </w:rPr>
        <w:t xml:space="preserve">La joya que se otorga en forma Honoraria es una placa dorada en forma estrellada irradiada, conformada por ocho (8) brazos principales con un diámetro de ochenta (80) milímetros en cuyo centro va una cruz de malta bifurcada de cuarenta y tres (43) milímetros de diámetro dorada y esmaltada al fuego en fondo azul con bordes blancos, rematada en sus ángulos exteriores por esferas doradas, con sus brazos entrelazados por una corona de laurel y adornada con rayos en su centro. Acolado en su corazón va un medallón de dieciséis (16) milímetros de diámetro con la figura de un león rampante esgrimiendo una espada antigua. Sobre un campo de esmalte azul circundada en esmalte blanco la leyenda: "Batallón Guardia Presidencial". Comprende además de una banda de ciento dos (102) centímetros de largo por cien (100) milímetros de ancho en seda moaré con franjas de color verde, blanco, verde, siendo el blanco el doble de ancho que el verde, rematada en un lazo del cual pende una estrella igual a la del mérito militar.</w:t>
      </w:r>
    </w:p>
    <w:p>
      <w:pPr>
        <w:jc w:val="both"/>
      </w:pPr>
      <w:rPr>
        <w:sz w:val="24"/>
        <w:color w:val="black"/>
      </w:rPr>
    </w:p>
    <w:p>
      <w:pPr>
        <w:jc w:val="both"/>
      </w:pPr>
      <w:r>
        <w:rPr>
          <w:rFonts w:hAnsi="Arial"/>
          <w:rFonts w:ascii="Arial"/>
          <w:sz w:val="24"/>
          <w:color w:val="black"/>
        </w:rPr>
        <w:t xml:space="preserve">La joya en la Categoría Mérito Militar es una cruz de malta bifurcada de cuarenta y tres (43) milímetros de diámetro, dorada y esmaltada al fuego en fondo azul con bordes blancos, rematada en sus ángulos exteriores por esferas doradas y cuyos brazos van entrelazados por una corona de laurel y adornados con rayos en su centro. Acolado en su corazón va un medallón de dieciséis (16) milímetros de diámetro con la figura de un león rampante esgrimiendo una espada antigua. Sobre un campo de esmalte azul, circundada en esmalte blanco la leyenda: "Batallón Guardia Presidencial". Al reverso lleva la inscripción "En Defensa del Honor Hasta la Muerte".</w:t>
      </w:r>
    </w:p>
    <w:p>
      <w:pPr>
        <w:jc w:val="both"/>
      </w:pPr>
      <w:rPr>
        <w:sz w:val="24"/>
        <w:color w:val="black"/>
      </w:rPr>
    </w:p>
    <w:p>
      <w:pPr>
        <w:jc w:val="both"/>
      </w:pPr>
      <w:r>
        <w:rPr>
          <w:rFonts w:hAnsi="Arial"/>
          <w:rFonts w:ascii="Arial"/>
          <w:sz w:val="24"/>
          <w:color w:val="black"/>
        </w:rPr>
        <w:t xml:space="preserve">La cruz pende a través de un óvalo de laurel, de una cinta de cuarenta (40) milímetros de ancho y sesenta (60) milímetros de largo con los colores verde, blanco, verde, en franjas longitudinales, siendo el blanco el doble de ancho del verde.</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"http://www.redjurista.com/document.aspx?ajcode=d4444010&amp;arts=126"</w:instrText>
      </w:r>
      <w:r>
        <w:fldChar w:fldCharType="separate"/>
      </w:r>
      <w:r>
        <w:rPr>
          <w:rFonts w:hAnsi="Arial"/>
          <w:rFonts w:ascii="Arial"/>
          <w:sz w:val="24"/>
          <w:i/>
          <w:u w:val="single"/>
          <w:color w:val="black"/>
        </w:rPr>
        <w:t>126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17" w:name="2.3.1.3.6.20.4"/>
      <w:r>
        <w:rPr>
          <w:rFonts w:hAnsi="Arial"/>
          <w:rFonts w:ascii="Arial"/>
          <w:sz w:val="24"/>
          <w:color w:val="navy"/>
        </w:rPr>
        <w:t xml:space="preserve">ARTÍCULO 2.3.1.3.6.20.4. </w:t>
      </w:r>
      <w:r>
        <w:rPr>
          <w:rFonts w:hAnsi="Arial"/>
          <w:rFonts w:ascii="Arial"/>
          <w:sz w:val="24"/>
          <w:i/>
          <w:color w:val="navy"/>
        </w:rPr>
        <w:t>CONSEJO.</w:t>
      </w:r>
      <w:bookmarkEnd w:id="60717"/>
      <w:r>
        <w:rPr>
          <w:rFonts w:hAnsi="Arial"/>
          <w:rFonts w:ascii="Arial"/>
          <w:sz w:val="24"/>
          <w:b/>
          <w:i/>
          <w:color w:val="black"/>
        </w:rPr>
        <w:t xml:space="preserve"> </w:t>
      </w:r>
      <w:r>
        <w:rPr>
          <w:rFonts w:hAnsi="Arial"/>
          <w:rFonts w:ascii="Arial"/>
          <w:sz w:val="24"/>
          <w:color w:val="black"/>
        </w:rPr>
        <w:t xml:space="preserve">El Consejo de la Medalla Militar "Guardia Presidencial",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la Casa Militar de la Presidencia.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del Batallón Guardia Presidencial.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Ayudante de Comando del Batallón Guardia Presidencial.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18" w:name="SUBSECCIÓN 2.3.1.3.6.21"/>
      <w:r>
        <w:rPr>
          <w:rFonts w:hAnsi="Arial"/>
          <w:rFonts w:ascii="Arial"/>
          <w:sz w:val="24"/>
          <w:color w:val="navy"/>
        </w:rPr>
        <w:t xml:space="preserve">SUBSECCIÓN 21. </w:t>
      </w:r>
    </w:p>
    <w:p>
      <w:pPr>
        <w:jc w:val="center"/>
      </w:pPr>
      <w:r>
        <w:rPr>
          <w:rFonts w:hAnsi="Arial"/>
          <w:rFonts w:ascii="Arial"/>
          <w:sz w:val="24"/>
          <w:color w:val="navy"/>
        </w:rPr>
        <w:t xml:space="preserve">MEDALLA POLICÍA MILITAR "GENERAL TOMÁS CIPRIANO DE MOSQUERA".</w:t>
      </w:r>
      <w:bookmarkEnd w:id="6071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19" w:name="2.3.1.3.6.21.1"/>
      <w:r>
        <w:rPr>
          <w:rFonts w:hAnsi="Arial"/>
          <w:rFonts w:ascii="Arial"/>
          <w:sz w:val="24"/>
          <w:color w:val="navy"/>
        </w:rPr>
        <w:t xml:space="preserve">ARTÍCULO 2.3.1.3.6.21.1. </w:t>
      </w:r>
      <w:r>
        <w:rPr>
          <w:rFonts w:hAnsi="Arial"/>
          <w:rFonts w:ascii="Arial"/>
          <w:sz w:val="24"/>
          <w:i/>
          <w:color w:val="navy"/>
        </w:rPr>
        <w:t>ORIGEN.</w:t>
      </w:r>
      <w:bookmarkEnd w:id="60719"/>
      <w:r>
        <w:rPr>
          <w:rFonts w:hAnsi="Arial"/>
          <w:rFonts w:ascii="Arial"/>
          <w:sz w:val="24"/>
          <w:b/>
          <w:i/>
          <w:color w:val="black"/>
        </w:rPr>
        <w:t xml:space="preserve"> </w:t>
      </w:r>
      <w:r>
        <w:rPr>
          <w:rFonts w:hAnsi="Arial"/>
          <w:rFonts w:ascii="Arial"/>
          <w:sz w:val="24"/>
          <w:color w:val="black"/>
        </w:rPr>
        <w:t xml:space="preserve">La Medalla Policía Militar "General Tomás Cipriano de Mosquera" categoría única, creada mediante Decreto </w:t>
      </w:r>
      <w:r>
        <w:fldChar w:fldCharType="begin"/>
      </w:r>
      <w:r>
        <w:instrText>HYPERLINK "http://www.redjurista.com/document.aspx?ajcode=d2544_94&amp;arts=INICIO"</w:instrText>
      </w:r>
      <w:r>
        <w:fldChar w:fldCharType="separate"/>
      </w:r>
      <w:r>
        <w:rPr>
          <w:rFonts w:hAnsi="Arial"/>
          <w:rFonts w:ascii="Arial"/>
          <w:sz w:val="24"/>
          <w:u w:val="single"/>
          <w:color w:val="black"/>
        </w:rPr>
        <w:t>2544</w:t>
      </w:r>
      <w:r>
        <w:fldChar w:fldCharType="end"/>
      </w:r>
      <w:r>
        <w:rPr>
          <w:rFonts w:hAnsi="Arial"/>
          <w:rFonts w:ascii="Arial"/>
          <w:sz w:val="24"/>
          <w:u w:val="none"/>
          <w:color w:val="black"/>
        </w:rPr>
        <w:t xml:space="preserve"> del 17 de noviembre de 1994, categoría única, a quienes se hayan caracterizado por sus servicios eminentes en beneficio de la Policía Militar y que hayan ejecutado actos que pongan el alto en nombre de la institución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"http://www.redjurista.com/document.aspx?ajcode=d4444010&amp;arts=127"</w:instrText>
      </w:r>
      <w:r>
        <w:fldChar w:fldCharType="separate"/>
      </w:r>
      <w:r>
        <w:rPr>
          <w:rFonts w:hAnsi="Arial"/>
          <w:rFonts w:ascii="Arial"/>
          <w:sz w:val="24"/>
          <w:i/>
          <w:u w:val="single"/>
          <w:color w:val="black"/>
        </w:rPr>
        <w:t>127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0" w:name="2.3.1.3.6.21.2"/>
      <w:r>
        <w:rPr>
          <w:rFonts w:hAnsi="Arial"/>
          <w:rFonts w:ascii="Arial"/>
          <w:sz w:val="24"/>
          <w:color w:val="navy"/>
        </w:rPr>
        <w:t xml:space="preserve">ARTÍCULO 2.3.1.3.6.21.2. </w:t>
      </w:r>
      <w:r>
        <w:rPr>
          <w:rFonts w:hAnsi="Arial"/>
          <w:rFonts w:ascii="Arial"/>
          <w:sz w:val="24"/>
          <w:i/>
          <w:color w:val="navy"/>
        </w:rPr>
        <w:t>CARACTERÍSTICAS</w:t>
      </w:r>
      <w:r>
        <w:rPr>
          <w:rFonts w:hAnsi="Arial"/>
          <w:rFonts w:ascii="Arial"/>
          <w:sz w:val="24"/>
          <w:color w:val="navy"/>
        </w:rPr>
        <w:t>.</w:t>
      </w:r>
      <w:bookmarkEnd w:id="60720"/>
      <w:r>
        <w:rPr>
          <w:rFonts w:hAnsi="Arial"/>
          <w:rFonts w:ascii="Arial"/>
          <w:sz w:val="24"/>
          <w:b/>
          <w:color w:val="black"/>
        </w:rPr>
        <w:t xml:space="preserve"> </w:t>
      </w:r>
      <w:r>
        <w:rPr>
          <w:rFonts w:hAnsi="Arial"/>
          <w:rFonts w:ascii="Arial"/>
          <w:sz w:val="24"/>
          <w:color w:val="black"/>
        </w:rPr>
        <w:t xml:space="preserve">La Joya es una cruz de malta bifurcada de cuarenta y tres (43) milímetros de diámetro dorada y esmaltada al fuego, entrelazada en sus brazos exteriores por una corona de laurel dorado, en fondo con los colores de la Policía Militar en negro en su línea vertical y blanco en su línea horizontal, en su ángulo superior una corona de laurel dorado, incrustado en el centro de la cruz el escudo de la Policía Militar en forma circular de veintidós (22) milímetros de diámetro. La cruz pende de una cinta de cuarenta (40) milímetros de ancho y sesenta (60) milímetros de largo con los colores negro y blanco en franjas longitudinales siendo el blanco el doble de ancho del negro.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"http://www.redjurista.com/document.aspx?ajcode=d4444010&amp;arts=128"</w:instrText>
      </w:r>
      <w:r>
        <w:fldChar w:fldCharType="separate"/>
      </w:r>
      <w:r>
        <w:rPr>
          <w:rFonts w:hAnsi="Arial"/>
          <w:rFonts w:ascii="Arial"/>
          <w:sz w:val="24"/>
          <w:i/>
          <w:u w:val="single"/>
          <w:color w:val="black"/>
        </w:rPr>
        <w:t>128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1" w:name="2.3.1.3.6.21.3"/>
      <w:r>
        <w:rPr>
          <w:rFonts w:hAnsi="Arial"/>
          <w:rFonts w:ascii="Arial"/>
          <w:sz w:val="24"/>
          <w:color w:val="navy"/>
        </w:rPr>
        <w:t xml:space="preserve">ARTÍCULO 2.3.1.3.6.21.3. </w:t>
      </w:r>
      <w:r>
        <w:rPr>
          <w:rFonts w:hAnsi="Arial"/>
          <w:rFonts w:ascii="Arial"/>
          <w:sz w:val="24"/>
          <w:i/>
          <w:color w:val="navy"/>
        </w:rPr>
        <w:t>CONSEJO.</w:t>
      </w:r>
      <w:bookmarkEnd w:id="60721"/>
      <w:r>
        <w:rPr>
          <w:rFonts w:hAnsi="Arial"/>
          <w:rFonts w:ascii="Arial"/>
          <w:sz w:val="24"/>
          <w:b/>
          <w:i/>
          <w:color w:val="black"/>
        </w:rPr>
        <w:t xml:space="preserve"> </w:t>
      </w:r>
      <w:r>
        <w:rPr>
          <w:rFonts w:hAnsi="Arial"/>
          <w:rFonts w:ascii="Arial"/>
          <w:sz w:val="24"/>
          <w:color w:val="black"/>
        </w:rPr>
        <w:t xml:space="preserve">El Consejo de la Medalla Policía Militar "General Tomás Cipriano de Mosquera",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de Policía Militar.</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Subdirector de la Escuela de Policía Militar.</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de Personal de la Escuela de Policía Militar.</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22" w:name="SUBSECCIÓN 2.3.1.3.6.22"/>
      <w:r>
        <w:rPr>
          <w:rFonts w:hAnsi="Arial"/>
          <w:rFonts w:ascii="Arial"/>
          <w:sz w:val="24"/>
          <w:color w:val="navy"/>
        </w:rPr>
        <w:t xml:space="preserve">SUBSECCIÓN 22. </w:t>
      </w:r>
    </w:p>
    <w:p>
      <w:pPr>
        <w:jc w:val="center"/>
      </w:pPr>
      <w:r>
        <w:rPr>
          <w:rFonts w:hAnsi="Arial"/>
          <w:rFonts w:ascii="Arial"/>
          <w:sz w:val="24"/>
          <w:color w:val="navy"/>
        </w:rPr>
        <w:t xml:space="preserve">MEDALLA MILITAR "ESCUELA DE LANCEROS".</w:t>
      </w:r>
      <w:bookmarkEnd w:id="6072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23" w:name="2.3.1.3.6.22.1"/>
      <w:r>
        <w:rPr>
          <w:rFonts w:hAnsi="Arial"/>
          <w:rFonts w:ascii="Arial"/>
          <w:sz w:val="24"/>
          <w:color w:val="navy"/>
        </w:rPr>
        <w:t xml:space="preserve">ARTÍCULO 2.3.1.3.6.22.1. </w:t>
      </w:r>
      <w:r>
        <w:rPr>
          <w:rFonts w:hAnsi="Arial"/>
          <w:rFonts w:ascii="Arial"/>
          <w:sz w:val="24"/>
          <w:i/>
          <w:color w:val="navy"/>
        </w:rPr>
        <w:t>ORIGEN.</w:t>
      </w:r>
      <w:bookmarkEnd w:id="60723"/>
      <w:r>
        <w:rPr>
          <w:rFonts w:hAnsi="Arial"/>
          <w:rFonts w:ascii="Arial"/>
          <w:sz w:val="24"/>
          <w:b/>
          <w:i/>
          <w:color w:val="black"/>
        </w:rPr>
        <w:t xml:space="preserve"> </w:t>
      </w:r>
      <w:r>
        <w:rPr>
          <w:rFonts w:hAnsi="Arial"/>
          <w:rFonts w:ascii="Arial"/>
          <w:sz w:val="24"/>
          <w:color w:val="black"/>
        </w:rPr>
        <w:t xml:space="preserve">Creada mediante Resolución número 00236 del 4 de septiembre de 1980 del Comando del Ejército y reglamentada por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para distinguir a quienes se hayan caracterizado por sus servicios eminentes en el mantenimiento de la mística y tradiciones que nos legaron los lanceros de la Campaña Libertadora.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"http://www.redjurista.com/document.aspx?ajcode=d4444010&amp;arts=129"</w:instrText>
      </w:r>
      <w:r>
        <w:fldChar w:fldCharType="separate"/>
      </w:r>
      <w:r>
        <w:rPr>
          <w:rFonts w:hAnsi="Arial"/>
          <w:rFonts w:ascii="Arial"/>
          <w:sz w:val="24"/>
          <w:i/>
          <w:u w:val="single"/>
          <w:color w:val="black"/>
        </w:rPr>
        <w:t>129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4" w:name="2.3.1.3.6.22.2"/>
      <w:r>
        <w:rPr>
          <w:rFonts w:hAnsi="Arial"/>
          <w:rFonts w:ascii="Arial"/>
          <w:sz w:val="24"/>
          <w:color w:val="navy"/>
        </w:rPr>
        <w:t xml:space="preserve">ARTÍCULO 2.3.1.3.6.22.2. </w:t>
      </w:r>
      <w:r>
        <w:rPr>
          <w:rFonts w:hAnsi="Arial"/>
          <w:rFonts w:ascii="Arial"/>
          <w:sz w:val="24"/>
          <w:i/>
          <w:color w:val="navy"/>
        </w:rPr>
        <w:t>OTORGAMIENTO.</w:t>
      </w:r>
      <w:bookmarkEnd w:id="60724"/>
      <w:r>
        <w:rPr>
          <w:rFonts w:hAnsi="Arial"/>
          <w:rFonts w:ascii="Arial"/>
          <w:sz w:val="24"/>
          <w:b/>
          <w:i/>
          <w:color w:val="black"/>
        </w:rPr>
        <w:t xml:space="preserve"> </w:t>
      </w:r>
      <w:r>
        <w:rPr>
          <w:rFonts w:hAnsi="Arial"/>
          <w:rFonts w:ascii="Arial"/>
          <w:sz w:val="24"/>
          <w:color w:val="black"/>
        </w:rPr>
        <w:t xml:space="preserve">La Medalla se otorgará en forma honoraria o por méritos militares de acuerdo con lo establecido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"http://www.redjurista.com/document.aspx?ajcode=d4444010&amp;arts=130"</w:instrText>
      </w:r>
      <w:r>
        <w:fldChar w:fldCharType="separate"/>
      </w:r>
      <w:r>
        <w:rPr>
          <w:rFonts w:hAnsi="Arial"/>
          <w:rFonts w:ascii="Arial"/>
          <w:sz w:val="24"/>
          <w:i/>
          <w:u w:val="single"/>
          <w:color w:val="black"/>
        </w:rPr>
        <w:t>130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5" w:name="2.3.1.3.6.22.3"/>
      <w:r>
        <w:rPr>
          <w:rFonts w:hAnsi="Arial"/>
          <w:rFonts w:ascii="Arial"/>
          <w:sz w:val="24"/>
          <w:color w:val="navy"/>
        </w:rPr>
        <w:t xml:space="preserve">ARTÍCULO 2.3.1.3.6.22.3. </w:t>
      </w:r>
      <w:r>
        <w:rPr>
          <w:rFonts w:hAnsi="Arial"/>
          <w:rFonts w:ascii="Arial"/>
          <w:sz w:val="24"/>
          <w:i/>
          <w:color w:val="navy"/>
        </w:rPr>
        <w:t>CARACTERÍSTICAS.</w:t>
      </w:r>
      <w:bookmarkEnd w:id="60725"/>
      <w:r>
        <w:rPr>
          <w:rFonts w:hAnsi="Arial"/>
          <w:rFonts w:ascii="Arial"/>
          <w:sz w:val="24"/>
          <w:b/>
          <w:i/>
          <w:color w:val="black"/>
        </w:rPr>
        <w:t xml:space="preserve"> </w:t>
      </w:r>
      <w:r>
        <w:rPr>
          <w:rFonts w:hAnsi="Arial"/>
          <w:rFonts w:ascii="Arial"/>
          <w:sz w:val="24"/>
          <w:color w:val="black"/>
        </w:rPr>
        <w:t xml:space="preserve">La Joya La joya es una cruz cuyos extremos redondeados corresponden a un círculo de cincuenta y cinco (55) milímetros de diámetro. Al centro lleva una placa circular de veinte (20) milímetros de diámetro, esmaltada en color blanco y rodeada por un borde dorado de dos (2) milímetros de ancho. Sobre el centro de la placa lleva el escudo de la Escuela de Lanceros, compuesto por el Mapa de Colombia con el Tricolor esmaltado y sobre este la figura de un indio con su lanza en metal dorado, los brazos de la cruz son esmaltado en color naranja, con borde dorado. Al reverso lleva, en alto relieve, una réplica del monumento a los lanceros caídos en acción y la inscripción: "Escuela de Lanceros". La joya va suspendida de una cinta de cuarenta (40) milímetros de ancho, de fondo blanco, con cuatro (4) franjas verticales con los colores de las armas, en su orden: rojo, amarillo, negro, morado. El broche de la cinta es un rectángulo dorado con la inscripción: "Lancero", en relieve.</w:t>
      </w:r>
    </w:p>
    <w:p>
      <w:pPr>
        <w:jc w:val="both"/>
      </w:pPr>
      <w:rPr>
        <w:sz w:val="24"/>
        <w:color w:val="black"/>
      </w:rPr>
    </w:p>
    <w:p>
      <w:pPr>
        <w:jc w:val="both"/>
      </w:pPr>
      <w:r>
        <w:rPr>
          <w:rFonts w:hAnsi="Arial"/>
          <w:rFonts w:ascii="Arial"/>
          <w:sz w:val="24"/>
          <w:color w:val="black"/>
        </w:rPr>
        <w:t xml:space="preserve">La venera: Consiste en una cinta metálica esmaltada al fuego de cuarenta (40) mm de largo por diez (10) mm de ancho, lleva en los extremos fajas verticales con los colores de la bandera de la Escuela, en su orden: rojo, amarillo, negro y morado. En el centro lleva una estrella dorada de cinco (5) puntas.</w:t>
      </w:r>
    </w:p>
    <w:p>
      <w:pPr>
        <w:jc w:val="both"/>
      </w:pPr>
      <w:rPr>
        <w:sz w:val="24"/>
        <w:color w:val="black"/>
      </w:rPr>
    </w:p>
    <w:p>
      <w:pPr>
        <w:jc w:val="both"/>
      </w:pPr>
      <w:r>
        <w:rPr>
          <w:rFonts w:hAnsi="Arial"/>
          <w:rFonts w:ascii="Arial"/>
          <w:sz w:val="24"/>
          <w:color w:val="black"/>
        </w:rPr>
        <w:t xml:space="preserve">La miniatura: Tiene el mismo diseño de la joya, con un diámetro de quince (15) mm, pende de una cinta de quince (15) mm de ancho por treinta y cinco (35) mm de largo similar a la de la joya.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"http://www.redjurista.com/document.aspx?ajcode=d4444010&amp;arts=131"</w:instrText>
      </w:r>
      <w:r>
        <w:fldChar w:fldCharType="separate"/>
      </w:r>
      <w:r>
        <w:rPr>
          <w:rFonts w:hAnsi="Arial"/>
          <w:rFonts w:ascii="Arial"/>
          <w:sz w:val="24"/>
          <w:i/>
          <w:u w:val="single"/>
          <w:color w:val="black"/>
        </w:rPr>
        <w:t>131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6" w:name="2.3.1.3.6.22.4"/>
      <w:r>
        <w:rPr>
          <w:rFonts w:hAnsi="Arial"/>
          <w:rFonts w:ascii="Arial"/>
          <w:sz w:val="24"/>
          <w:color w:val="navy"/>
        </w:rPr>
        <w:t xml:space="preserve">ARTÍCULO 2.3.1.3.6.22.4. </w:t>
      </w:r>
      <w:r>
        <w:rPr>
          <w:rFonts w:hAnsi="Arial"/>
          <w:rFonts w:ascii="Arial"/>
          <w:sz w:val="24"/>
          <w:i/>
          <w:color w:val="navy"/>
        </w:rPr>
        <w:t>CONSEJO.</w:t>
      </w:r>
      <w:bookmarkEnd w:id="60726"/>
      <w:r>
        <w:rPr>
          <w:rFonts w:hAnsi="Arial"/>
          <w:rFonts w:ascii="Arial"/>
          <w:sz w:val="24"/>
          <w:b/>
          <w:i/>
          <w:color w:val="black"/>
        </w:rPr>
        <w:t xml:space="preserve"> </w:t>
      </w:r>
      <w:r>
        <w:rPr>
          <w:rFonts w:hAnsi="Arial"/>
          <w:rFonts w:ascii="Arial"/>
          <w:sz w:val="24"/>
          <w:color w:val="black"/>
        </w:rPr>
        <w:t xml:space="preserve">El Consejo de la Medalla Militar "Escuela de Lanceros",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Oficial lancero más antiguo presente en la guarnición de Bogotá.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Comandante o Director de la Escuela de Lanceros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Ayudante del comando o dirección de la Escuela de Lanceros.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27" w:name="SUBSECCIÓN 2.3.1.3.6.23"/>
      <w:r>
        <w:rPr>
          <w:rFonts w:hAnsi="Arial"/>
          <w:rFonts w:ascii="Arial"/>
          <w:sz w:val="24"/>
          <w:color w:val="navy"/>
        </w:rPr>
        <w:t xml:space="preserve">SUBSECCIÓN 23. </w:t>
      </w:r>
    </w:p>
    <w:p>
      <w:pPr>
        <w:jc w:val="center"/>
      </w:pPr>
      <w:r>
        <w:rPr>
          <w:rFonts w:hAnsi="Arial"/>
          <w:rFonts w:ascii="Arial"/>
          <w:sz w:val="24"/>
          <w:color w:val="navy"/>
        </w:rPr>
        <w:t xml:space="preserve">MEDALLA MILITAR "SAN GABRIEL".</w:t>
      </w:r>
      <w:bookmarkEnd w:id="6072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28" w:name="2.3.1.3.6.23.1"/>
      <w:r>
        <w:rPr>
          <w:rFonts w:hAnsi="Arial"/>
          <w:rFonts w:ascii="Arial"/>
          <w:sz w:val="24"/>
          <w:color w:val="navy"/>
        </w:rPr>
        <w:t xml:space="preserve">ARTÍCULO 2.3.1.3.6.23.1. </w:t>
      </w:r>
      <w:r>
        <w:rPr>
          <w:rFonts w:hAnsi="Arial"/>
          <w:rFonts w:ascii="Arial"/>
          <w:sz w:val="24"/>
          <w:i/>
          <w:color w:val="navy"/>
        </w:rPr>
        <w:t>ORIGEN.</w:t>
      </w:r>
      <w:bookmarkEnd w:id="60728"/>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"http://www.redjurista.com/document.aspx?ajcode=d1336_98&amp;arts=INICIO"</w:instrText>
      </w:r>
      <w:r>
        <w:fldChar w:fldCharType="separate"/>
      </w:r>
      <w:r>
        <w:rPr>
          <w:rFonts w:hAnsi="Arial"/>
          <w:rFonts w:ascii="Arial"/>
          <w:sz w:val="24"/>
          <w:u w:val="single"/>
          <w:color w:val="black"/>
        </w:rPr>
        <w:t>1336</w:t>
      </w:r>
      <w:r>
        <w:fldChar w:fldCharType="end"/>
      </w:r>
      <w:r>
        <w:rPr>
          <w:rFonts w:hAnsi="Arial"/>
          <w:rFonts w:ascii="Arial"/>
          <w:sz w:val="24"/>
          <w:u w:val="none"/>
          <w:color w:val="black"/>
        </w:rPr>
        <w:t xml:space="preserve"> del 13 de julio de 1998, para estimular y premiar al personal de la Institución que sobresalga por su dedicación y capacidad profesional al Servicio de las Comunicaciones Militares, o aquellas personas, entidades privadas o públicas que presten servicios meritorios en beneficio de las Comunicaciones Militares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"http://www.redjurista.com/document.aspx?ajcode=d4444010&amp;arts=132"</w:instrText>
      </w:r>
      <w:r>
        <w:fldChar w:fldCharType="separate"/>
      </w:r>
      <w:r>
        <w:rPr>
          <w:rFonts w:hAnsi="Arial"/>
          <w:rFonts w:ascii="Arial"/>
          <w:sz w:val="24"/>
          <w:i/>
          <w:u w:val="single"/>
          <w:color w:val="black"/>
        </w:rPr>
        <w:t>132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29" w:name="2.3.1.3.6.23.2"/>
      <w:r>
        <w:rPr>
          <w:rFonts w:hAnsi="Arial"/>
          <w:rFonts w:ascii="Arial"/>
          <w:sz w:val="24"/>
          <w:color w:val="navy"/>
        </w:rPr>
        <w:t xml:space="preserve">ARTÍCULO 2.3.1.3.6.23.2. </w:t>
      </w:r>
      <w:r>
        <w:rPr>
          <w:rFonts w:hAnsi="Arial"/>
          <w:rFonts w:ascii="Arial"/>
          <w:sz w:val="24"/>
          <w:i/>
          <w:color w:val="navy"/>
        </w:rPr>
        <w:t>CARACTERÍSTICAS</w:t>
      </w:r>
      <w:r>
        <w:rPr>
          <w:rFonts w:hAnsi="Arial"/>
          <w:rFonts w:ascii="Arial"/>
          <w:sz w:val="24"/>
          <w:color w:val="navy"/>
        </w:rPr>
        <w:t>.</w:t>
      </w:r>
      <w:bookmarkEnd w:id="60729"/>
      <w:r>
        <w:rPr>
          <w:rFonts w:hAnsi="Arial"/>
          <w:rFonts w:ascii="Arial"/>
          <w:sz w:val="24"/>
          <w:b/>
          <w:color w:val="black"/>
        </w:rPr>
        <w:t xml:space="preserve"> </w:t>
      </w:r>
      <w:r>
        <w:rPr>
          <w:rFonts w:hAnsi="Arial"/>
          <w:rFonts w:ascii="Arial"/>
          <w:sz w:val="24"/>
          <w:color w:val="black"/>
        </w:rPr>
        <w:t xml:space="preserve">La Joya. Consiste en una cruz de malta bifurcada de color oro, naranja y blanco de 4.2 cm de diámetro, pendiente de un laurel color oro y verde de 2.5 cm de ancho por 2.0 cm de alto. Penderá de una banda de color naranja de 4 cm de ancho por 5 cm de largo en cuyo centro y en forma vertical irán representados los colores de las Armas; en la parte posterior se leerá la inscripción "CIENCIA, DOMINIO Y VIGILANCIA".</w:t>
      </w:r>
    </w:p>
    <w:p>
      <w:pPr>
        <w:jc w:val="both"/>
      </w:pPr>
      <w:rPr>
        <w:sz w:val="24"/>
        <w:color w:val="black"/>
      </w:rPr>
    </w:p>
    <w:p>
      <w:pPr>
        <w:jc w:val="both"/>
      </w:pPr>
      <w:r>
        <w:rPr>
          <w:rFonts w:hAnsi="Arial"/>
          <w:rFonts w:ascii="Arial"/>
          <w:sz w:val="24"/>
          <w:color w:val="black"/>
        </w:rPr>
        <w:t xml:space="preserve">La venera. Consiste en una cinta metálica esmaltada al fuego, de cuatro (4) cm de largo por un (1) cm de ancho, dividida en tres franjas, dos de las cuales llevarán el color naranja y la tercera llevará representado el color de las armas: en la parte central tendrá la banderola de las Comunicaciones Militares.</w:t>
      </w:r>
    </w:p>
    <w:p>
      <w:pPr>
        <w:jc w:val="both"/>
      </w:pPr>
      <w:rPr>
        <w:sz w:val="24"/>
        <w:color w:val="black"/>
      </w:rPr>
    </w:p>
    <w:p>
      <w:pPr>
        <w:jc w:val="both"/>
      </w:pPr>
      <w:r>
        <w:rPr>
          <w:rFonts w:hAnsi="Arial"/>
          <w:rFonts w:ascii="Arial"/>
          <w:sz w:val="24"/>
          <w:color w:val="black"/>
        </w:rPr>
        <w:t xml:space="preserve">La miniatura. Tiene el mismo diseño de la joya, en un diámetro de uno punto cinco (1.5) cm y penderá de una cinta de cuatro (4) cm de largo por uno punto cinco (1.5) de ancho.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"http://www.redjurista.com/document.aspx?ajcode=d4444010&amp;arts=133"</w:instrText>
      </w:r>
      <w:r>
        <w:fldChar w:fldCharType="separate"/>
      </w:r>
      <w:r>
        <w:rPr>
          <w:rFonts w:hAnsi="Arial"/>
          <w:rFonts w:ascii="Arial"/>
          <w:sz w:val="24"/>
          <w:i/>
          <w:u w:val="single"/>
          <w:color w:val="black"/>
        </w:rPr>
        <w:t>133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30" w:name="2.3.1.3.6.23.3"/>
      <w:r>
        <w:rPr>
          <w:rFonts w:hAnsi="Arial"/>
          <w:rFonts w:ascii="Arial"/>
          <w:sz w:val="24"/>
          <w:color w:val="navy"/>
        </w:rPr>
        <w:t xml:space="preserve">ARTÍCULO 2.3.1.3.6.23.3. </w:t>
      </w:r>
      <w:r>
        <w:rPr>
          <w:rFonts w:hAnsi="Arial"/>
          <w:rFonts w:ascii="Arial"/>
          <w:sz w:val="24"/>
          <w:i/>
          <w:color w:val="navy"/>
        </w:rPr>
        <w:t>CONSEJO.</w:t>
      </w:r>
      <w:bookmarkEnd w:id="60730"/>
      <w:r>
        <w:rPr>
          <w:rFonts w:hAnsi="Arial"/>
          <w:rFonts w:ascii="Arial"/>
          <w:sz w:val="24"/>
          <w:b/>
          <w:i/>
          <w:color w:val="black"/>
        </w:rPr>
        <w:t xml:space="preserve"> </w:t>
      </w:r>
      <w:r>
        <w:rPr>
          <w:rFonts w:hAnsi="Arial"/>
          <w:rFonts w:ascii="Arial"/>
          <w:sz w:val="24"/>
          <w:color w:val="black"/>
        </w:rPr>
        <w:t xml:space="preserve">El Consejo de la Medalla Militar "San Gabriel",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Oficial del arma más antiguo.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Comandante o Director de la Escuela de Comunicaciones.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Ayudante de comando o dirección de la Escuela de Comunicaciones.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31" w:name="SUBSECCIÓN 2.3.1.3.6.24"/>
      <w:r>
        <w:rPr>
          <w:rFonts w:hAnsi="Arial"/>
          <w:rFonts w:ascii="Arial"/>
          <w:sz w:val="24"/>
          <w:color w:val="navy"/>
        </w:rPr>
        <w:t xml:space="preserve">SUBSECCIÓN 24. </w:t>
      </w:r>
    </w:p>
    <w:p>
      <w:pPr>
        <w:jc w:val="center"/>
      </w:pPr>
      <w:r>
        <w:rPr>
          <w:rFonts w:hAnsi="Arial"/>
          <w:rFonts w:ascii="Arial"/>
          <w:sz w:val="24"/>
          <w:color w:val="navy"/>
        </w:rPr>
        <w:t xml:space="preserve">MEDALLA MILITAR ESCUELA DE SUBOFICIALES DEL EJÉRCITO "SARGENTO INOCENCIO CHINCÁ".</w:t>
      </w:r>
      <w:bookmarkEnd w:id="6073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32" w:name="2.3.1.3.6.24.1"/>
      <w:r>
        <w:rPr>
          <w:rFonts w:hAnsi="Arial"/>
          <w:rFonts w:ascii="Arial"/>
          <w:sz w:val="24"/>
          <w:color w:val="navy"/>
        </w:rPr>
        <w:t xml:space="preserve">ARTÍCULO 2.3.1.3.6.24.1. </w:t>
      </w:r>
      <w:r>
        <w:rPr>
          <w:rFonts w:hAnsi="Arial"/>
          <w:rFonts w:ascii="Arial"/>
          <w:sz w:val="24"/>
          <w:i/>
          <w:color w:val="navy"/>
        </w:rPr>
        <w:t>ORIGEN.</w:t>
      </w:r>
      <w:bookmarkEnd w:id="60732"/>
      <w:r>
        <w:rPr>
          <w:rFonts w:hAnsi="Arial"/>
          <w:rFonts w:ascii="Arial"/>
          <w:sz w:val="24"/>
          <w:b/>
          <w:i/>
          <w:color w:val="black"/>
        </w:rPr>
        <w:t xml:space="preserve"> </w:t>
      </w:r>
      <w:r>
        <w:rPr>
          <w:rFonts w:hAnsi="Arial"/>
          <w:rFonts w:ascii="Arial"/>
          <w:sz w:val="24"/>
          <w:color w:val="black"/>
        </w:rPr>
        <w:t xml:space="preserve">La Medalla Militar Escuela de Suboficiales del Ejército "Sargento Inocencio Chincá" categoría única, creada mediante Decreto </w:t>
      </w:r>
      <w:r>
        <w:fldChar w:fldCharType="begin"/>
      </w:r>
      <w:r>
        <w:instrText>HYPERLINK "http://www.redjurista.com/document.aspx?ajcode=d2491_97&amp;arts=INICIO"</w:instrText>
      </w:r>
      <w:r>
        <w:fldChar w:fldCharType="separate"/>
      </w:r>
      <w:r>
        <w:rPr>
          <w:rFonts w:hAnsi="Arial"/>
          <w:rFonts w:ascii="Arial"/>
          <w:sz w:val="24"/>
          <w:u w:val="single"/>
          <w:color w:val="black"/>
        </w:rPr>
        <w:t>2491</w:t>
      </w:r>
      <w:r>
        <w:fldChar w:fldCharType="end"/>
      </w:r>
      <w:r>
        <w:rPr>
          <w:rFonts w:hAnsi="Arial"/>
          <w:rFonts w:ascii="Arial"/>
          <w:sz w:val="24"/>
          <w:u w:val="none"/>
          <w:color w:val="black"/>
        </w:rPr>
        <w:t xml:space="preserve"> del ocho (8) de octubre de 1997 para estimular a quienes se hayan caracterizado por sus méritos militares, profesionales y servicios eminentes prestados en beneficio del Instituto.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"http://www.redjurista.com/document.aspx?ajcode=d4444010&amp;arts=134"</w:instrText>
      </w:r>
      <w:r>
        <w:fldChar w:fldCharType="separate"/>
      </w:r>
      <w:r>
        <w:rPr>
          <w:rFonts w:hAnsi="Arial"/>
          <w:rFonts w:ascii="Arial"/>
          <w:sz w:val="24"/>
          <w:i/>
          <w:u w:val="single"/>
          <w:color w:val="black"/>
        </w:rPr>
        <w:t>134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33" w:name="2.3.1.3.6.24.2"/>
      <w:r>
        <w:rPr>
          <w:rFonts w:hAnsi="Arial"/>
          <w:rFonts w:ascii="Arial"/>
          <w:sz w:val="24"/>
          <w:color w:val="navy"/>
        </w:rPr>
        <w:t xml:space="preserve">ARTÍCULO 2.3.1.3.6.24.2. </w:t>
      </w:r>
      <w:r>
        <w:rPr>
          <w:rFonts w:hAnsi="Arial"/>
          <w:rFonts w:ascii="Arial"/>
          <w:sz w:val="24"/>
          <w:i/>
          <w:color w:val="navy"/>
        </w:rPr>
        <w:t>CARACTERÍSTICAS.</w:t>
      </w:r>
      <w:bookmarkEnd w:id="60733"/>
      <w:r>
        <w:rPr>
          <w:rFonts w:hAnsi="Arial"/>
          <w:rFonts w:ascii="Arial"/>
          <w:sz w:val="24"/>
          <w:b/>
          <w:i/>
          <w:color w:val="black"/>
        </w:rPr>
        <w:t xml:space="preserve"> </w:t>
      </w:r>
      <w:r>
        <w:rPr>
          <w:rFonts w:hAnsi="Arial"/>
          <w:rFonts w:ascii="Arial"/>
          <w:sz w:val="24"/>
          <w:color w:val="black"/>
        </w:rPr>
        <w:t xml:space="preserve">La Joya consiste en una estrella de cinco (5) puntas rematadas en esfera, en esmalte de plata, lleva sobre el área central de su anverso un disco de veinticinco (25) mm de diámetro en color rojo y sobre el disco el escudo de la Escuela de Suboficiales del Ejército "Sargento Inocencio Chincá"; al reverso y al centro de la estrella lleva un disco de veinticinco (25) mm de diámetro, sobre este va grabada la leyenda en forma circular ESCUELA DE SUBOFICIALES DEL EJÉRCITO "SARGENTO INOCENCIO CHINCÁ", en el centro "09-SEP-68". La joya pende de una argolla es esmalte de plata unida mediante un aro en esmalte de plata a una cinta de cuarenta (40) mm de ancho por cincuenta y cinco (55) milímetros de longitud, dividida en cinco franjas blancas y amarillas de ocho (8) mm de ancho en forma alternada, iniciando por la de color blanco. La cinta pende de un gancho de fijación de diez (10) mm de ancho por cuarenta y cinco (45) mm de longitud.</w:t>
      </w:r>
    </w:p>
    <w:p>
      <w:pPr>
        <w:jc w:val="both"/>
      </w:pPr>
      <w:rPr>
        <w:sz w:val="24"/>
        <w:color w:val="black"/>
      </w:rPr>
    </w:p>
    <w:p>
      <w:pPr>
        <w:jc w:val="both"/>
      </w:pPr>
      <w:r>
        <w:rPr>
          <w:rFonts w:hAnsi="Arial"/>
          <w:rFonts w:ascii="Arial"/>
          <w:sz w:val="24"/>
          <w:color w:val="black"/>
        </w:rPr>
        <w:t xml:space="preserve">La venera: Será una cinta metálica de cuarenta (40) mm de ancho por diez (10) mm de longitud, con los detalles previstos por la cinta de la cual pende la Joya; sobre la franja del centro va el Escudo de la Escuela de Suboficiales "Sargento Inocencio Chincá".</w:t>
      </w:r>
    </w:p>
    <w:p>
      <w:pPr>
        <w:jc w:val="both"/>
      </w:pPr>
      <w:rPr>
        <w:sz w:val="24"/>
        <w:color w:val="black"/>
      </w:rPr>
    </w:p>
    <w:p>
      <w:pPr>
        <w:jc w:val="both"/>
      </w:pPr>
      <w:r>
        <w:rPr>
          <w:rFonts w:hAnsi="Arial"/>
          <w:rFonts w:ascii="Arial"/>
          <w:sz w:val="24"/>
          <w:color w:val="black"/>
        </w:rPr>
        <w:t xml:space="preserve">La miniatura: O réplica, tiene el mismo diseño de la joya, con un diámetro de dieciocho (18) mm. Pende de una cinta de quince (15) mm de ancho por treinta y cinco (35) mm de longitud.</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"http://www.redjurista.com/document.aspx?ajcode=d4444010&amp;arts=135"</w:instrText>
      </w:r>
      <w:r>
        <w:fldChar w:fldCharType="separate"/>
      </w:r>
      <w:r>
        <w:rPr>
          <w:rFonts w:hAnsi="Arial"/>
          <w:rFonts w:ascii="Arial"/>
          <w:sz w:val="24"/>
          <w:i/>
          <w:u w:val="single"/>
          <w:color w:val="black"/>
        </w:rPr>
        <w:t>135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34" w:name="2.3.1.3.6.24.3"/>
      <w:r>
        <w:rPr>
          <w:rFonts w:hAnsi="Arial"/>
          <w:rFonts w:ascii="Arial"/>
          <w:sz w:val="24"/>
          <w:color w:val="navy"/>
        </w:rPr>
        <w:t xml:space="preserve">ARTÍCULO 2.3.1.3.6.24.3. </w:t>
      </w:r>
      <w:r>
        <w:rPr>
          <w:rFonts w:hAnsi="Arial"/>
          <w:rFonts w:ascii="Arial"/>
          <w:sz w:val="24"/>
          <w:i/>
          <w:color w:val="navy"/>
        </w:rPr>
        <w:t>CONSEJO.</w:t>
      </w:r>
      <w:bookmarkEnd w:id="60734"/>
      <w:r>
        <w:rPr>
          <w:rFonts w:hAnsi="Arial"/>
          <w:rFonts w:ascii="Arial"/>
          <w:sz w:val="24"/>
          <w:b/>
          <w:i/>
          <w:color w:val="black"/>
        </w:rPr>
        <w:t xml:space="preserve"> </w:t>
      </w:r>
      <w:r>
        <w:rPr>
          <w:rFonts w:hAnsi="Arial"/>
          <w:rFonts w:ascii="Arial"/>
          <w:sz w:val="24"/>
          <w:color w:val="black"/>
        </w:rPr>
        <w:t xml:space="preserve">El Consejo de la Medalla Militar "Sargento Inocencio Chincá",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Director de la Escuela de Suboficiales Inocencio Chincá.</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Subdirector de la Escuela de Suboficiales Inocencio Chincá.</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Oficial de Personal Escuela de Suboficiales Inocencio Chincá.</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35" w:name="SUBSECCIÓN 2.3.1.3.6.25"/>
      <w:r>
        <w:rPr>
          <w:rFonts w:hAnsi="Arial"/>
          <w:rFonts w:ascii="Arial"/>
          <w:sz w:val="24"/>
          <w:color w:val="navy"/>
        </w:rPr>
        <w:t xml:space="preserve">SUBSECCIÓN 25. </w:t>
      </w:r>
    </w:p>
    <w:p>
      <w:pPr>
        <w:jc w:val="center"/>
      </w:pPr>
      <w:r>
        <w:rPr>
          <w:rFonts w:hAnsi="Arial"/>
          <w:rFonts w:ascii="Arial"/>
          <w:sz w:val="24"/>
          <w:color w:val="navy"/>
        </w:rPr>
        <w:t xml:space="preserve">MEDALLA MILITAR "SAN MIGUEL ARCÁNGEL".</w:t>
      </w:r>
      <w:bookmarkEnd w:id="6073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36" w:name="2.3.1.3.6.25.1"/>
      <w:r>
        <w:rPr>
          <w:rFonts w:hAnsi="Arial"/>
          <w:rFonts w:ascii="Arial"/>
          <w:sz w:val="24"/>
          <w:color w:val="navy"/>
        </w:rPr>
        <w:t xml:space="preserve">ARTÍCULO 2.3.1.3.6.25.1. </w:t>
      </w:r>
      <w:r>
        <w:rPr>
          <w:rFonts w:hAnsi="Arial"/>
          <w:rFonts w:ascii="Arial"/>
          <w:sz w:val="24"/>
          <w:i/>
          <w:color w:val="navy"/>
        </w:rPr>
        <w:t>ORIGEN.</w:t>
      </w:r>
      <w:bookmarkEnd w:id="60736"/>
      <w:r>
        <w:rPr>
          <w:rFonts w:hAnsi="Arial"/>
          <w:rFonts w:ascii="Arial"/>
          <w:sz w:val="24"/>
          <w:b/>
          <w:i/>
          <w:color w:val="black"/>
        </w:rPr>
        <w:t xml:space="preserve"> </w:t>
      </w:r>
      <w:r>
        <w:rPr>
          <w:rFonts w:hAnsi="Arial"/>
          <w:rFonts w:ascii="Arial"/>
          <w:sz w:val="24"/>
          <w:color w:val="black"/>
        </w:rPr>
        <w:t xml:space="preserve">En adelante la Medalla Militar "Alas Doradas", creada mediante Decreto </w:t>
      </w:r>
      <w:r>
        <w:fldChar w:fldCharType="begin"/>
      </w:r>
      <w:r>
        <w:instrText>HYPERLINK "http://www.redjurista.com/document.aspx?ajcode=d1834_98&amp;arts=INICIO"</w:instrText>
      </w:r>
      <w:r>
        <w:fldChar w:fldCharType="separate"/>
      </w:r>
      <w:r>
        <w:rPr>
          <w:rFonts w:hAnsi="Arial"/>
          <w:rFonts w:ascii="Arial"/>
          <w:sz w:val="24"/>
          <w:u w:val="single"/>
          <w:color w:val="black"/>
        </w:rPr>
        <w:t>1834</w:t>
      </w:r>
      <w:r>
        <w:fldChar w:fldCharType="end"/>
      </w:r>
      <w:r>
        <w:rPr>
          <w:rFonts w:hAnsi="Arial"/>
          <w:rFonts w:ascii="Arial"/>
          <w:sz w:val="24"/>
          <w:u w:val="none"/>
          <w:color w:val="black"/>
        </w:rPr>
        <w:t xml:space="preserve"> de 1998, se denominará Medalla Militar "San Miguel Arcángel", en categoría única, creada para estimular y premiar a quienes se hayan caracterizado por su consagración al trabajo, disciplina, colaboración y actos de valor en el desempeño de sus funciones en el Arma de la Aviación del Ejército, o aquellas personas, entidades públicas o privadas que presten servicios meritorios en beneficio de la Aviación del Ejército.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"http://www.redjurista.com/document.aspx?ajcode=d4444010&amp;arts=136"</w:instrText>
      </w:r>
      <w:r>
        <w:fldChar w:fldCharType="separate"/>
      </w:r>
      <w:r>
        <w:rPr>
          <w:rFonts w:hAnsi="Arial"/>
          <w:rFonts w:ascii="Arial"/>
          <w:sz w:val="24"/>
          <w:i/>
          <w:u w:val="single"/>
          <w:color w:val="black"/>
        </w:rPr>
        <w:t>136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37" w:name="2.3.1.3.6.25.2"/>
      <w:r>
        <w:rPr>
          <w:rFonts w:hAnsi="Arial"/>
          <w:rFonts w:ascii="Arial"/>
          <w:sz w:val="24"/>
          <w:color w:val="navy"/>
        </w:rPr>
        <w:t xml:space="preserve">ARTÍCULO 2.3.1.3.6.25.2. </w:t>
      </w:r>
      <w:r>
        <w:rPr>
          <w:rFonts w:hAnsi="Arial"/>
          <w:rFonts w:ascii="Arial"/>
          <w:sz w:val="24"/>
          <w:i/>
          <w:color w:val="navy"/>
        </w:rPr>
        <w:t>CARACTERÍSTICAS.</w:t>
      </w:r>
      <w:bookmarkEnd w:id="60737"/>
      <w:r>
        <w:rPr>
          <w:rFonts w:hAnsi="Arial"/>
          <w:rFonts w:ascii="Arial"/>
          <w:sz w:val="24"/>
          <w:b/>
          <w:i/>
          <w:color w:val="black"/>
        </w:rPr>
        <w:t xml:space="preserve"> </w:t>
      </w:r>
      <w:r>
        <w:rPr>
          <w:rFonts w:hAnsi="Arial"/>
          <w:rFonts w:ascii="Arial"/>
          <w:sz w:val="24"/>
          <w:color w:val="black"/>
        </w:rPr>
        <w:t xml:space="preserve">La joya consiste en una medalla circular plateada con un diámetro de cuarenta (40) milímetros: en su anverso lleva grabado el Escudo de la Aviación del Ejército Nacional con la inscripción "GLORIA SOBRE EL HORIZONTE". Penderá de una banda de sesenta (60) milímetros de largo, medida desde el borde superior del gancho de fijación hasta el vértice donde va la argolla, soportando la medalla por cuarenta (40) milímetros de ancho, los colores azul, rojo, azul estarán dispuestos en sentido vertical y proporcionales al ancho de la cinta, separados por ribetes dorados de dos (2) milímetros, el ribete dorado circunda la cinta en toda su extensión. En la parte central va superpuesto el Distintivo del Arma de Aviación del Ejército Nacional en miniatura. El rectángulo fijador de color plateado recibe la cinta en su parte superior: en la parte posterior, la medalla llevará la imagen en alto relieve de "San Miguel Arcángel".</w:t>
      </w:r>
    </w:p>
    <w:p>
      <w:pPr>
        <w:jc w:val="both"/>
      </w:pPr>
      <w:rPr>
        <w:sz w:val="24"/>
        <w:color w:val="black"/>
      </w:rPr>
    </w:p>
    <w:p>
      <w:pPr>
        <w:jc w:val="both"/>
      </w:pPr>
      <w:r>
        <w:rPr>
          <w:rFonts w:hAnsi="Arial"/>
          <w:rFonts w:ascii="Arial"/>
          <w:sz w:val="24"/>
          <w:color w:val="black"/>
        </w:rPr>
        <w:t xml:space="preserve">La venera: Consiste en una cinta metálica esmaltada de cuarenta (40) mm de largo por diez (10) mm de ancho, con los detalles para la cinta de la cual pende la Joya, separando los colores con una línea vertical dorada de dos (2) mm de ancha y superpuesto el Distintivo del Arma de Aviación del Ejército Nacional en miniatura.</w:t>
      </w:r>
    </w:p>
    <w:p>
      <w:pPr>
        <w:jc w:val="both"/>
      </w:pPr>
      <w:rPr>
        <w:sz w:val="24"/>
        <w:color w:val="black"/>
      </w:rPr>
    </w:p>
    <w:p>
      <w:pPr>
        <w:jc w:val="both"/>
      </w:pPr>
      <w:r>
        <w:rPr>
          <w:rFonts w:hAnsi="Arial"/>
          <w:rFonts w:ascii="Arial"/>
          <w:sz w:val="24"/>
          <w:color w:val="black"/>
        </w:rPr>
        <w:t xml:space="preserve">La miniatura: Tiene el mismo diseño de la joya, en un diámetro de dieciocho (18) mm, y pende de una cinta de quince (15) mm de ancho por treinta y cinco (35) mm de largo.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"http://www.redjurista.com/document.aspx?ajcode=d4444010&amp;arts=137"</w:instrText>
      </w:r>
      <w:r>
        <w:fldChar w:fldCharType="separate"/>
      </w:r>
      <w:r>
        <w:rPr>
          <w:rFonts w:hAnsi="Arial"/>
          <w:rFonts w:ascii="Arial"/>
          <w:sz w:val="24"/>
          <w:i/>
          <w:u w:val="single"/>
          <w:color w:val="black"/>
        </w:rPr>
        <w:t>137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38" w:name="2.3.1.3.6.25.3"/>
      <w:r>
        <w:rPr>
          <w:rFonts w:hAnsi="Arial"/>
          <w:rFonts w:ascii="Arial"/>
          <w:sz w:val="24"/>
          <w:color w:val="navy"/>
        </w:rPr>
        <w:t xml:space="preserve">ARTÍCULO 2.3.1.3.6.25.3. </w:t>
      </w:r>
      <w:r>
        <w:rPr>
          <w:rFonts w:hAnsi="Arial"/>
          <w:rFonts w:ascii="Arial"/>
          <w:sz w:val="24"/>
          <w:i/>
          <w:color w:val="navy"/>
        </w:rPr>
        <w:t>CONSEJO.</w:t>
      </w:r>
      <w:bookmarkEnd w:id="60738"/>
      <w:r>
        <w:rPr>
          <w:rFonts w:hAnsi="Arial"/>
          <w:rFonts w:ascii="Arial"/>
          <w:sz w:val="24"/>
          <w:b/>
          <w:i/>
          <w:color w:val="black"/>
        </w:rPr>
        <w:t xml:space="preserve"> </w:t>
      </w:r>
      <w:r>
        <w:rPr>
          <w:rFonts w:hAnsi="Arial"/>
          <w:rFonts w:ascii="Arial"/>
          <w:sz w:val="24"/>
          <w:color w:val="black"/>
        </w:rPr>
        <w:t xml:space="preserve">El Consejo de la Medalla Militar "San Miguel Arcángel",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de la Unidad Superior de Aviación.</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Comandante de la Escuela de Aviación del Ejército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Ayudante del comando o dirección de la Escuela de Aviación del Ejército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39" w:name="SUBSECCIÓN 2.3.1.3.6.26"/>
      <w:r>
        <w:rPr>
          <w:rFonts w:hAnsi="Arial"/>
          <w:rFonts w:ascii="Arial"/>
          <w:sz w:val="24"/>
          <w:color w:val="navy"/>
        </w:rPr>
        <w:t xml:space="preserve">SUBSECCIÓN 26. </w:t>
      </w:r>
    </w:p>
    <w:p>
      <w:pPr>
        <w:jc w:val="center"/>
      </w:pPr>
      <w:r>
        <w:rPr>
          <w:rFonts w:hAnsi="Arial"/>
          <w:rFonts w:ascii="Arial"/>
          <w:sz w:val="24"/>
          <w:color w:val="navy"/>
        </w:rPr>
        <w:t xml:space="preserve">MEDALLA MILITAR "HONOR AL DEBER CUMPLIDO".</w:t>
      </w:r>
      <w:bookmarkEnd w:id="6073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40" w:name="2.3.1.3.6.26.1"/>
      <w:r>
        <w:rPr>
          <w:rFonts w:hAnsi="Arial"/>
          <w:rFonts w:ascii="Arial"/>
          <w:sz w:val="24"/>
          <w:color w:val="navy"/>
        </w:rPr>
        <w:t xml:space="preserve">ARTÍCULO 2.3.1.3.6.26.1. </w:t>
      </w:r>
      <w:r>
        <w:rPr>
          <w:rFonts w:hAnsi="Arial"/>
          <w:rFonts w:ascii="Arial"/>
          <w:sz w:val="24"/>
          <w:i/>
          <w:color w:val="navy"/>
        </w:rPr>
        <w:t>ORIGEN.</w:t>
      </w:r>
      <w:bookmarkEnd w:id="60740"/>
      <w:r>
        <w:rPr>
          <w:rFonts w:hAnsi="Arial"/>
          <w:rFonts w:ascii="Arial"/>
          <w:sz w:val="24"/>
          <w:b/>
          <w:i/>
          <w:color w:val="black"/>
        </w:rPr>
        <w:t xml:space="preserve"> </w:t>
      </w:r>
      <w:r>
        <w:rPr>
          <w:rFonts w:hAnsi="Arial"/>
          <w:rFonts w:ascii="Arial"/>
          <w:sz w:val="24"/>
          <w:color w:val="black"/>
        </w:rPr>
        <w:t xml:space="preserve">Creada en el artículo </w:t>
      </w:r>
      <w:r>
        <w:fldChar w:fldCharType="begin"/>
      </w:r>
      <w:r>
        <w:instrText>HYPERLINK "http://www.redjurista.com/document.aspx?ajcode=d4444010&amp;arts=194"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del Orden del Día del 23 de febrero de 1953 del Batallón "Colombia" y consagrada como tal en el artículo </w:t>
      </w:r>
      <w:r>
        <w:fldChar w:fldCharType="begin"/>
      </w:r>
      <w:r>
        <w:instrText>HYPERLINK "http://www.redjurista.com/document.aspx?ajcode=d1816007&amp;arts=133"</w:instrText>
      </w:r>
      <w:r>
        <w:fldChar w:fldCharType="separate"/>
      </w:r>
      <w:r>
        <w:rPr>
          <w:rFonts w:hAnsi="Arial"/>
          <w:rFonts w:ascii="Arial"/>
          <w:sz w:val="24"/>
          <w:u w:val="single"/>
          <w:color w:val="black"/>
        </w:rPr>
        <w:t>133</w:t>
      </w:r>
      <w:r>
        <w:fldChar w:fldCharType="end"/>
      </w:r>
      <w:r>
        <w:rPr>
          <w:rFonts w:hAnsi="Arial"/>
          <w:rFonts w:ascii="Arial"/>
          <w:sz w:val="24"/>
          <w:u w:val="none"/>
          <w:color w:val="black"/>
        </w:rPr>
        <w:t xml:space="preserve"> del Decreto 1816 de 2007, para reconocer los servicios sobresalientes prestados al país y los méritos militares de quienes en aquella contienda prolongaron el honor y gloria en tierras de Ultramar las tradiciones heroicas del pueblo colombiano. Además, se podrá conferir igualmente a los miembros de las Fuerzas Militares que hayan sobrepasado el normal cumplimiento del deber y que de su abnegación y trabajo se hayan deducido beneficios para la Unidad y crédito para el Ejército y la Patria tanto en el exterior como al interior del país, dándole la validez que le corresponde por los nobles títulos que encierra.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"http://www.redjurista.com/document.aspx?ajcode=d4444010&amp;arts=138"</w:instrText>
      </w:r>
      <w:r>
        <w:fldChar w:fldCharType="separate"/>
      </w:r>
      <w:r>
        <w:rPr>
          <w:rFonts w:hAnsi="Arial"/>
          <w:rFonts w:ascii="Arial"/>
          <w:sz w:val="24"/>
          <w:i/>
          <w:u w:val="single"/>
          <w:color w:val="black"/>
        </w:rPr>
        <w:t>138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41" w:name="2.3.1.3.6.26.2"/>
      <w:r>
        <w:rPr>
          <w:rFonts w:hAnsi="Arial"/>
          <w:rFonts w:ascii="Arial"/>
          <w:sz w:val="24"/>
          <w:color w:val="navy"/>
        </w:rPr>
        <w:t xml:space="preserve">ARTÍCULO 2.3.1.3.6.26.2. </w:t>
      </w:r>
      <w:r>
        <w:rPr>
          <w:rFonts w:hAnsi="Arial"/>
          <w:rFonts w:ascii="Arial"/>
          <w:sz w:val="24"/>
          <w:i/>
          <w:color w:val="navy"/>
        </w:rPr>
        <w:t>CARACTERÍSTICAS.</w:t>
      </w:r>
      <w:bookmarkEnd w:id="60741"/>
      <w:r>
        <w:rPr>
          <w:rFonts w:hAnsi="Arial"/>
          <w:rFonts w:ascii="Arial"/>
          <w:sz w:val="24"/>
          <w:b/>
          <w:i/>
          <w:color w:val="black"/>
        </w:rPr>
        <w:t xml:space="preserve"> </w:t>
      </w:r>
      <w:r>
        <w:rPr>
          <w:rFonts w:hAnsi="Arial"/>
          <w:rFonts w:ascii="Arial"/>
          <w:sz w:val="24"/>
          <w:color w:val="black"/>
        </w:rPr>
        <w:t xml:space="preserve">La joya será circular, en el anverso tendrá, en relieve, la figura de un soldado colombiano clavando el tricolor en la cresta de una colina. En el reverso, el escudo del Batallón de Infantería Aerotransportado número 28 Colombia en doble borde; debajo, sobre este escudo en una placa simulada, la leyenda: "Honor al Deber Cumplido". Bordeando la Medalla en la parte Superior: Batallón de Infantería Aerotransportado número 28 Colombia, Campaña de Corea; y en la parte inferior: 1952-1953. El borde inferior de la medalla irá orlado en laurel en las 2/3 partes de su perímetro. La joya penderá de una cinta de dimensiones reglamentarias y tendrá los siete colores del arco iris; coronará la cinta la leyenda "Corea".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"http://www.redjurista.com/document.aspx?ajcode=d4444010&amp;arts=139"</w:instrText>
      </w:r>
      <w:r>
        <w:fldChar w:fldCharType="separate"/>
      </w:r>
      <w:r>
        <w:rPr>
          <w:rFonts w:hAnsi="Arial"/>
          <w:rFonts w:ascii="Arial"/>
          <w:sz w:val="24"/>
          <w:i/>
          <w:u w:val="single"/>
          <w:color w:val="black"/>
        </w:rPr>
        <w:t>139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42" w:name="2.3.1.3.6.26.3"/>
      <w:r>
        <w:rPr>
          <w:rFonts w:hAnsi="Arial"/>
          <w:rFonts w:ascii="Arial"/>
          <w:sz w:val="24"/>
          <w:color w:val="navy"/>
        </w:rPr>
        <w:t xml:space="preserve">ARTÍCULO 2.3.1.3.6.26.3. </w:t>
      </w:r>
      <w:r>
        <w:rPr>
          <w:rFonts w:hAnsi="Arial"/>
          <w:rFonts w:ascii="Arial"/>
          <w:sz w:val="24"/>
          <w:i/>
          <w:color w:val="navy"/>
        </w:rPr>
        <w:t>CONSEJO.</w:t>
      </w:r>
      <w:bookmarkEnd w:id="60742"/>
      <w:r>
        <w:rPr>
          <w:rFonts w:hAnsi="Arial"/>
          <w:rFonts w:ascii="Arial"/>
          <w:sz w:val="24"/>
          <w:b/>
          <w:i/>
          <w:color w:val="black"/>
        </w:rPr>
        <w:t xml:space="preserve"> </w:t>
      </w:r>
      <w:r>
        <w:rPr>
          <w:rFonts w:hAnsi="Arial"/>
          <w:rFonts w:ascii="Arial"/>
          <w:sz w:val="24"/>
          <w:color w:val="black"/>
        </w:rPr>
        <w:t xml:space="preserve">El Consejo de la Medalla Militar "Honor al Deber Cumplido",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del Batallón Colombia No 28.</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Ejecutivo y Segundo Comandante del Batallón Colombia No 28.</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de Personal del Batallón Colombia No 28.</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43" w:name="SUBSECCIÓN 2.3.1.3.6.27"/>
      <w:r>
        <w:rPr>
          <w:rFonts w:hAnsi="Arial"/>
          <w:rFonts w:ascii="Arial"/>
          <w:sz w:val="24"/>
          <w:color w:val="navy"/>
        </w:rPr>
        <w:t xml:space="preserve">SUBSECCIÓN 27. </w:t>
      </w:r>
    </w:p>
    <w:p>
      <w:pPr>
        <w:jc w:val="center"/>
      </w:pPr>
      <w:r>
        <w:rPr>
          <w:rFonts w:hAnsi="Arial"/>
          <w:rFonts w:ascii="Arial"/>
          <w:sz w:val="24"/>
          <w:color w:val="navy"/>
        </w:rPr>
        <w:t xml:space="preserve">MEDALLA MILITAR "ESCUELA DE SOLDADOS PROFESIONALES "TENIENTE GENERAL GUSTAVO ROJAS PINILLA".</w:t>
      </w:r>
      <w:bookmarkEnd w:id="6074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44" w:name="2.3.1.3.6.27.1"/>
      <w:r>
        <w:rPr>
          <w:rFonts w:hAnsi="Arial"/>
          <w:rFonts w:ascii="Arial"/>
          <w:sz w:val="24"/>
          <w:color w:val="navy"/>
        </w:rPr>
        <w:t xml:space="preserve">ARTÍCULO 2.3.1.3.6.27.1. </w:t>
      </w:r>
      <w:r>
        <w:rPr>
          <w:rFonts w:hAnsi="Arial"/>
          <w:rFonts w:ascii="Arial"/>
          <w:sz w:val="24"/>
          <w:i/>
          <w:color w:val="navy"/>
        </w:rPr>
        <w:t>ORIGEN.</w:t>
      </w:r>
      <w:bookmarkEnd w:id="60744"/>
      <w:r>
        <w:rPr>
          <w:rFonts w:hAnsi="Arial"/>
          <w:rFonts w:ascii="Arial"/>
          <w:sz w:val="24"/>
          <w:b/>
          <w:i/>
          <w:color w:val="black"/>
        </w:rPr>
        <w:t xml:space="preserve"> </w:t>
      </w:r>
      <w:r>
        <w:rPr>
          <w:rFonts w:hAnsi="Arial"/>
          <w:rFonts w:ascii="Arial"/>
          <w:sz w:val="24"/>
          <w:color w:val="black"/>
        </w:rPr>
        <w:t xml:space="preserve">La Medalla Militar de la Escuela de Formación de Soldados Profesionales "Teniente General Gustavo Rojas Pinilla", fue creada en el artículo </w:t>
      </w:r>
      <w:r>
        <w:fldChar w:fldCharType="begin"/>
      </w:r>
      <w:r>
        <w:instrText>HYPERLINK "http://www.redjurista.com/document.aspx?ajcode=d1816007&amp;arts=135"</w:instrText>
      </w:r>
      <w:r>
        <w:fldChar w:fldCharType="separate"/>
      </w:r>
      <w:r>
        <w:rPr>
          <w:rFonts w:hAnsi="Arial"/>
          <w:rFonts w:ascii="Arial"/>
          <w:sz w:val="24"/>
          <w:u w:val="single"/>
          <w:color w:val="black"/>
        </w:rPr>
        <w:t>135</w:t>
      </w:r>
      <w:r>
        <w:fldChar w:fldCharType="end"/>
      </w:r>
      <w:r>
        <w:rPr>
          <w:rFonts w:hAnsi="Arial"/>
          <w:rFonts w:ascii="Arial"/>
          <w:sz w:val="24"/>
          <w:u w:val="none"/>
          <w:color w:val="black"/>
        </w:rPr>
        <w:t xml:space="preserve"> del Decreto 1816 de 2007, categoría única, para estimular a los Soldados Profesionales que se hayan caracterizado por sus Méritos Académicos, Militares y Profesionales en beneficio de la Fuerza, como también a todo el personal de Oficiales y Suboficiales que pertenezcan o hayan pertenecido a la Escuela Militar de Soldados Profesionales y hayan contribuido a acrecentar la formación académica, Militar y profesional del personal de Soldados Profesionales, como también al personal de Oficiales y Suboficiales de las Fuerzas Militares, Servidores Públicos y a todas las personas y entidades Oficiales y particulares, que se hayan destacado en tal propósito en beneficio de la Institución.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"http://www.redjurista.com/document.aspx?ajcode=d4444010&amp;arts=140"</w:instrText>
      </w:r>
      <w:r>
        <w:fldChar w:fldCharType="separate"/>
      </w:r>
      <w:r>
        <w:rPr>
          <w:rFonts w:hAnsi="Arial"/>
          <w:rFonts w:ascii="Arial"/>
          <w:sz w:val="24"/>
          <w:i/>
          <w:u w:val="single"/>
          <w:color w:val="black"/>
        </w:rPr>
        <w:t>140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45" w:name="2.3.1.3.6.27.2"/>
      <w:r>
        <w:rPr>
          <w:rFonts w:hAnsi="Arial"/>
          <w:rFonts w:ascii="Arial"/>
          <w:sz w:val="24"/>
          <w:color w:val="navy"/>
        </w:rPr>
        <w:t xml:space="preserve">ARTÍCULO 2.3.1.3.6.27.2. </w:t>
      </w:r>
      <w:r>
        <w:rPr>
          <w:rFonts w:hAnsi="Arial"/>
          <w:rFonts w:ascii="Arial"/>
          <w:sz w:val="24"/>
          <w:i/>
          <w:color w:val="navy"/>
        </w:rPr>
        <w:t>CARACTERÍSTICAS.</w:t>
      </w:r>
      <w:bookmarkEnd w:id="60745"/>
      <w:r>
        <w:rPr>
          <w:rFonts w:hAnsi="Arial"/>
          <w:rFonts w:ascii="Arial"/>
          <w:sz w:val="24"/>
          <w:b/>
          <w:i/>
          <w:color w:val="black"/>
        </w:rPr>
        <w:t xml:space="preserve"> </w:t>
      </w:r>
      <w:r>
        <w:rPr>
          <w:rFonts w:hAnsi="Arial"/>
          <w:rFonts w:ascii="Arial"/>
          <w:sz w:val="24"/>
          <w:color w:val="black"/>
        </w:rPr>
        <w:t xml:space="preserve">La joya consiste en una circunferencia en esmalte plata laureado, lleva sobre su anverso un rayo de tres colores en diagonal de la parte superior derecha a la inferior izquierda amarillo de cinco (5) milímetros, azul y rojo de tres (3) centímetros de ancho, y sobre este, la figura de un soldado en la posición de pie treinta (30) milímetros de longitud por quince (15) milímetros de ancho, equipado, apuntando su fusil, representativo del Escudo de la Unidad, al reverso la leyenda "TENIENTE GENERAL GUSTAVO ROJAS PINILLA" y en forma circular el lema de la Escuela "HONOR, DISCIPLINA Y VALENTÍA". La joya pende de una argolla en esmalte de plata unidad mediante un aro en esmalte de plata a una cinta de cuarenta (40) milímetros de ancho por cincuenta y cinco (55) milímetros de longitud, de color verde esmeralda, dividida en el centro por seis (6) franjas continuas de izquierda a derecha, roja, amarilla, negra, vino tinto, gris y azul representativo del color de las Armas del Ejército, de dos (2) milímetros de ancho cada una. La cinta pende de un ancho de fijación de diez (10) milímetros de longitud por cuarenta y cinco (45) milímetros de ancho, sobre su anverso la leyenda ESPRO, en color esmalte plateado.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"http://www.redjurista.com/document.aspx?ajcode=d4444010&amp;arts=141"</w:instrText>
      </w:r>
      <w:r>
        <w:fldChar w:fldCharType="separate"/>
      </w:r>
      <w:r>
        <w:rPr>
          <w:rFonts w:hAnsi="Arial"/>
          <w:rFonts w:ascii="Arial"/>
          <w:sz w:val="24"/>
          <w:i/>
          <w:u w:val="single"/>
          <w:color w:val="black"/>
        </w:rPr>
        <w:t>141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46" w:name="2.3.1.3.6.27.3"/>
      <w:r>
        <w:rPr>
          <w:rFonts w:hAnsi="Arial"/>
          <w:rFonts w:ascii="Arial"/>
          <w:sz w:val="24"/>
          <w:color w:val="navy"/>
        </w:rPr>
        <w:t xml:space="preserve">ARTÍCULO 2.3.1.3.6.27.3. </w:t>
      </w:r>
      <w:r>
        <w:rPr>
          <w:rFonts w:hAnsi="Arial"/>
          <w:rFonts w:ascii="Arial"/>
          <w:sz w:val="24"/>
          <w:i/>
          <w:color w:val="navy"/>
        </w:rPr>
        <w:t>CONSEJO.</w:t>
      </w:r>
      <w:bookmarkEnd w:id="60746"/>
      <w:r>
        <w:rPr>
          <w:rFonts w:hAnsi="Arial"/>
          <w:rFonts w:ascii="Arial"/>
          <w:sz w:val="24"/>
          <w:b/>
          <w:i/>
          <w:color w:val="black"/>
        </w:rPr>
        <w:t xml:space="preserve"> </w:t>
      </w:r>
      <w:r>
        <w:rPr>
          <w:rFonts w:hAnsi="Arial"/>
          <w:rFonts w:ascii="Arial"/>
          <w:sz w:val="24"/>
          <w:color w:val="black"/>
        </w:rPr>
        <w:t xml:space="preserve">El Consejo de la Medalla Militar Escuela de Soldados Profesionales "Teniente General Gustavo Rojas Pinilla",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o Director de la Escuela de Formación de Soldados Profesionales.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Ejecutivo y Segundo Comandante de la Escuela de Formación de Soldados Profesionales.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Jefe de Desarrollo Humano de la Escuela de Formación de Soldados Profesionales.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47" w:name="SUBSECCIÓN 2.3.1.3.6.28"/>
      <w:r>
        <w:rPr>
          <w:rFonts w:hAnsi="Arial"/>
          <w:rFonts w:ascii="Arial"/>
          <w:sz w:val="24"/>
          <w:color w:val="navy"/>
        </w:rPr>
        <w:t xml:space="preserve">SUBSECCIÓN 28. </w:t>
      </w:r>
    </w:p>
    <w:p>
      <w:pPr>
        <w:jc w:val="center"/>
      </w:pPr>
      <w:r>
        <w:rPr>
          <w:rFonts w:hAnsi="Arial"/>
          <w:rFonts w:ascii="Arial"/>
          <w:sz w:val="24"/>
          <w:color w:val="navy"/>
        </w:rPr>
        <w:t xml:space="preserve">MEDALLA MILITAR "SERVICIOS MERITORIOS INTELIGENCIA MILITAR "GUARDIÁN DE LA PATRIA".</w:t>
      </w:r>
      <w:bookmarkEnd w:id="6074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48" w:name="2.3.1.3.6.28.1"/>
      <w:r>
        <w:rPr>
          <w:rFonts w:hAnsi="Arial"/>
          <w:rFonts w:ascii="Arial"/>
          <w:sz w:val="24"/>
          <w:color w:val="navy"/>
        </w:rPr>
        <w:t xml:space="preserve">ARTÍCULO 2.3.1.3.6.28.1. </w:t>
      </w:r>
      <w:r>
        <w:rPr>
          <w:rFonts w:hAnsi="Arial"/>
          <w:rFonts w:ascii="Arial"/>
          <w:sz w:val="24"/>
          <w:i/>
          <w:color w:val="navy"/>
        </w:rPr>
        <w:t>ORIGEN.</w:t>
      </w:r>
      <w:bookmarkEnd w:id="60748"/>
      <w:r>
        <w:rPr>
          <w:rFonts w:hAnsi="Arial"/>
          <w:rFonts w:ascii="Arial"/>
          <w:sz w:val="24"/>
          <w:b/>
          <w:i/>
          <w:color w:val="black"/>
        </w:rPr>
        <w:t xml:space="preserve"> </w:t>
      </w:r>
      <w:r>
        <w:rPr>
          <w:rFonts w:hAnsi="Arial"/>
          <w:rFonts w:ascii="Arial"/>
          <w:sz w:val="24"/>
          <w:color w:val="black"/>
        </w:rPr>
        <w:t xml:space="preserve">La Medalla Militar Servicios Meritorios Inteligencia Militar "Guardián de la Patria", fue creada en el artículo </w:t>
      </w:r>
      <w:r>
        <w:fldChar w:fldCharType="begin"/>
      </w:r>
      <w:r>
        <w:instrText>HYPERLINK "http://www.redjurista.com/document.aspx?ajcode=d1816007&amp;arts=137"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del Decreto 1816 de 2007, en categoría única, la cual puede ser otorgada al personal de Oficiales, Suboficiales, Soldados y personal civil al servicio de las Fuerzas Militares, cuantas veces se hagan acreedores por sus servicios distinguidos en diferentes operaciones de Inteligencia Militar, Inteligencia Técnica y Contrainteligencia.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"http://www.redjurista.com/document.aspx?ajcode=d4444010&amp;arts=142"</w:instrText>
      </w:r>
      <w:r>
        <w:fldChar w:fldCharType="separate"/>
      </w:r>
      <w:r>
        <w:rPr>
          <w:rFonts w:hAnsi="Arial"/>
          <w:rFonts w:ascii="Arial"/>
          <w:sz w:val="24"/>
          <w:i/>
          <w:u w:val="single"/>
          <w:color w:val="black"/>
        </w:rPr>
        <w:t>142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49" w:name="2.3.1.3.6.28.2"/>
      <w:r>
        <w:rPr>
          <w:rFonts w:hAnsi="Arial"/>
          <w:rFonts w:ascii="Arial"/>
          <w:sz w:val="24"/>
          <w:color w:val="navy"/>
        </w:rPr>
        <w:t xml:space="preserve">ARTÍCULO 2.3.1.3.6.28.2. </w:t>
      </w:r>
      <w:r>
        <w:rPr>
          <w:rFonts w:hAnsi="Arial"/>
          <w:rFonts w:ascii="Arial"/>
          <w:sz w:val="24"/>
          <w:i/>
          <w:color w:val="navy"/>
        </w:rPr>
        <w:t>CARACTERÍSTICAS.</w:t>
      </w:r>
      <w:bookmarkEnd w:id="60749"/>
      <w:r>
        <w:rPr>
          <w:rFonts w:hAnsi="Arial"/>
          <w:rFonts w:ascii="Arial"/>
          <w:sz w:val="24"/>
          <w:b/>
          <w:i/>
          <w:color w:val="black"/>
        </w:rPr>
        <w:t xml:space="preserve"> </w:t>
      </w:r>
      <w:r>
        <w:rPr>
          <w:rFonts w:hAnsi="Arial"/>
          <w:rFonts w:ascii="Arial"/>
          <w:sz w:val="24"/>
          <w:color w:val="black"/>
        </w:rPr>
        <w:t xml:space="preserve">La joya será de 55 mm de ancho, por 55 mm de alto, irá esmaltado como fondo la rosa de las guerras con una águila superpuesta con las alas abiertas en la parte inferior, con la cabeza mirando hacia la izquierda y el pico abierto, suspendida en un anillo de laurel, el cual a su vez penderá de una cinta de 40 mm de ancho de color azul y gris, y bordes de 4 mm. Con los colores de la Bandera de Colombia llevará una cinta tricolor a ambos lados, al respaldo lleva impresa en alto relieve la rosa de las guerras, emblema universal de los servicios de inteligencia, bordeada por la frase "Servicios Meritorios Inteligencia Militar Guardián de la Patria".</w:t>
      </w:r>
    </w:p>
    <w:p>
      <w:pPr>
        <w:jc w:val="both"/>
      </w:pPr>
      <w:rPr>
        <w:sz w:val="24"/>
        <w:color w:val="black"/>
      </w:rPr>
    </w:p>
    <w:p>
      <w:pPr>
        <w:jc w:val="both"/>
      </w:pPr>
      <w:r>
        <w:rPr>
          <w:rFonts w:hAnsi="Arial"/>
          <w:rFonts w:ascii="Arial"/>
          <w:sz w:val="24"/>
          <w:color w:val="black"/>
        </w:rPr>
        <w:t xml:space="preserve">La venera: La venera será una cinta rectangular de 40 mm, por 11 de ancho, llevará las secciones de izquierda a derecha así: azul y gris en medidas iguales, y en esmalte al fuego, en los extremos llevará el Tricolor Nacional, esta se otorgará por primera vez, cuando la medalla se confiere por segunda vez en la venera y la cinta lleva una estrella de bronce de 5 puntas y 5 mm de diámetro; cuando se confiere por tercera vez lleva dos estrellas similares a las ya descritas una de bronce, una de plata, con una separación de 5 mm, al conferirse por cuarta vez lleva tres estrellas similares a las ya descritas: una de bronce, una de plata y una de oro, colocadas en la venera en forma similar a lo dispuesto y en la cinta en forma de triángulo de tal manera que queden dos en la parte superior en sentido horizontal y la tercera 5 milímetros debajo de las anteriores; si se llegase a otorgar por quinta vez llevará cuatro estrellas similares, una de bronce, una de plata y dos de oro en forma horizontal en la venera y en la cinta colocadas formando un cuadro de 5 mm de lado.</w:t>
      </w:r>
    </w:p>
    <w:p>
      <w:pPr>
        <w:jc w:val="both"/>
      </w:pPr>
      <w:rPr>
        <w:sz w:val="24"/>
        <w:color w:val="black"/>
      </w:rPr>
    </w:p>
    <w:p>
      <w:pPr>
        <w:jc w:val="both"/>
      </w:pPr>
      <w:r>
        <w:rPr>
          <w:rFonts w:hAnsi="Arial"/>
          <w:rFonts w:ascii="Arial"/>
          <w:sz w:val="24"/>
          <w:color w:val="black"/>
        </w:rPr>
        <w:t xml:space="preserve">La miniatura será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"http://www.redjurista.com/document.aspx?ajcode=d4444010&amp;arts=143"</w:instrText>
      </w:r>
      <w:r>
        <w:fldChar w:fldCharType="separate"/>
      </w:r>
      <w:r>
        <w:rPr>
          <w:rFonts w:hAnsi="Arial"/>
          <w:rFonts w:ascii="Arial"/>
          <w:sz w:val="24"/>
          <w:i/>
          <w:u w:val="single"/>
          <w:color w:val="black"/>
        </w:rPr>
        <w:t>143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0" w:name="2.3.1.3.6.28.3"/>
      <w:r>
        <w:rPr>
          <w:rFonts w:hAnsi="Arial"/>
          <w:rFonts w:ascii="Arial"/>
          <w:sz w:val="24"/>
          <w:color w:val="navy"/>
        </w:rPr>
        <w:t xml:space="preserve">ARTÍCULO 2.3.1.3.6.28.3. </w:t>
      </w:r>
      <w:r>
        <w:rPr>
          <w:rFonts w:hAnsi="Arial"/>
          <w:rFonts w:ascii="Arial"/>
          <w:sz w:val="24"/>
          <w:i/>
          <w:color w:val="navy"/>
        </w:rPr>
        <w:t>CONSEJO.</w:t>
      </w:r>
      <w:bookmarkEnd w:id="60750"/>
      <w:r>
        <w:rPr>
          <w:rFonts w:hAnsi="Arial"/>
          <w:rFonts w:ascii="Arial"/>
          <w:sz w:val="24"/>
          <w:b/>
          <w:i/>
          <w:color w:val="black"/>
        </w:rPr>
        <w:t xml:space="preserve"> </w:t>
      </w:r>
      <w:r>
        <w:rPr>
          <w:rFonts w:hAnsi="Arial"/>
          <w:rFonts w:ascii="Arial"/>
          <w:sz w:val="24"/>
          <w:color w:val="black"/>
        </w:rPr>
        <w:t xml:space="preserve">El Consejo de la Medalla Militar Servicios Meritorios Inteligencia Militar "Guardián de la Patria",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 Operaciones del Ejército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Director de Inteligencia.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Director de la Central de Inteligencia Militar y el Suboficial de mayor antigüedad de la DINTE.</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51" w:name="SUBSECCIÓN 2.3.1.3.6.29"/>
      <w:r>
        <w:rPr>
          <w:rFonts w:hAnsi="Arial"/>
          <w:rFonts w:ascii="Arial"/>
          <w:sz w:val="24"/>
          <w:color w:val="navy"/>
        </w:rPr>
        <w:t xml:space="preserve">SUBSECCIÓN 29. </w:t>
      </w:r>
    </w:p>
    <w:p>
      <w:pPr>
        <w:jc w:val="center"/>
      </w:pPr>
      <w:r>
        <w:rPr>
          <w:rFonts w:hAnsi="Arial"/>
          <w:rFonts w:ascii="Arial"/>
          <w:sz w:val="24"/>
          <w:color w:val="navy"/>
        </w:rPr>
        <w:t xml:space="preserve">MEDALLA MILITAR "SERVICIOS DISTINGUIDOS EN OPERACIONES DE AVIACIÓN".</w:t>
      </w:r>
      <w:bookmarkEnd w:id="6075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52" w:name="2.3.1.3.6.29.1"/>
      <w:r>
        <w:rPr>
          <w:rFonts w:hAnsi="Arial"/>
          <w:rFonts w:ascii="Arial"/>
          <w:sz w:val="24"/>
          <w:color w:val="navy"/>
        </w:rPr>
        <w:t xml:space="preserve">ARTÍCULO 2.3.1.3.6.29.1. </w:t>
      </w:r>
      <w:r>
        <w:rPr>
          <w:rFonts w:hAnsi="Arial"/>
          <w:rFonts w:ascii="Arial"/>
          <w:sz w:val="24"/>
          <w:i/>
          <w:color w:val="navy"/>
        </w:rPr>
        <w:t>ORIGEN.</w:t>
      </w:r>
      <w:bookmarkEnd w:id="60752"/>
      <w:r>
        <w:rPr>
          <w:rFonts w:hAnsi="Arial"/>
          <w:rFonts w:ascii="Arial"/>
          <w:sz w:val="24"/>
          <w:b/>
          <w:i/>
          <w:color w:val="black"/>
        </w:rPr>
        <w:t xml:space="preserve"> </w:t>
      </w:r>
      <w:r>
        <w:rPr>
          <w:rFonts w:hAnsi="Arial"/>
          <w:rFonts w:ascii="Arial"/>
          <w:sz w:val="24"/>
          <w:color w:val="black"/>
        </w:rPr>
        <w:t xml:space="preserve">Créase la Medalla Militar "Servicios Distinguidos en Operaciones de Aviación", como un reconocimiento a los Oficiales, Suboficiales, Soldados y civiles, en servicio activo miembros de una tripulación, destacados en cumplimiento de operaciones de Aviación, cuyo desempeño conlleve al logro de objetivos tácticos, operacionales y estratégicos. Así mismo, a la tripulación o miembro de la tripulación que durante el desarrollo de operaciones de Aviación y que por acción del vuelo su aeronave sufra daños que conlleven a una emergencia de la misma y que con su pericia y coraje lleve a buen término el aterrizaje, salvaguardando la vida de sus ocupantes.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Esta condecoración podrá ser otorgada a un mismo individuo tantas veces cuantas se haga acreedor a ella en acciones diferentes.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Se concederá de manera póstuma a Oficiales, Suboficiales, Soldados y Civiles que fallezcan en actividades propias del cumplimiento de la misión asignada a la especialidad, y que a criterio del Consejo de la Medalla hayan reunido los requisitos establecidos.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"http://www.redjurista.com/document.aspx?ajcode=d4444010&amp;arts=144"</w:instrText>
      </w:r>
      <w:r>
        <w:fldChar w:fldCharType="separate"/>
      </w:r>
      <w:r>
        <w:rPr>
          <w:rFonts w:hAnsi="Arial"/>
          <w:rFonts w:ascii="Arial"/>
          <w:sz w:val="24"/>
          <w:i/>
          <w:u w:val="single"/>
          <w:color w:val="black"/>
        </w:rPr>
        <w:t>144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3" w:name="2.3.1.3.6.29.2"/>
      <w:r>
        <w:rPr>
          <w:rFonts w:hAnsi="Arial"/>
          <w:rFonts w:ascii="Arial"/>
          <w:sz w:val="24"/>
          <w:color w:val="navy"/>
        </w:rPr>
        <w:t xml:space="preserve">ARTÍCULO 2.3.1.3.6.29.2. </w:t>
      </w:r>
      <w:r>
        <w:rPr>
          <w:rFonts w:hAnsi="Arial"/>
          <w:rFonts w:ascii="Arial"/>
          <w:sz w:val="24"/>
          <w:i/>
          <w:color w:val="navy"/>
        </w:rPr>
        <w:t>CARACTERÍSTICAS.</w:t>
      </w:r>
      <w:bookmarkEnd w:id="60753"/>
      <w:r>
        <w:rPr>
          <w:rFonts w:hAnsi="Arial"/>
          <w:rFonts w:ascii="Arial"/>
          <w:sz w:val="24"/>
          <w:b/>
          <w:i/>
          <w:color w:val="black"/>
        </w:rPr>
        <w:t xml:space="preserve"> </w:t>
      </w:r>
      <w:r>
        <w:rPr>
          <w:rFonts w:hAnsi="Arial"/>
          <w:rFonts w:ascii="Arial"/>
          <w:sz w:val="24"/>
          <w:color w:val="black"/>
        </w:rPr>
        <w:t xml:space="preserve">La joya consiste en una cruz forjada de color dorado mate, entrelazada por una corona de laurel con fondo azul y la cabeza de una águila dorada en el centro, con las inscripciones en semicírculo "Coraje y Pericia" en la parte superior y "En Operaciones de Aviación" en la parte inferior. En la parte posterior lleva el escudo de armas de la Aviación del Ejército Nacional. Pende de una cinta de 40 milímetros color azul con dos franjas en los extremos de diez (10) milímetros cada una con el tricolor nacional.</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"http://www.redjurista.com/document.aspx?ajcode=d4444010&amp;arts=145"</w:instrText>
      </w:r>
      <w:r>
        <w:fldChar w:fldCharType="separate"/>
      </w:r>
      <w:r>
        <w:rPr>
          <w:rFonts w:hAnsi="Arial"/>
          <w:rFonts w:ascii="Arial"/>
          <w:sz w:val="24"/>
          <w:i/>
          <w:u w:val="single"/>
          <w:color w:val="black"/>
        </w:rPr>
        <w:t>145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4" w:name="2.3.1.3.6.29.3"/>
      <w:r>
        <w:rPr>
          <w:rFonts w:hAnsi="Arial"/>
          <w:rFonts w:ascii="Arial"/>
          <w:sz w:val="24"/>
          <w:color w:val="navy"/>
        </w:rPr>
        <w:t xml:space="preserve">ARTÍCULO 2.3.1.3.6.29.3. </w:t>
      </w:r>
      <w:r>
        <w:rPr>
          <w:rFonts w:hAnsi="Arial"/>
          <w:rFonts w:ascii="Arial"/>
          <w:sz w:val="24"/>
          <w:i/>
          <w:color w:val="navy"/>
        </w:rPr>
        <w:t>CONSEJO.</w:t>
      </w:r>
      <w:bookmarkEnd w:id="60754"/>
      <w:r>
        <w:rPr>
          <w:rFonts w:hAnsi="Arial"/>
          <w:rFonts w:ascii="Arial"/>
          <w:sz w:val="24"/>
          <w:b/>
          <w:i/>
          <w:color w:val="black"/>
        </w:rPr>
        <w:t xml:space="preserve"> </w:t>
      </w:r>
      <w:r>
        <w:rPr>
          <w:rFonts w:hAnsi="Arial"/>
          <w:rFonts w:ascii="Arial"/>
          <w:sz w:val="24"/>
          <w:color w:val="black"/>
        </w:rPr>
        <w:t xml:space="preserve">El Consejo de la Medalla Militar "Servicios Distinguidos en Operaciones de Aviación",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Comandante de la Unidad Superior de Aviación.</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Oficial de Operaciones de la Unidad Superior de Aviación.</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la Escuela de Aviación del Ejército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55" w:name="SUBSECCIÓN 2.3.1.3.6.30"/>
      <w:r>
        <w:rPr>
          <w:rFonts w:hAnsi="Arial"/>
          <w:rFonts w:ascii="Arial"/>
          <w:sz w:val="24"/>
          <w:color w:val="navy"/>
        </w:rPr>
        <w:t xml:space="preserve">SUBSECCIÓN 30.</w:t>
      </w:r>
    </w:p>
    <w:p>
      <w:pPr>
        <w:jc w:val="center"/>
      </w:pPr>
      <w:r>
        <w:rPr>
          <w:rFonts w:hAnsi="Arial"/>
          <w:rFonts w:ascii="Arial"/>
          <w:sz w:val="24"/>
          <w:color w:val="navy"/>
        </w:rPr>
        <w:t xml:space="preserve">MEDALLA MILITAR CENTENARIO "SERVICIOS DISTINGUIDOS A RECLUTAMIENTO "SIMONA DUQUE DE ALZATE".</w:t>
      </w:r>
      <w:bookmarkEnd w:id="6075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56" w:name="2.3.1.3.6.30.1"/>
      <w:r>
        <w:rPr>
          <w:rFonts w:hAnsi="Arial"/>
          <w:rFonts w:ascii="Arial"/>
          <w:sz w:val="24"/>
          <w:color w:val="navy"/>
        </w:rPr>
        <w:t xml:space="preserve">ARTÍCULO 2.3.1.3.6.30.1. </w:t>
      </w:r>
      <w:r>
        <w:rPr>
          <w:rFonts w:hAnsi="Arial"/>
          <w:rFonts w:ascii="Arial"/>
          <w:sz w:val="24"/>
          <w:i/>
          <w:color w:val="navy"/>
        </w:rPr>
        <w:t>ORIGEN.</w:t>
      </w:r>
      <w:bookmarkEnd w:id="60756"/>
      <w:r>
        <w:rPr>
          <w:rFonts w:hAnsi="Arial"/>
          <w:rFonts w:ascii="Arial"/>
          <w:sz w:val="24"/>
          <w:b/>
          <w:i/>
          <w:color w:val="black"/>
        </w:rPr>
        <w:t xml:space="preserve"> </w:t>
      </w:r>
      <w:r>
        <w:rPr>
          <w:rFonts w:hAnsi="Arial"/>
          <w:rFonts w:ascii="Arial"/>
          <w:sz w:val="24"/>
          <w:color w:val="black"/>
        </w:rPr>
        <w:t xml:space="preserve">Créase la Medalla Centenario Servicios Distinguidos a Reclutamiento "Simona Duque de Alzate", en las categorías de Comendador, Oficial y Compañero, para reconocer y honrar al personal de Oficiales, Suboficiales, Soldados e Infantes de Marina de las Fuerzas Militares, así como a Unidades militares, servidores públicos del sector defensa, personalidades Civiles y Eclesiásticas nacionales o extranjeras, militares extranjeros, y entidades públicas y privadas que presten eminentes servicios a Reclutamiento y Control Reservas y Movilización del Ejército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"http://www.redjurista.com/document.aspx?ajcode=d4444010&amp;arts=146"</w:instrText>
      </w:r>
      <w:r>
        <w:fldChar w:fldCharType="separate"/>
      </w:r>
      <w:r>
        <w:rPr>
          <w:rFonts w:hAnsi="Arial"/>
          <w:rFonts w:ascii="Arial"/>
          <w:sz w:val="24"/>
          <w:i/>
          <w:u w:val="single"/>
          <w:color w:val="black"/>
        </w:rPr>
        <w:t>146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7" w:name="2.3.1.3.6.30.2"/>
      <w:r>
        <w:rPr>
          <w:rFonts w:hAnsi="Arial"/>
          <w:rFonts w:ascii="Arial"/>
          <w:sz w:val="24"/>
          <w:color w:val="navy"/>
        </w:rPr>
        <w:t xml:space="preserve">ARTÍCULO 2.3.1.3.6.30.2. </w:t>
      </w:r>
      <w:r>
        <w:rPr>
          <w:rFonts w:hAnsi="Arial"/>
          <w:rFonts w:ascii="Arial"/>
          <w:sz w:val="24"/>
          <w:i/>
          <w:color w:val="navy"/>
        </w:rPr>
        <w:t>CATEGORÍAS.</w:t>
      </w:r>
      <w:bookmarkEnd w:id="60757"/>
      <w:r>
        <w:rPr>
          <w:rFonts w:hAnsi="Arial"/>
          <w:rFonts w:ascii="Arial"/>
          <w:sz w:val="24"/>
          <w:b/>
          <w:i/>
          <w:color w:val="black"/>
        </w:rPr>
        <w:t xml:space="preserve"> </w:t>
      </w:r>
      <w:r>
        <w:rPr>
          <w:rFonts w:hAnsi="Arial"/>
          <w:rFonts w:ascii="Arial"/>
          <w:sz w:val="24"/>
          <w:color w:val="black"/>
        </w:rPr>
        <w:t xml:space="preserve">La medalla Centenario Servicios Distinguidos a Reclutamiento "Simona Duque de Álzate" será otorgada en cada categoría, como se indica a continuación:</w:t>
      </w:r>
    </w:p>
    <w:p>
      <w:pPr>
        <w:jc w:val="both"/>
      </w:pPr>
      <w:rPr>
        <w:sz w:val="24"/>
        <w:color w:val="black"/>
      </w:rPr>
    </w:p>
    <w:p>
      <w:pPr>
        <w:jc w:val="both"/>
      </w:pPr>
      <w:r>
        <w:rPr>
          <w:rFonts w:hAnsi="Arial"/>
          <w:rFonts w:ascii="Arial"/>
          <w:sz w:val="24"/>
          <w:color w:val="black"/>
        </w:rPr>
        <w:t xml:space="preserve">a) En el grado de "Comendador" se podrá conferir y promover a los señores Oficiales Generales o de Insignia y al Jefe o Director de Reclutamiento y Control Reservas del Ejército Nacional y sus equivalentes en las Fuerzas, a los Empleados de las Entidades que conforman el sector Defensa en el Nivel Directivo, a los Servidores Públicos y a Particulares eminentes que se destaquen por Servicios Distinguidos a Reclutamiento y Control Reservas del Ejército Nacional.</w:t>
      </w:r>
    </w:p>
    <w:p>
      <w:pPr>
        <w:jc w:val="both"/>
      </w:pPr>
      <w:rPr>
        <w:sz w:val="24"/>
        <w:color w:val="black"/>
      </w:rPr>
    </w:p>
    <w:p>
      <w:pPr>
        <w:jc w:val="both"/>
      </w:pPr>
      <w:r>
        <w:rPr>
          <w:rFonts w:hAnsi="Arial"/>
          <w:rFonts w:ascii="Arial"/>
          <w:sz w:val="24"/>
          <w:color w:val="black"/>
        </w:rPr>
        <w:t xml:space="preserve">b) En el grado de "Oficial" se podrá conferir y promover a los Oficiales en los grados de Coronel, Teniente Coronel, Mayor, Capitán, Teniente, Sargento Mayor de Comando Conjunto, Sargento Mayor de Comando, Sargento Mayor y sus equivalentes en las Fuerzas, a los Empleados del Sector Defensa en el Nivel Asesor, Profesional y Orientador de Defensa Espiritual, y a Servidores Públicos y a particulares prominentes que se destaquen por Servicios Distinguidos a Reclutamiento y Control Reservas del Ejército Nacional.</w:t>
      </w:r>
    </w:p>
    <w:p>
      <w:pPr>
        <w:jc w:val="both"/>
      </w:pPr>
      <w:rPr>
        <w:sz w:val="24"/>
        <w:color w:val="black"/>
      </w:rPr>
    </w:p>
    <w:p>
      <w:pPr>
        <w:jc w:val="both"/>
      </w:pPr>
      <w:r>
        <w:rPr>
          <w:rFonts w:hAnsi="Arial"/>
          <w:rFonts w:ascii="Arial"/>
          <w:sz w:val="24"/>
          <w:color w:val="black"/>
        </w:rPr>
        <w:t xml:space="preserve">c) En el grado de "Compañero" se podrá conferir a los Suboficiales en los grados de Sargento Primero, Sargento Viceprimero, Sargento Segundo, Cabo Primero, y sus equivalentes en las Fuerzas, al personal de Soldados e Infantes de Marina y a los Servidores Públicos del Ministerio de Defensa Nacional clasificados en el nivel Asistencial, que se hayan destacado por sus servicios a Reclutamiento y Control Reservas del Ejército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"http://www.redjurista.com/document.aspx?ajcode=d4444010&amp;arts=147"</w:instrText>
      </w:r>
      <w:r>
        <w:fldChar w:fldCharType="separate"/>
      </w:r>
      <w:r>
        <w:rPr>
          <w:rFonts w:hAnsi="Arial"/>
          <w:rFonts w:ascii="Arial"/>
          <w:sz w:val="24"/>
          <w:i/>
          <w:u w:val="single"/>
          <w:color w:val="black"/>
        </w:rPr>
        <w:t>147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8" w:name="2.3.1.3.6.30.3"/>
      <w:r>
        <w:rPr>
          <w:rFonts w:hAnsi="Arial"/>
          <w:rFonts w:ascii="Arial"/>
          <w:sz w:val="24"/>
          <w:color w:val="navy"/>
        </w:rPr>
        <w:t xml:space="preserve">ARTÍCULO 2.3.1.3.6.30.3. </w:t>
      </w:r>
      <w:r>
        <w:rPr>
          <w:rFonts w:hAnsi="Arial"/>
          <w:rFonts w:ascii="Arial"/>
          <w:sz w:val="24"/>
          <w:i/>
          <w:color w:val="navy"/>
        </w:rPr>
        <w:t>CARACTERÍSTICAS.</w:t>
      </w:r>
      <w:bookmarkEnd w:id="60758"/>
      <w:r>
        <w:rPr>
          <w:rFonts w:hAnsi="Arial"/>
          <w:rFonts w:ascii="Arial"/>
          <w:sz w:val="24"/>
          <w:b/>
          <w:i/>
          <w:color w:val="black"/>
        </w:rPr>
        <w:t xml:space="preserve"> </w:t>
      </w:r>
      <w:r>
        <w:rPr>
          <w:rFonts w:hAnsi="Arial"/>
          <w:rFonts w:ascii="Arial"/>
          <w:sz w:val="24"/>
          <w:color w:val="black"/>
        </w:rPr>
        <w:t xml:space="preserve">En sus distintas categorías la joya tiene las siguientes características:</w:t>
      </w:r>
    </w:p>
    <w:p>
      <w:pPr>
        <w:jc w:val="both"/>
      </w:pPr>
      <w:rPr>
        <w:sz w:val="24"/>
        <w:color w:val="black"/>
      </w:rPr>
    </w:p>
    <w:p>
      <w:pPr>
        <w:jc w:val="both"/>
      </w:pPr>
      <w:r>
        <w:rPr>
          <w:rFonts w:hAnsi="Arial"/>
          <w:rFonts w:ascii="Arial"/>
          <w:sz w:val="24"/>
          <w:color w:val="black"/>
        </w:rPr>
        <w:t xml:space="preserve">a) La joya en la categoría de "Comendador' consiste en una estrella radiada de siete (7) puntas y brazos tridimensionales; de cincuenta (50) milímetros de diámetro, color bronce, sobrepuesta un centro de veintiocho (28) milímetros de diámetro de color dorado brillante, con el rostro de la heroína SIMONA DUQUE DE ALZATE tridimensional. En el anverso el Escudo de Reclutamiento a color, sobrepuesto en un círculo de veintiocho (28) milímetros de diámetro. La joya pende de una argolla y/o cuello en color dorado brillante, a una cinta de calidad moiré de cuarenta (40) milímetros de ancho y cincuenta y cinco (55) centímetros de largo, de tres franjas así: la franja izquierda de color azul oscuro de diez (10) milímetros de ancho, la del centro color rojo de veinte (20) milímetros de ancho y la de la derecha de color azul turquesa de diez (10) milímetros de ancho.</w:t>
      </w:r>
    </w:p>
    <w:p>
      <w:pPr>
        <w:jc w:val="both"/>
      </w:pPr>
      <w:rPr>
        <w:sz w:val="24"/>
        <w:color w:val="black"/>
      </w:rPr>
    </w:p>
    <w:p>
      <w:pPr>
        <w:jc w:val="both"/>
      </w:pPr>
      <w:r>
        <w:rPr>
          <w:rFonts w:hAnsi="Arial"/>
          <w:rFonts w:ascii="Arial"/>
          <w:sz w:val="24"/>
          <w:color w:val="black"/>
        </w:rPr>
        <w:t xml:space="preserve">b) La joya en la categoría de "Oficial" consiste en una estrella radiada de siete (7) puntas y brazos tridimensionales de (50) milímetros de diámetro, color plata brillante, sobrepuesto un centro de veintiocho (28) milímetros de diámetro de color bronce con el rostro de la heroína SIMONA DUQUE DE ALZATE tridimensional. En el anverso el Escudo de Reclutamiento a color, sobrepuesto en un círculo de veintiocho (28) milímetros de diámetro. La joya pende de una argolla y/o cuello en color dorado brillante, a una cinta de calidad moiré de cuarenta (40) milímetros de ancho y cincuenta y cuarenta y ocho (48) milímetros de longitud, de tres franjas así: la franja izquierda de color azul oscuro de diez (10) milímetros de ancho, la del centro color rojo de veinte (20) milímetros de ancho y la de la derecha de color azul turquesa de diez (10) milímetros de ancho.</w:t>
      </w:r>
    </w:p>
    <w:p>
      <w:pPr>
        <w:jc w:val="both"/>
      </w:pPr>
      <w:rPr>
        <w:sz w:val="24"/>
        <w:color w:val="black"/>
      </w:rPr>
    </w:p>
    <w:p>
      <w:pPr>
        <w:jc w:val="both"/>
      </w:pPr>
      <w:r>
        <w:rPr>
          <w:rFonts w:hAnsi="Arial"/>
          <w:rFonts w:ascii="Arial"/>
          <w:sz w:val="24"/>
          <w:color w:val="black"/>
        </w:rPr>
        <w:t xml:space="preserve">c) La joya en la categoría de "Compañero" consiste en una estrella radiada de siete (7) puntas y brazos tridimensionales; (50) milímetros de diámetro, color bronce, sobrepuesto un centro de (28) milímetros de diámetro de color bronce con el rostro de la Heroína SIMONA DUQUE DE ALZATE tridimensional. En el anverso el Escudo de Reclutamiento a color, sobrepuesto en un círculo de veintiocho (28) milímetros de diámetro. La joya pende de una argolla y/o cuello en color dorado brillante, a una cinta de calidad moiré de cuarenta (40) milímetros de ancho y cincuenta y cuarenta y ocho (48) milímetros de longitud, de tres franjas así: la franja izquierda de color azul oscuro de diez (10) milímetros de ancho, la del centro color rojo de veinte (20) milímetros de ancho y la de la derecha de color azul turquesa de diez (10) milímetros de ancho.</w:t>
      </w:r>
    </w:p>
    <w:p>
      <w:pPr>
        <w:jc w:val="both"/>
      </w:pPr>
      <w:rPr>
        <w:sz w:val="24"/>
        <w:color w:val="black"/>
      </w:rPr>
    </w:p>
    <w:p>
      <w:pPr>
        <w:jc w:val="both"/>
      </w:pPr>
      <w:r>
        <w:rPr>
          <w:rFonts w:hAnsi="Arial"/>
          <w:rFonts w:ascii="Arial"/>
          <w:sz w:val="24"/>
          <w:color w:val="black"/>
        </w:rPr>
        <w:t xml:space="preserve">d) 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"http://www.redjurista.com/document.aspx?ajcode=d4444010&amp;arts=148"</w:instrText>
      </w:r>
      <w:r>
        <w:fldChar w:fldCharType="separate"/>
      </w:r>
      <w:r>
        <w:rPr>
          <w:rFonts w:hAnsi="Arial"/>
          <w:rFonts w:ascii="Arial"/>
          <w:sz w:val="24"/>
          <w:i/>
          <w:u w:val="single"/>
          <w:color w:val="black"/>
        </w:rPr>
        <w:t>148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59" w:name="2.3.1.3.6.30.4"/>
      <w:r>
        <w:rPr>
          <w:rFonts w:hAnsi="Arial"/>
          <w:rFonts w:ascii="Arial"/>
          <w:sz w:val="24"/>
          <w:color w:val="navy"/>
        </w:rPr>
        <w:t xml:space="preserve">ARTÍCULO 2.3.1.3.6.30.4. </w:t>
      </w:r>
      <w:r>
        <w:rPr>
          <w:rFonts w:hAnsi="Arial"/>
          <w:rFonts w:ascii="Arial"/>
          <w:sz w:val="24"/>
          <w:i/>
          <w:color w:val="navy"/>
        </w:rPr>
        <w:t>CONSEJO.</w:t>
      </w:r>
      <w:bookmarkEnd w:id="60759"/>
      <w:r>
        <w:rPr>
          <w:rFonts w:hAnsi="Arial"/>
          <w:rFonts w:ascii="Arial"/>
          <w:sz w:val="24"/>
          <w:b/>
          <w:i/>
          <w:color w:val="black"/>
        </w:rPr>
        <w:t xml:space="preserve"> </w:t>
      </w:r>
      <w:r>
        <w:rPr>
          <w:rFonts w:hAnsi="Arial"/>
          <w:rFonts w:ascii="Arial"/>
          <w:sz w:val="24"/>
          <w:color w:val="black"/>
        </w:rPr>
        <w:t xml:space="preserve">El Consejo de la Medalla Centenario Servicios Distinguidos a Reclutamiento "Simona Duque de Alzate",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Comandante de la Unidad Superior de Reclutamiento y Control Reservas del Ejército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Subdirector de la Unidad Superior de Reclutamiento y Control Reservas del Ejército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Oficial B-3 de la Unidad Superior de Reclutamiento y Control Reservas del Ejército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60" w:name="SUBSECCIÓN 2.3.1.3.6.31"/>
      <w:r>
        <w:rPr>
          <w:rFonts w:hAnsi="Arial"/>
          <w:rFonts w:ascii="Arial"/>
          <w:sz w:val="24"/>
          <w:color w:val="navy"/>
        </w:rPr>
        <w:t xml:space="preserve">SUBSECCIÓN 31. </w:t>
      </w:r>
    </w:p>
    <w:p>
      <w:pPr>
        <w:jc w:val="center"/>
      </w:pPr>
      <w:r>
        <w:rPr>
          <w:rFonts w:hAnsi="Arial"/>
          <w:rFonts w:ascii="Arial"/>
          <w:sz w:val="24"/>
          <w:color w:val="navy"/>
        </w:rPr>
        <w:t xml:space="preserve">MEDALLA MILITAR "SAN RAFAEL ARCÁNGEL".</w:t>
      </w:r>
      <w:bookmarkEnd w:id="6076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61" w:name="2.3.1.3.6.31.1"/>
      <w:r>
        <w:rPr>
          <w:rFonts w:hAnsi="Arial"/>
          <w:rFonts w:ascii="Arial"/>
          <w:sz w:val="24"/>
          <w:color w:val="navy"/>
        </w:rPr>
        <w:t xml:space="preserve">ARTÍCULO 2.3.1.3.6.31.1. </w:t>
      </w:r>
      <w:r>
        <w:rPr>
          <w:rFonts w:hAnsi="Arial"/>
          <w:rFonts w:ascii="Arial"/>
          <w:sz w:val="24"/>
          <w:i/>
          <w:color w:val="navy"/>
        </w:rPr>
        <w:t>ORIGEN.</w:t>
      </w:r>
      <w:bookmarkEnd w:id="60761"/>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"http://www.redjurista.com/document.aspx?ajcode=d2281012&amp;arts=INICIO"</w:instrText>
      </w:r>
      <w:r>
        <w:fldChar w:fldCharType="separate"/>
      </w:r>
      <w:r>
        <w:rPr>
          <w:rFonts w:hAnsi="Arial"/>
          <w:rFonts w:ascii="Arial"/>
          <w:sz w:val="24"/>
          <w:u w:val="single"/>
          <w:color w:val="black"/>
        </w:rPr>
        <w:t>2281</w:t>
      </w:r>
      <w:r>
        <w:fldChar w:fldCharType="end"/>
      </w:r>
      <w:r>
        <w:rPr>
          <w:rFonts w:hAnsi="Arial"/>
          <w:rFonts w:ascii="Arial"/>
          <w:sz w:val="24"/>
          <w:u w:val="none"/>
          <w:color w:val="black"/>
        </w:rPr>
        <w:t xml:space="preserve"> de 2012, para premiar a los particulares que por su apoyo incondicional a través de hechos extraordinarios se han convertido en benefactores y protectores de los militares heridos en combate.</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2" w:name="2.3.1.3.6.31.2"/>
      <w:r>
        <w:rPr>
          <w:rFonts w:hAnsi="Arial"/>
          <w:rFonts w:ascii="Arial"/>
          <w:sz w:val="24"/>
          <w:color w:val="navy"/>
        </w:rPr>
        <w:t xml:space="preserve">ARTÍCULO 2.3.1.3.6.31.2. </w:t>
      </w:r>
      <w:r>
        <w:rPr>
          <w:rFonts w:hAnsi="Arial"/>
          <w:rFonts w:ascii="Arial"/>
          <w:sz w:val="24"/>
          <w:i/>
          <w:color w:val="navy"/>
        </w:rPr>
        <w:t>CATEGORÍAS.</w:t>
      </w:r>
      <w:bookmarkEnd w:id="60762"/>
      <w:r>
        <w:rPr>
          <w:rFonts w:hAnsi="Arial"/>
          <w:rFonts w:ascii="Arial"/>
          <w:sz w:val="24"/>
          <w:b/>
          <w:i/>
          <w:color w:val="black"/>
        </w:rPr>
        <w:t xml:space="preserve"> </w:t>
      </w:r>
      <w:r>
        <w:rPr>
          <w:rFonts w:hAnsi="Arial"/>
          <w:rFonts w:ascii="Arial"/>
          <w:sz w:val="24"/>
          <w:color w:val="black"/>
        </w:rPr>
        <w:t xml:space="preserve">La Medalla Militar "SAN RAFAEL ARCANGEL", tendrá dos (2) categorías: Oficial y Comendador.</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3" w:name="2.3.1.3.6.31.3"/>
      <w:r>
        <w:rPr>
          <w:rFonts w:hAnsi="Arial"/>
          <w:rFonts w:ascii="Arial"/>
          <w:sz w:val="24"/>
          <w:color w:val="navy"/>
        </w:rPr>
        <w:t xml:space="preserve">ARTÍCULO 2.3.1.3.6.31.3. </w:t>
      </w:r>
      <w:r>
        <w:rPr>
          <w:rFonts w:hAnsi="Arial"/>
          <w:rFonts w:ascii="Arial"/>
          <w:sz w:val="24"/>
          <w:i/>
          <w:color w:val="navy"/>
        </w:rPr>
        <w:t>CARACTERÍSTICAS.</w:t>
      </w:r>
      <w:bookmarkEnd w:id="60763"/>
      <w:r>
        <w:rPr>
          <w:rFonts w:hAnsi="Arial"/>
          <w:rFonts w:ascii="Arial"/>
          <w:sz w:val="24"/>
          <w:b/>
          <w:i/>
          <w:color w:val="black"/>
        </w:rPr>
        <w:t xml:space="preserve"> </w:t>
      </w:r>
      <w:r>
        <w:rPr>
          <w:rFonts w:hAnsi="Arial"/>
          <w:rFonts w:ascii="Arial"/>
          <w:sz w:val="24"/>
          <w:color w:val="black"/>
        </w:rPr>
        <w:t xml:space="preserve">La Joya será de 50 mm ancho por 50 mm de alto, irá esmaltada, con una corona cóncava dorada de la cuál pende una cruz de color azul con blanco de 8 puntas, lleva cuatro coronas pequeñas doradas con las alas del arcángel y en el centro una cruz blanca, en el centro con un circulo la imagen de SAN RAFAEL ARCANGEL sobre la estrella y en su base el emblema "ORDEN SAN RAFAEL ARCANGEL". La Categoría oficial penderá de una cinta de 40 mm, de ancho de color blanco, sobre la cual llevara bordados los colores azul y dorado, al respaldo lleva impreso en alto relieve la palabras "Protector de Los Soldados Colombianos Heridos", para la categoría comendador lleva una cinta de 40 mm de ancho por 55 centímetros de largo.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Venera será un círculo de 25 mm de alto por 22 mm de ancho de color azul y en esmalte al fuego, con la imagen de SAN RAFAEL ARCANGEL en el centro de color dorado y lo rodea el lema "ORDEN SAN RAFAEL ARCANGEL".</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4" w:name="2.3.1.3.6.31.4"/>
      <w:r>
        <w:rPr>
          <w:rFonts w:hAnsi="Arial"/>
          <w:rFonts w:ascii="Arial"/>
          <w:sz w:val="24"/>
          <w:color w:val="navy"/>
        </w:rPr>
        <w:t xml:space="preserve">ARTÍCULO 2.3.1.3.6.31.4. </w:t>
      </w:r>
      <w:r>
        <w:rPr>
          <w:rFonts w:hAnsi="Arial"/>
          <w:rFonts w:ascii="Arial"/>
          <w:sz w:val="24"/>
          <w:i/>
          <w:color w:val="navy"/>
        </w:rPr>
        <w:t>CONSEJO.</w:t>
      </w:r>
      <w:bookmarkEnd w:id="60764"/>
      <w:r>
        <w:rPr>
          <w:rFonts w:hAnsi="Arial"/>
          <w:rFonts w:ascii="Arial"/>
          <w:sz w:val="24"/>
          <w:b/>
          <w:i/>
          <w:color w:val="black"/>
        </w:rPr>
        <w:t xml:space="preserve"> </w:t>
      </w:r>
      <w:r>
        <w:rPr>
          <w:rFonts w:hAnsi="Arial"/>
          <w:rFonts w:ascii="Arial"/>
          <w:sz w:val="24"/>
          <w:color w:val="black"/>
        </w:rPr>
        <w:t xml:space="preserve">El Consejo de la Medalla Militar "San Rafael Arcángel",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del Ejército Nacional</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Estado Mayor del Ejército Nacional</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Jefe de Operaciones del Ejército Nacional</w:t>
      </w:r>
    </w:p>
    <w:p>
      <w:pPr>
        <w:jc w:val="both"/>
      </w:pPr>
      <w:rPr>
        <w:sz w:val="24"/>
        <w:color w:val="black"/>
      </w:rPr>
    </w:p>
    <w:p>
      <w:pPr>
        <w:jc w:val="both"/>
      </w:pPr>
      <w:r>
        <w:rPr>
          <w:rFonts w:hAnsi="Arial"/>
          <w:rFonts w:ascii="Arial"/>
          <w:sz w:val="24"/>
          <w:color w:val="black"/>
        </w:rPr>
        <w:t xml:space="preserve">Jefe de Desarrollo Humano del Ejército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Bienestar y Disciplina del Ejército Nacional</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5" w:name="2.3.1.3.6.31.5"/>
      <w:r>
        <w:rPr>
          <w:rFonts w:hAnsi="Arial"/>
          <w:rFonts w:ascii="Arial"/>
          <w:sz w:val="24"/>
          <w:color w:val="navy"/>
        </w:rPr>
        <w:t xml:space="preserve">ARTÍCULO 2.3.1.3.6.31.5. </w:t>
      </w:r>
      <w:r>
        <w:rPr>
          <w:rFonts w:hAnsi="Arial"/>
          <w:rFonts w:ascii="Arial"/>
          <w:sz w:val="24"/>
          <w:i/>
          <w:color w:val="navy"/>
        </w:rPr>
        <w:t>REQUISITOS.</w:t>
      </w:r>
      <w:bookmarkEnd w:id="60765"/>
      <w:r>
        <w:rPr>
          <w:rFonts w:hAnsi="Arial"/>
          <w:rFonts w:ascii="Arial"/>
          <w:sz w:val="24"/>
          <w:b/>
          <w:i/>
          <w:color w:val="black"/>
        </w:rPr>
        <w:t xml:space="preserve"> </w:t>
      </w:r>
      <w:r>
        <w:rPr>
          <w:rFonts w:hAnsi="Arial"/>
          <w:rFonts w:ascii="Arial"/>
          <w:sz w:val="24"/>
          <w:color w:val="black"/>
        </w:rPr>
        <w:t xml:space="preserve">Son requisitos mínimos necesarios para el otorgamiento de la medalla Militar "San Rafael Arcángel", los siguientes.</w:t>
      </w:r>
    </w:p>
    <w:p>
      <w:pPr>
        <w:jc w:val="both"/>
      </w:pPr>
      <w:rPr>
        <w:sz w:val="24"/>
        <w:color w:val="black"/>
      </w:rPr>
    </w:p>
    <w:p>
      <w:pPr>
        <w:jc w:val="both"/>
      </w:pPr>
      <w:r>
        <w:rPr>
          <w:rFonts w:hAnsi="Arial"/>
          <w:rFonts w:ascii="Arial"/>
          <w:sz w:val="24"/>
          <w:color w:val="black"/>
        </w:rPr>
        <w:t xml:space="preserve">a. Otorgamiento para particulares sin ningún tipo de vinculación pasada o presente con la institución.</w:t>
      </w:r>
    </w:p>
    <w:p>
      <w:pPr>
        <w:jc w:val="both"/>
      </w:pPr>
      <w:rPr>
        <w:sz w:val="24"/>
        <w:color w:val="black"/>
      </w:rPr>
    </w:p>
    <w:p>
      <w:pPr>
        <w:jc w:val="both"/>
      </w:pPr>
      <w:r>
        <w:rPr>
          <w:rFonts w:hAnsi="Arial"/>
          <w:rFonts w:ascii="Arial"/>
          <w:sz w:val="24"/>
          <w:color w:val="black"/>
        </w:rPr>
        <w:t xml:space="preserve">b. Demostración de una conducta caracterizada por su bondad, respeto y aprecio por el soldado del Ejército Nacional de Colombia, especialmente con los heridos en combate.</w:t>
      </w:r>
    </w:p>
    <w:p>
      <w:pPr>
        <w:jc w:val="both"/>
      </w:pPr>
      <w:rPr>
        <w:sz w:val="24"/>
        <w:color w:val="black"/>
      </w:rPr>
    </w:p>
    <w:p>
      <w:pPr>
        <w:jc w:val="both"/>
      </w:pPr>
      <w:r>
        <w:rPr>
          <w:rFonts w:hAnsi="Arial"/>
          <w:rFonts w:ascii="Arial"/>
          <w:sz w:val="24"/>
          <w:color w:val="black"/>
        </w:rPr>
        <w:t xml:space="preserve">c. Distinción excepcional, por el apoyo voluntario desinteresado y que hayan impactado notablemente en los procesos de recuperación médica, psicológica o social de los heridos en combate y/o familiares.</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6" w:name="2.3.1.3.6.31.6"/>
      <w:r>
        <w:rPr>
          <w:rFonts w:hAnsi="Arial"/>
          <w:rFonts w:ascii="Arial"/>
          <w:sz w:val="24"/>
          <w:color w:val="navy"/>
        </w:rPr>
        <w:t xml:space="preserve">ARTÍCULO 2.3.1.3.6.31.6. </w:t>
      </w:r>
      <w:r>
        <w:rPr>
          <w:rFonts w:hAnsi="Arial"/>
          <w:rFonts w:ascii="Arial"/>
          <w:sz w:val="24"/>
          <w:i/>
          <w:color w:val="navy"/>
        </w:rPr>
        <w:t>OTORGAMIENTO.</w:t>
      </w:r>
      <w:bookmarkEnd w:id="60766"/>
      <w:r>
        <w:rPr>
          <w:rFonts w:hAnsi="Arial"/>
          <w:rFonts w:ascii="Arial"/>
          <w:sz w:val="24"/>
          <w:b/>
          <w:i/>
          <w:color w:val="black"/>
        </w:rPr>
        <w:t xml:space="preserve"> </w:t>
      </w:r>
      <w:r>
        <w:rPr>
          <w:rFonts w:hAnsi="Arial"/>
          <w:rFonts w:ascii="Arial"/>
          <w:sz w:val="24"/>
          <w:color w:val="black"/>
        </w:rPr>
        <w:t xml:space="preserve">La medalla "San Rafael Arcángel", será conferida por una sola vez al personal postulado para dicha presea, previo cumplimiento de los requisitos establecidos en este decreto, que a consideración del Consejo de la Medalla se hagan merecedores de esta distinción, mediante Resolución expedida por el Comandante del Ejército Nacional.</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67" w:name="2.3.1.3.6.31.7"/>
      <w:r>
        <w:rPr>
          <w:rFonts w:hAnsi="Arial"/>
          <w:rFonts w:ascii="Arial"/>
          <w:sz w:val="24"/>
          <w:color w:val="navy"/>
        </w:rPr>
        <w:t xml:space="preserve">ARTÍCULO 2.3.1.3.6.31.7</w:t>
      </w:r>
      <w:r>
        <w:rPr>
          <w:rFonts w:hAnsi="Arial"/>
          <w:rFonts w:ascii="Arial"/>
          <w:sz w:val="24"/>
          <w:i/>
          <w:color w:val="navy"/>
        </w:rPr>
        <w:t xml:space="preserve">. IMPOSICIÓN.</w:t>
      </w:r>
      <w:bookmarkEnd w:id="60767"/>
      <w:r>
        <w:rPr>
          <w:rFonts w:hAnsi="Arial"/>
          <w:rFonts w:ascii="Arial"/>
          <w:sz w:val="24"/>
          <w:b/>
          <w:i/>
          <w:color w:val="black"/>
        </w:rPr>
        <w:t xml:space="preserve"> </w:t>
      </w:r>
      <w:r>
        <w:rPr>
          <w:rFonts w:hAnsi="Arial"/>
          <w:rFonts w:ascii="Arial"/>
          <w:sz w:val="24"/>
          <w:color w:val="black"/>
        </w:rPr>
        <w:t xml:space="preserve">La imposición de la medalla "San Rafael Arcángel", debe revestir la mayor solemnidad. Para la ceremonia se conformarán destacamentos de acuerdo con el reglamento de ceremonial militar y estará precedida por el señor Comandante del Ejército Nacional, quien impondrá la condecoración.</w:t>
      </w:r>
    </w:p>
    <w:p>
      <w:pPr>
        <w:jc w:val="both"/>
      </w:pPr>
      <w:rPr>
        <w:sz w:val="24"/>
        <w:color w:val="black"/>
      </w:rPr>
    </w:p>
    <w:p>
      <w:pPr>
        <w:jc w:val="both"/>
      </w:pPr>
      <w:r>
        <w:rPr>
          <w:rFonts w:hAnsi="Arial"/>
          <w:rFonts w:ascii="Arial"/>
          <w:sz w:val="24"/>
          <w:color w:val="black"/>
        </w:rPr>
        <w:t xml:space="preserve">La medalla será impuesta el día que el Comandante del Ejército Nacional estime conveniente de acuerdo al reglamento de Protocolo y Ceremonial Militar.</w:t>
      </w:r>
    </w:p>
    <w:p>
      <w:pPr>
        <w:jc w:val="both"/>
      </w:pPr>
      <w:rPr>
        <w:sz w:val="24"/>
        <w:color w:val="black"/>
      </w:rPr>
    </w:p>
    <w:p>
      <w:pPr>
        <w:jc w:val="both"/>
      </w:pPr>
      <w:r>
        <w:rPr>
          <w:rFonts w:hAnsi="Arial"/>
          <w:rFonts w:ascii="Arial"/>
          <w:sz w:val="24"/>
          <w:i/>
          <w:color w:val="black"/>
        </w:rPr>
        <w:t xml:space="preserve">(Decreto 2281 de 2012 artículo </w:t>
      </w:r>
      <w:r>
        <w:fldChar w:fldCharType="begin"/>
      </w:r>
      <w:r>
        <w:instrText>HYPERLINK "http://www.redjurista.com/document.aspx?ajcode=d2281012&amp;arts=8"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 y </w:t>
      </w:r>
      <w:r>
        <w:fldChar w:fldCharType="begin"/>
      </w:r>
      <w:r>
        <w:instrText>HYPERLINK "http://www.redjurista.com/document.aspx?ajcode=d2281012&amp;arts=12"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68" w:name="SUBSECCIÓN 2.3.1.3.6.32"/>
      <w:r>
        <w:rPr>
          <w:rFonts w:hAnsi="Arial"/>
          <w:rFonts w:ascii="Arial"/>
          <w:sz w:val="24"/>
          <w:color w:val="navy"/>
        </w:rPr>
        <w:t xml:space="preserve">SUBSECCIÓN 32. </w:t>
      </w:r>
    </w:p>
    <w:p>
      <w:pPr>
        <w:jc w:val="center"/>
      </w:pPr>
      <w:r>
        <w:rPr>
          <w:rFonts w:hAnsi="Arial"/>
          <w:rFonts w:ascii="Arial"/>
          <w:sz w:val="24"/>
          <w:color w:val="navy"/>
        </w:rPr>
        <w:t xml:space="preserve">MEDALLA MILITAR "GUARDIA DE HONOR DE COLOMBIA".</w:t>
      </w:r>
      <w:bookmarkEnd w:id="607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69" w:name="2.3.1.3.6.32.1"/>
      <w:r>
        <w:rPr>
          <w:rFonts w:hAnsi="Arial"/>
          <w:rFonts w:ascii="Arial"/>
          <w:sz w:val="24"/>
          <w:color w:val="navy"/>
        </w:rPr>
        <w:t xml:space="preserve">ARTÍCULO 2.3.1.3.6.32.1. </w:t>
      </w:r>
      <w:r>
        <w:rPr>
          <w:rFonts w:hAnsi="Arial"/>
          <w:rFonts w:ascii="Arial"/>
          <w:sz w:val="24"/>
          <w:i/>
          <w:color w:val="navy"/>
        </w:rPr>
        <w:t>ORIGEN.</w:t>
      </w:r>
      <w:bookmarkEnd w:id="60769"/>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"http://www.redjurista.com/document.aspx?ajcode=d1599014&amp;arts=INICIO"</w:instrText>
      </w:r>
      <w:r>
        <w:fldChar w:fldCharType="separate"/>
      </w:r>
      <w:r>
        <w:rPr>
          <w:rFonts w:hAnsi="Arial"/>
          <w:rFonts w:ascii="Arial"/>
          <w:sz w:val="24"/>
          <w:u w:val="single"/>
          <w:color w:val="black"/>
        </w:rPr>
        <w:t>1599</w:t>
      </w:r>
      <w:r>
        <w:fldChar w:fldCharType="end"/>
      </w:r>
      <w:r>
        <w:rPr>
          <w:rFonts w:hAnsi="Arial"/>
          <w:rFonts w:ascii="Arial"/>
          <w:sz w:val="24"/>
          <w:u w:val="none"/>
          <w:color w:val="black"/>
        </w:rPr>
        <w:t xml:space="preserve"> de 2014, para premiar al personal de Oficiales, Suboficiales, Soldados y Civiles, que por su consagración al trabajo, espíritu de cuerpo, Ética Militar y eminentes servicios a la institución, coadyuvan al fortalecimiento y grandeza de la Escuela de Fuerzas Especiales, como al mantenimiento de la Democracia a Nivel Nacional. Así mismo para el personal militar en uso de buen retiro, a personalidades nacionales y extranjeras y entidades públicas o privadas que presten sus servicios meritorios en beneficio de la Escuela de Fuerzas Especiales.</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0" w:name="2.3.1.3.6.32.2"/>
      <w:r>
        <w:rPr>
          <w:rFonts w:hAnsi="Arial"/>
          <w:rFonts w:ascii="Arial"/>
          <w:sz w:val="24"/>
          <w:color w:val="navy"/>
        </w:rPr>
        <w:t xml:space="preserve">ARTÍCULO 2.3.1.3.6.32.2. </w:t>
      </w:r>
      <w:r>
        <w:rPr>
          <w:rFonts w:hAnsi="Arial"/>
          <w:rFonts w:ascii="Arial"/>
          <w:sz w:val="24"/>
          <w:i/>
          <w:color w:val="navy"/>
        </w:rPr>
        <w:t>CATEGORÍAS.</w:t>
      </w:r>
      <w:bookmarkEnd w:id="60770"/>
      <w:r>
        <w:rPr>
          <w:rFonts w:hAnsi="Arial"/>
          <w:rFonts w:ascii="Arial"/>
          <w:sz w:val="24"/>
          <w:b/>
          <w:i/>
          <w:color w:val="black"/>
        </w:rPr>
        <w:t xml:space="preserve"> </w:t>
      </w:r>
      <w:r>
        <w:rPr>
          <w:rFonts w:hAnsi="Arial"/>
          <w:rFonts w:ascii="Arial"/>
          <w:sz w:val="24"/>
          <w:color w:val="black"/>
        </w:rPr>
        <w:t xml:space="preserve">La Medalla Militar "GUARDIA DE HONOR DE COLOMBIA" del Ejército Nacional, tendrá tres (03) Categorías, y se podrán conceder de la siguiente manera:</w:t>
      </w:r>
    </w:p>
    <w:p>
      <w:pPr>
        <w:jc w:val="both"/>
      </w:pPr>
      <w:rPr>
        <w:sz w:val="24"/>
        <w:color w:val="black"/>
      </w:rPr>
    </w:p>
    <w:p>
      <w:pPr>
        <w:jc w:val="both"/>
      </w:pPr>
      <w:r>
        <w:rPr>
          <w:rFonts w:hAnsi="Arial"/>
          <w:rFonts w:ascii="Arial"/>
          <w:sz w:val="24"/>
          <w:color w:val="black"/>
        </w:rPr>
        <w:t xml:space="preserve">1. Categoría "Honoraria":</w:t>
      </w:r>
    </w:p>
    <w:p>
      <w:pPr>
        <w:jc w:val="both"/>
      </w:pPr>
      <w:rPr>
        <w:sz w:val="24"/>
        <w:color w:val="black"/>
      </w:rPr>
    </w:p>
    <w:p>
      <w:pPr>
        <w:jc w:val="both"/>
      </w:pPr>
      <w:r>
        <w:rPr>
          <w:rFonts w:hAnsi="Arial"/>
          <w:rFonts w:ascii="Arial"/>
          <w:sz w:val="24"/>
          <w:color w:val="black"/>
        </w:rPr>
        <w:t xml:space="preserve">a) A los Oficiales de las armas y administrativos que sean ascendidos al grado de Brigadier General.</w:t>
      </w:r>
    </w:p>
    <w:p>
      <w:pPr>
        <w:jc w:val="both"/>
      </w:pPr>
      <w:rPr>
        <w:sz w:val="24"/>
        <w:color w:val="black"/>
      </w:rPr>
    </w:p>
    <w:p>
      <w:pPr>
        <w:jc w:val="both"/>
      </w:pPr>
      <w:r>
        <w:rPr>
          <w:rFonts w:hAnsi="Arial"/>
          <w:rFonts w:ascii="Arial"/>
          <w:sz w:val="24"/>
          <w:color w:val="black"/>
        </w:rPr>
        <w:t xml:space="preserve">b) A los Suboficiales de las armas y administrativos que sean ascendidos al grado de Sargento Mayor de Comando y ostenten el cargo de Asesor de Comando del Ejército Nacional.</w:t>
      </w:r>
    </w:p>
    <w:p>
      <w:pPr>
        <w:jc w:val="both"/>
      </w:pPr>
      <w:rPr>
        <w:sz w:val="24"/>
        <w:color w:val="black"/>
      </w:rPr>
    </w:p>
    <w:p>
      <w:pPr>
        <w:jc w:val="both"/>
      </w:pPr>
      <w:r>
        <w:rPr>
          <w:rFonts w:hAnsi="Arial"/>
          <w:rFonts w:ascii="Arial"/>
          <w:sz w:val="24"/>
          <w:color w:val="black"/>
        </w:rPr>
        <w:t xml:space="preserve">c) A los Oficiales Extranjeros en servicio activo y particulares que hayan colaborado al prestigio y progreso de la Unidad o que por su posición oficial, jerarquía o méritos personales se hagan acreedores a la distinción.</w:t>
      </w:r>
    </w:p>
    <w:p>
      <w:pPr>
        <w:jc w:val="both"/>
      </w:pPr>
      <w:rPr>
        <w:sz w:val="24"/>
        <w:color w:val="black"/>
      </w:rPr>
    </w:p>
    <w:p>
      <w:pPr>
        <w:jc w:val="both"/>
      </w:pPr>
      <w:r>
        <w:rPr>
          <w:rFonts w:hAnsi="Arial"/>
          <w:rFonts w:ascii="Arial"/>
          <w:sz w:val="24"/>
          <w:color w:val="black"/>
        </w:rPr>
        <w:t xml:space="preserve">d) En forma póstuma al personal de oficiales, suboficiales, soldados profesionales de las Fuerzas Militares y personal militar extranjero que en cumplimiento de una misión de operaciones especiales, sea muerto en combate o por acción directa del enemigo.</w:t>
      </w:r>
    </w:p>
    <w:p>
      <w:pPr>
        <w:jc w:val="both"/>
      </w:pPr>
      <w:rPr>
        <w:sz w:val="24"/>
        <w:color w:val="black"/>
      </w:rPr>
    </w:p>
    <w:p>
      <w:pPr>
        <w:jc w:val="both"/>
      </w:pPr>
      <w:r>
        <w:rPr>
          <w:rFonts w:hAnsi="Arial"/>
          <w:rFonts w:ascii="Arial"/>
          <w:sz w:val="24"/>
          <w:color w:val="black"/>
        </w:rPr>
        <w:t xml:space="preserve">2. Categoría "Servicios Distinguidos";</w:t>
      </w:r>
    </w:p>
    <w:p>
      <w:pPr>
        <w:jc w:val="both"/>
      </w:pPr>
      <w:rPr>
        <w:sz w:val="24"/>
        <w:color w:val="black"/>
      </w:rPr>
    </w:p>
    <w:p>
      <w:pPr>
        <w:jc w:val="both"/>
      </w:pPr>
      <w:r>
        <w:rPr>
          <w:rFonts w:hAnsi="Arial"/>
          <w:rFonts w:ascii="Arial"/>
          <w:sz w:val="24"/>
          <w:color w:val="black"/>
        </w:rPr>
        <w:t xml:space="preserve">a) A los Oficiales, Suboficiales, Soldados Profesionales y Civiles al servicio de la Escuela de Fuerzas Especiales, que se hayan destacado por sus servicios eminentes a la patria, compañerismo, disciplina, consagración al trabajo y sobresaliente desempeño durante su permanencia en la Unidad, durante un lapso no inferior a 18 meses exceptuando a los Oficiales Superiores, Sargentos Mayores y Sargentos Primeros los cuales deberán cumplir un lapso no inferior a 12 meses, y a los soldados profesionales y civiles que hayan prestado sus servicios a la Escuela de Fuerzas Especiales por un tiempo continuo igual o superior a cinco (05) años.</w:t>
      </w:r>
    </w:p>
    <w:p>
      <w:pPr>
        <w:jc w:val="both"/>
      </w:pPr>
      <w:rPr>
        <w:sz w:val="24"/>
        <w:color w:val="black"/>
      </w:rPr>
    </w:p>
    <w:p>
      <w:pPr>
        <w:jc w:val="both"/>
      </w:pPr>
      <w:r>
        <w:rPr>
          <w:rFonts w:hAnsi="Arial"/>
          <w:rFonts w:ascii="Arial"/>
          <w:sz w:val="24"/>
          <w:color w:val="black"/>
        </w:rPr>
        <w:t xml:space="preserve">b) A los Oficiales, Suboficiales y Soldados Profesionales de unidades de Fuerzas Especiales, que hayan participado en operaciones de Fuerzas Especiales con excelentes resultados.</w:t>
      </w:r>
    </w:p>
    <w:p>
      <w:pPr>
        <w:jc w:val="both"/>
      </w:pPr>
      <w:rPr>
        <w:sz w:val="24"/>
        <w:color w:val="black"/>
      </w:rPr>
    </w:p>
    <w:p>
      <w:pPr>
        <w:jc w:val="both"/>
      </w:pPr>
      <w:r>
        <w:rPr>
          <w:rFonts w:hAnsi="Arial"/>
          <w:rFonts w:ascii="Arial"/>
          <w:sz w:val="24"/>
          <w:color w:val="black"/>
        </w:rPr>
        <w:t xml:space="preserve">c) Al Comandante de la Escuela que en el desempeño de su cargo, habiendo mantenido un ejemplar e intachable desempeño, junto con sus realizaciones de sobresaliente beneficio para la Unidad; así como su celo por estrechar los lazos de compañerismo y solidaridad entre el personal bajo su mando. Esta será otorgada igualmente para el personal de Oficiales Ex directores, debiendo estar en servicio activo para la fecha de la imposición.</w:t>
      </w:r>
    </w:p>
    <w:p>
      <w:pPr>
        <w:jc w:val="both"/>
      </w:pPr>
      <w:rPr>
        <w:sz w:val="24"/>
        <w:color w:val="black"/>
      </w:rPr>
    </w:p>
    <w:p>
      <w:pPr>
        <w:jc w:val="both"/>
      </w:pPr>
      <w:r>
        <w:rPr>
          <w:rFonts w:hAnsi="Arial"/>
          <w:rFonts w:ascii="Arial"/>
          <w:sz w:val="24"/>
          <w:color w:val="black"/>
        </w:rPr>
        <w:t xml:space="preserve">d) A Oficiales de las Fuerzas Militares en servicio activo, que hayan prestado distinguidos servicios a la Unidad y que por su jerarquía y merito se hagan acreedores a la medalla.</w:t>
      </w:r>
    </w:p>
    <w:p>
      <w:pPr>
        <w:jc w:val="both"/>
      </w:pPr>
      <w:rPr>
        <w:sz w:val="24"/>
        <w:color w:val="black"/>
      </w:rPr>
    </w:p>
    <w:p>
      <w:pPr>
        <w:jc w:val="both"/>
      </w:pPr>
      <w:r>
        <w:rPr>
          <w:rFonts w:hAnsi="Arial"/>
          <w:rFonts w:ascii="Arial"/>
          <w:sz w:val="24"/>
          <w:color w:val="black"/>
        </w:rPr>
        <w:t xml:space="preserve">e) Al personal particular y a entidades oficiales o particulares, que a consideración del Consejo de la Medalla se hagan merecedores a esta distinción por su decisiva colaboración y apoyo al cumplimiento de la misión de la Escuela de Fuerzas Especiales.</w:t>
      </w:r>
    </w:p>
    <w:p>
      <w:pPr>
        <w:jc w:val="both"/>
      </w:pPr>
      <w:rPr>
        <w:sz w:val="24"/>
        <w:color w:val="black"/>
      </w:rPr>
    </w:p>
    <w:p>
      <w:pPr>
        <w:jc w:val="both"/>
      </w:pPr>
      <w:r>
        <w:rPr>
          <w:rFonts w:hAnsi="Arial"/>
          <w:rFonts w:ascii="Arial"/>
          <w:sz w:val="24"/>
          <w:color w:val="black"/>
        </w:rPr>
        <w:t xml:space="preserve">3. Categoría "Académica":</w:t>
      </w:r>
    </w:p>
    <w:p>
      <w:pPr>
        <w:jc w:val="both"/>
      </w:pPr>
      <w:rPr>
        <w:sz w:val="24"/>
        <w:color w:val="black"/>
      </w:rPr>
    </w:p>
    <w:p>
      <w:pPr>
        <w:jc w:val="both"/>
      </w:pPr>
      <w:r>
        <w:rPr>
          <w:rFonts w:hAnsi="Arial"/>
          <w:rFonts w:ascii="Arial"/>
          <w:sz w:val="24"/>
          <w:color w:val="black"/>
        </w:rPr>
        <w:t xml:space="preserve">a) A los alumnos que ocupen el primer puesto general en el desarrollo del Curso de Fuerzas Especiales.</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1" w:name="2.3.1.3.6.32.3"/>
      <w:r>
        <w:rPr>
          <w:rFonts w:hAnsi="Arial"/>
          <w:rFonts w:ascii="Arial"/>
          <w:sz w:val="24"/>
          <w:color w:val="navy"/>
        </w:rPr>
        <w:t xml:space="preserve">ARTÍCULO 2.3.1.3.6.32.3. </w:t>
      </w:r>
      <w:r>
        <w:rPr>
          <w:rFonts w:hAnsi="Arial"/>
          <w:rFonts w:ascii="Arial"/>
          <w:sz w:val="24"/>
          <w:i/>
          <w:color w:val="navy"/>
        </w:rPr>
        <w:t xml:space="preserve">CARACTERÍSTICAS DE LAS JOYAS EN CADA CATEGORÍA.</w:t>
      </w:r>
      <w:bookmarkEnd w:id="60771"/>
      <w:r>
        <w:rPr>
          <w:rFonts w:hAnsi="Arial"/>
          <w:rFonts w:ascii="Arial"/>
          <w:sz w:val="24"/>
          <w:b/>
          <w:i/>
          <w:color w:val="black"/>
        </w:rPr>
        <w:t xml:space="preserve"> </w:t>
      </w:r>
      <w:r>
        <w:rPr>
          <w:rFonts w:hAnsi="Arial"/>
          <w:rFonts w:ascii="Arial"/>
          <w:sz w:val="24"/>
          <w:color w:val="black"/>
        </w:rPr>
        <w:t xml:space="preserve">Categoría "Honoraria", La joya consta de una estrella en esmalte dorado escoltada y protegida por dos (2) flechas cruzadas en color plata con un diámetro total de ochenta y cuatro (84) milímetros de ancho, por sesenta y cinco (65) milímetros de largo, al frente de la joya estará fijado el escudo de armas de la Escuela de Fuerzas Especiales en color bronce antiguo y al respaldo de la estrella estará fijado el distintivo de Fuerzas Especiales. La joya va suspendida de tres (3) argollas, dos de ocho (8) milímetros de diámetro y una en el medio de cuatro (4) milímetros de diámetro, a una cinta de cuarenta (40) milímetros de ancho, por cincuenta y cinco (55) milímetros de largo de color negra, en cuyo centro y en forma vertical mantendrá ocho (8) franjas verticales, representando los colores de las diferentes armas del Ejército Nacional, coronará la cinta la leyenda "COMANDO".</w:t>
      </w:r>
    </w:p>
    <w:p>
      <w:pPr>
        <w:jc w:val="both"/>
      </w:pPr>
      <w:rPr>
        <w:sz w:val="24"/>
        <w:color w:val="black"/>
      </w:rPr>
    </w:p>
    <w:p>
      <w:pPr>
        <w:jc w:val="both"/>
      </w:pPr>
      <w:r>
        <w:rPr>
          <w:rFonts w:hAnsi="Arial"/>
          <w:rFonts w:ascii="Arial"/>
          <w:sz w:val="24"/>
          <w:color w:val="black"/>
        </w:rPr>
        <w:t xml:space="preserve">Categoría "Servicios Distinguidos". La joya en categoría Servicios Distinguidos conservará las mismas características de la joya en categoría Honoraria, solo que a esta se le agrega en la cinta y en la venera, dos flechas en color plata y cruzadas.</w:t>
      </w:r>
    </w:p>
    <w:p>
      <w:pPr>
        <w:jc w:val="both"/>
      </w:pPr>
      <w:rPr>
        <w:sz w:val="24"/>
        <w:color w:val="black"/>
      </w:rPr>
    </w:p>
    <w:p>
      <w:pPr>
        <w:jc w:val="both"/>
      </w:pPr>
      <w:r>
        <w:rPr>
          <w:rFonts w:hAnsi="Arial"/>
          <w:rFonts w:ascii="Arial"/>
          <w:sz w:val="24"/>
          <w:color w:val="black"/>
        </w:rPr>
        <w:t xml:space="preserve">Categoría "Académica". La joya en categoría Académica conservará las mismas características de la joya en categoría Honoraria, solo que a esta se le agrega en la cinta y en la venera, una estrella dorada de cinco (5) puntas.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réplicas serán condecoraciones similares a las joyas descritas anteriormente, pero reducidas a quince (15) milímetros, la cual irá suspendida de una cinta con los mismos colores de la establecida para la joya, tendrá quince (15) milímetros de ancho, por treinta y cinco (35) milímetros de largo, y en el centro ostentará la respectiva categoría.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metálica de cuarenta (40) milímetros de largo por diez (10) milímetros de ancho con los mismos colores y detalles de la cinta de la joya establecidos en cada una de las categorías.</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2" w:name="2.3.1.3.6.32.4"/>
      <w:r>
        <w:rPr>
          <w:rFonts w:hAnsi="Arial"/>
          <w:rFonts w:ascii="Arial"/>
          <w:sz w:val="24"/>
          <w:color w:val="navy"/>
        </w:rPr>
        <w:t xml:space="preserve">ARTÍCULO 2.3.1.3.6.32.4. </w:t>
      </w:r>
      <w:r>
        <w:rPr>
          <w:rFonts w:hAnsi="Arial"/>
          <w:rFonts w:ascii="Arial"/>
          <w:sz w:val="24"/>
          <w:i/>
          <w:color w:val="navy"/>
        </w:rPr>
        <w:t>CONSEJO.</w:t>
      </w:r>
      <w:bookmarkEnd w:id="60772"/>
      <w:r>
        <w:rPr>
          <w:rFonts w:hAnsi="Arial"/>
          <w:rFonts w:ascii="Arial"/>
          <w:sz w:val="24"/>
          <w:b/>
          <w:i/>
          <w:color w:val="black"/>
        </w:rPr>
        <w:t xml:space="preserve"> </w:t>
      </w:r>
      <w:r>
        <w:rPr>
          <w:rFonts w:hAnsi="Arial"/>
          <w:rFonts w:ascii="Arial"/>
          <w:sz w:val="24"/>
          <w:color w:val="black"/>
        </w:rPr>
        <w:t xml:space="preserve">El Consejo de la Medalla Militar "Guardia de Honor de Colombia",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Director de la Escuela de Fuerzas Especiales.</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El Subdirector de la Escuela de Fuerzas Especiales.</w:t>
      </w:r>
    </w:p>
    <w:p>
      <w:pPr>
        <w:jc w:val="both"/>
      </w:pPr>
      <w:rPr>
        <w:sz w:val="24"/>
        <w:color w:val="black"/>
      </w:rPr>
    </w:p>
    <w:p>
      <w:pPr>
        <w:jc w:val="both"/>
      </w:pPr>
      <w:r>
        <w:rPr>
          <w:rFonts w:hAnsi="Arial"/>
          <w:rFonts w:ascii="Arial"/>
          <w:sz w:val="24"/>
          <w:b/>
          <w:color w:val="black"/>
        </w:rPr>
        <w:t xml:space="preserve">Secretarios: </w:t>
      </w:r>
      <w:r>
        <w:rPr>
          <w:rFonts w:hAnsi="Arial"/>
          <w:rFonts w:ascii="Arial"/>
          <w:sz w:val="24"/>
          <w:color w:val="black"/>
        </w:rPr>
        <w:t xml:space="preserve">El Inspector de Estudios de la Escuela de Fuerzas Especiales</w:t>
      </w:r>
    </w:p>
    <w:p>
      <w:pPr>
        <w:jc w:val="both"/>
      </w:pPr>
      <w:rPr>
        <w:sz w:val="24"/>
        <w:color w:val="black"/>
      </w:rPr>
    </w:p>
    <w:p>
      <w:pPr>
        <w:jc w:val="both"/>
      </w:pPr>
      <w:r>
        <w:rPr>
          <w:rFonts w:hAnsi="Arial"/>
          <w:rFonts w:ascii="Arial"/>
          <w:sz w:val="24"/>
          <w:color w:val="black"/>
        </w:rPr>
        <w:t xml:space="preserve">El Jefe de Desarrollo Humano de la Escuela de Fuerzas Especiales.</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3" w:name="2.3.1.3.6.32.5"/>
      <w:r>
        <w:rPr>
          <w:rFonts w:hAnsi="Arial"/>
          <w:rFonts w:ascii="Arial"/>
          <w:sz w:val="24"/>
          <w:color w:val="navy"/>
        </w:rPr>
        <w:t xml:space="preserve">ARTÍCULO 2.3.1.3.6.32.5. </w:t>
      </w:r>
      <w:r>
        <w:rPr>
          <w:rFonts w:hAnsi="Arial"/>
          <w:rFonts w:ascii="Arial"/>
          <w:sz w:val="24"/>
          <w:i/>
          <w:color w:val="navy"/>
        </w:rPr>
        <w:t>REQUISITOS.</w:t>
      </w:r>
      <w:bookmarkEnd w:id="60773"/>
      <w:r>
        <w:rPr>
          <w:rFonts w:hAnsi="Arial"/>
          <w:rFonts w:ascii="Arial"/>
          <w:sz w:val="24"/>
          <w:b/>
          <w:i/>
          <w:color w:val="black"/>
        </w:rPr>
        <w:t xml:space="preserve"> </w:t>
      </w:r>
      <w:r>
        <w:rPr>
          <w:rFonts w:hAnsi="Arial"/>
          <w:rFonts w:ascii="Arial"/>
          <w:sz w:val="24"/>
          <w:color w:val="black"/>
        </w:rPr>
        <w:t xml:space="preserve">La condecoración se otorgará conforme a lo establecido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4" w:name="2.3.1.3.6.32.6"/>
      <w:r>
        <w:rPr>
          <w:rFonts w:hAnsi="Arial"/>
          <w:rFonts w:ascii="Arial"/>
          <w:sz w:val="24"/>
          <w:color w:val="navy"/>
        </w:rPr>
        <w:t xml:space="preserve">ARTÍCULO 2.3.1.3.6.32.6. </w:t>
      </w:r>
      <w:r>
        <w:rPr>
          <w:rFonts w:hAnsi="Arial"/>
          <w:rFonts w:ascii="Arial"/>
          <w:sz w:val="24"/>
          <w:i/>
          <w:color w:val="navy"/>
        </w:rPr>
        <w:t>DIPLOMA.</w:t>
      </w:r>
      <w:bookmarkEnd w:id="60774"/>
      <w:r>
        <w:rPr>
          <w:rFonts w:hAnsi="Arial"/>
          <w:rFonts w:ascii="Arial"/>
          <w:sz w:val="24"/>
          <w:b/>
          <w:i/>
          <w:color w:val="black"/>
        </w:rPr>
        <w:t xml:space="preserve"> </w:t>
      </w:r>
      <w:r>
        <w:rPr>
          <w:rFonts w:hAnsi="Arial"/>
          <w:rFonts w:ascii="Arial"/>
          <w:sz w:val="24"/>
          <w:color w:val="black"/>
        </w:rPr>
        <w:t xml:space="preserve">Cada medalla va acompañada de un diploma credencial correspondiente a la medalla. Deben ser elaborados en papel pergamino o cartulina blanca, de las siguientes dimensiones; treinta y cinco centímetros de largo por veinticinco de ancho, con el dibujo del adverso de la medalla en la parte superior izquierda y el reverso en la parte superior derecha.</w:t>
      </w:r>
    </w:p>
    <w:p>
      <w:pPr>
        <w:jc w:val="center"/>
      </w:pPr>
      <w:r>
        <w:drawing>
          <wp:inline distT="0" distB="0" distL="0" distR="0">
            <wp:extent cx="3749040" cy="1988820"/>
            <wp:docPr id="17" name=""/>
            <a:graphic xmlns:a="http://schemas.openxmlformats.org/drawingml/2006/main">
              <a:graphicData uri="http://schemas.openxmlformats.org/drawingml/2006/picture">
                <pic:pic xmlns:pic="http://schemas.openxmlformats.org/drawingml/2006/picture">
                  <pic:nvPicPr>
                    <pic:cNvPr id="16" name="Picture "/>
                    <pic:cNvPicPr/>
                  </pic:nvPicPr>
                  <pic:blipFill>
                    <a:blip r:embed="id16"/>
                    <a:stretch>
                      <a:fillRect/>
                    </a:stretch>
                  </pic:blipFill>
                  <pic:spPr>
                    <a:xfrm>
                      <a:off x="0" y="0"/>
                      <a:ext cx="3749040" cy="198882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5" w:name="2.3.1.3.6.32.7"/>
      <w:r>
        <w:rPr>
          <w:rFonts w:hAnsi="Arial"/>
          <w:rFonts w:ascii="Arial"/>
          <w:sz w:val="24"/>
          <w:color w:val="navy"/>
        </w:rPr>
        <w:t xml:space="preserve">ARTÍCULO 2.3.1.3.6.32.7. </w:t>
      </w:r>
      <w:r>
        <w:rPr>
          <w:rFonts w:hAnsi="Arial"/>
          <w:rFonts w:ascii="Arial"/>
          <w:sz w:val="24"/>
          <w:i/>
          <w:color w:val="navy"/>
        </w:rPr>
        <w:t>OTORGAMIENTO.</w:t>
      </w:r>
      <w:bookmarkEnd w:id="60775"/>
      <w:r>
        <w:rPr>
          <w:rFonts w:hAnsi="Arial"/>
          <w:rFonts w:ascii="Arial"/>
          <w:sz w:val="24"/>
          <w:b/>
          <w:i/>
          <w:color w:val="black"/>
        </w:rPr>
        <w:t xml:space="preserve"> </w:t>
      </w:r>
      <w:r>
        <w:rPr>
          <w:rFonts w:hAnsi="Arial"/>
          <w:rFonts w:ascii="Arial"/>
          <w:sz w:val="24"/>
          <w:color w:val="black"/>
        </w:rPr>
        <w:t xml:space="preserve">La Medalla Militar "Guardia de Honor de Colombia" del Ejército Nacional, será conferida por una sola vez al personal postulado para dicha presea previo cumplimiento de los requisitos establecidos para el efecto y que a consideración del Concejo de la Medalla se hagan merecedores de esta distinción mediante resolución expedida por el Comandante del Ejército Nacional.</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6" w:name="2.3.1.3.6.32.8"/>
      <w:r>
        <w:rPr>
          <w:rFonts w:hAnsi="Arial"/>
          <w:rFonts w:ascii="Arial"/>
          <w:sz w:val="24"/>
          <w:color w:val="navy"/>
        </w:rPr>
        <w:t xml:space="preserve">ARTÍCULO 2.3.1.3.6.32.8. </w:t>
      </w:r>
      <w:r>
        <w:rPr>
          <w:rFonts w:hAnsi="Arial"/>
          <w:rFonts w:ascii="Arial"/>
          <w:sz w:val="24"/>
          <w:i/>
          <w:color w:val="navy"/>
        </w:rPr>
        <w:t>IMPOSICIÓN.</w:t>
      </w:r>
      <w:bookmarkEnd w:id="60776"/>
      <w:r>
        <w:rPr>
          <w:rFonts w:hAnsi="Arial"/>
          <w:rFonts w:ascii="Arial"/>
          <w:sz w:val="24"/>
          <w:b/>
          <w:i/>
          <w:color w:val="black"/>
        </w:rPr>
        <w:t xml:space="preserve"> </w:t>
      </w:r>
      <w:r>
        <w:rPr>
          <w:rFonts w:hAnsi="Arial"/>
          <w:rFonts w:ascii="Arial"/>
          <w:sz w:val="24"/>
          <w:color w:val="black"/>
        </w:rPr>
        <w:t xml:space="preserve">Además de lo establecido en el artículo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Medalla Militar "Guardia de Honor de Colombia" del Ejército Nacional será impuesta el 26 de agosto de cada año, día del aniversario de la activación de la Escuela de Fuerzas Especiales.</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Medalla Militar "GUARDIA DE HONOR DE COLOMBIA" del Ejército Nacional, será impuesta al agraciado en Ceremonia especial conforme lo determina el Reglamento de Ceremonial Militar.</w:t>
      </w:r>
    </w:p>
    <w:p>
      <w:pPr>
        <w:jc w:val="both"/>
      </w:pPr>
      <w:rPr>
        <w:sz w:val="24"/>
        <w:color w:val="black"/>
      </w:rPr>
    </w:p>
    <w:p>
      <w:pPr>
        <w:jc w:val="both"/>
      </w:pPr>
      <w:r>
        <w:rPr>
          <w:rFonts w:hAnsi="Arial"/>
          <w:rFonts w:ascii="Arial"/>
          <w:sz w:val="24"/>
          <w:i/>
          <w:color w:val="black"/>
        </w:rPr>
        <w:t xml:space="preserve">(Decreto 1599 de 2014 artículo </w:t>
      </w:r>
      <w:r>
        <w:fldChar w:fldCharType="begin"/>
      </w:r>
      <w:r>
        <w:instrText>HYPERLINK "http://www.redjurista.com/document.aspx?ajcode=d1599014&amp;arts=8"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777" w:name="SUBSECCIÓN 2.3.1.3.6.33"/>
      <w:r>
        <w:rPr>
          <w:rFonts w:hAnsi="Arial"/>
          <w:rFonts w:ascii="Arial"/>
          <w:sz w:val="24"/>
          <w:color w:val="navy"/>
        </w:rPr>
        <w:t xml:space="preserve">SUBSECCIÓN 33. </w:t>
      </w:r>
    </w:p>
    <w:p>
      <w:pPr>
        <w:jc w:val="center"/>
      </w:pPr>
      <w:r>
        <w:rPr>
          <w:rFonts w:hAnsi="Arial"/>
          <w:rFonts w:ascii="Arial"/>
          <w:sz w:val="24"/>
          <w:color w:val="navy"/>
        </w:rPr>
        <w:t xml:space="preserve">MEDALLA MILITAR "SERVICIOS DISTINGUIDOS EN OPERACIONES CONTRA EL NARCOTRÁFICO EN CATEGORÍA ÚNICA".</w:t>
      </w:r>
      <w:bookmarkEnd w:id="607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78" w:name="2.3.1.3.6.33.1"/>
      <w:r>
        <w:rPr>
          <w:rFonts w:hAnsi="Arial"/>
          <w:rFonts w:ascii="Arial"/>
          <w:sz w:val="24"/>
          <w:color w:val="navy"/>
        </w:rPr>
        <w:t xml:space="preserve">ARTÍCULO 2.3.1.3.6.33.1. </w:t>
      </w:r>
      <w:r>
        <w:rPr>
          <w:rFonts w:hAnsi="Arial"/>
          <w:rFonts w:ascii="Arial"/>
          <w:sz w:val="24"/>
          <w:i/>
          <w:color w:val="navy"/>
        </w:rPr>
        <w:t>ORIGEN.</w:t>
      </w:r>
      <w:bookmarkEnd w:id="60778"/>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"http://www.redjurista.com/document.aspx?ajcode=d1096014&amp;arts=INICIO"</w:instrText>
      </w:r>
      <w:r>
        <w:fldChar w:fldCharType="separate"/>
      </w:r>
      <w:r>
        <w:rPr>
          <w:rFonts w:hAnsi="Arial"/>
          <w:rFonts w:ascii="Arial"/>
          <w:sz w:val="24"/>
          <w:u w:val="single"/>
          <w:color w:val="black"/>
        </w:rPr>
        <w:t>1096</w:t>
      </w:r>
      <w:r>
        <w:fldChar w:fldCharType="end"/>
      </w:r>
      <w:r>
        <w:rPr>
          <w:rFonts w:hAnsi="Arial"/>
          <w:rFonts w:ascii="Arial"/>
          <w:sz w:val="24"/>
          <w:u w:val="none"/>
          <w:color w:val="black"/>
        </w:rPr>
        <w:t xml:space="preserve"> de 2014 para exaltar a miembros activos y retirados de las Fuerzas Militares y de la Policía Nacional, que se hayan destacado con su participación en operaciones contra el narcotráfico; así como, a las autoridades civiles, servidores públicos, funcionarios de entidades particulares, personal militar y civil extranjero que con su trabajo, colaboración y apoyo, han coadyuvado de manera sobresaliente en el cumplimiento de la lucha contra el narcotráfico.</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79" w:name="2.3.1.3.6.33.2"/>
      <w:r>
        <w:rPr>
          <w:rFonts w:hAnsi="Arial"/>
          <w:rFonts w:ascii="Arial"/>
          <w:sz w:val="24"/>
          <w:color w:val="navy"/>
        </w:rPr>
        <w:t xml:space="preserve">ARTÍCULO 2.3.1.3.6.33.2. </w:t>
      </w:r>
      <w:r>
        <w:rPr>
          <w:rFonts w:hAnsi="Arial"/>
          <w:rFonts w:ascii="Arial"/>
          <w:sz w:val="24"/>
          <w:i/>
          <w:color w:val="navy"/>
        </w:rPr>
        <w:t>CARACTERÍSTICAS.</w:t>
      </w:r>
      <w:bookmarkEnd w:id="60779"/>
      <w:r>
        <w:rPr>
          <w:rFonts w:hAnsi="Arial"/>
          <w:rFonts w:ascii="Arial"/>
          <w:sz w:val="24"/>
          <w:b/>
          <w:i/>
          <w:color w:val="black"/>
        </w:rPr>
        <w:t xml:space="preserve"> </w:t>
      </w:r>
      <w:r>
        <w:rPr>
          <w:rFonts w:hAnsi="Arial"/>
          <w:rFonts w:ascii="Arial"/>
          <w:sz w:val="24"/>
          <w:color w:val="black"/>
        </w:rPr>
        <w:t xml:space="preserve">La joya será una circunferencia de 35mm de diámetro en dorado brillante. ANVERSO: En el centro de la joya el escudo de la Brigada Especial Contra el Narcotráfico en sus colores originales, alto relieve y fondo azul rey, rodeado por la leyenda "Servicios Distinguidos Contra El Narcotráfico - Colombia" en alto relieve con fondo arenado. REVERSO: En el centro de la joya irá en alto relieve el escudo de los Batallones Contra el Narcotráfico rodeado por el lema "Descendemos, Maniobramos, Victoriosos Ex Filtramos" el cual será en alto relieve con fondo arenado. La joya penderá de una cinta de 40mm de ancho por 55mm de largo con los colores de las armas del Ejército Nacional, de 2mm de ancho y el centro de la cinta de color azul rey. Sobrepuestas en la cinta, se encuentran las flechas insignias de las Fuerzas Especiales de 14mm de largo por 14mm de ancho.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venera será un rectángulo de 40 mm de largo por 10 mm de ancho, con los colores dispuestos de la misma cinta de la condecoración, y en el centro, el escudo de armas de la Brigada Especial Contra el Narcotráfico.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miniatura será similar a la joya de la condecoración, pero reducida a un diámetro de 15mm, suspendida de una cinta similar a la de la joya, de 15mm de ancho por 35mm de largo, según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80" w:name="2.3.1.3.6.33.3"/>
      <w:r>
        <w:rPr>
          <w:rFonts w:hAnsi="Arial"/>
          <w:rFonts w:ascii="Arial"/>
          <w:sz w:val="24"/>
          <w:color w:val="navy"/>
        </w:rPr>
        <w:t xml:space="preserve">ARTÍCULO 2.3.1.3.6.33.3. </w:t>
      </w:r>
      <w:r>
        <w:rPr>
          <w:rFonts w:hAnsi="Arial"/>
          <w:rFonts w:ascii="Arial"/>
          <w:sz w:val="24"/>
          <w:i/>
          <w:color w:val="navy"/>
        </w:rPr>
        <w:t>CONSEJO.</w:t>
      </w:r>
      <w:bookmarkEnd w:id="60780"/>
      <w:r>
        <w:rPr>
          <w:rFonts w:hAnsi="Arial"/>
          <w:rFonts w:ascii="Arial"/>
          <w:sz w:val="24"/>
          <w:b/>
          <w:i/>
          <w:color w:val="black"/>
        </w:rPr>
        <w:t xml:space="preserve"> </w:t>
      </w:r>
      <w:r>
        <w:rPr>
          <w:rFonts w:hAnsi="Arial"/>
          <w:rFonts w:ascii="Arial"/>
          <w:sz w:val="24"/>
          <w:color w:val="black"/>
        </w:rPr>
        <w:t xml:space="preserve">El Consejo de la Medalla Militar "Servicios Distinguidos en Operaciones Contra el Narcotráfico en Categoría Única",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del Ejército Nacional.</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de la Brigada Especial Contra el Narcotráfico.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Jefe de Estado Mayor de la Brigada Especial Contra el Narcotráfico.</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Jefe de Personal de la Brigada Especial Contra el Narcotráfico.</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81" w:name="2.3.1.3.6.33.4"/>
      <w:r>
        <w:rPr>
          <w:rFonts w:hAnsi="Arial"/>
          <w:rFonts w:ascii="Arial"/>
          <w:sz w:val="24"/>
          <w:color w:val="navy"/>
        </w:rPr>
        <w:t xml:space="preserve">ARTÍCULO 2.3.1.3.6.33.4. </w:t>
      </w:r>
      <w:r>
        <w:rPr>
          <w:rFonts w:hAnsi="Arial"/>
          <w:rFonts w:ascii="Arial"/>
          <w:sz w:val="24"/>
          <w:i/>
          <w:color w:val="navy"/>
        </w:rPr>
        <w:t>REQUISITOS.</w:t>
      </w:r>
      <w:bookmarkEnd w:id="60781"/>
      <w:r>
        <w:rPr>
          <w:rFonts w:hAnsi="Arial"/>
          <w:rFonts w:ascii="Arial"/>
          <w:sz w:val="24"/>
          <w:b/>
          <w:i/>
          <w:color w:val="black"/>
        </w:rPr>
        <w:t xml:space="preserve"> </w:t>
      </w:r>
      <w:r>
        <w:rPr>
          <w:rFonts w:hAnsi="Arial"/>
          <w:rFonts w:ascii="Arial"/>
          <w:sz w:val="24"/>
          <w:color w:val="black"/>
        </w:rPr>
        <w:t xml:space="preserve">Los requisitos mínimos necesarios para el otorgamiento de la Medalla Militar "SERVICIOS DISTINGUIDOS EN OPERACIONES CONTRA EL NARCOTRÁFICO EN CATEGORÍA ÚNICA", serán los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y además los siguientes:</w:t>
      </w:r>
    </w:p>
    <w:p>
      <w:pPr>
        <w:jc w:val="both"/>
      </w:pPr>
      <w:rPr>
        <w:sz w:val="24"/>
        <w:color w:val="black"/>
      </w:rPr>
    </w:p>
    <w:p>
      <w:pPr>
        <w:jc w:val="both"/>
      </w:pPr>
      <w:r>
        <w:rPr>
          <w:rFonts w:hAnsi="Arial"/>
          <w:rFonts w:ascii="Arial"/>
          <w:sz w:val="24"/>
          <w:color w:val="black"/>
        </w:rPr>
        <w:t xml:space="preserve">Para el personal Militar y de la Policía Nacional:</w:t>
      </w:r>
    </w:p>
    <w:p>
      <w:pPr>
        <w:jc w:val="both"/>
      </w:pPr>
      <w:rPr>
        <w:sz w:val="24"/>
        <w:color w:val="black"/>
      </w:rPr>
    </w:p>
    <w:p>
      <w:pPr>
        <w:jc w:val="both"/>
      </w:pPr>
      <w:r>
        <w:rPr>
          <w:rFonts w:hAnsi="Arial"/>
          <w:rFonts w:ascii="Arial"/>
          <w:sz w:val="24"/>
          <w:color w:val="black"/>
        </w:rPr>
        <w:t xml:space="preserve">1. Haber obtenido resultados operacionales o haber participado en operaciones, que diezmen considerablemente el flagelo del narcotráfico.</w:t>
      </w:r>
    </w:p>
    <w:p>
      <w:pPr>
        <w:jc w:val="both"/>
      </w:pPr>
      <w:rPr>
        <w:sz w:val="24"/>
        <w:color w:val="black"/>
      </w:rPr>
    </w:p>
    <w:p>
      <w:pPr>
        <w:jc w:val="both"/>
      </w:pPr>
      <w:r>
        <w:rPr>
          <w:rFonts w:hAnsi="Arial"/>
          <w:rFonts w:ascii="Arial"/>
          <w:sz w:val="24"/>
          <w:color w:val="black"/>
        </w:rPr>
        <w:t xml:space="preserve">2. No presentar investigaciones disciplinarias o violaciones a los Derechos Humanos o infracciones al Derecho Internacional Humanitario.</w:t>
      </w:r>
    </w:p>
    <w:p>
      <w:pPr>
        <w:jc w:val="both"/>
      </w:pPr>
      <w:rPr>
        <w:sz w:val="24"/>
        <w:color w:val="black"/>
      </w:rPr>
    </w:p>
    <w:p>
      <w:pPr>
        <w:jc w:val="both"/>
      </w:pPr>
      <w:r>
        <w:rPr>
          <w:rFonts w:hAnsi="Arial"/>
          <w:rFonts w:ascii="Arial"/>
          <w:sz w:val="24"/>
          <w:color w:val="black"/>
        </w:rPr>
        <w:t xml:space="preserve">3. Concepto favorable del Comandante de la Unidad Táctica, Unidad Operativa Menor o Mayor, según corresponda, en el cual se indique que el personal es merecedor a esta honorable presea, por sus actos de honradez, consolidados con sus valores y principios en la Institución, en el desarrollo de las operaciones contra el narcotráfico.</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82" w:name="2.3.1.3.6.33.5"/>
      <w:r>
        <w:rPr>
          <w:rFonts w:hAnsi="Arial"/>
          <w:rFonts w:ascii="Arial"/>
          <w:sz w:val="24"/>
          <w:color w:val="navy"/>
        </w:rPr>
        <w:t xml:space="preserve">ARTÍCULO 2.3.1.3.6.33.5. </w:t>
      </w:r>
      <w:r>
        <w:rPr>
          <w:rFonts w:hAnsi="Arial"/>
          <w:rFonts w:ascii="Arial"/>
          <w:sz w:val="24"/>
          <w:i/>
          <w:color w:val="navy"/>
        </w:rPr>
        <w:t>OTORGAMIENTO.</w:t>
      </w:r>
      <w:bookmarkEnd w:id="60782"/>
      <w:r>
        <w:rPr>
          <w:rFonts w:hAnsi="Arial"/>
          <w:rFonts w:ascii="Arial"/>
          <w:sz w:val="24"/>
          <w:b/>
          <w:i/>
          <w:color w:val="black"/>
        </w:rPr>
        <w:t xml:space="preserve"> </w:t>
      </w:r>
      <w:r>
        <w:rPr>
          <w:rFonts w:hAnsi="Arial"/>
          <w:rFonts w:ascii="Arial"/>
          <w:sz w:val="24"/>
          <w:color w:val="black"/>
        </w:rPr>
        <w:t xml:space="preserve">La Medalla Militar "SERVICIOS DISTINGUIDOS EN OPERACIONES CONTRA EL NARCOTRÁFICO EN CATEGORÍA ÚNICA", será conferida por una sola vez, previo cumplimiento de los requisitos establecidos para el efecto, y que, a consideración del Consejo de la Medalla, se hagan merecedores a esta distinción.</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83" w:name="2.3.1.3.6.33.6"/>
      <w:r>
        <w:rPr>
          <w:rFonts w:hAnsi="Arial"/>
          <w:rFonts w:ascii="Arial"/>
          <w:sz w:val="24"/>
          <w:color w:val="navy"/>
        </w:rPr>
        <w:t xml:space="preserve">ARTÍCULO 2.3.1.3.6.33.6. </w:t>
      </w:r>
      <w:r>
        <w:rPr>
          <w:rFonts w:hAnsi="Arial"/>
          <w:rFonts w:ascii="Arial"/>
          <w:sz w:val="24"/>
          <w:i/>
          <w:color w:val="navy"/>
        </w:rPr>
        <w:t>IMPOSICIÓN.</w:t>
      </w:r>
      <w:bookmarkEnd w:id="60783"/>
      <w:r>
        <w:rPr>
          <w:rFonts w:hAnsi="Arial"/>
          <w:rFonts w:ascii="Arial"/>
          <w:sz w:val="24"/>
          <w:b/>
          <w:i/>
          <w:color w:val="black"/>
        </w:rPr>
        <w:t xml:space="preserve"> </w:t>
      </w:r>
      <w:r>
        <w:rPr>
          <w:rFonts w:hAnsi="Arial"/>
          <w:rFonts w:ascii="Arial"/>
          <w:sz w:val="24"/>
          <w:color w:val="black"/>
        </w:rPr>
        <w:t xml:space="preserve">La imposición de la Medalla Militar "SERVICIOS DISTINGUIDOS EN OPERACIONES CONTRA EL NARCOTRÁFICO EN CATEGORÍA ÚNICA", deberá revestir de la mayor solemnidad. Para la ceremonia, se conformarán los destacamentos de acuerdo al Reglamento de Ceremonial Militar, y estará presidida por el señor Comandante del Ejército Nacional, quien impondrá la condecoración.</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84" w:name="2.3.1.3.6.33.7"/>
      <w:r>
        <w:rPr>
          <w:rFonts w:hAnsi="Arial"/>
          <w:rFonts w:ascii="Arial"/>
          <w:sz w:val="24"/>
          <w:color w:val="navy"/>
        </w:rPr>
        <w:t xml:space="preserve">ARTÍCULO 2.3.1.3.6.33.7. </w:t>
      </w:r>
      <w:r>
        <w:rPr>
          <w:rFonts w:hAnsi="Arial"/>
          <w:rFonts w:ascii="Arial"/>
          <w:sz w:val="24"/>
          <w:i/>
          <w:color w:val="navy"/>
        </w:rPr>
        <w:t>DIPLOMA.</w:t>
      </w:r>
      <w:bookmarkEnd w:id="60784"/>
      <w:r>
        <w:rPr>
          <w:rFonts w:hAnsi="Arial"/>
          <w:rFonts w:ascii="Arial"/>
          <w:sz w:val="24"/>
          <w:b/>
          <w:i/>
          <w:color w:val="black"/>
        </w:rPr>
        <w:t xml:space="preserve"> </w:t>
      </w:r>
      <w:r>
        <w:rPr>
          <w:rFonts w:hAnsi="Arial"/>
          <w:rFonts w:ascii="Arial"/>
          <w:sz w:val="24"/>
          <w:color w:val="black"/>
        </w:rPr>
        <w:t xml:space="preserve">Cada medalla va acompañada de un diploma credencial correspondiente a la condecoración, el cual se elaborará en papel pergamino o cartulina blanca, con dimensiones de 35 cm de ancho por 25 cm de alto con el escudo del Ejército Nacional en el centro y a color. En la parte superior izquierda, irá el dibujo del anverso de la medalla y en la parte superior derecha, el dibujo del reverso de la misma. Levará la firma del Comandante del Ejército Nacional y la del Vicepresidente del Consejo de la Medalla.</w:t>
      </w:r>
    </w:p>
    <w:p>
      <w:pPr>
        <w:jc w:val="both"/>
      </w:pPr>
      <w:rPr>
        <w:sz w:val="24"/>
        <w:color w:val="black"/>
      </w:rPr>
    </w:p>
    <w:p>
      <w:pPr>
        <w:jc w:val="both"/>
      </w:pPr>
      <w:r>
        <w:rPr>
          <w:rFonts w:hAnsi="Arial"/>
          <w:rFonts w:ascii="Arial"/>
          <w:sz w:val="24"/>
          <w:i/>
          <w:color w:val="black"/>
        </w:rPr>
        <w:t xml:space="preserve">(Decreto 1096 de 2014 artículo </w:t>
      </w:r>
      <w:r>
        <w:fldChar w:fldCharType="begin"/>
      </w:r>
      <w:r>
        <w:instrText>HYPERLINK "http://www.redjurista.com/document.aspx?ajcode=d1096014&amp;arts=10"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b/>
          <w:u w:val="single"/>
          <w:color w:val="black"/>
        </w:rPr>
        <w:t xml:space="preserve">4) ARMADA NACIONAL:</w:t>
      </w:r>
    </w:p>
    <w:p>
      <w:pPr>
        <w:jc w:val="both"/>
      </w:pPr>
      <w:rPr>
        <w:sz w:val="24"/>
        <w:color w:val="black"/>
      </w:rPr>
    </w:p>
    <w:p>
      <w:pPr>
        <w:jc w:val="center"/>
      </w:pPr>
      <w:r>
        <w:rPr>
          <w:rFonts w:hAnsi="Arial"/>
          <w:rFonts w:ascii="Arial"/>
          <w:sz w:val="24"/>
          <w:vanish/>
          <w:color w:val="black"/>
        </w:rPr>
        <w:t>&amp;$</w:t>
      </w:r>
      <w:bookmarkStart w:id="60785" w:name="SUBSECCIÓN 2.3.1.3.6.34"/>
      <w:r>
        <w:rPr>
          <w:rFonts w:hAnsi="Arial"/>
          <w:rFonts w:ascii="Arial"/>
          <w:sz w:val="24"/>
          <w:color w:val="navy"/>
        </w:rPr>
        <w:t xml:space="preserve">SUBSECCIÓN 34. </w:t>
      </w:r>
    </w:p>
    <w:p>
      <w:pPr>
        <w:jc w:val="center"/>
      </w:pPr>
      <w:r>
        <w:rPr>
          <w:rFonts w:hAnsi="Arial"/>
          <w:rFonts w:ascii="Arial"/>
          <w:sz w:val="24"/>
          <w:color w:val="navy"/>
        </w:rPr>
        <w:t xml:space="preserve">MEDALLA MILITAR "SERVICIOS DISTINGUIDOS A LA ARMADA NACIONAL".</w:t>
      </w:r>
      <w:bookmarkEnd w:id="6078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86" w:name="2.3.1.3.6.34.1"/>
      <w:r>
        <w:rPr>
          <w:rFonts w:hAnsi="Arial"/>
          <w:rFonts w:ascii="Arial"/>
          <w:sz w:val="24"/>
          <w:color w:val="navy"/>
        </w:rPr>
        <w:t xml:space="preserve">ARTÍCULO 2.3.1.3.6.34.1. </w:t>
      </w:r>
      <w:r>
        <w:rPr>
          <w:rFonts w:hAnsi="Arial"/>
          <w:rFonts w:ascii="Arial"/>
          <w:sz w:val="24"/>
          <w:i/>
          <w:color w:val="navy"/>
        </w:rPr>
        <w:t>ORIGEN.</w:t>
      </w:r>
      <w:bookmarkEnd w:id="60786"/>
      <w:r>
        <w:rPr>
          <w:rFonts w:hAnsi="Arial"/>
          <w:rFonts w:ascii="Arial"/>
          <w:sz w:val="24"/>
          <w:b/>
          <w:i/>
          <w:color w:val="black"/>
        </w:rPr>
        <w:t xml:space="preserve"> </w:t>
      </w:r>
      <w:r>
        <w:rPr>
          <w:rFonts w:hAnsi="Arial"/>
          <w:rFonts w:ascii="Arial"/>
          <w:sz w:val="24"/>
          <w:color w:val="black"/>
        </w:rPr>
        <w:t xml:space="preserve">La Medalla Militar "Servicios Distinguidos a la Armada Nacional", fue creada mediante el artículo </w:t>
      </w:r>
      <w:r>
        <w:fldChar w:fldCharType="begin"/>
      </w:r>
      <w:r>
        <w:instrText>HYPERLINK "http://www.redjurista.com/document.aspx?ajcode=d1816007&amp;arts=139"</w:instrText>
      </w:r>
      <w:r>
        <w:fldChar w:fldCharType="separate"/>
      </w:r>
      <w:r>
        <w:rPr>
          <w:rFonts w:hAnsi="Arial"/>
          <w:rFonts w:ascii="Arial"/>
          <w:sz w:val="24"/>
          <w:u w:val="single"/>
          <w:color w:val="black"/>
        </w:rPr>
        <w:t>139</w:t>
      </w:r>
      <w:r>
        <w:fldChar w:fldCharType="end"/>
      </w:r>
      <w:r>
        <w:rPr>
          <w:rFonts w:hAnsi="Arial"/>
          <w:rFonts w:ascii="Arial"/>
          <w:sz w:val="24"/>
          <w:u w:val="none"/>
          <w:color w:val="black"/>
        </w:rPr>
        <w:t xml:space="preserve"> del Decreto 1816 de 2007, para estimular al personal de la Institución y servidores públicos del Sector Defensa que sobresalgan por su dedicación y capacidad profesional, en cumplimiento de sus funciones o para aquellas personas particulares, entidades públicas o privadas que presten servicios meritorios en beneficio del desarrollo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"http://www.redjurista.com/document.aspx?ajcode=d4444010&amp;arts=149"</w:instrText>
      </w:r>
      <w:r>
        <w:fldChar w:fldCharType="separate"/>
      </w:r>
      <w:r>
        <w:rPr>
          <w:rFonts w:hAnsi="Arial"/>
          <w:rFonts w:ascii="Arial"/>
          <w:sz w:val="24"/>
          <w:i/>
          <w:u w:val="single"/>
          <w:color w:val="black"/>
        </w:rPr>
        <w:t>149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87" w:name="2.3.1.3.6.34.2"/>
      <w:r>
        <w:rPr>
          <w:rFonts w:hAnsi="Arial"/>
          <w:rFonts w:ascii="Arial"/>
          <w:sz w:val="24"/>
          <w:color w:val="navy"/>
        </w:rPr>
        <w:t xml:space="preserve">ARTÍCULO 2.3.1.3.6.34.2. </w:t>
      </w:r>
      <w:r>
        <w:rPr>
          <w:rFonts w:hAnsi="Arial"/>
          <w:rFonts w:ascii="Arial"/>
          <w:sz w:val="24"/>
          <w:i/>
          <w:color w:val="navy"/>
        </w:rPr>
        <w:t>CARACTERÍSTICAS.</w:t>
      </w:r>
      <w:bookmarkEnd w:id="60787"/>
      <w:r>
        <w:rPr>
          <w:rFonts w:hAnsi="Arial"/>
          <w:rFonts w:ascii="Arial"/>
          <w:sz w:val="24"/>
          <w:b/>
          <w:i/>
          <w:color w:val="black"/>
        </w:rPr>
        <w:t xml:space="preserve"> </w:t>
      </w:r>
      <w:r>
        <w:rPr>
          <w:rFonts w:hAnsi="Arial"/>
          <w:rFonts w:ascii="Arial"/>
          <w:sz w:val="24"/>
          <w:color w:val="black"/>
        </w:rPr>
        <w:t xml:space="preserve">La joya consiste en una medalla circular dorada, con un diámetro de cuarenta (40) milímetros. En el anverso lleva en alto relieve el escudo heráldico de la Armada Nacional, el cual es una representación emblemática de la nacionalidad y los valores genuinos y característicos de la Institución. El material de la Medalla será bronce platinado. Al reverso, centrada y en sentido horizontal lleva grabada la inscripción: "Medalla de Servicios Distinguidos a la Armada Nacional"; alrededor del reverso de la medalla con un ancho de dos (2) milímetros, en alto relieve, lleva inscrita la frase "Morir o ser Libres" y debajo de ella inscrito, también en alto relieve, el nombre "Almirante José Prudencio Padilla". La joya pende de una cinta de seda moaré, de sesenta (60) milímetros de largo y cuarenta (40) milímetros de ancho, de color azul oscuro de fondo con tres (3) franjas verticales iguales de tres (3) milímetros con los colores oro (amarillo), Plata (gris) y Gules (rojo), de derecha a izquierda. Estos colores corresponden a los que adornan el escudo simbólico de la Armada Nacional.</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"http://www.redjurista.com/document.aspx?ajcode=d4444010&amp;arts=150"</w:instrText>
      </w:r>
      <w:r>
        <w:fldChar w:fldCharType="separate"/>
      </w:r>
      <w:r>
        <w:rPr>
          <w:rFonts w:hAnsi="Arial"/>
          <w:rFonts w:ascii="Arial"/>
          <w:sz w:val="24"/>
          <w:i/>
          <w:u w:val="single"/>
          <w:color w:val="black"/>
        </w:rPr>
        <w:t>150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88" w:name="2.3.1.3.6.34.3"/>
      <w:r>
        <w:rPr>
          <w:rFonts w:hAnsi="Arial"/>
          <w:rFonts w:ascii="Arial"/>
          <w:sz w:val="24"/>
          <w:color w:val="navy"/>
        </w:rPr>
        <w:t xml:space="preserve">ARTÍCULO 2.3.1.3.6.34.3. </w:t>
      </w:r>
      <w:r>
        <w:rPr>
          <w:rFonts w:hAnsi="Arial"/>
          <w:rFonts w:ascii="Arial"/>
          <w:sz w:val="24"/>
          <w:i/>
          <w:color w:val="navy"/>
        </w:rPr>
        <w:t>CONSEJO.</w:t>
      </w:r>
      <w:bookmarkEnd w:id="60788"/>
      <w:r>
        <w:rPr>
          <w:rFonts w:hAnsi="Arial"/>
          <w:rFonts w:ascii="Arial"/>
          <w:sz w:val="24"/>
          <w:b/>
          <w:i/>
          <w:color w:val="black"/>
        </w:rPr>
        <w:t xml:space="preserve"> </w:t>
      </w:r>
      <w:r>
        <w:rPr>
          <w:rFonts w:hAnsi="Arial"/>
          <w:rFonts w:ascii="Arial"/>
          <w:sz w:val="24"/>
          <w:color w:val="black"/>
        </w:rPr>
        <w:t xml:space="preserve">El Consejo de la Medalla Militar "Servicios Distinguidos a la Armada Nacional",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 la Armada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Segundo Comandante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Jefe de Desarrollo Humano Armada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89" w:name="SUBSECCIÓN 2.3.1.3.6.35"/>
      <w:r>
        <w:rPr>
          <w:rFonts w:hAnsi="Arial"/>
          <w:rFonts w:ascii="Arial"/>
          <w:sz w:val="24"/>
          <w:color w:val="navy"/>
        </w:rPr>
        <w:t xml:space="preserve">SUBSECCIÓN 35. </w:t>
      </w:r>
    </w:p>
    <w:p>
      <w:pPr>
        <w:jc w:val="center"/>
      </w:pPr>
      <w:r>
        <w:rPr>
          <w:rFonts w:hAnsi="Arial"/>
          <w:rFonts w:ascii="Arial"/>
          <w:sz w:val="24"/>
          <w:color w:val="navy"/>
        </w:rPr>
        <w:t xml:space="preserve">MEDALLA MILITAR "SERVICIOS DISTINGUIDOS A LA ESCUELA NAVAL DE CADETES ALMIRANTE PADILLA".</w:t>
      </w:r>
      <w:bookmarkEnd w:id="607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790" w:name="2.3.1.3.6.35.1"/>
      <w:r>
        <w:rPr>
          <w:rFonts w:hAnsi="Arial"/>
          <w:rFonts w:ascii="Arial"/>
          <w:sz w:val="24"/>
          <w:color w:val="navy"/>
        </w:rPr>
        <w:t xml:space="preserve">ARTÍCULO 2.3.1.3.6.35.1. </w:t>
      </w:r>
      <w:r>
        <w:rPr>
          <w:rFonts w:hAnsi="Arial"/>
          <w:rFonts w:ascii="Arial"/>
          <w:sz w:val="24"/>
          <w:i/>
          <w:color w:val="navy"/>
        </w:rPr>
        <w:t>ORIGEN.</w:t>
      </w:r>
      <w:bookmarkEnd w:id="60790"/>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"http://www.redjurista.com/document.aspx?ajcode=d1189000&amp;arts=INICIO"</w:instrText>
      </w:r>
      <w:r>
        <w:fldChar w:fldCharType="separate"/>
      </w:r>
      <w:r>
        <w:rPr>
          <w:rFonts w:hAnsi="Arial"/>
          <w:rFonts w:ascii="Arial"/>
          <w:sz w:val="24"/>
          <w:u w:val="single"/>
          <w:color w:val="black"/>
        </w:rPr>
        <w:t>1189</w:t>
      </w:r>
      <w:r>
        <w:fldChar w:fldCharType="end"/>
      </w:r>
      <w:r>
        <w:rPr>
          <w:rFonts w:hAnsi="Arial"/>
          <w:rFonts w:ascii="Arial"/>
          <w:sz w:val="24"/>
          <w:u w:val="none"/>
          <w:color w:val="black"/>
        </w:rPr>
        <w:t xml:space="preserve"> de 2000 (28 de junio) para estimular y premiar al personal que haya sobresalido por sus capacidades profesionales, técnicas y dedicación, al igual que a entidades oficiales, particulares y personal que haya prestado eminentes servicios o haya participado en realizaciones de beneficio excepcional para la Escuela Naval de Cadetes "Almirante Padilla.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"http://www.redjurista.com/document.aspx?ajcode=d4444010&amp;arts=151"</w:instrText>
      </w:r>
      <w:r>
        <w:fldChar w:fldCharType="separate"/>
      </w:r>
      <w:r>
        <w:rPr>
          <w:rFonts w:hAnsi="Arial"/>
          <w:rFonts w:ascii="Arial"/>
          <w:sz w:val="24"/>
          <w:i/>
          <w:u w:val="single"/>
          <w:color w:val="black"/>
        </w:rPr>
        <w:t>151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91" w:name="2.3.1.3.6.35.2"/>
      <w:r>
        <w:rPr>
          <w:rFonts w:hAnsi="Arial"/>
          <w:rFonts w:ascii="Arial"/>
          <w:sz w:val="24"/>
          <w:color w:val="navy"/>
        </w:rPr>
        <w:t xml:space="preserve">ARTÍCULO 2.3.1.3.6.35.2. </w:t>
      </w:r>
      <w:r>
        <w:rPr>
          <w:rFonts w:hAnsi="Arial"/>
          <w:rFonts w:ascii="Arial"/>
          <w:sz w:val="24"/>
          <w:i/>
          <w:color w:val="navy"/>
        </w:rPr>
        <w:t>CARACTERÍSTICAS.</w:t>
      </w:r>
      <w:bookmarkEnd w:id="60791"/>
      <w:r>
        <w:rPr>
          <w:rFonts w:hAnsi="Arial"/>
          <w:rFonts w:ascii="Arial"/>
          <w:sz w:val="24"/>
          <w:b/>
          <w:i/>
          <w:color w:val="black"/>
        </w:rPr>
        <w:t xml:space="preserve"> </w:t>
      </w:r>
      <w:r>
        <w:rPr>
          <w:rFonts w:hAnsi="Arial"/>
          <w:rFonts w:ascii="Arial"/>
          <w:sz w:val="24"/>
          <w:color w:val="black"/>
        </w:rPr>
        <w:t xml:space="preserve">La joya es una cruz de Malta de cuarenta y cinco (45) milímetros de diámetro, en esmalte de color azul marino con los bordes exteriores en bronce y sus brazos terminados en dos (2) ángulos. La cruz está circundada por una corona de laureles representativa del valor y la persistencia en alcanzar el progreso y la excelencia. La cruz llevará en el centro el escudo de la Escuela Naval en color dorado. Al respaldo, en la parte central de la cruz, en un círculo de esmalte azul marino llevará inscrito el Código de Honor del Cadete "HONOR, LEALTAD, HONESTIDAD". Será de bronce suspendida de una cinta de cinco (5) franjas verticales de los siguientes colores: blanco en el centro, de catorce (14) milímetros seguido a cada lado de una franja azul marino, de seis punto cinco (6.5) milímetros y terminando cada banda de la cinta con una franja de color amarillo oro de seis punto cinco (6.5) milímetros. En la parte superior la cinta llevará una hebilla del mismo material de la medalla.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"http://www.redjurista.com/document.aspx?ajcode=d4444010&amp;arts=152"</w:instrText>
      </w:r>
      <w:r>
        <w:fldChar w:fldCharType="separate"/>
      </w:r>
      <w:r>
        <w:rPr>
          <w:rFonts w:hAnsi="Arial"/>
          <w:rFonts w:ascii="Arial"/>
          <w:sz w:val="24"/>
          <w:i/>
          <w:u w:val="single"/>
          <w:color w:val="black"/>
        </w:rPr>
        <w:t>152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792" w:name="2.3.1.3.6.35.3"/>
      <w:r>
        <w:rPr>
          <w:rFonts w:hAnsi="Arial"/>
          <w:rFonts w:ascii="Arial"/>
          <w:sz w:val="24"/>
          <w:color w:val="navy"/>
        </w:rPr>
        <w:t xml:space="preserve">ARTÍCULO 2.3.1.3.6.35.3. </w:t>
      </w:r>
      <w:r>
        <w:rPr>
          <w:rFonts w:hAnsi="Arial"/>
          <w:rFonts w:ascii="Arial"/>
          <w:sz w:val="24"/>
          <w:i/>
          <w:color w:val="navy"/>
        </w:rPr>
        <w:t>CONSEJO.</w:t>
      </w:r>
      <w:bookmarkEnd w:id="60792"/>
      <w:r>
        <w:rPr>
          <w:rFonts w:hAnsi="Arial"/>
          <w:rFonts w:ascii="Arial"/>
          <w:sz w:val="24"/>
          <w:b/>
          <w:i/>
          <w:color w:val="black"/>
        </w:rPr>
        <w:t xml:space="preserve"> </w:t>
      </w:r>
      <w:r>
        <w:rPr>
          <w:rFonts w:hAnsi="Arial"/>
          <w:rFonts w:ascii="Arial"/>
          <w:sz w:val="24"/>
          <w:color w:val="black"/>
        </w:rPr>
        <w:t xml:space="preserve">El Consejo de la Medalla Militar "Servicios Distinguidos a la Escuela Naval de Cadetes Almirante Padilla l", estará conformado de la siguiente manera:</w:t>
      </w:r>
    </w:p>
    <w:p>
      <w:pPr>
        <w:jc w:val="both"/>
      </w:pPr>
      <w:rPr>
        <w:sz w:val="24"/>
        <w:color w:val="black"/>
      </w:rPr>
    </w:p>
    <w:p>
      <w:pPr>
        <w:jc w:val="both"/>
      </w:pPr>
      <w:r>
        <w:rPr>
          <w:rFonts w:hAnsi="Arial"/>
          <w:rFonts w:ascii="Arial"/>
          <w:sz w:val="24"/>
          <w:color w:val="black"/>
        </w:rPr>
        <w:t xml:space="preserve">Presidente: Comandante de la Armada o su delegado.</w:t>
      </w:r>
    </w:p>
    <w:p>
      <w:pPr>
        <w:jc w:val="both"/>
      </w:pPr>
      <w:rPr>
        <w:sz w:val="24"/>
        <w:color w:val="black"/>
      </w:rPr>
    </w:p>
    <w:p>
      <w:pPr>
        <w:jc w:val="both"/>
      </w:pPr>
      <w:r>
        <w:rPr>
          <w:rFonts w:hAnsi="Arial"/>
          <w:rFonts w:ascii="Arial"/>
          <w:sz w:val="24"/>
          <w:color w:val="black"/>
        </w:rPr>
        <w:t xml:space="preserve">Vicepresidente: Director de la Escuela Naval.</w:t>
      </w:r>
    </w:p>
    <w:p>
      <w:pPr>
        <w:jc w:val="both"/>
      </w:pPr>
      <w:rPr>
        <w:sz w:val="24"/>
        <w:color w:val="black"/>
      </w:rPr>
    </w:p>
    <w:p>
      <w:pPr>
        <w:jc w:val="both"/>
      </w:pPr>
      <w:r>
        <w:rPr>
          <w:rFonts w:hAnsi="Arial"/>
          <w:rFonts w:ascii="Arial"/>
          <w:sz w:val="24"/>
          <w:color w:val="black"/>
        </w:rPr>
        <w:t xml:space="preserve">Vocal: Subdirector de la Escuela Naval.</w:t>
      </w:r>
    </w:p>
    <w:p>
      <w:pPr>
        <w:jc w:val="both"/>
      </w:pPr>
      <w:rPr>
        <w:sz w:val="24"/>
        <w:color w:val="black"/>
      </w:rPr>
    </w:p>
    <w:p>
      <w:pPr>
        <w:jc w:val="both"/>
      </w:pPr>
      <w:r>
        <w:rPr>
          <w:rFonts w:hAnsi="Arial"/>
          <w:rFonts w:ascii="Arial"/>
          <w:sz w:val="24"/>
          <w:color w:val="black"/>
        </w:rPr>
        <w:t xml:space="preserve">Secretario: 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793" w:name="SUBSECCIÓN 2.3.1.3.6.36"/>
      <w:r>
        <w:rPr>
          <w:rFonts w:hAnsi="Arial"/>
          <w:rFonts w:ascii="Arial"/>
          <w:sz w:val="24"/>
          <w:color w:val="navy"/>
        </w:rPr>
        <w:t xml:space="preserve">SUBSECCIÓN 36. </w:t>
      </w:r>
    </w:p>
    <w:p>
      <w:pPr>
        <w:jc w:val="center"/>
      </w:pPr>
      <w:r>
        <w:rPr>
          <w:rFonts w:hAnsi="Arial"/>
          <w:rFonts w:ascii="Arial"/>
          <w:sz w:val="24"/>
          <w:color w:val="navy"/>
        </w:rPr>
        <w:t xml:space="preserve">MEDALLA MILITAR "FE EN LA CAUSA" DE LA ARMADA NACIONAL.</w:t>
      </w:r>
      <w:bookmarkEnd w:id="60793"/>
      <w:r>
        <w:rPr>
          <w:rFonts w:hAnsi="Arial"/>
          <w:rFonts w:ascii="Arial"/>
          <w:sz w:val="24"/>
          <w:b/>
          <w:color w:val="black"/>
        </w:rPr>
        <w:t xml:space="preserve"> </w:t>
      </w:r>
    </w:p>
    <w:p>
      <w:pPr>
        <w:jc w:val="center"/>
      </w:pPr>
      <w:rPr>
        <w:sz w:val="24"/>
        <w:color w:val="black"/>
      </w:rPr>
    </w:p>
    <w:p>
      <w:pPr>
        <w:jc w:val="both"/>
        <w:tabs>
          <w:tab w:val="left" w:leader="none" w:pos="11232"/>
        </w:tabs>
      </w:pPr>
      <w:r>
        <w:rPr>
          <w:rFonts w:hAnsi="Arial"/>
          <w:rFonts w:ascii="Arial"/>
          <w:sz w:val="24"/>
          <w:vanish/>
          <w:color w:val="black"/>
        </w:rPr>
        <w:t>&amp;$</w:t>
      </w:r>
      <w:bookmarkStart w:id="60794" w:name="2.3.1.3.6.36.1"/>
      <w:r>
        <w:rPr>
          <w:rFonts w:hAnsi="Arial"/>
          <w:rFonts w:ascii="Arial"/>
          <w:sz w:val="24"/>
          <w:color w:val="navy"/>
        </w:rPr>
        <w:t xml:space="preserve">ARTÍCULO 2.3.1.3.6.36.1. </w:t>
      </w:r>
      <w:r>
        <w:rPr>
          <w:rFonts w:hAnsi="Arial"/>
          <w:rFonts w:ascii="Arial"/>
          <w:sz w:val="24"/>
          <w:i/>
          <w:color w:val="navy"/>
        </w:rPr>
        <w:t>ORIGEN.</w:t>
      </w:r>
      <w:bookmarkEnd w:id="60794"/>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"http://www.redjurista.com/document.aspx?ajcode=d0961012&amp;arts=INICIO"</w:instrText>
      </w:r>
      <w:r>
        <w:fldChar w:fldCharType="separate"/>
      </w:r>
      <w:r>
        <w:rPr>
          <w:rFonts w:hAnsi="Arial"/>
          <w:rFonts w:ascii="Arial"/>
          <w:sz w:val="24"/>
          <w:u w:val="single"/>
          <w:color w:val="black"/>
        </w:rPr>
        <w:t>0961</w:t>
      </w:r>
      <w:r>
        <w:fldChar w:fldCharType="end"/>
      </w:r>
      <w:r>
        <w:rPr>
          <w:rFonts w:hAnsi="Arial"/>
          <w:rFonts w:ascii="Arial"/>
          <w:sz w:val="24"/>
          <w:u w:val="none"/>
          <w:color w:val="black"/>
        </w:rPr>
        <w:t xml:space="preserve"> de 2012, en categoría única, en categoría única, para premiar al personal de Oficiales, Suboficiales, Infantes de Marina Profesionales, Soldados y Civiles, que se destaquen en la recuperación de la paz, el orden y la democracia de la Nación, así como al personal militar en uso de buen retiro, a personalidades Nacionales y Extranjeras y entidades públicas o privadas que presten sus servicios meritorios en beneficio de la Armada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95" w:name="2.3.1.3.6.36.2"/>
      <w:r>
        <w:rPr>
          <w:rFonts w:hAnsi="Arial"/>
          <w:rFonts w:ascii="Arial"/>
          <w:sz w:val="24"/>
          <w:color w:val="navy"/>
        </w:rPr>
        <w:t xml:space="preserve">ARTÍCULO 2.3.1.3.6.36.2. </w:t>
      </w:r>
      <w:r>
        <w:rPr>
          <w:rFonts w:hAnsi="Arial"/>
          <w:rFonts w:ascii="Arial"/>
          <w:sz w:val="24"/>
          <w:i/>
          <w:color w:val="navy"/>
        </w:rPr>
        <w:t>CARACTERÍSTICAS.</w:t>
      </w:r>
      <w:bookmarkEnd w:id="60795"/>
      <w:r>
        <w:rPr>
          <w:rFonts w:hAnsi="Arial"/>
          <w:rFonts w:ascii="Arial"/>
          <w:sz w:val="24"/>
          <w:b/>
          <w:i/>
          <w:color w:val="black"/>
        </w:rPr>
        <w:t xml:space="preserve"> </w:t>
      </w:r>
      <w:r>
        <w:rPr>
          <w:rFonts w:hAnsi="Arial"/>
          <w:rFonts w:ascii="Arial"/>
          <w:sz w:val="24"/>
          <w:color w:val="black"/>
        </w:rPr>
        <w:t xml:space="preserve">La Joya de la Medalla Militar "Fe en la Causa" de la Armada consiste en una medalla esmaltada, de 55 mm de ancho por 55 mm de alto, con corona cóncava plateada de la cuál pende un círculo en laurel donde estará expuesta una Rosa de los Vientos con el Escudo Heráldico de la Armada Nacional y en su base el emblema "FE EN LA CAUSA". En la parte inferior de la joya vendrá una cinta dorada con la descripción del lema esculpido "PLUS " ARC - ULTRA"; esta joya penderá de una cinta de 40 mm, de ancho de color rojo, sobre la cual llevará bordado en el centro, de izquierda a derecha, franjas con los colores azul, rojo, rojo oscuro, azul cielo, amarillo, rojo, azul, morado claro y verde, cada una de 2 mm, colores representativos de las especialidades de la Armada Nacional. Al respaldo lleva impresa en alto relieve el escudo institucional de la Armada Nacional.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réplicas serán condecoraciones similares a la joya descrita anteriormente, pero reducidas a 15 milímetros, la cual irá suspendida de una cinta con los mismos colores de la establecida para la joya, tendrá 15 mm de ancho por 35 mm de largo y en el centro ostentara el distintivo indicado para la venera.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metálica esmaltada al fuego, con las características y colores de la cinta de la joya, y en el centro llevará el Escudo Heráldico de la Armada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96" w:name="2.3.1.3.6.36.3"/>
      <w:r>
        <w:rPr>
          <w:rFonts w:hAnsi="Arial"/>
          <w:rFonts w:ascii="Arial"/>
          <w:sz w:val="24"/>
          <w:color w:val="navy"/>
        </w:rPr>
        <w:t xml:space="preserve">ARTÍCULO 2.3.1.3.6.36.3. </w:t>
      </w:r>
      <w:r>
        <w:rPr>
          <w:rFonts w:hAnsi="Arial"/>
          <w:rFonts w:ascii="Arial"/>
          <w:sz w:val="24"/>
          <w:i/>
          <w:color w:val="navy"/>
        </w:rPr>
        <w:t>CONSEJO.</w:t>
      </w:r>
      <w:bookmarkEnd w:id="60796"/>
      <w:r>
        <w:rPr>
          <w:rFonts w:hAnsi="Arial"/>
          <w:rFonts w:ascii="Arial"/>
          <w:sz w:val="24"/>
          <w:b/>
          <w:i/>
          <w:color w:val="black"/>
        </w:rPr>
        <w:t xml:space="preserve"> </w:t>
      </w:r>
      <w:r>
        <w:rPr>
          <w:rFonts w:hAnsi="Arial"/>
          <w:rFonts w:ascii="Arial"/>
          <w:sz w:val="24"/>
          <w:color w:val="black"/>
        </w:rPr>
        <w:t xml:space="preserve">El Consejo de la Medalla Militar "Fe en la Causa" de la Armada Nacional,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de la Armada Nacional</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Jefe de Operaciones Navales de la Armada Nacional</w:t>
      </w:r>
    </w:p>
    <w:p>
      <w:pPr>
        <w:jc w:val="both"/>
      </w:pPr>
      <w:rPr>
        <w:sz w:val="24"/>
        <w:color w:val="black"/>
      </w:rPr>
    </w:p>
    <w:p>
      <w:pPr>
        <w:jc w:val="both"/>
      </w:pPr>
      <w:r>
        <w:rPr>
          <w:rFonts w:hAnsi="Arial"/>
          <w:rFonts w:ascii="Arial"/>
          <w:sz w:val="24"/>
          <w:color w:val="black"/>
        </w:rPr>
        <w:t xml:space="preserve">Jefe de Desarrollo Humano de la Armada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97" w:name="2.3.1.3.6.36.4"/>
      <w:r>
        <w:rPr>
          <w:rFonts w:hAnsi="Arial"/>
          <w:rFonts w:ascii="Arial"/>
          <w:sz w:val="24"/>
          <w:color w:val="navy"/>
        </w:rPr>
        <w:t xml:space="preserve">ARTÍCULO 2.3.1.3.6.36.4. </w:t>
      </w:r>
      <w:r>
        <w:rPr>
          <w:rFonts w:hAnsi="Arial"/>
          <w:rFonts w:ascii="Arial"/>
          <w:sz w:val="24"/>
          <w:i/>
          <w:color w:val="navy"/>
        </w:rPr>
        <w:t>REQUISITOS.</w:t>
      </w:r>
      <w:bookmarkEnd w:id="60797"/>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se tendrán en cuenta los siguientes, para su otorgamiento:</w:t>
      </w:r>
    </w:p>
    <w:p>
      <w:pPr>
        <w:jc w:val="both"/>
      </w:pPr>
      <w:rPr>
        <w:sz w:val="24"/>
        <w:color w:val="black"/>
      </w:rPr>
    </w:p>
    <w:p>
      <w:pPr>
        <w:jc w:val="both"/>
      </w:pPr>
      <w:r>
        <w:rPr>
          <w:rFonts w:hAnsi="Arial"/>
          <w:rFonts w:ascii="Arial"/>
          <w:sz w:val="24"/>
          <w:color w:val="black"/>
        </w:rPr>
        <w:t xml:space="preserve">Para Oficiales:</w:t>
      </w:r>
    </w:p>
    <w:p>
      <w:pPr>
        <w:jc w:val="both"/>
      </w:pPr>
      <w:rPr>
        <w:sz w:val="24"/>
        <w:color w:val="black"/>
      </w:rPr>
    </w:p>
    <w:p>
      <w:pPr>
        <w:jc w:val="both"/>
      </w:pPr>
      <w:r>
        <w:rPr>
          <w:rFonts w:hAnsi="Arial"/>
          <w:rFonts w:ascii="Arial"/>
          <w:sz w:val="24"/>
          <w:color w:val="black"/>
        </w:rPr>
        <w:t xml:space="preserve">1. Debe haber sido protagonista en el respeto por los Derechos Humanos.</w:t>
      </w:r>
    </w:p>
    <w:p>
      <w:pPr>
        <w:jc w:val="both"/>
      </w:pPr>
      <w:rPr>
        <w:sz w:val="24"/>
        <w:color w:val="black"/>
      </w:rPr>
    </w:p>
    <w:p>
      <w:pPr>
        <w:jc w:val="both"/>
      </w:pPr>
      <w:r>
        <w:rPr>
          <w:rFonts w:hAnsi="Arial"/>
          <w:rFonts w:ascii="Arial"/>
          <w:sz w:val="24"/>
          <w:color w:val="black"/>
        </w:rPr>
        <w:t xml:space="preserve">2. Debe haber liderado, planeado, dirigido o ejecutado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Suboficiales:</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3. Al momento de solicitarle la medalla, debe ostentar todas las jinetas de buena conducta reglamentadas, y que le correspondan de acuerdo a su grado y tiempo en el escalafón.</w:t>
      </w:r>
    </w:p>
    <w:p>
      <w:pPr>
        <w:jc w:val="both"/>
      </w:pPr>
      <w:rPr>
        <w:sz w:val="24"/>
        <w:color w:val="black"/>
      </w:rPr>
    </w:p>
    <w:p>
      <w:pPr>
        <w:jc w:val="both"/>
      </w:pPr>
      <w:r>
        <w:rPr>
          <w:rFonts w:hAnsi="Arial"/>
          <w:rFonts w:ascii="Arial"/>
          <w:sz w:val="24"/>
          <w:color w:val="black"/>
        </w:rPr>
        <w:t xml:space="preserve">Para Infantes de Marina Profesionales y Soldados:</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los Servidores Públicos del Sector Defensa e Instituciones de Derecho Público o Privado:</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o apoyado directamente eventos que hayan sido eficaces y efectivos para la restitución de la libertad, la democracia y la paz de una región en territorio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98" w:name="2.3.1.3.6.36.5"/>
      <w:r>
        <w:rPr>
          <w:rFonts w:hAnsi="Arial"/>
          <w:rFonts w:ascii="Arial"/>
          <w:sz w:val="24"/>
          <w:color w:val="navy"/>
        </w:rPr>
        <w:t xml:space="preserve">ARTÍCULO 2.3.1.3.6.36.5. </w:t>
      </w:r>
      <w:r>
        <w:rPr>
          <w:rFonts w:hAnsi="Arial"/>
          <w:rFonts w:ascii="Arial"/>
          <w:sz w:val="24"/>
          <w:i/>
          <w:color w:val="navy"/>
        </w:rPr>
        <w:t>DIPLOMA.</w:t>
      </w:r>
      <w:bookmarkEnd w:id="60798"/>
      <w:r>
        <w:rPr>
          <w:rFonts w:hAnsi="Arial"/>
          <w:rFonts w:ascii="Arial"/>
          <w:sz w:val="24"/>
          <w:b/>
          <w:i/>
          <w:color w:val="black"/>
        </w:rPr>
        <w:t xml:space="preserve"> </w:t>
      </w:r>
      <w:r>
        <w:rPr>
          <w:rFonts w:hAnsi="Arial"/>
          <w:rFonts w:ascii="Arial"/>
          <w:sz w:val="24"/>
          <w:color w:val="black"/>
        </w:rPr>
        <w:t xml:space="preserve">Los diplomas correspondientes a la Medalla "FE EN LA CAUSA" de la Armada Nacional, serán elaborados de acuerdo a lo establecido en el artículo </w:t>
      </w:r>
      <w:r>
        <w:fldChar w:fldCharType="begin"/>
      </w:r>
      <w:r>
        <w:instrText>HYPERLINK "http://www.redjurista.com/document.aspx?ajcode=d1070015&amp;arts=2.3.1.3.6.4"</w:instrText>
      </w:r>
      <w:r>
        <w:fldChar w:fldCharType="separate"/>
      </w:r>
      <w:r>
        <w:rPr>
          <w:rFonts w:hAnsi="Arial"/>
          <w:rFonts w:ascii="Arial"/>
          <w:sz w:val="24"/>
          <w:u w:val="single"/>
          <w:color w:val="black"/>
        </w:rPr>
        <w:t>2.3.1.3.6.4</w:t>
      </w:r>
      <w:r>
        <w:fldChar w:fldCharType="end"/>
      </w:r>
      <w:r>
        <w:rPr>
          <w:rFonts w:hAnsi="Arial"/>
          <w:rFonts w:ascii="Arial"/>
          <w:sz w:val="24"/>
          <w:u w:val="none"/>
          <w:color w:val="black"/>
        </w:rPr>
        <w:t xml:space="preserve">., de este Capítulo.</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799" w:name="2.3.1.3.6.36.6"/>
      <w:r>
        <w:rPr>
          <w:rFonts w:hAnsi="Arial"/>
          <w:rFonts w:ascii="Arial"/>
          <w:sz w:val="24"/>
          <w:color w:val="navy"/>
        </w:rPr>
        <w:t xml:space="preserve">ARTÍCULO 2.3.1.3.6.36.6. </w:t>
      </w:r>
      <w:r>
        <w:rPr>
          <w:rFonts w:hAnsi="Arial"/>
          <w:rFonts w:ascii="Arial"/>
          <w:sz w:val="24"/>
          <w:i/>
          <w:color w:val="navy"/>
        </w:rPr>
        <w:t>OTORGAMIENTO.</w:t>
      </w:r>
      <w:bookmarkEnd w:id="60799"/>
      <w:r>
        <w:rPr>
          <w:rFonts w:hAnsi="Arial"/>
          <w:rFonts w:ascii="Arial"/>
          <w:sz w:val="24"/>
          <w:b/>
          <w:i/>
          <w:color w:val="black"/>
        </w:rPr>
        <w:t xml:space="preserve"> </w:t>
      </w:r>
      <w:r>
        <w:rPr>
          <w:rFonts w:hAnsi="Arial"/>
          <w:rFonts w:ascii="Arial"/>
          <w:sz w:val="24"/>
          <w:color w:val="black"/>
        </w:rPr>
        <w:t xml:space="preserve">La Medalla "Fe en la Causa" de la Armada Nacional será conferida por una sola vez, previo cumplimiento de los requisitos establecidos para el efecto y que a consideración del Consejo de la Medalla se hagan merecedores de esta distinción.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Al personal de la Armada Nacional que falleciere como consecuencia del cumplimiento del deber en actos del servicio para mantener o restablecer el orden público, se le podrá conceder en forma póstuma, igualmente a los miembros de la Policía Nacional que fallecieren por la misma causa, participando en operaciones conjuntas con la Armada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00" w:name="2.3.1.3.6.36.7"/>
      <w:r>
        <w:rPr>
          <w:rFonts w:hAnsi="Arial"/>
          <w:rFonts w:ascii="Arial"/>
          <w:sz w:val="24"/>
          <w:color w:val="navy"/>
        </w:rPr>
        <w:t xml:space="preserve">ARTÍCULO 2.3.1.3.6.36.7. </w:t>
      </w:r>
      <w:r>
        <w:rPr>
          <w:rFonts w:hAnsi="Arial"/>
          <w:rFonts w:ascii="Arial"/>
          <w:sz w:val="24"/>
          <w:i/>
          <w:color w:val="navy"/>
        </w:rPr>
        <w:t>IMPOSICIÓN.</w:t>
      </w:r>
      <w:bookmarkEnd w:id="60800"/>
      <w:r>
        <w:rPr>
          <w:rFonts w:hAnsi="Arial"/>
          <w:rFonts w:ascii="Arial"/>
          <w:sz w:val="24"/>
          <w:b/>
          <w:i/>
          <w:color w:val="black"/>
        </w:rPr>
        <w:t xml:space="preserve"> </w:t>
      </w:r>
      <w:r>
        <w:rPr>
          <w:rFonts w:hAnsi="Arial"/>
          <w:rFonts w:ascii="Arial"/>
          <w:sz w:val="24"/>
          <w:color w:val="black"/>
        </w:rPr>
        <w:t xml:space="preserve">Además de lo establecido en el artículo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imposición de la Medalla Fe en la Causa revestirá la mayor solemnidad. Para la ceremonia se conformarán destacamentos de acuerdo con el reglamento de ceremonial militar y estará precedida por el señor Comandante de la Armada Nacional quien impondrá la condecoración de acuerdo al Reglamento de Ceremonial Militar.</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801" w:name="SUBSECCIÓN 2.3.1.3.6.37"/>
      <w:r>
        <w:rPr>
          <w:rFonts w:hAnsi="Arial"/>
          <w:rFonts w:ascii="Arial"/>
          <w:sz w:val="24"/>
          <w:color w:val="navy"/>
        </w:rPr>
        <w:t xml:space="preserve">SUBSECCIÓN 37. </w:t>
      </w:r>
    </w:p>
    <w:p>
      <w:pPr>
        <w:jc w:val="center"/>
      </w:pPr>
      <w:r>
        <w:rPr>
          <w:rFonts w:hAnsi="Arial"/>
          <w:rFonts w:ascii="Arial"/>
          <w:sz w:val="24"/>
          <w:color w:val="navy"/>
        </w:rPr>
        <w:t xml:space="preserve">MEDALLA MILITAR "SERVICIOS DISTINGUIDOS A LA ESCUELA NAVAL DE SUBOFICIALES".</w:t>
      </w:r>
      <w:bookmarkEnd w:id="608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02" w:name="2.3.1.3.6.37.1"/>
      <w:r>
        <w:rPr>
          <w:rFonts w:hAnsi="Arial"/>
          <w:rFonts w:ascii="Arial"/>
          <w:sz w:val="24"/>
          <w:color w:val="navy"/>
        </w:rPr>
        <w:t xml:space="preserve">ARTÍCULO 2.3.1.3.6.37.1. </w:t>
      </w:r>
      <w:r>
        <w:rPr>
          <w:rFonts w:hAnsi="Arial"/>
          <w:rFonts w:ascii="Arial"/>
          <w:sz w:val="24"/>
          <w:i/>
          <w:color w:val="navy"/>
        </w:rPr>
        <w:t>ORIGEN.</w:t>
      </w:r>
      <w:bookmarkEnd w:id="60802"/>
      <w:r>
        <w:rPr>
          <w:rFonts w:hAnsi="Arial"/>
          <w:rFonts w:ascii="Arial"/>
          <w:sz w:val="24"/>
          <w:b/>
          <w:i/>
          <w:color w:val="black"/>
        </w:rPr>
        <w:t xml:space="preserve"> </w:t>
      </w:r>
      <w:r>
        <w:rPr>
          <w:rFonts w:hAnsi="Arial"/>
          <w:rFonts w:ascii="Arial"/>
          <w:sz w:val="24"/>
          <w:color w:val="black"/>
        </w:rPr>
        <w:t xml:space="preserve">La Medalla Militar "Servicios Distinguidos a la Escuela Naval de Suboficiales", fue creada mediante el artículo </w:t>
      </w:r>
      <w:r>
        <w:fldChar w:fldCharType="begin"/>
      </w:r>
      <w:r>
        <w:instrText>HYPERLINK "http://www.redjurista.com/document.aspx?ajcode=d1816007&amp;arts=143"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del Decreto 1816 de 2007, para estimular y premiar al personal que haya sobresalido por sus capacidades personales, profesionales, tecnológicas y dedicación, al igual que a entidades oficiales, particulares y personal que haya prestado eminentes servicios o haya participado en realizaciones de beneficio excepcional para la Escuela Naval de Suboficiales ARC Barranquilla.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"http://www.redjurista.com/document.aspx?ajcode=d4444010&amp;arts=153"</w:instrText>
      </w:r>
      <w:r>
        <w:fldChar w:fldCharType="separate"/>
      </w:r>
      <w:r>
        <w:rPr>
          <w:rFonts w:hAnsi="Arial"/>
          <w:rFonts w:ascii="Arial"/>
          <w:sz w:val="24"/>
          <w:i/>
          <w:u w:val="single"/>
          <w:color w:val="black"/>
        </w:rPr>
        <w:t>153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03" w:name="2.3.1.3.6.37.2"/>
      <w:r>
        <w:rPr>
          <w:rFonts w:hAnsi="Arial"/>
          <w:rFonts w:ascii="Arial"/>
          <w:sz w:val="24"/>
          <w:color w:val="navy"/>
        </w:rPr>
        <w:t xml:space="preserve">ARTÍCULO 2.3.1.3.6.37.2. </w:t>
      </w:r>
      <w:r>
        <w:rPr>
          <w:rFonts w:hAnsi="Arial"/>
          <w:rFonts w:ascii="Arial"/>
          <w:sz w:val="24"/>
          <w:i/>
          <w:color w:val="navy"/>
        </w:rPr>
        <w:t>CARACTERÍSTICAS.</w:t>
      </w:r>
      <w:bookmarkEnd w:id="60803"/>
      <w:r>
        <w:rPr>
          <w:rFonts w:hAnsi="Arial"/>
          <w:rFonts w:ascii="Arial"/>
          <w:sz w:val="24"/>
          <w:b/>
          <w:i/>
          <w:color w:val="black"/>
        </w:rPr>
        <w:t xml:space="preserve"> </w:t>
      </w:r>
      <w:r>
        <w:rPr>
          <w:rFonts w:hAnsi="Arial"/>
          <w:rFonts w:ascii="Arial"/>
          <w:sz w:val="24"/>
          <w:color w:val="black"/>
        </w:rPr>
        <w:t xml:space="preserve">La Joya consiste en una medalla circular en bronce de 35 milímetros de diámetro, rodeada por una corona de laurel de 5 milímetros de ancho. Al centro lleva grabado en relieve la Heráldica de la Escuela Naval de Suboficiales. En el reverso llevará la leyenda "Servicios Distinguidos a la Escuela Naval de Suboficiales". La Joya va suspendida de una cinta de 40 milímetros de ancho de color blanco, azul aguamarina, gris y blanco, siendo el color blanco de 5 milímetros llevando en la parte central el Escudo de la Escuela Naval de Suboficiales.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"http://www.redjurista.com/document.aspx?ajcode=d4444010&amp;arts=154"</w:instrText>
      </w:r>
      <w:r>
        <w:fldChar w:fldCharType="separate"/>
      </w:r>
      <w:r>
        <w:rPr>
          <w:rFonts w:hAnsi="Arial"/>
          <w:rFonts w:ascii="Arial"/>
          <w:sz w:val="24"/>
          <w:i/>
          <w:u w:val="single"/>
          <w:color w:val="black"/>
        </w:rPr>
        <w:t>154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04" w:name="2.3.1.3.6.37.3"/>
      <w:r>
        <w:rPr>
          <w:rFonts w:hAnsi="Arial"/>
          <w:rFonts w:ascii="Arial"/>
          <w:sz w:val="24"/>
          <w:color w:val="navy"/>
        </w:rPr>
        <w:t xml:space="preserve">ARTÍCULO 2.3.1.3.6.37.3. </w:t>
      </w:r>
      <w:r>
        <w:rPr>
          <w:rFonts w:hAnsi="Arial"/>
          <w:rFonts w:ascii="Arial"/>
          <w:sz w:val="24"/>
          <w:i/>
          <w:color w:val="navy"/>
        </w:rPr>
        <w:t>CONSEJO.</w:t>
      </w:r>
      <w:bookmarkEnd w:id="60804"/>
      <w:r>
        <w:rPr>
          <w:rFonts w:hAnsi="Arial"/>
          <w:rFonts w:ascii="Arial"/>
          <w:sz w:val="24"/>
          <w:b/>
          <w:i/>
          <w:color w:val="black"/>
        </w:rPr>
        <w:t xml:space="preserve"> </w:t>
      </w:r>
      <w:r>
        <w:rPr>
          <w:rFonts w:hAnsi="Arial"/>
          <w:rFonts w:ascii="Arial"/>
          <w:sz w:val="24"/>
          <w:color w:val="black"/>
        </w:rPr>
        <w:t xml:space="preserve">El Consejo de la Medalla Militar "Servicios Distinguidos en la Escuela Naval de Suboficiales",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Desarrollo Humano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Escuela Naval de Suboficiales.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05" w:name="SUBSECCIÓN 2.3.1.3.6.38"/>
      <w:r>
        <w:rPr>
          <w:rFonts w:hAnsi="Arial"/>
          <w:rFonts w:ascii="Arial"/>
          <w:sz w:val="24"/>
          <w:color w:val="navy"/>
        </w:rPr>
        <w:t xml:space="preserve">SUBSECCIÓN 38. </w:t>
      </w:r>
    </w:p>
    <w:p>
      <w:pPr>
        <w:jc w:val="center"/>
      </w:pPr>
      <w:r>
        <w:rPr>
          <w:rFonts w:hAnsi="Arial"/>
          <w:rFonts w:ascii="Arial"/>
          <w:sz w:val="24"/>
          <w:color w:val="navy"/>
        </w:rPr>
        <w:t xml:space="preserve">MEDALLA MILITAR "SERVICIOS DISTINGUIDOS A LA FUERZA DE SUPERFICIE".</w:t>
      </w:r>
      <w:bookmarkEnd w:id="6080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06" w:name="2.3.1.3.6.38.1"/>
      <w:r>
        <w:rPr>
          <w:rFonts w:hAnsi="Arial"/>
          <w:rFonts w:ascii="Arial"/>
          <w:sz w:val="24"/>
          <w:color w:val="navy"/>
        </w:rPr>
        <w:t xml:space="preserve">ARTÍCULO 2.3.1.3.6.38.1. </w:t>
      </w:r>
      <w:r>
        <w:rPr>
          <w:rFonts w:hAnsi="Arial"/>
          <w:rFonts w:ascii="Arial"/>
          <w:sz w:val="24"/>
          <w:i/>
          <w:color w:val="navy"/>
        </w:rPr>
        <w:t>ORIGEN.</w:t>
      </w:r>
      <w:bookmarkEnd w:id="60806"/>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para premiar y reconocer los méritos de quienes denoten un sobresaliente espíritu marinero y aquellos que se destaquen en el cabal cumplimiento de sus deberes en las unidades de superficie de la Armada Nacional. Ostenta una sola categoría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"http://www.redjurista.com/document.aspx?ajcode=d4444010&amp;arts=155"</w:instrText>
      </w:r>
      <w:r>
        <w:fldChar w:fldCharType="separate"/>
      </w:r>
      <w:r>
        <w:rPr>
          <w:rFonts w:hAnsi="Arial"/>
          <w:rFonts w:ascii="Arial"/>
          <w:sz w:val="24"/>
          <w:i/>
          <w:u w:val="single"/>
          <w:color w:val="black"/>
        </w:rPr>
        <w:t>155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07" w:name="2.3.1.3.6.38.2"/>
      <w:r>
        <w:rPr>
          <w:rFonts w:hAnsi="Arial"/>
          <w:rFonts w:ascii="Arial"/>
          <w:sz w:val="24"/>
          <w:color w:val="navy"/>
        </w:rPr>
        <w:t xml:space="preserve">ARTÍCULO 2.3.1.3.6.38.2. </w:t>
      </w:r>
      <w:r>
        <w:rPr>
          <w:rFonts w:hAnsi="Arial"/>
          <w:rFonts w:ascii="Arial"/>
          <w:sz w:val="24"/>
          <w:i/>
          <w:color w:val="navy"/>
        </w:rPr>
        <w:t>CARACTERÍSTICAS.</w:t>
      </w:r>
      <w:bookmarkEnd w:id="60807"/>
      <w:r>
        <w:rPr>
          <w:rFonts w:hAnsi="Arial"/>
          <w:rFonts w:ascii="Arial"/>
          <w:sz w:val="24"/>
          <w:b/>
          <w:i/>
          <w:color w:val="black"/>
        </w:rPr>
        <w:t xml:space="preserve"> </w:t>
      </w:r>
      <w:r>
        <w:rPr>
          <w:rFonts w:hAnsi="Arial"/>
          <w:rFonts w:ascii="Arial"/>
          <w:sz w:val="24"/>
          <w:color w:val="black"/>
        </w:rPr>
        <w:t xml:space="preserve">La joya es una cruz de malta de cuarenta y cinco (45) milímetros de diámetro con sus puntas rematadas en esferas; sobre la cruz va un círculo de veinticuatro (24) milímetros de diámetro encerrado por un calabrote de mar; sobre el mismo círculo va la constelación de Orión en dorado por encima del horizonte, este está dividido por una cuerda geométrica de diecisiete (17) milímetros, la parte inferior de la cuerda va en azul mar profundo y la superior en azul cielo oscuro. Las puntas de la cruz están bordeadas por un cintillo de color azul de un (1) milímetro de grosor, la cruz va superpuesta a una corona de laurel de cinco (5) milímetros de grosor cuyo eje está sobre un círculo de treinta y cuatro (34) milímetros de diámetro; en la parte superior de la cruz lleva una flor de lis. En el reverso la cruz lleva la siguiente leyenda: en la parte superior "Servicios Distinguidos", en el centro "Fuerza de Superficie" y en la parte inferior "Colombia". Será dorada, suspendida de una cinta de color azul mar profundo de cuarenta (40) milímetros de ancho, en los bordes lleva dos franjas de color rojo de cinco (5) milímetros y en el centro una de color azul cielo y ocho (8) milímetros de ancho, encima de esta un ancla tipo almirantazgo en dorado.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"http://www.redjurista.com/document.aspx?ajcode=d4444010&amp;arts=156"</w:instrText>
      </w:r>
      <w:r>
        <w:fldChar w:fldCharType="separate"/>
      </w:r>
      <w:r>
        <w:rPr>
          <w:rFonts w:hAnsi="Arial"/>
          <w:rFonts w:ascii="Arial"/>
          <w:sz w:val="24"/>
          <w:i/>
          <w:u w:val="single"/>
          <w:color w:val="black"/>
        </w:rPr>
        <w:t>156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08" w:name="2.3.1.3.6.38.3"/>
      <w:r>
        <w:rPr>
          <w:rFonts w:hAnsi="Arial"/>
          <w:rFonts w:ascii="Arial"/>
          <w:sz w:val="24"/>
          <w:color w:val="navy"/>
        </w:rPr>
        <w:t xml:space="preserve">ARTÍCULO 2.3.1.3.6.38.3. </w:t>
      </w:r>
      <w:r>
        <w:rPr>
          <w:rFonts w:hAnsi="Arial"/>
          <w:rFonts w:ascii="Arial"/>
          <w:sz w:val="24"/>
          <w:i/>
          <w:color w:val="navy"/>
        </w:rPr>
        <w:t>CONSEJO.</w:t>
      </w:r>
      <w:bookmarkEnd w:id="60808"/>
      <w:r>
        <w:rPr>
          <w:rFonts w:hAnsi="Arial"/>
          <w:rFonts w:ascii="Arial"/>
          <w:sz w:val="24"/>
          <w:b/>
          <w:i/>
          <w:color w:val="black"/>
        </w:rPr>
        <w:t xml:space="preserve"> </w:t>
      </w:r>
      <w:r>
        <w:rPr>
          <w:rFonts w:hAnsi="Arial"/>
          <w:rFonts w:ascii="Arial"/>
          <w:sz w:val="24"/>
          <w:color w:val="black"/>
        </w:rPr>
        <w:t xml:space="preserve">El Consejo de la Medalla Militar "Servicios Distinguidos a la Fuerza de Superficie",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Operaciones Navales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de Operaciones Navales.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09" w:name="SUBSECCIÓN 2.3.1.3.6.39"/>
      <w:r>
        <w:rPr>
          <w:rFonts w:hAnsi="Arial"/>
          <w:rFonts w:ascii="Arial"/>
          <w:sz w:val="24"/>
          <w:color w:val="navy"/>
        </w:rPr>
        <w:t xml:space="preserve">SUBSECCIÓN 39. </w:t>
      </w:r>
    </w:p>
    <w:p>
      <w:pPr>
        <w:jc w:val="center"/>
      </w:pPr>
      <w:r>
        <w:rPr>
          <w:rFonts w:hAnsi="Arial"/>
          <w:rFonts w:ascii="Arial"/>
          <w:sz w:val="24"/>
          <w:color w:val="navy"/>
        </w:rPr>
        <w:t xml:space="preserve">MEDALLA MILITAR "SERVICIOS DISTINGUIDOS A LA INFANTERÍA DE MARINA".</w:t>
      </w:r>
      <w:bookmarkEnd w:id="6080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10" w:name="2.3.1.3.6.39.1"/>
      <w:r>
        <w:rPr>
          <w:rFonts w:hAnsi="Arial"/>
          <w:rFonts w:ascii="Arial"/>
          <w:sz w:val="24"/>
          <w:color w:val="navy"/>
        </w:rPr>
        <w:t xml:space="preserve">ARTÍCULO 2.3.1.3.6.39.1. </w:t>
      </w:r>
      <w:r>
        <w:rPr>
          <w:rFonts w:hAnsi="Arial"/>
          <w:rFonts w:ascii="Arial"/>
          <w:sz w:val="24"/>
          <w:i/>
          <w:color w:val="navy"/>
        </w:rPr>
        <w:t>ORIGEN.</w:t>
      </w:r>
      <w:bookmarkEnd w:id="60810"/>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categoría única, para estimular el Cuerpo de Infantería de Marina a fin de premiar a quienes hayan sobresalido en actividades propias de la especialidad, así como al personal militar o civil y a entidades o instituciones oficiales o particulares, nacionales o extranjeras que hayan prestado eminentes servicios al Cuerpo de Infantería de Marina.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"http://www.redjurista.com/document.aspx?ajcode=d4444010&amp;arts=157"</w:instrText>
      </w:r>
      <w:r>
        <w:fldChar w:fldCharType="separate"/>
      </w:r>
      <w:r>
        <w:rPr>
          <w:rFonts w:hAnsi="Arial"/>
          <w:rFonts w:ascii="Arial"/>
          <w:sz w:val="24"/>
          <w:i/>
          <w:u w:val="single"/>
          <w:color w:val="black"/>
        </w:rPr>
        <w:t>157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11" w:name="2.3.1.3.6.39.2"/>
      <w:r>
        <w:rPr>
          <w:rFonts w:hAnsi="Arial"/>
          <w:rFonts w:ascii="Arial"/>
          <w:sz w:val="24"/>
          <w:color w:val="navy"/>
        </w:rPr>
        <w:t xml:space="preserve">ARTÍCULO 2.3.1.3.6.39.2. </w:t>
      </w:r>
      <w:r>
        <w:rPr>
          <w:rFonts w:hAnsi="Arial"/>
          <w:rFonts w:ascii="Arial"/>
          <w:sz w:val="24"/>
          <w:i/>
          <w:color w:val="navy"/>
        </w:rPr>
        <w:t>CARACTERÍSTICAS.</w:t>
      </w:r>
      <w:bookmarkEnd w:id="60811"/>
      <w:r>
        <w:rPr>
          <w:rFonts w:hAnsi="Arial"/>
          <w:rFonts w:ascii="Arial"/>
          <w:sz w:val="24"/>
          <w:b/>
          <w:i/>
          <w:color w:val="black"/>
        </w:rPr>
        <w:t xml:space="preserve"> </w:t>
      </w:r>
      <w:r>
        <w:rPr>
          <w:rFonts w:hAnsi="Arial"/>
          <w:rFonts w:ascii="Arial"/>
          <w:sz w:val="24"/>
          <w:color w:val="black"/>
        </w:rPr>
        <w:t xml:space="preserve">La joya es una cruz de malta de cuarenta y cinco (45) milímetros de diámetro, sus brazos esmaltados con los colores azul y rojo en forma alternada y su contorno dorado de un (1) milímetro de grosor, terminados en dos ángulos, rematados por esferas, con un círculo central de esmalte blanco de veinticuatro (24) milímetros y sobre este, en relieve el escudo de Infantería de Marina en sus colores originales, encerrados por una corona de laurel. En el reverso lleva la leyenda Servicios Distinguidos a la "Infantería de Marina - Colombia". Será dorada, suspendida por una cinta de cuarenta (40) milímetros de ancho y sesenta (60) milímetros de largo, en los colores rojo central de veinte (20) mm y azul de diez (10) mm de ancho a cada lado del rojo, lleva cruzados en la parte central del color rojo, un ancla y un fusil miniatura de color oro. En la parte superior la cinta lleva una hebilla del mismo material de la medalla.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"http://www.redjurista.com/document.aspx?ajcode=d4444010&amp;arts=158"</w:instrText>
      </w:r>
      <w:r>
        <w:fldChar w:fldCharType="separate"/>
      </w:r>
      <w:r>
        <w:rPr>
          <w:rFonts w:hAnsi="Arial"/>
          <w:rFonts w:ascii="Arial"/>
          <w:sz w:val="24"/>
          <w:i/>
          <w:u w:val="single"/>
          <w:color w:val="black"/>
        </w:rPr>
        <w:t>158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12" w:name="2.3.1.3.6.39.3"/>
      <w:r>
        <w:rPr>
          <w:rFonts w:hAnsi="Arial"/>
          <w:rFonts w:ascii="Arial"/>
          <w:sz w:val="24"/>
          <w:color w:val="navy"/>
        </w:rPr>
        <w:t xml:space="preserve">ARTÍCULO 2.3.1.3.6.39.3. </w:t>
      </w:r>
      <w:r>
        <w:rPr>
          <w:rFonts w:hAnsi="Arial"/>
          <w:rFonts w:ascii="Arial"/>
          <w:sz w:val="24"/>
          <w:i/>
          <w:color w:val="navy"/>
        </w:rPr>
        <w:t>CONSEJO.</w:t>
      </w:r>
      <w:bookmarkEnd w:id="60812"/>
      <w:r>
        <w:rPr>
          <w:rFonts w:hAnsi="Arial"/>
          <w:rFonts w:ascii="Arial"/>
          <w:sz w:val="24"/>
          <w:b/>
          <w:i/>
          <w:color w:val="black"/>
        </w:rPr>
        <w:t xml:space="preserve"> </w:t>
      </w:r>
      <w:r>
        <w:rPr>
          <w:rFonts w:hAnsi="Arial"/>
          <w:rFonts w:ascii="Arial"/>
          <w:sz w:val="24"/>
          <w:color w:val="black"/>
        </w:rPr>
        <w:t xml:space="preserve">El Consejo de la Medalla Militar "Servicios Distinguidos a la Infantería de Marina",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de la Infantería de Marina.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Jefe de Estado Mayor de Infantería de Marina.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13" w:name="SUBSECCIÓN 2.3.1.3.6.40"/>
      <w:r>
        <w:rPr>
          <w:rFonts w:hAnsi="Arial"/>
          <w:rFonts w:ascii="Arial"/>
          <w:sz w:val="24"/>
          <w:color w:val="navy"/>
        </w:rPr>
        <w:t xml:space="preserve">SUBSECCIÓN 40. </w:t>
      </w:r>
    </w:p>
    <w:p>
      <w:pPr>
        <w:jc w:val="center"/>
      </w:pPr>
      <w:r>
        <w:rPr>
          <w:rFonts w:hAnsi="Arial"/>
          <w:rFonts w:ascii="Arial"/>
          <w:sz w:val="24"/>
          <w:color w:val="navy"/>
        </w:rPr>
        <w:t xml:space="preserve">MEDALLA MILITAR "SERVICIOS DISTINGUIDOS A LA FUERZA SUBMARINA".</w:t>
      </w:r>
      <w:bookmarkEnd w:id="6081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14" w:name="2.3.1.3.6.40.1"/>
      <w:r>
        <w:rPr>
          <w:rFonts w:hAnsi="Arial"/>
          <w:rFonts w:ascii="Arial"/>
          <w:sz w:val="24"/>
          <w:color w:val="navy"/>
        </w:rPr>
        <w:t xml:space="preserve">ARTÍCULO 2.3.1.3.6.40.1. </w:t>
      </w:r>
      <w:r>
        <w:rPr>
          <w:rFonts w:hAnsi="Arial"/>
          <w:rFonts w:ascii="Arial"/>
          <w:sz w:val="24"/>
          <w:i/>
          <w:color w:val="navy"/>
        </w:rPr>
        <w:t>ORIGEN.</w:t>
      </w:r>
      <w:bookmarkEnd w:id="60814"/>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categoría única, para estimular y premiar a los miembros de esta especialidad que hayan sobresalido por sus capacidades profesionales y técnicas al igual que a entidades públicas o privadas y a sus funcionarios que así lo ameriten por servicios a la Fuerza Submarina.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"http://www.redjurista.com/document.aspx?ajcode=d4444010&amp;arts=159"</w:instrText>
      </w:r>
      <w:r>
        <w:fldChar w:fldCharType="separate"/>
      </w:r>
      <w:r>
        <w:rPr>
          <w:rFonts w:hAnsi="Arial"/>
          <w:rFonts w:ascii="Arial"/>
          <w:sz w:val="24"/>
          <w:i/>
          <w:u w:val="single"/>
          <w:color w:val="black"/>
        </w:rPr>
        <w:t>159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15" w:name="2.3.1.3.6.40.2"/>
      <w:r>
        <w:rPr>
          <w:rFonts w:hAnsi="Arial"/>
          <w:rFonts w:ascii="Arial"/>
          <w:sz w:val="24"/>
          <w:color w:val="navy"/>
        </w:rPr>
        <w:t xml:space="preserve">ARTÍCULO 2.3.1.3.6.40.2. </w:t>
      </w:r>
      <w:r>
        <w:rPr>
          <w:rFonts w:hAnsi="Arial"/>
          <w:rFonts w:ascii="Arial"/>
          <w:sz w:val="24"/>
          <w:i/>
          <w:color w:val="navy"/>
        </w:rPr>
        <w:t>CARACTERÍSTICAS.</w:t>
      </w:r>
      <w:bookmarkEnd w:id="60815"/>
      <w:r>
        <w:rPr>
          <w:rFonts w:hAnsi="Arial"/>
          <w:rFonts w:ascii="Arial"/>
          <w:sz w:val="24"/>
          <w:b/>
          <w:i/>
          <w:color w:val="black"/>
        </w:rPr>
        <w:t xml:space="preserve"> </w:t>
      </w:r>
      <w:r>
        <w:rPr>
          <w:rFonts w:hAnsi="Arial"/>
          <w:rFonts w:ascii="Arial"/>
          <w:sz w:val="24"/>
          <w:color w:val="black"/>
        </w:rPr>
        <w:t xml:space="preserve">La joya es un círculo de veinte (20) milímetros de diámetro bordeado por un anillo de uno y medio (1,5) milímetros simulando un cabo marinero - dorado - superpuesto a la parte central de una cruz paté recortada, cuya distancia máxima entre brazos opuestos es de cuarenta y siete (47) milímetros. Dicha cruz debe llevar un borde biselado de uno y medio (1,5) milímetros de ancho en color dorado. Sobre el cuerpo central va suspendido un tridente clásico de color dorado de diez (10) milímetros de ancho. El cuerpo central y los brazos de la cruz van en esmalte azul oscuro profundo. En los espacios entre los brazos de la cruz van sectores a manera de corona de laurel de color dorado simulando un fondo para la cruz. El ancho de estos sectores es de cinco (5) milímetros. El reverso será de color dorado y llevará la leyenda "Servicios Distinguidos a la Fuerza Submarina" (Colombia). La cinta tiene un ancho de cuarenta (40) milímetros y una altura de cincuenta y dos (52) milímetros, medida desde el borde superior del gancho de fijación hasta el vértice inferior donde va arraigada la argolla de soporte de la medalla.</w:t>
      </w:r>
    </w:p>
    <w:p>
      <w:pPr>
        <w:jc w:val="both"/>
      </w:pPr>
      <w:rPr>
        <w:sz w:val="24"/>
        <w:color w:val="black"/>
      </w:rPr>
    </w:p>
    <w:p>
      <w:pPr>
        <w:jc w:val="both"/>
      </w:pPr>
      <w:r>
        <w:rPr>
          <w:rFonts w:hAnsi="Arial"/>
          <w:rFonts w:ascii="Arial"/>
          <w:sz w:val="24"/>
          <w:color w:val="black"/>
        </w:rPr>
        <w:t xml:space="preserve">En los bordes laterales lleva dos franjas verticales de color dorado de un espesor de dos y medio (2,5) milímetros, separadas entre sí por dos y medio (2,5) milímetros partiendo de los bordes verticales exteriores de la cinta. Esta cinta es de fondo azul oscuro profundo.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"http://www.redjurista.com/document.aspx?ajcode=d4444010&amp;arts=160"</w:instrText>
      </w:r>
      <w:r>
        <w:fldChar w:fldCharType="separate"/>
      </w:r>
      <w:r>
        <w:rPr>
          <w:rFonts w:hAnsi="Arial"/>
          <w:rFonts w:ascii="Arial"/>
          <w:sz w:val="24"/>
          <w:i/>
          <w:u w:val="single"/>
          <w:color w:val="black"/>
        </w:rPr>
        <w:t>160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16" w:name="2.3.1.3.6.40.3"/>
      <w:r>
        <w:rPr>
          <w:rFonts w:hAnsi="Arial"/>
          <w:rFonts w:ascii="Arial"/>
          <w:sz w:val="24"/>
          <w:color w:val="navy"/>
        </w:rPr>
        <w:t xml:space="preserve">ARTÍCULO 2.3.1.3.6.40.3. </w:t>
      </w:r>
      <w:r>
        <w:rPr>
          <w:rFonts w:hAnsi="Arial"/>
          <w:rFonts w:ascii="Arial"/>
          <w:sz w:val="24"/>
          <w:i/>
          <w:color w:val="navy"/>
        </w:rPr>
        <w:t>CONSEJO.</w:t>
      </w:r>
      <w:bookmarkEnd w:id="60816"/>
      <w:r>
        <w:rPr>
          <w:rFonts w:hAnsi="Arial"/>
          <w:rFonts w:ascii="Arial"/>
          <w:sz w:val="24"/>
          <w:b/>
          <w:i/>
          <w:color w:val="black"/>
        </w:rPr>
        <w:t xml:space="preserve"> </w:t>
      </w:r>
      <w:r>
        <w:rPr>
          <w:rFonts w:hAnsi="Arial"/>
          <w:rFonts w:ascii="Arial"/>
          <w:sz w:val="24"/>
          <w:color w:val="black"/>
        </w:rPr>
        <w:t xml:space="preserve">El Consejo de la Medalla Militar "Servicios Distinguidos a la Fuerza Submarina",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Operaciones Navales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Flotilla de Submarinos.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17" w:name="SUBSECCIÓN 2.3.1.3.6.41"/>
      <w:r>
        <w:rPr>
          <w:rFonts w:hAnsi="Arial"/>
          <w:rFonts w:ascii="Arial"/>
          <w:sz w:val="24"/>
          <w:color w:val="navy"/>
        </w:rPr>
        <w:t xml:space="preserve">SUBSECCIÓN 41. </w:t>
      </w:r>
    </w:p>
    <w:p>
      <w:pPr>
        <w:jc w:val="center"/>
      </w:pPr>
      <w:r>
        <w:rPr>
          <w:rFonts w:hAnsi="Arial"/>
          <w:rFonts w:ascii="Arial"/>
          <w:sz w:val="24"/>
          <w:color w:val="navy"/>
        </w:rPr>
        <w:t xml:space="preserve">MEDALLA MILITAR "SERVICIOS DISTINGUIDOS A LA AVIACIÓN NAVAL".</w:t>
      </w:r>
      <w:bookmarkEnd w:id="6081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18" w:name="2.3.1.3.6.41.1"/>
      <w:r>
        <w:rPr>
          <w:rFonts w:hAnsi="Arial"/>
          <w:rFonts w:ascii="Arial"/>
          <w:sz w:val="24"/>
          <w:color w:val="navy"/>
        </w:rPr>
        <w:t xml:space="preserve">ARTÍCULO 2.3.1.3.6.41.1. </w:t>
      </w:r>
      <w:r>
        <w:rPr>
          <w:rFonts w:hAnsi="Arial"/>
          <w:rFonts w:ascii="Arial"/>
          <w:sz w:val="24"/>
          <w:i/>
          <w:color w:val="navy"/>
        </w:rPr>
        <w:t>ORIGEN.</w:t>
      </w:r>
      <w:bookmarkEnd w:id="60818"/>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para estimular y premiar a los miembros de esta especialidad que hayan sobresalido por sus capacidades profesionales y técnicas al igual que a entidades oficiales, particulares y personal civil o particular que hayan prestado eficientes servicios en beneficio de la Aviación Naval.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"http://www.redjurista.com/document.aspx?ajcode=d4444010&amp;arts=161"</w:instrText>
      </w:r>
      <w:r>
        <w:fldChar w:fldCharType="separate"/>
      </w:r>
      <w:r>
        <w:rPr>
          <w:rFonts w:hAnsi="Arial"/>
          <w:rFonts w:ascii="Arial"/>
          <w:sz w:val="24"/>
          <w:i/>
          <w:u w:val="single"/>
          <w:color w:val="black"/>
        </w:rPr>
        <w:t>161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19" w:name="2.3.1.3.6.41.2"/>
      <w:r>
        <w:rPr>
          <w:rFonts w:hAnsi="Arial"/>
          <w:rFonts w:ascii="Arial"/>
          <w:sz w:val="24"/>
          <w:color w:val="navy"/>
        </w:rPr>
        <w:t xml:space="preserve">ARTÍCULO 2.3.1.3.6.41.2. </w:t>
      </w:r>
      <w:r>
        <w:rPr>
          <w:rFonts w:hAnsi="Arial"/>
          <w:rFonts w:ascii="Arial"/>
          <w:sz w:val="24"/>
          <w:i/>
          <w:color w:val="navy"/>
        </w:rPr>
        <w:t>CARACTERÍSTICAS.</w:t>
      </w:r>
      <w:bookmarkEnd w:id="60819"/>
      <w:r>
        <w:rPr>
          <w:rFonts w:hAnsi="Arial"/>
          <w:rFonts w:ascii="Arial"/>
          <w:sz w:val="24"/>
          <w:b/>
          <w:i/>
          <w:color w:val="black"/>
        </w:rPr>
        <w:t xml:space="preserve"> </w:t>
      </w:r>
      <w:r>
        <w:rPr>
          <w:rFonts w:hAnsi="Arial"/>
          <w:rFonts w:ascii="Arial"/>
          <w:sz w:val="24"/>
          <w:color w:val="black"/>
        </w:rPr>
        <w:t xml:space="preserve">La joya es una cruz de malta de cuarenta (40) milímetros en su máxima extensión y de color azul cielo, rematada en sus ángulos exteriores por esferas de color dorado. Los bordes de la cruz van ribeteados exterior e interiormente en color dorado conteniendo líneas periféricas color azul mar en sus secciones rectas. La cruz contiene un círculo central que semeja una cucarda (distintivos de aeronaves) cuyo anillo exterior es de color blanco con ribetes dorados. La parte central dividida en menor proporción por una sección de color azul mar y otra de mayor proporción de color azul cielo que contiene una silueta alada significando el lema "Alas Sobre el Mar". La cruz está circundada por un anillo de estrellas doradas significando el espacio (cielo, firmamento). En la parte superior un ancla eslabona la joya de la cinta. En el reverso de la joya va inscrito "Servicios Distinguidos Aviación Naval. - Colombia". Será dorada suspendida por una cinta de cuarenta (40) milímetros de ancho y cincuenta y cinco (55) milímetros de longitud. Los colores azul cielo, blanco y azul mar dispuestos en sentido vertical y proporcionales al ancho de la cinta, se separan por ribetes dorados de dos (2) milímetros. El ribete circunda la cinta en toda su extensión. En la parte central van superpuestas las alas de la Aviación Naval en miniatura. El rectángulo fijador de color dorado recibe la cinta en su parte superior.</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"http://www.redjurista.com/document.aspx?ajcode=d4444010&amp;arts=162"</w:instrText>
      </w:r>
      <w:r>
        <w:fldChar w:fldCharType="separate"/>
      </w:r>
      <w:r>
        <w:rPr>
          <w:rFonts w:hAnsi="Arial"/>
          <w:rFonts w:ascii="Arial"/>
          <w:sz w:val="24"/>
          <w:i/>
          <w:u w:val="single"/>
          <w:color w:val="black"/>
        </w:rPr>
        <w:t>162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20" w:name="2.3.1.3.6.41.3"/>
      <w:r>
        <w:rPr>
          <w:rFonts w:hAnsi="Arial"/>
          <w:rFonts w:ascii="Arial"/>
          <w:sz w:val="24"/>
          <w:color w:val="navy"/>
        </w:rPr>
        <w:t xml:space="preserve">ARTÍCULO 2.3.1.3.6.41.3. </w:t>
      </w:r>
      <w:r>
        <w:rPr>
          <w:rFonts w:hAnsi="Arial"/>
          <w:rFonts w:ascii="Arial"/>
          <w:sz w:val="24"/>
          <w:i/>
          <w:color w:val="navy"/>
        </w:rPr>
        <w:t>CONSEJO.</w:t>
      </w:r>
      <w:bookmarkEnd w:id="60820"/>
      <w:r>
        <w:rPr>
          <w:rFonts w:hAnsi="Arial"/>
          <w:rFonts w:ascii="Arial"/>
          <w:sz w:val="24"/>
          <w:b/>
          <w:i/>
          <w:color w:val="black"/>
        </w:rPr>
        <w:t xml:space="preserve"> </w:t>
      </w:r>
      <w:r>
        <w:rPr>
          <w:rFonts w:hAnsi="Arial"/>
          <w:rFonts w:ascii="Arial"/>
          <w:sz w:val="24"/>
          <w:color w:val="black"/>
        </w:rPr>
        <w:t xml:space="preserve">El Consejo de la Medalla Militar "Servicios Distinguidos a la Aviación Naval",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Operaciones Navales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Aviación Naval.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21" w:name="SUBSECCIÓN 2.3.1.3.6.42"/>
      <w:r>
        <w:rPr>
          <w:rFonts w:hAnsi="Arial"/>
          <w:rFonts w:ascii="Arial"/>
          <w:sz w:val="24"/>
          <w:color w:val="navy"/>
        </w:rPr>
        <w:t xml:space="preserve">SUBSECCIÓN 42. </w:t>
      </w:r>
    </w:p>
    <w:p>
      <w:pPr>
        <w:jc w:val="center"/>
      </w:pPr>
      <w:r>
        <w:rPr>
          <w:rFonts w:hAnsi="Arial"/>
          <w:rFonts w:ascii="Arial"/>
          <w:sz w:val="24"/>
          <w:color w:val="navy"/>
        </w:rPr>
        <w:t xml:space="preserve">MEDALLA MILITAR "SERVICIOS DISTINGUIDOS AL CUERPO DE GUARDACOSTAS".</w:t>
      </w:r>
      <w:bookmarkEnd w:id="6082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22" w:name="2.3.1.3.6.42.1"/>
      <w:r>
        <w:rPr>
          <w:rFonts w:hAnsi="Arial"/>
          <w:rFonts w:ascii="Arial"/>
          <w:sz w:val="24"/>
          <w:color w:val="navy"/>
        </w:rPr>
        <w:t xml:space="preserve">ARTÍCULO 2.3.1.3.6.42.1. </w:t>
      </w:r>
      <w:r>
        <w:rPr>
          <w:rFonts w:hAnsi="Arial"/>
          <w:rFonts w:ascii="Arial"/>
          <w:sz w:val="24"/>
          <w:i/>
          <w:color w:val="navy"/>
        </w:rPr>
        <w:t>ORIGEN.</w:t>
      </w:r>
      <w:bookmarkEnd w:id="60822"/>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"http://www.redjurista.com/document.aspx?ajcode=d0399_94&amp;arts=INICIO"</w:instrText>
      </w:r>
      <w:r>
        <w:fldChar w:fldCharType="separate"/>
      </w:r>
      <w:r>
        <w:rPr>
          <w:rFonts w:hAnsi="Arial"/>
          <w:rFonts w:ascii="Arial"/>
          <w:sz w:val="24"/>
          <w:u w:val="single"/>
          <w:color w:val="black"/>
        </w:rPr>
        <w:t>399</w:t>
      </w:r>
      <w:r>
        <w:fldChar w:fldCharType="end"/>
      </w:r>
      <w:r>
        <w:rPr>
          <w:rFonts w:hAnsi="Arial"/>
          <w:rFonts w:ascii="Arial"/>
          <w:sz w:val="24"/>
          <w:u w:val="none"/>
          <w:color w:val="black"/>
        </w:rPr>
        <w:t xml:space="preserve"> del 18 febrero de 1994, para estimular y premiar al personal que haya sobresalido por sus capacidades profesionales, técnicas y dedicación, al igual que a entidades oficiales y particulares y personal civil o particular que haya prestado eficientes servicios en beneficio del Cuerpo de Guardacostas.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"http://www.redjurista.com/document.aspx?ajcode=d4444010&amp;arts=163"</w:instrText>
      </w:r>
      <w:r>
        <w:fldChar w:fldCharType="separate"/>
      </w:r>
      <w:r>
        <w:rPr>
          <w:rFonts w:hAnsi="Arial"/>
          <w:rFonts w:ascii="Arial"/>
          <w:sz w:val="24"/>
          <w:i/>
          <w:u w:val="single"/>
          <w:color w:val="black"/>
        </w:rPr>
        <w:t>163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23" w:name="2.3.1.3.6.42.2"/>
      <w:r>
        <w:rPr>
          <w:rFonts w:hAnsi="Arial"/>
          <w:rFonts w:ascii="Arial"/>
          <w:sz w:val="24"/>
          <w:color w:val="navy"/>
        </w:rPr>
        <w:t xml:space="preserve">ARTÍCULO 2.3.1.3.6.42.2. </w:t>
      </w:r>
      <w:r>
        <w:rPr>
          <w:rFonts w:hAnsi="Arial"/>
          <w:rFonts w:ascii="Arial"/>
          <w:sz w:val="24"/>
          <w:i/>
          <w:color w:val="navy"/>
        </w:rPr>
        <w:t>CARACTERÍSTICAS.</w:t>
      </w:r>
      <w:bookmarkEnd w:id="60823"/>
      <w:r>
        <w:rPr>
          <w:rFonts w:hAnsi="Arial"/>
          <w:rFonts w:ascii="Arial"/>
          <w:sz w:val="24"/>
          <w:b/>
          <w:i/>
          <w:color w:val="black"/>
        </w:rPr>
        <w:t xml:space="preserve"> </w:t>
      </w:r>
      <w:r>
        <w:rPr>
          <w:rFonts w:hAnsi="Arial"/>
          <w:rFonts w:ascii="Arial"/>
          <w:sz w:val="24"/>
          <w:color w:val="black"/>
        </w:rPr>
        <w:t xml:space="preserve">La joya es una cruz de malta de sesenta (60) milímetros en su máxima extensión y de color azul, rematada en sus ángulos exteriores por esferas de color dorado. Los bordes de la cruz van ribeteados exterior e interiormente, en color dorado conteniendo líneas periféricas color amarillo en sus secciones rectas. La cruz contiene un círculo central que semeja un salvavidas (distintivo de los guardacostas), cuyo anillo exterior es de color rojo con ribetes dorados. En la parte central se encuentra el escudo del Cuerpo de Guardacostas significando el lema "Servir a la Humanidad Protegiendo la Vida en el Mar". La cruz está circundada por una corona de laureles, representativo del valor y la persistencia, en alcanzar el progreso y la excelencia. En la parte superior un ancla eslabona la joya de la cinta. En el reverso de la joya va inscrito "Servicios Distinguidos al Cuerpo de Guardacostas - Colombia". Será dorada suspendida de una cinta de sesenta y cinco (65) milímetros de largo por cincuenta (50) milímetros de ancho, con un fondo color azul mar, y los colores rojo y amarillo dispuestos en sentido diagonal. El rectángulo fijador de color dorado recibe la cinta en su parte superior.</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"http://www.redjurista.com/document.aspx?ajcode=d4444010&amp;arts=164"</w:instrText>
      </w:r>
      <w:r>
        <w:fldChar w:fldCharType="separate"/>
      </w:r>
      <w:r>
        <w:rPr>
          <w:rFonts w:hAnsi="Arial"/>
          <w:rFonts w:ascii="Arial"/>
          <w:sz w:val="24"/>
          <w:i/>
          <w:u w:val="single"/>
          <w:color w:val="black"/>
        </w:rPr>
        <w:t>164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24" w:name="2.3.1.3.6.42.3"/>
      <w:r>
        <w:rPr>
          <w:rFonts w:hAnsi="Arial"/>
          <w:rFonts w:ascii="Arial"/>
          <w:sz w:val="24"/>
          <w:color w:val="navy"/>
        </w:rPr>
        <w:t xml:space="preserve">ARTÍCULO 2.3.1.3.6.42.3. </w:t>
      </w:r>
      <w:r>
        <w:rPr>
          <w:rFonts w:hAnsi="Arial"/>
          <w:rFonts w:ascii="Arial"/>
          <w:sz w:val="24"/>
          <w:i/>
          <w:color w:val="navy"/>
        </w:rPr>
        <w:t>CONSEJO.</w:t>
      </w:r>
      <w:bookmarkEnd w:id="60824"/>
      <w:r>
        <w:rPr>
          <w:rFonts w:hAnsi="Arial"/>
          <w:rFonts w:ascii="Arial"/>
          <w:sz w:val="24"/>
          <w:b/>
          <w:i/>
          <w:color w:val="black"/>
        </w:rPr>
        <w:t xml:space="preserve"> </w:t>
      </w:r>
      <w:r>
        <w:rPr>
          <w:rFonts w:hAnsi="Arial"/>
          <w:rFonts w:ascii="Arial"/>
          <w:sz w:val="24"/>
          <w:color w:val="black"/>
        </w:rPr>
        <w:t xml:space="preserve">El Consejo de la Medalla Militar "Servicios Distinguidos al Cuerpo de Guardacostas",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Operaciones Navales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Comandante Guardacostas.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 xml:space="preserve"> )</w:t>
      </w:r>
    </w:p>
    <w:p>
      <w:pPr>
        <w:jc w:val="both"/>
      </w:pPr>
      <w:rPr>
        <w:sz w:val="24"/>
        <w:color w:val="black"/>
      </w:rPr>
    </w:p>
    <w:p>
      <w:pPr>
        <w:jc w:val="center"/>
      </w:pPr>
      <w:r>
        <w:rPr>
          <w:rFonts w:hAnsi="Arial"/>
          <w:rFonts w:ascii="Arial"/>
          <w:sz w:val="24"/>
          <w:vanish/>
          <w:color w:val="black"/>
        </w:rPr>
        <w:t>&amp;$</w:t>
      </w:r>
      <w:bookmarkStart w:id="60825" w:name="SUBSECCIÓN 2.3.1.3.6.43"/>
      <w:r>
        <w:rPr>
          <w:rFonts w:hAnsi="Arial"/>
          <w:rFonts w:ascii="Arial"/>
          <w:sz w:val="24"/>
          <w:color w:val="navy"/>
        </w:rPr>
        <w:t xml:space="preserve">SUBSECCIÓN 43. </w:t>
      </w:r>
    </w:p>
    <w:p>
      <w:pPr>
        <w:jc w:val="center"/>
      </w:pPr>
      <w:r>
        <w:rPr>
          <w:rFonts w:hAnsi="Arial"/>
          <w:rFonts w:ascii="Arial"/>
          <w:sz w:val="24"/>
          <w:color w:val="navy"/>
        </w:rPr>
        <w:t xml:space="preserve">MEDALLA MILITAR "SERVICIOS DISTINGUIDOS A LA ESCUELA DE FORMACIÓN DE INFANTERÍA DE MARINA".</w:t>
      </w:r>
      <w:bookmarkEnd w:id="6082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26" w:name="2.3.1.3.6.43.1"/>
      <w:r>
        <w:rPr>
          <w:rFonts w:hAnsi="Arial"/>
          <w:rFonts w:ascii="Arial"/>
          <w:sz w:val="24"/>
          <w:color w:val="navy"/>
        </w:rPr>
        <w:t xml:space="preserve">ARTÍCULO 2.3.1.3.6.43.1. </w:t>
      </w:r>
      <w:r>
        <w:rPr>
          <w:rFonts w:hAnsi="Arial"/>
          <w:rFonts w:ascii="Arial"/>
          <w:sz w:val="24"/>
          <w:i/>
          <w:color w:val="navy"/>
        </w:rPr>
        <w:t>ORIGEN.</w:t>
      </w:r>
      <w:bookmarkEnd w:id="60826"/>
      <w:r>
        <w:rPr>
          <w:rFonts w:hAnsi="Arial"/>
          <w:rFonts w:ascii="Arial"/>
          <w:sz w:val="24"/>
          <w:b/>
          <w:i/>
          <w:color w:val="black"/>
        </w:rPr>
        <w:t xml:space="preserve"> </w:t>
      </w:r>
      <w:r>
        <w:rPr>
          <w:rFonts w:hAnsi="Arial"/>
          <w:rFonts w:ascii="Arial"/>
          <w:sz w:val="24"/>
          <w:color w:val="black"/>
        </w:rPr>
        <w:t xml:space="preserve">La Medalla "Servicios Distinguidos a la Escuela de Formación de Infantería de Marina", fue creada mediante el artículo </w:t>
      </w:r>
      <w:r>
        <w:fldChar w:fldCharType="begin"/>
      </w:r>
      <w:r>
        <w:instrText>HYPERLINK "http://www.redjurista.com/document.aspx?ajcode=d1816007&amp;arts=155"</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del Decreto 1816 de 2007, para estimular y premiar al personal que haya sobresalido por sus capacidades profesionales, técnicas y dedicación, al igual que a entidades oficiales, particulares y personal que haya prestado eminentes servicios, propendiendo por el desarrollo y proyección de la Escuela de Formación de Infantería de Marina.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"http://www.redjurista.com/document.aspx?ajcode=d4444010&amp;arts=165"</w:instrText>
      </w:r>
      <w:r>
        <w:fldChar w:fldCharType="separate"/>
      </w:r>
      <w:r>
        <w:rPr>
          <w:rFonts w:hAnsi="Arial"/>
          <w:rFonts w:ascii="Arial"/>
          <w:sz w:val="24"/>
          <w:i/>
          <w:u w:val="single"/>
          <w:color w:val="black"/>
        </w:rPr>
        <w:t>165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27" w:name="2.3.1.3.6.43.2"/>
      <w:r>
        <w:rPr>
          <w:rFonts w:hAnsi="Arial"/>
          <w:rFonts w:ascii="Arial"/>
          <w:sz w:val="24"/>
          <w:color w:val="navy"/>
        </w:rPr>
        <w:t xml:space="preserve">ARTÍCULO 2.3.1.3.6.43.2. </w:t>
      </w:r>
      <w:r>
        <w:rPr>
          <w:rFonts w:hAnsi="Arial"/>
          <w:rFonts w:ascii="Arial"/>
          <w:sz w:val="24"/>
          <w:i/>
          <w:color w:val="navy"/>
        </w:rPr>
        <w:t>CARACTERÍSTICAS.</w:t>
      </w:r>
      <w:bookmarkEnd w:id="60827"/>
      <w:r>
        <w:rPr>
          <w:rFonts w:hAnsi="Arial"/>
          <w:rFonts w:ascii="Arial"/>
          <w:sz w:val="24"/>
          <w:b/>
          <w:i/>
          <w:color w:val="black"/>
        </w:rPr>
        <w:t xml:space="preserve"> </w:t>
      </w:r>
      <w:r>
        <w:rPr>
          <w:rFonts w:hAnsi="Arial"/>
          <w:rFonts w:ascii="Arial"/>
          <w:sz w:val="24"/>
          <w:color w:val="black"/>
        </w:rPr>
        <w:t xml:space="preserve">La joya es una estrella de cinco (5) puntas, de cincuenta (50) milímetros, tanto de ancho como de alto, esmaltada en sinople verde y bordes color dorado. Centrado en el pentagrama irá un sello circular esmaltado en gules (rojo) propio por centurias de los Ejércitos que combaten a pie; plasmados sobre el campo circular, estará la antorcha como símbolo de la búsqueda del conocimiento. Sobrepuesta irá el ancla como símbolo de la Armada, cruzada por el fusil del Infante de Marina. Todo ello enmarcado en su parte inferior por dos (2) laureles que representan la excelencia. La estrella en su parte superior o cabeza llevará un sello dorado formado por las letras griegas Alfa y Omega, haciendo una evocación a Dios como principio y fin de todas las cosas. La estrella penderá de una cinta dividida en tres (3) colores, sobresaliendo en proporción de tres sobre cinco (5) en matiz verde, como significado del saber y la superación, por ser esta la razón de la presea. Por otra parte en proporciones iguales a diestra y siniestra de la cinta, son tenantes del matiz verde, y el color azul propio del pendón de la Armada Nacional y el rojo que por tradición que lleva el arma de Infantería de Marina. La cara posterior del pentagrama va en oros su totalidad y centrado en esta sobre un campo circular van grabados la antorcha y el libro abierto, símbolo de los institutos que enseñan y forman. La divisa plasmada con la frase en latín "Alma Mater" hace evocación a la madre nutricia como significado de la razón de la Escuela. El sello dorado va proporcionalmente bordeado en su totalidad por la frase "Escuela de Formación de Infantería de Marina".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"http://www.redjurista.com/document.aspx?ajcode=d4444010&amp;arts=166"</w:instrText>
      </w:r>
      <w:r>
        <w:fldChar w:fldCharType="separate"/>
      </w:r>
      <w:r>
        <w:rPr>
          <w:rFonts w:hAnsi="Arial"/>
          <w:rFonts w:ascii="Arial"/>
          <w:sz w:val="24"/>
          <w:i/>
          <w:u w:val="single"/>
          <w:color w:val="black"/>
        </w:rPr>
        <w:t>166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28" w:name="2.3.1.3.6.43.3"/>
      <w:r>
        <w:rPr>
          <w:rFonts w:hAnsi="Arial"/>
          <w:rFonts w:ascii="Arial"/>
          <w:sz w:val="24"/>
          <w:color w:val="navy"/>
        </w:rPr>
        <w:t xml:space="preserve">ARTÍCULO 2.3.1.3.6.43.3. </w:t>
      </w:r>
      <w:r>
        <w:rPr>
          <w:rFonts w:hAnsi="Arial"/>
          <w:rFonts w:ascii="Arial"/>
          <w:sz w:val="24"/>
          <w:i/>
          <w:color w:val="navy"/>
        </w:rPr>
        <w:t>CONSEJO.</w:t>
      </w:r>
      <w:bookmarkEnd w:id="60828"/>
      <w:r>
        <w:rPr>
          <w:rFonts w:hAnsi="Arial"/>
          <w:rFonts w:ascii="Arial"/>
          <w:sz w:val="24"/>
          <w:b/>
          <w:i/>
          <w:color w:val="black"/>
        </w:rPr>
        <w:t xml:space="preserve"> </w:t>
      </w:r>
      <w:r>
        <w:rPr>
          <w:rFonts w:hAnsi="Arial"/>
          <w:rFonts w:ascii="Arial"/>
          <w:sz w:val="24"/>
          <w:color w:val="black"/>
        </w:rPr>
        <w:t xml:space="preserve">El Consejo de la Medalla Militar "Servicios Distinguidos a la Escuela de Formación de Infantería de Marina",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de la Armada Nacional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Comandante de la Infantería de Marina.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de la Escuela de Formación de Infantería de Marina.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29" w:name="SUBSECCIÓN 2.3.1.3.6.44"/>
      <w:r>
        <w:rPr>
          <w:rFonts w:hAnsi="Arial"/>
          <w:rFonts w:ascii="Arial"/>
          <w:sz w:val="24"/>
          <w:color w:val="navy"/>
        </w:rPr>
        <w:t xml:space="preserve">SUBSECCIÓN 44. </w:t>
      </w:r>
    </w:p>
    <w:p>
      <w:pPr>
        <w:jc w:val="center"/>
      </w:pPr>
      <w:r>
        <w:rPr>
          <w:rFonts w:hAnsi="Arial"/>
          <w:rFonts w:ascii="Arial"/>
          <w:sz w:val="24"/>
          <w:color w:val="navy"/>
        </w:rPr>
        <w:t xml:space="preserve">MEDALLA AL MÉRITO LOGÍSTICO Y ADMINISTRATIVO "CONTRAALMIRANTE RAFAEL TONO".</w:t>
      </w:r>
      <w:bookmarkEnd w:id="608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30" w:name="2.3.1.3.6.44.1"/>
      <w:r>
        <w:rPr>
          <w:rFonts w:hAnsi="Arial"/>
          <w:rFonts w:ascii="Arial"/>
          <w:sz w:val="24"/>
          <w:color w:val="navy"/>
        </w:rPr>
        <w:t xml:space="preserve">ARTÍCULO 2.3.1.3.6.44.1. </w:t>
      </w:r>
      <w:r>
        <w:rPr>
          <w:rFonts w:hAnsi="Arial"/>
          <w:rFonts w:ascii="Arial"/>
          <w:sz w:val="24"/>
          <w:i/>
          <w:color w:val="navy"/>
        </w:rPr>
        <w:t>ORIGEN.</w:t>
      </w:r>
      <w:bookmarkEnd w:id="60830"/>
      <w:r>
        <w:rPr>
          <w:rFonts w:hAnsi="Arial"/>
          <w:rFonts w:ascii="Arial"/>
          <w:sz w:val="24"/>
          <w:b/>
          <w:i/>
          <w:color w:val="black"/>
        </w:rPr>
        <w:t xml:space="preserve"> </w:t>
      </w:r>
      <w:r>
        <w:rPr>
          <w:rFonts w:hAnsi="Arial"/>
          <w:rFonts w:ascii="Arial"/>
          <w:sz w:val="24"/>
          <w:color w:val="black"/>
        </w:rPr>
        <w:t xml:space="preserve">Creada y reglamentada mediante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con el propósito de premiar a miembros de la Institución, personal de las Fuerzas Militares, funcionarios de entidades públicas y privadas que en una u otra forma hayan sobresalido en actividades logísticas, administrativas y técnicas que redunden en beneficio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"http://www.redjurista.com/document.aspx?ajcode=d4444010&amp;arts=167"</w:instrText>
      </w:r>
      <w:r>
        <w:fldChar w:fldCharType="separate"/>
      </w:r>
      <w:r>
        <w:rPr>
          <w:rFonts w:hAnsi="Arial"/>
          <w:rFonts w:ascii="Arial"/>
          <w:sz w:val="24"/>
          <w:i/>
          <w:u w:val="single"/>
          <w:color w:val="black"/>
        </w:rPr>
        <w:t>167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31" w:name="2.3.1.3.6.44.2"/>
      <w:r>
        <w:rPr>
          <w:rFonts w:hAnsi="Arial"/>
          <w:rFonts w:ascii="Arial"/>
          <w:sz w:val="24"/>
          <w:color w:val="navy"/>
        </w:rPr>
        <w:t xml:space="preserve">ARTÍCULO 2.3.1.3.6.44.2. </w:t>
      </w:r>
      <w:r>
        <w:rPr>
          <w:rFonts w:hAnsi="Arial"/>
          <w:rFonts w:ascii="Arial"/>
          <w:sz w:val="24"/>
          <w:i/>
          <w:color w:val="navy"/>
        </w:rPr>
        <w:t>CARACTERÍSTICAS.</w:t>
      </w:r>
      <w:bookmarkEnd w:id="60831"/>
      <w:r>
        <w:rPr>
          <w:rFonts w:hAnsi="Arial"/>
          <w:rFonts w:ascii="Arial"/>
          <w:sz w:val="24"/>
          <w:b/>
          <w:i/>
          <w:color w:val="black"/>
        </w:rPr>
        <w:t xml:space="preserve"> </w:t>
      </w:r>
      <w:r>
        <w:rPr>
          <w:rFonts w:hAnsi="Arial"/>
          <w:rFonts w:ascii="Arial"/>
          <w:sz w:val="24"/>
          <w:color w:val="black"/>
        </w:rPr>
        <w:t xml:space="preserve">La Joya es un círculo de cincuenta (50) milímetros de diámetro encerrado por un calabrote. En su anverso irá la efigie en alto relieve del "Contraalmirante Rafael Tono", en su parte superior llevará la leyenda "Mérito Logístico" y en la inferior "Contraalmirante Rafael Tono"; al respaldo llevará grabada la leyenda "Armada Nacional - Julio 12 de 1984". Sobre los bordes superior e inferior del cuerpo central estarán colocados el cepo y la cruz de un ancla de tipo ordinario cuyas uñas serán tangentes a este. Partiendo del arganeo y pasando sobre el cepo y la cruz del ancla estará entrelazado un cabo. La Medalla es en metal plateado brillante, suspendida por el arganeo del ancla de una cinta de cuarenta (40) milímetros de ancho y cincuenta y cinco (55) milímetros de longitud, con cuatro (4) franjas verticales de colores verde esmeralda y blanco repartidos en partes iguales de izquierda a derecha. En la parte superior la cinta llevará una hebilla del mismo material de la Medalla.</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"http://www.redjurista.com/document.aspx?ajcode=d4444010&amp;arts=168"</w:instrText>
      </w:r>
      <w:r>
        <w:fldChar w:fldCharType="separate"/>
      </w:r>
      <w:r>
        <w:rPr>
          <w:rFonts w:hAnsi="Arial"/>
          <w:rFonts w:ascii="Arial"/>
          <w:sz w:val="24"/>
          <w:i/>
          <w:u w:val="single"/>
          <w:color w:val="black"/>
        </w:rPr>
        <w:t>168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32" w:name="2.3.1.3.6.44.3"/>
      <w:r>
        <w:rPr>
          <w:rFonts w:hAnsi="Arial"/>
          <w:rFonts w:ascii="Arial"/>
          <w:sz w:val="24"/>
          <w:color w:val="navy"/>
        </w:rPr>
        <w:t xml:space="preserve">ARTÍCULO 2.3.1.3.6.44.3. </w:t>
      </w:r>
      <w:r>
        <w:rPr>
          <w:rFonts w:hAnsi="Arial"/>
          <w:rFonts w:ascii="Arial"/>
          <w:sz w:val="24"/>
          <w:i/>
          <w:color w:val="navy"/>
        </w:rPr>
        <w:t>CONSEJO.</w:t>
      </w:r>
      <w:bookmarkEnd w:id="60832"/>
      <w:r>
        <w:rPr>
          <w:rFonts w:hAnsi="Arial"/>
          <w:rFonts w:ascii="Arial"/>
          <w:sz w:val="24"/>
          <w:b/>
          <w:i/>
          <w:color w:val="black"/>
        </w:rPr>
        <w:t xml:space="preserve"> </w:t>
      </w:r>
      <w:r>
        <w:rPr>
          <w:rFonts w:hAnsi="Arial"/>
          <w:rFonts w:ascii="Arial"/>
          <w:sz w:val="24"/>
          <w:color w:val="black"/>
        </w:rPr>
        <w:t xml:space="preserve">El Consejo de la Medalla al Mérito Logístico y Administrativo "Contraalmirante Rafael Tono",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Operaciones Logísticas.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de Economía y Finanzas de la Armada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33" w:name="SUBSECCIÓN 2.3.1.3.6.45"/>
      <w:r>
        <w:rPr>
          <w:rFonts w:hAnsi="Arial"/>
          <w:rFonts w:ascii="Arial"/>
          <w:sz w:val="24"/>
          <w:color w:val="navy"/>
        </w:rPr>
        <w:t xml:space="preserve">SUBSECCIÓN 45. </w:t>
      </w:r>
    </w:p>
    <w:p>
      <w:pPr>
        <w:jc w:val="center"/>
      </w:pPr>
      <w:r>
        <w:rPr>
          <w:rFonts w:hAnsi="Arial"/>
          <w:rFonts w:ascii="Arial"/>
          <w:sz w:val="24"/>
          <w:color w:val="navy"/>
        </w:rPr>
        <w:t xml:space="preserve">MEDALLA MILITAR "SERVICIOS DISTINGUIDOS A LA DIRECCIÓN GENERAL MARÍTIMA".</w:t>
      </w:r>
      <w:bookmarkEnd w:id="6083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34" w:name="2.3.1.3.6.45.1"/>
      <w:r>
        <w:rPr>
          <w:rFonts w:hAnsi="Arial"/>
          <w:rFonts w:ascii="Arial"/>
          <w:sz w:val="24"/>
          <w:color w:val="navy"/>
        </w:rPr>
        <w:t xml:space="preserve">ARTÍCULO 2.3.1.3.6.45.1. </w:t>
      </w:r>
      <w:r>
        <w:rPr>
          <w:rFonts w:hAnsi="Arial"/>
          <w:rFonts w:ascii="Arial"/>
          <w:sz w:val="24"/>
          <w:i/>
          <w:color w:val="navy"/>
        </w:rPr>
        <w:t>ORIGEN.</w:t>
      </w:r>
      <w:bookmarkEnd w:id="60834"/>
      <w:r>
        <w:rPr>
          <w:rFonts w:hAnsi="Arial"/>
          <w:rFonts w:ascii="Arial"/>
          <w:sz w:val="24"/>
          <w:b/>
          <w:i/>
          <w:color w:val="black"/>
        </w:rPr>
        <w:t xml:space="preserve"> </w:t>
      </w:r>
      <w:r>
        <w:rPr>
          <w:rFonts w:hAnsi="Arial"/>
          <w:rFonts w:ascii="Arial"/>
          <w:sz w:val="24"/>
          <w:color w:val="black"/>
        </w:rPr>
        <w:t xml:space="preserve">Se crea mediante Decreto </w:t>
      </w:r>
      <w:r>
        <w:fldChar w:fldCharType="begin"/>
      </w:r>
      <w:r>
        <w:instrText>HYPERLINK "http://www.redjurista.com/document.aspx?ajcode=d2352_96&amp;arts=INICIO"</w:instrText>
      </w:r>
      <w:r>
        <w:fldChar w:fldCharType="separate"/>
      </w:r>
      <w:r>
        <w:rPr>
          <w:rFonts w:hAnsi="Arial"/>
          <w:rFonts w:ascii="Arial"/>
          <w:sz w:val="24"/>
          <w:u w:val="single"/>
          <w:color w:val="black"/>
        </w:rPr>
        <w:t>2352</w:t>
      </w:r>
      <w:r>
        <w:fldChar w:fldCharType="end"/>
      </w:r>
      <w:r>
        <w:rPr>
          <w:rFonts w:hAnsi="Arial"/>
          <w:rFonts w:ascii="Arial"/>
          <w:sz w:val="24"/>
          <w:u w:val="none"/>
          <w:color w:val="black"/>
        </w:rPr>
        <w:t xml:space="preserve"> del 26 de diciembre de 1996, para estimular al personal que haya sobresalido por sus capacidades profesionales, técnicas y dedicación, al igual que a entidades oficiales, particulares y personal civil o particular que haya prestado eficientes servicios en beneficio del Desarrollo Marítimo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"http://www.redjurista.com/document.aspx?ajcode=d4444010&amp;arts=169"</w:instrText>
      </w:r>
      <w:r>
        <w:fldChar w:fldCharType="separate"/>
      </w:r>
      <w:r>
        <w:rPr>
          <w:rFonts w:hAnsi="Arial"/>
          <w:rFonts w:ascii="Arial"/>
          <w:sz w:val="24"/>
          <w:i/>
          <w:u w:val="single"/>
          <w:color w:val="black"/>
        </w:rPr>
        <w:t>169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35" w:name="2.3.1.3.6.45.2"/>
      <w:r>
        <w:rPr>
          <w:rFonts w:hAnsi="Arial"/>
          <w:rFonts w:ascii="Arial"/>
          <w:sz w:val="24"/>
          <w:color w:val="navy"/>
        </w:rPr>
        <w:t xml:space="preserve">ARTÍCULO 2.3.1.3.6.45.2. </w:t>
      </w:r>
      <w:r>
        <w:rPr>
          <w:rFonts w:hAnsi="Arial"/>
          <w:rFonts w:ascii="Arial"/>
          <w:sz w:val="24"/>
          <w:i/>
          <w:color w:val="navy"/>
        </w:rPr>
        <w:t>CARACTERÍSTICAS.</w:t>
      </w:r>
      <w:bookmarkEnd w:id="60835"/>
      <w:r>
        <w:rPr>
          <w:rFonts w:hAnsi="Arial"/>
          <w:rFonts w:ascii="Arial"/>
          <w:sz w:val="24"/>
          <w:b/>
          <w:i/>
          <w:color w:val="black"/>
        </w:rPr>
        <w:t xml:space="preserve"> </w:t>
      </w:r>
      <w:r>
        <w:rPr>
          <w:rFonts w:hAnsi="Arial"/>
          <w:rFonts w:ascii="Arial"/>
          <w:sz w:val="24"/>
          <w:color w:val="black"/>
        </w:rPr>
        <w:t xml:space="preserve">La Joya es una ancla plateada de cincuenta (50) milímetros de diámetro; sobre la cual va clavada una rosa de los vientos dorada. El ancla como elemento que simboliza el hombre de mar y las actividades marítimas. El arganeo del ancla sirve de pedestal a un Cóndor en actitud de iniciar el vuelo, con sus alas desplegadas; en el reverso va un dispositivo para fijar la cinta. La rosa de los vientos simboliza la diversidad, el amplio campo de las disciplinas, de las ciencias y tecnologías del mar, la rosa de los vientos aloja en su interior un círculo, el cual contiene un faro iluminado como guía y seguridad de los navegantes y un microscopio con elementos de laboratorio que simboliza la ciencia, la investigación científica, el descubrimiento dentro de un contexto netamente marino; al reverso de la Joya va inscrito: "Servicios Distinguidos a la Dirección General Marítima". La joya a través del cóndor va suspendida en una cinta de cuarenta (40) milímetros de ancho por cincuenta y cinco (55) milímetros de largo, de color azul oscuro con dos (2) franjas verticales paralelas, de cinco (5) milímetros de espesor ubicadas hacia los extremos y separadas de estos cinco (5) milímetros.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"http://www.redjurista.com/document.aspx?ajcode=d4444010&amp;arts=170"</w:instrText>
      </w:r>
      <w:r>
        <w:fldChar w:fldCharType="separate"/>
      </w:r>
      <w:r>
        <w:rPr>
          <w:rFonts w:hAnsi="Arial"/>
          <w:rFonts w:ascii="Arial"/>
          <w:sz w:val="24"/>
          <w:i/>
          <w:u w:val="single"/>
          <w:color w:val="black"/>
        </w:rPr>
        <w:t>170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36" w:name="2.3.1.3.6.45.3"/>
      <w:r>
        <w:rPr>
          <w:rFonts w:hAnsi="Arial"/>
          <w:rFonts w:ascii="Arial"/>
          <w:sz w:val="24"/>
          <w:color w:val="navy"/>
        </w:rPr>
        <w:t xml:space="preserve">ARTÍCULO 2.3.1.3.6.45.3. </w:t>
      </w:r>
      <w:r>
        <w:rPr>
          <w:rFonts w:hAnsi="Arial"/>
          <w:rFonts w:ascii="Arial"/>
          <w:sz w:val="24"/>
          <w:i/>
          <w:color w:val="navy"/>
        </w:rPr>
        <w:t>CONSEJO.</w:t>
      </w:r>
      <w:bookmarkEnd w:id="60836"/>
      <w:r>
        <w:rPr>
          <w:rFonts w:hAnsi="Arial"/>
          <w:rFonts w:ascii="Arial"/>
          <w:sz w:val="24"/>
          <w:b/>
          <w:i/>
          <w:color w:val="black"/>
        </w:rPr>
        <w:t xml:space="preserve"> </w:t>
      </w:r>
      <w:r>
        <w:rPr>
          <w:rFonts w:hAnsi="Arial"/>
          <w:rFonts w:ascii="Arial"/>
          <w:sz w:val="24"/>
          <w:color w:val="black"/>
        </w:rPr>
        <w:t xml:space="preserve">El Consejo de la Medalla Militar "Servicios Distinguidos a la Dirección General Marítima",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Director General Marítimo.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Desarrollo Humano de la Armada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37" w:name="SUBSECCIÓN 2.3.1.3.6.46"/>
      <w:r>
        <w:rPr>
          <w:rFonts w:hAnsi="Arial"/>
          <w:rFonts w:ascii="Arial"/>
          <w:sz w:val="24"/>
          <w:color w:val="navy"/>
        </w:rPr>
        <w:t xml:space="preserve">SUBSECCIÓN 46. </w:t>
      </w:r>
    </w:p>
    <w:p>
      <w:pPr>
        <w:jc w:val="center"/>
      </w:pPr>
      <w:r>
        <w:rPr>
          <w:rFonts w:hAnsi="Arial"/>
          <w:rFonts w:ascii="Arial"/>
          <w:sz w:val="24"/>
          <w:color w:val="navy"/>
        </w:rPr>
        <w:t xml:space="preserve">MEDALLA MILITAR "SERVICIOS DISTINGUIDOS A LA INGENIERÍA NAVAL".</w:t>
      </w:r>
      <w:bookmarkEnd w:id="6083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38" w:name="2.3.1.3.6.46.1"/>
      <w:r>
        <w:rPr>
          <w:rFonts w:hAnsi="Arial"/>
          <w:rFonts w:ascii="Arial"/>
          <w:sz w:val="24"/>
          <w:color w:val="navy"/>
        </w:rPr>
        <w:t xml:space="preserve">ARTÍCULO 2.3.1.3.6.46.1. </w:t>
      </w:r>
      <w:r>
        <w:rPr>
          <w:rFonts w:hAnsi="Arial"/>
          <w:rFonts w:ascii="Arial"/>
          <w:sz w:val="24"/>
          <w:i/>
          <w:color w:val="navy"/>
        </w:rPr>
        <w:t>ORIGEN.</w:t>
      </w:r>
      <w:bookmarkEnd w:id="60838"/>
      <w:r>
        <w:rPr>
          <w:rFonts w:hAnsi="Arial"/>
          <w:rFonts w:ascii="Arial"/>
          <w:sz w:val="24"/>
          <w:b/>
          <w:i/>
          <w:color w:val="black"/>
        </w:rPr>
        <w:t xml:space="preserve"> </w:t>
      </w:r>
      <w:r>
        <w:rPr>
          <w:rFonts w:hAnsi="Arial"/>
          <w:rFonts w:ascii="Arial"/>
          <w:sz w:val="24"/>
          <w:color w:val="black"/>
        </w:rPr>
        <w:t xml:space="preserve">La Medalla Militar "Servicios Distinguidos a la Ingeniería Naval" fue creada mediante el artículo </w:t>
      </w:r>
      <w:r>
        <w:fldChar w:fldCharType="begin"/>
      </w:r>
      <w:r>
        <w:instrText>HYPERLINK "http://www.redjurista.com/document.aspx?ajcode=d1816007&amp;arts=161"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del Decreto 1816 de 2007, con el propósito de estimular y premiar al personal que haya sobresalido por sus capacidades profesionales, técnicas y dedicación, al igual que a entidades oficiales, particulares y personal civil que haya prestado eficientes servicios en beneficio de la Ingeniería Naval.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"http://www.redjurista.com/document.aspx?ajcode=d4444010&amp;arts=171"</w:instrText>
      </w:r>
      <w:r>
        <w:fldChar w:fldCharType="separate"/>
      </w:r>
      <w:r>
        <w:rPr>
          <w:rFonts w:hAnsi="Arial"/>
          <w:rFonts w:ascii="Arial"/>
          <w:sz w:val="24"/>
          <w:i/>
          <w:u w:val="single"/>
          <w:color w:val="black"/>
        </w:rPr>
        <w:t>171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39" w:name="2.3.1.3.6.46.2"/>
      <w:r>
        <w:rPr>
          <w:rFonts w:hAnsi="Arial"/>
          <w:rFonts w:ascii="Arial"/>
          <w:sz w:val="24"/>
          <w:color w:val="navy"/>
        </w:rPr>
        <w:t xml:space="preserve">ARTÍCULO 2.3.1.3.6.46.2. </w:t>
      </w:r>
      <w:r>
        <w:rPr>
          <w:rFonts w:hAnsi="Arial"/>
          <w:rFonts w:ascii="Arial"/>
          <w:sz w:val="24"/>
          <w:i/>
          <w:color w:val="navy"/>
        </w:rPr>
        <w:t>CARACTERÍSTICAS.</w:t>
      </w:r>
      <w:bookmarkEnd w:id="60839"/>
      <w:r>
        <w:rPr>
          <w:rFonts w:hAnsi="Arial"/>
          <w:rFonts w:ascii="Arial"/>
          <w:sz w:val="24"/>
          <w:b/>
          <w:i/>
          <w:color w:val="black"/>
        </w:rPr>
        <w:t xml:space="preserve"> </w:t>
      </w:r>
      <w:r>
        <w:rPr>
          <w:rFonts w:hAnsi="Arial"/>
          <w:rFonts w:ascii="Arial"/>
          <w:sz w:val="24"/>
          <w:color w:val="black"/>
        </w:rPr>
        <w:t xml:space="preserve">La joya es una cruz de malta de cuarenta y cinco (45) milímetros de diámetro, sus brazos esmaltados de color morado y su contorno dorado de un (1) milímetro de grosor terminado en dos (2) ángulos rematados por esferas, con un círculo central de veinticuatro (24) milímetros dividido por una cuerda geométrica de diecinueve (17) milímetros figurando un horizonte marino; la parte inferior de la cuerda va en color azul marino profundo y sobre este la letra griega Alfa de color dorado de un (1) milímetro de grosor; la parte superior de la cuerda va en color azul cielo y sobre él la letra griega Pi (TT) en color dorado de un (1) milímetro de grosor. El reverso será de color dorado y llevará la leyenda "Servicios Distinguidos a la Ingeniería Naval". Suspendida por una cinta de fondo morado, de cuarenta (40) milímetros de ancho y cincuenta y cinco (52) milímetros de longitud, medida desde el borde superior del gancho de fijación hasta el vértice inferior donde va arraigada la argolla de soporte de la Medalla. A una distancia de dos y medio (2,5) milímetros de los bordes laterales, lleva una franja de color azul cielo de dos y medio (2,5) milímetros de ancho.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"http://www.redjurista.com/document.aspx?ajcode=d4444010&amp;arts=172"</w:instrText>
      </w:r>
      <w:r>
        <w:fldChar w:fldCharType="separate"/>
      </w:r>
      <w:r>
        <w:rPr>
          <w:rFonts w:hAnsi="Arial"/>
          <w:rFonts w:ascii="Arial"/>
          <w:sz w:val="24"/>
          <w:i/>
          <w:u w:val="single"/>
          <w:color w:val="black"/>
        </w:rPr>
        <w:t>172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40" w:name="2.3.1.3.6.46.3"/>
      <w:r>
        <w:rPr>
          <w:rFonts w:hAnsi="Arial"/>
          <w:rFonts w:ascii="Arial"/>
          <w:sz w:val="24"/>
          <w:color w:val="navy"/>
        </w:rPr>
        <w:t xml:space="preserve">ARTÍCULO 2.3.1.3.6.46.3. </w:t>
      </w:r>
      <w:r>
        <w:rPr>
          <w:rFonts w:hAnsi="Arial"/>
          <w:rFonts w:ascii="Arial"/>
          <w:sz w:val="24"/>
          <w:i/>
          <w:color w:val="navy"/>
        </w:rPr>
        <w:t>CONSEJO.</w:t>
      </w:r>
      <w:bookmarkEnd w:id="60840"/>
      <w:r>
        <w:rPr>
          <w:rFonts w:hAnsi="Arial"/>
          <w:rFonts w:ascii="Arial"/>
          <w:sz w:val="24"/>
          <w:b/>
          <w:i/>
          <w:color w:val="black"/>
        </w:rPr>
        <w:t xml:space="preserve"> </w:t>
      </w:r>
      <w:r>
        <w:rPr>
          <w:rFonts w:hAnsi="Arial"/>
          <w:rFonts w:ascii="Arial"/>
          <w:sz w:val="24"/>
          <w:color w:val="black"/>
        </w:rPr>
        <w:t xml:space="preserve">El Consejo de la Medalla Militar "Servicios Distinguidos a la Ingeniería Naval",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Material Naval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de Ingeniería Naval Armada Nacional.</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41" w:name="SUBSECCIÓN 2.3.1.3.6.47"/>
      <w:r>
        <w:rPr>
          <w:rFonts w:hAnsi="Arial"/>
          <w:rFonts w:ascii="Arial"/>
          <w:sz w:val="24"/>
          <w:color w:val="navy"/>
        </w:rPr>
        <w:t xml:space="preserve">SUBSECCIÓN 47. </w:t>
      </w:r>
    </w:p>
    <w:p>
      <w:pPr>
        <w:jc w:val="center"/>
      </w:pPr>
      <w:r>
        <w:rPr>
          <w:rFonts w:hAnsi="Arial"/>
          <w:rFonts w:ascii="Arial"/>
          <w:sz w:val="24"/>
          <w:color w:val="navy"/>
        </w:rPr>
        <w:t xml:space="preserve">MEDALLA MILITAR "SERVICIOS DISTINGUIDOS A LA INTELIGENCIA NAVAL".</w:t>
      </w:r>
      <w:bookmarkEnd w:id="608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42" w:name="2.3.1.3.6.47.1"/>
      <w:r>
        <w:rPr>
          <w:rFonts w:hAnsi="Arial"/>
          <w:rFonts w:ascii="Arial"/>
          <w:sz w:val="24"/>
          <w:color w:val="navy"/>
        </w:rPr>
        <w:t xml:space="preserve">ARTÍCULO 2.3.1.3.6.47.1. </w:t>
      </w:r>
      <w:r>
        <w:rPr>
          <w:rFonts w:hAnsi="Arial"/>
          <w:rFonts w:ascii="Arial"/>
          <w:sz w:val="24"/>
          <w:i/>
          <w:color w:val="navy"/>
        </w:rPr>
        <w:t>ORIGEN.</w:t>
      </w:r>
      <w:bookmarkEnd w:id="60842"/>
      <w:r>
        <w:rPr>
          <w:rFonts w:hAnsi="Arial"/>
          <w:rFonts w:ascii="Arial"/>
          <w:sz w:val="24"/>
          <w:b/>
          <w:i/>
          <w:color w:val="black"/>
        </w:rPr>
        <w:t xml:space="preserve"> </w:t>
      </w:r>
      <w:r>
        <w:rPr>
          <w:rFonts w:hAnsi="Arial"/>
          <w:rFonts w:ascii="Arial"/>
          <w:sz w:val="24"/>
          <w:color w:val="black"/>
        </w:rPr>
        <w:t xml:space="preserve">La Medalla "Servicios Distinguidos a la Inteligencia Naval", fue creada mediante el artículo </w:t>
      </w:r>
      <w:r>
        <w:fldChar w:fldCharType="begin"/>
      </w:r>
      <w:r>
        <w:instrText>HYPERLINK "http://www.redjurista.com/document.aspx?ajcode=d1816007&amp;arts=163"</w:instrText>
      </w:r>
      <w:r>
        <w:fldChar w:fldCharType="separate"/>
      </w:r>
      <w:r>
        <w:rPr>
          <w:rFonts w:hAnsi="Arial"/>
          <w:rFonts w:ascii="Arial"/>
          <w:sz w:val="24"/>
          <w:u w:val="single"/>
          <w:color w:val="black"/>
        </w:rPr>
        <w:t>163</w:t>
      </w:r>
      <w:r>
        <w:fldChar w:fldCharType="end"/>
      </w:r>
      <w:r>
        <w:rPr>
          <w:rFonts w:hAnsi="Arial"/>
          <w:rFonts w:ascii="Arial"/>
          <w:sz w:val="24"/>
          <w:u w:val="none"/>
          <w:color w:val="black"/>
        </w:rPr>
        <w:t xml:space="preserve"> del Decreto 1816 de 2007, para estimular y premiar al personal que haya sobresalido por sus capacidades profesionales, técnicas y dedicación, al igual que a entidades oficiales, particulares y personal que haya prestado eminentes servicios en contribución de la Inteligencia Naval propendiendo por su desarrollo y proyección en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"http://www.redjurista.com/document.aspx?ajcode=d4444010&amp;arts=173"</w:instrText>
      </w:r>
      <w:r>
        <w:fldChar w:fldCharType="separate"/>
      </w:r>
      <w:r>
        <w:rPr>
          <w:rFonts w:hAnsi="Arial"/>
          <w:rFonts w:ascii="Arial"/>
          <w:sz w:val="24"/>
          <w:i/>
          <w:u w:val="single"/>
          <w:color w:val="black"/>
        </w:rPr>
        <w:t>173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43" w:name="2.3.1.3.6.47.2"/>
      <w:r>
        <w:rPr>
          <w:rFonts w:hAnsi="Arial"/>
          <w:rFonts w:ascii="Arial"/>
          <w:sz w:val="24"/>
          <w:color w:val="navy"/>
        </w:rPr>
        <w:t xml:space="preserve">ARTÍCULO 2.3.1.3.6.47.2. </w:t>
      </w:r>
      <w:r>
        <w:rPr>
          <w:rFonts w:hAnsi="Arial"/>
          <w:rFonts w:ascii="Arial"/>
          <w:sz w:val="24"/>
          <w:i/>
          <w:color w:val="navy"/>
        </w:rPr>
        <w:t>CARACTERÍSTICAS.</w:t>
      </w:r>
      <w:bookmarkEnd w:id="60843"/>
      <w:r>
        <w:rPr>
          <w:rFonts w:hAnsi="Arial"/>
          <w:rFonts w:ascii="Arial"/>
          <w:sz w:val="24"/>
          <w:b/>
          <w:i/>
          <w:color w:val="black"/>
        </w:rPr>
        <w:t xml:space="preserve"> </w:t>
      </w:r>
      <w:r>
        <w:rPr>
          <w:rFonts w:hAnsi="Arial"/>
          <w:rFonts w:ascii="Arial"/>
          <w:sz w:val="24"/>
          <w:color w:val="black"/>
        </w:rPr>
        <w:t xml:space="preserve">La Medalla Militar "Servicios Distinguidos a Inteligencia Naval" en su categoría única, es una cruz de Malta de cuarenta y cinco (45) milímetros de diámetro, y de color azul marino, rematada en sus ángulos exteriores por esferas de color dorado. Los bordes de la cruz van ribeteados exterior e interiormente, en color dorado, conteniendo líneas color amarillo en sus secciones rectas. La cruz contiene un círculo central encerrado por un calabrote de mar en fondo esmaltado; sobre este y en alto relieve llevará el Escudo Heráldico de la Armada Nacional. En el reverso llevará en forma circular la leyenda "Servicios Distinguidos a Inteligencia Naval", y penderá de una cinta de cuarenta (40) milímetros de ancho, de color azul marino, adornada con el Tricolor Nacional en sus extremos. La cinta irá acoplada en su parte superior a una barreta de color bronce, con gancho de fijación.</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"http://www.redjurista.com/document.aspx?ajcode=d4444010&amp;arts=174"</w:instrText>
      </w:r>
      <w:r>
        <w:fldChar w:fldCharType="separate"/>
      </w:r>
      <w:r>
        <w:rPr>
          <w:rFonts w:hAnsi="Arial"/>
          <w:rFonts w:ascii="Arial"/>
          <w:sz w:val="24"/>
          <w:i/>
          <w:u w:val="single"/>
          <w:color w:val="black"/>
        </w:rPr>
        <w:t>174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44" w:name="2.3.1.3.6.47.3"/>
      <w:r>
        <w:rPr>
          <w:rFonts w:hAnsi="Arial"/>
          <w:rFonts w:ascii="Arial"/>
          <w:sz w:val="24"/>
          <w:color w:val="navy"/>
        </w:rPr>
        <w:t xml:space="preserve">ARTÍCULO 2.3.1.3.6.47.3. </w:t>
      </w:r>
      <w:r>
        <w:rPr>
          <w:rFonts w:hAnsi="Arial"/>
          <w:rFonts w:ascii="Arial"/>
          <w:sz w:val="24"/>
          <w:i/>
          <w:color w:val="navy"/>
        </w:rPr>
        <w:t>CONSEJO.</w:t>
      </w:r>
      <w:bookmarkEnd w:id="60844"/>
      <w:r>
        <w:rPr>
          <w:rFonts w:hAnsi="Arial"/>
          <w:rFonts w:ascii="Arial"/>
          <w:sz w:val="24"/>
          <w:b/>
          <w:i/>
          <w:color w:val="black"/>
        </w:rPr>
        <w:t xml:space="preserve"> </w:t>
      </w:r>
      <w:r>
        <w:rPr>
          <w:rFonts w:hAnsi="Arial"/>
          <w:rFonts w:ascii="Arial"/>
          <w:sz w:val="24"/>
          <w:color w:val="black"/>
        </w:rPr>
        <w:t xml:space="preserve">El Consejo de la Medalla Militar "Servicios Distinguidos a la Inteligencia Naval",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Armada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Jefe de Inteligencia de la Armada Nacional.</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de Inteligencia Interna de la Armada.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Director de Personal de la Armada Nacional.</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b/>
          <w:u w:val="single"/>
          <w:color w:val="black"/>
        </w:rPr>
        <w:t xml:space="preserve">5)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b/>
          <w:u w:val="single"/>
          <w:color w:val="black"/>
        </w:rPr>
        <w:t>:</w:t>
      </w:r>
    </w:p>
    <w:p>
      <w:pPr>
        <w:jc w:val="both"/>
      </w:pPr>
      <w:rPr>
        <w:sz w:val="24"/>
        <w:color w:val="black"/>
      </w:rPr>
    </w:p>
    <w:p>
      <w:pPr>
        <w:jc w:val="center"/>
      </w:pPr>
      <w:r>
        <w:rPr>
          <w:rFonts w:hAnsi="Arial"/>
          <w:rFonts w:ascii="Arial"/>
          <w:sz w:val="24"/>
          <w:vanish/>
          <w:color w:val="black"/>
        </w:rPr>
        <w:t>&amp;$</w:t>
      </w:r>
      <w:bookmarkStart w:id="60845" w:name="SUBSECCIÓN 2.3.1.3.6.48"/>
      <w:r>
        <w:rPr>
          <w:rFonts w:hAnsi="Arial"/>
          <w:rFonts w:ascii="Arial"/>
          <w:sz w:val="24"/>
          <w:color w:val="navy"/>
        </w:rPr>
        <w:t xml:space="preserve">SUBSECCIÓN 48. </w:t>
      </w:r>
    </w:p>
    <w:p>
      <w:pPr>
        <w:jc w:val="center"/>
      </w:pPr>
      <w:r>
        <w:rPr>
          <w:rFonts w:hAnsi="Arial"/>
          <w:rFonts w:ascii="Arial"/>
          <w:sz w:val="24"/>
          <w:color w:val="navy"/>
        </w:rPr>
        <w:t xml:space="preserve">MEDALLA MILITAR "MARCO FIDEL SUÁREZ".</w:t>
      </w:r>
      <w:bookmarkEnd w:id="60845"/>
      <w:r>
        <w:rPr>
          <w:rFonts w:hAnsi="Arial"/>
          <w:rFonts w:ascii="Arial"/>
          <w:sz w:val="24"/>
          <w:b/>
          <w:color w:val="black"/>
        </w:rPr>
        <w:t xml:space="preserve"> </w:t>
      </w:r>
    </w:p>
    <w:p>
      <w:pPr>
        <w:jc w:val="both"/>
      </w:pPr>
      <w:rPr>
        <w:sz w:val="24"/>
        <w:color w:val="black"/>
      </w:rPr>
    </w:p>
    <w:p>
      <w:pPr>
        <w:jc w:val="both"/>
        <w:keepNext/>
      </w:pPr>
      <w:r>
        <w:rPr>
          <w:rFonts w:hAnsi="Arial"/>
          <w:rFonts w:ascii="Arial"/>
          <w:sz w:val="24"/>
          <w:vanish/>
          <w:color w:val="black"/>
        </w:rPr>
        <w:t>&amp;$</w:t>
      </w:r>
      <w:bookmarkStart w:id="60846" w:name="2.3.1.3.6.48.1"/>
      <w:r>
        <w:rPr>
          <w:rFonts w:hAnsi="Arial"/>
          <w:rFonts w:ascii="Arial"/>
          <w:sz w:val="24"/>
          <w:color w:val="navy"/>
        </w:rPr>
        <w:t xml:space="preserve">ARTÍCULO 2.3.1.3.6.48.1. ORIGEN Y OTORGAMIENTO.</w:t>
      </w:r>
      <w:bookmarkEnd w:id="60846"/>
      <w:r>
        <w:rPr>
          <w:rFonts w:hAnsi="Arial"/>
          <w:rFonts w:ascii="Arial"/>
          <w:sz w:val="24"/>
          <w:color w:val="black"/>
        </w:rPr>
        <w:t xml:space="preserve"> &lt;Artículo modificado por el artículo </w:t>
      </w:r>
      <w:r>
        <w:fldChar w:fldCharType="begin"/>
      </w:r>
      <w:r>
        <w:instrText>HYPERLINK "http://www.redjurista.com/document.aspx?ajcode=d1145019&amp;arts=1"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1145 de 2019. El nuevo texto es el siguiente:&gt; Creada mediante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en memoria y honra del Presidente Marco Fidel Suárez, quien mediante la sanción de la Ley </w:t>
      </w:r>
      <w:r>
        <w:fldChar w:fldCharType="begin"/>
      </w:r>
      <w:r>
        <w:instrText>HYPERLINK "http://www.redjurista.com/document.aspx?ajcode=l0126_19&amp;arts=Inicio"</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 1919 diera origen al “Arma Aérea” precursora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con el fin de premiar y exaltar los méritos del personal militar y civil de la Institución, a oficiales y suboficiales de otras Fuerzas y a personalidades civiles que hayan contribuido en forma sobresaliente al desarrollo de la institución y al perfeccionamiento de sus especialidades con el aporte de sus conocimientos, dedicación al trabajo, espíritu de cuerpo y eminentes servicios.</w:t>
      </w:r>
    </w:p>
    <w:p>
      <w:pPr>
        <w:jc w:val="both"/>
        <w:keepNext/>
      </w:pPr>
      <w:rPr>
        <w:sz w:val="24"/>
        <w:color w:val="black"/>
      </w:rPr>
    </w:p>
    <w:p>
      <w:pPr>
        <w:jc w:val="both"/>
        <w:keepNext/>
      </w:pPr>
      <w:r>
        <w:rPr>
          <w:rFonts w:hAnsi="Arial"/>
          <w:rFonts w:ascii="Arial"/>
          <w:sz w:val="24"/>
          <w:color w:val="black"/>
        </w:rPr>
        <w:t xml:space="preserve">Ostenta dos (2) categorías:</w:t>
      </w:r>
    </w:p>
    <w:p>
      <w:pPr>
        <w:jc w:val="both"/>
        <w:keepNext/>
      </w:pPr>
      <w:rPr>
        <w:sz w:val="24"/>
        <w:color w:val="black"/>
      </w:rPr>
    </w:p>
    <w:p>
      <w:pPr>
        <w:jc w:val="both"/>
        <w:keepNext/>
      </w:pPr>
      <w:r>
        <w:rPr>
          <w:rFonts w:hAnsi="Arial"/>
          <w:rFonts w:ascii="Arial"/>
          <w:sz w:val="24"/>
          <w:color w:val="black"/>
        </w:rPr>
        <w:t xml:space="preserve">a) Marco Fidel Suárez;</w:t>
      </w:r>
    </w:p>
    <w:p>
      <w:pPr>
        <w:jc w:val="both"/>
        <w:keepNext/>
      </w:pPr>
      <w:r>
        <w:rPr>
          <w:rFonts w:hAnsi="Arial"/>
          <w:rFonts w:ascii="Arial"/>
          <w:sz w:val="24"/>
          <w:color w:val="black"/>
        </w:rPr>
        <w:t xml:space="preserve">b) Categoría Especial “Marco Fidel Suárez.</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La Categoría Especial “Marco Fidel Suárez”, será conferida previo cumplimiento de los requisitos establecidos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Decreto 1070 de 2015, para premiar y exaltar los méritos del personal de Oficiales, Suboficiales, Soldados, Unidades Militares, Personal de Reserva Activa, Profesionales Oficiales de Reserva, Personal de Funcionarios Públicos del Sector Defensa, Personal de Entidades Públicas - Privadas, Personalidades Nacionales y Extranjeras, que se hayan caracterizado por sus méritos militares, profesionales, servicios eminentes prestados en beneficio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con ocasión a la celebración de los cien años.</w:t>
      </w:r>
    </w:p>
    <w:p>
      <w:pPr>
        <w:jc w:val="both"/>
      </w:pPr>
      <w:rPr>
        <w:sz w:val="24"/>
        <w:color w:val="black"/>
      </w:rPr>
    </w:p>
    <w:p>
      <w:pPr>
        <w:jc w:val="both"/>
      </w:pPr>
      <w:r>
        <w:rPr>
          <w:rFonts w:hAnsi="Arial"/>
          <w:rFonts w:ascii="Arial"/>
          <w:sz w:val="24"/>
          <w:vanish/>
          <w:color w:val="black"/>
        </w:rPr>
        <w:t>&amp;$</w:t>
      </w:r>
      <w:bookmarkStart w:id="60847" w:name="2.3.1.3.6.48.2"/>
      <w:r>
        <w:rPr>
          <w:rFonts w:hAnsi="Arial"/>
          <w:rFonts w:ascii="Arial"/>
          <w:sz w:val="24"/>
          <w:color w:val="navy"/>
        </w:rPr>
        <w:t xml:space="preserve">ARTÍCULO 2.3.1.3.6.48.2. </w:t>
      </w:r>
      <w:r>
        <w:rPr>
          <w:rFonts w:hAnsi="Arial"/>
          <w:rFonts w:ascii="Arial"/>
          <w:sz w:val="24"/>
          <w:i/>
          <w:color w:val="navy"/>
        </w:rPr>
        <w:t>CARACTERÍSTICAS.</w:t>
      </w:r>
      <w:bookmarkEnd w:id="6084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"http://www.redjurista.com/document.aspx?ajcode=d1145019&amp;arts=1"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1145 de 2019. El nuevo texto es el siguiente:&gt; Las características de las joyas según la categoría son las siguientes:</w:t>
      </w:r>
    </w:p>
    <w:p>
      <w:pPr>
        <w:jc w:val="both"/>
      </w:pPr>
      <w:rPr>
        <w:sz w:val="24"/>
        <w:color w:val="black"/>
      </w:rPr>
    </w:p>
    <w:p>
      <w:pPr>
        <w:jc w:val="both"/>
      </w:pPr>
      <w:r>
        <w:rPr>
          <w:rFonts w:hAnsi="Arial"/>
          <w:rFonts w:ascii="Arial"/>
          <w:sz w:val="24"/>
          <w:color w:val="black"/>
        </w:rPr>
        <w:t xml:space="preserve">a) Marco Fidel Suárez: La Joya es una medalla circular de cuarenta (40) milímetros de diámetro en metal color oro mate. En el anverso lleva la efigie de Marco Fidel Suárez en alto relieve colocado entre las alas del Águila de Gules y en la parte inferior el lema “Sic Itur ad Astra” escrito en una cinta de color oro oscuro. En el reverso va inscrito el nombre “Marco Fidel Suárez” en la parte media superior y debajo en la parte central la leyenda “Creador del Arma Aérea” y debajo de esta el año 1919. La medalla está suspendida por una cinta de cuatro (4) cm de ancho, con dos (2) franjas de un (1) cm en color azul intenso en los extremos laterales, dos (2) franjas de cinco (5) milímetros en color blanco hacia el centro y una franja de un (1) cm en color rojo en el centro. 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Diploma. Será en papel pergamino con las siguientes dimensiones: treinta y cuatro (34) centímetros de largo por veinticuatro punto cinco (24.5) centímetros de ancho, tipo de letra Old London Alternate, en la parte izquierda superior la medalla Marco Fidel, en la parte derecha superior el anverso de la medalla.</w:t>
      </w:r>
    </w:p>
    <w:p>
      <w:pPr>
        <w:jc w:val="center"/>
      </w:pPr>
      <w:r>
        <w:drawing>
          <wp:inline distT="0" distB="0" distL="0" distR="0">
            <wp:extent cx="4695825" cy="3581400"/>
            <wp:docPr id="18" name=""/>
            <a:graphic xmlns:a="http://schemas.openxmlformats.org/drawingml/2006/main">
              <a:graphicData uri="http://schemas.openxmlformats.org/drawingml/2006/picture">
                <pic:pic xmlns:pic="http://schemas.openxmlformats.org/drawingml/2006/picture">
                  <pic:nvPicPr>
                    <pic:cNvPr id="17" name="Picture "/>
                    <pic:cNvPicPr/>
                  </pic:nvPicPr>
                  <pic:blipFill>
                    <a:blip r:embed="id17"/>
                    <a:stretch>
                      <a:fillRect/>
                    </a:stretch>
                  </pic:blipFill>
                  <pic:spPr>
                    <a:xfrm>
                      <a:off x="0" y="0"/>
                      <a:ext cx="4695825" cy="3581400"/>
                    </a:xfrm>
                    <a:prstGeom prst="rect">
                      <a:avLst/>
                    </a:prstGeom>
                  </pic:spPr>
                </pic:pic>
              </a:graphicData>
            </a:graphic>
          </wp:inline>
        </w:drawing>
      </w:r>
    </w:p>
    <w:p>
      <w:pPr>
        <w:jc w:val="center"/>
      </w:pPr>
      <w:rPr>
        <w:sz w:val="24"/>
        <w:color w:val="black"/>
      </w:rPr>
    </w:p>
    <w:p>
      <w:pPr>
        <w:jc w:val="both"/>
      </w:pPr>
      <w:r>
        <w:rPr>
          <w:rFonts w:hAnsi="Arial"/>
          <w:rFonts w:ascii="Arial"/>
          <w:sz w:val="24"/>
          <w:color w:val="black"/>
        </w:rPr>
        <w:t xml:space="preserve">b) Categoría Especial “Marco Fidel Suárez”: La Joya es circular con un acabado en plata antigua mate, cuya envergadura está protegida y coronada por dos ramos de laurel en el mismo material principal que circundan abiertos hacia arriba de 50 mm de diámetro. En la cinta lleva la efigie de Marco Fidel Suárez en alto relieve colocado al centro de la misma equidistante en posición de 60 mm de alto y 40 mm de ancho, en el reverso sobre la parte media superior va inscrito el nombre “Marco Fidel Suárez”, debajo en la parte central la leyenda “precursor de la”, debajo de esta la frase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posterior a esta, el año “1919”. La cinta termina en forma de “V” tiene dos franjas delgadas a los extremos laterales color azul media noche de 2 mm, dos franjas mayores de color azul Fuerza Aérea de 9 mm, dos franjas menores de color gris hacia el centro de 2 mm y una franja mayor de color azul media noche en el centro de 10 mm. La cinta está suspendida en las alas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abierta y limpia en el material principal de la joya de 50 mm. La miniatura o réplica tiene el mismo diseño de la joya con un diámetro de 20 mm y pende de una cinta igual a la de la joya de 14 mm de ancho y de 35 mm de longitud. La venera será metálica de 40 mm de ancho por 10 mm de longitud, esmaltada al fuego, los colores y detalles serán los mismos de la cinta de la medalla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Cada una de las divisiones debe ir biselada y en el centro la efigie de Marco Fidel Suárez en alto relieve colocado entre las alas del Águila de Gules. 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Diploma. Será en papel pergamino con las siguientes dimensiones: treinta y cinco (35) centímetros de largo por veinticinco (25) centímetros de ancho, tipo de letra Old English, con el dibujo del anverso de la medalla al lado derecho superior.</w:t>
      </w:r>
    </w:p>
    <w:p>
      <w:pPr>
        <w:jc w:val="center"/>
      </w:pPr>
      <w:r>
        <w:drawing>
          <wp:inline distT="0" distB="0" distL="0" distR="0">
            <wp:extent cx="4619625" cy="2781300"/>
            <wp:docPr id="19" name=""/>
            <a:graphic xmlns:a="http://schemas.openxmlformats.org/drawingml/2006/main">
              <a:graphicData uri="http://schemas.openxmlformats.org/drawingml/2006/picture">
                <pic:pic xmlns:pic="http://schemas.openxmlformats.org/drawingml/2006/picture">
                  <pic:nvPicPr>
                    <pic:cNvPr id="18" name="Picture "/>
                    <pic:cNvPicPr/>
                  </pic:nvPicPr>
                  <pic:blipFill>
                    <a:blip r:embed="id18"/>
                    <a:stretch>
                      <a:fillRect/>
                    </a:stretch>
                  </pic:blipFill>
                  <pic:spPr>
                    <a:xfrm>
                      <a:off x="0" y="0"/>
                      <a:ext cx="4619625" cy="2781300"/>
                    </a:xfrm>
                    <a:prstGeom prst="rect">
                      <a:avLst/>
                    </a:prstGeom>
                  </pic:spPr>
                </pic:pic>
              </a:graphicData>
            </a:graphic>
          </wp:inline>
        </w:drawing>
      </w:r>
    </w:p>
    <w:p>
      <w:pPr>
        <w:jc w:val="both"/>
      </w:pPr>
      <w:rPr>
        <w:sz w:val="24"/>
        <w:color w:val="black"/>
      </w:rPr>
    </w:p>
    <w:p>
      <w:pPr>
        <w:jc w:val="both"/>
      </w:pPr>
      <w:r>
        <w:rPr>
          <w:rFonts w:hAnsi="Arial"/>
          <w:rFonts w:ascii="Arial"/>
          <w:sz w:val="24"/>
          <w:vanish/>
          <w:color w:val="black"/>
        </w:rPr>
        <w:t>&amp;$</w:t>
      </w:r>
      <w:bookmarkStart w:id="60848" w:name="2.3.1.3.6.48.3"/>
      <w:r>
        <w:rPr>
          <w:rFonts w:hAnsi="Arial"/>
          <w:rFonts w:ascii="Arial"/>
          <w:sz w:val="24"/>
          <w:color w:val="navy"/>
        </w:rPr>
        <w:t xml:space="preserve">ARTÍCULO 2.3.1.3.6.48.3. </w:t>
      </w:r>
      <w:r>
        <w:rPr>
          <w:rFonts w:hAnsi="Arial"/>
          <w:rFonts w:ascii="Arial"/>
          <w:sz w:val="24"/>
          <w:i/>
          <w:color w:val="navy"/>
        </w:rPr>
        <w:t>CONSEJO.</w:t>
      </w:r>
      <w:bookmarkEnd w:id="60848"/>
      <w:r>
        <w:rPr>
          <w:rFonts w:hAnsi="Arial"/>
          <w:rFonts w:ascii="Arial"/>
          <w:sz w:val="24"/>
          <w:b/>
          <w:i/>
          <w:color w:val="black"/>
        </w:rPr>
        <w:t xml:space="preserve"> </w:t>
      </w:r>
      <w:r>
        <w:rPr>
          <w:rFonts w:hAnsi="Arial"/>
          <w:rFonts w:ascii="Arial"/>
          <w:sz w:val="24"/>
          <w:color w:val="black"/>
        </w:rPr>
        <w:t xml:space="preserve">El Consejo de la Medalla Militar "Marco Fidel Suárez",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 Estado Mayor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Inspector General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49" w:name="SUBSECCIÓN 2.3.1.3.6.49"/>
      <w:r>
        <w:rPr>
          <w:rFonts w:hAnsi="Arial"/>
          <w:rFonts w:ascii="Arial"/>
          <w:sz w:val="24"/>
          <w:color w:val="navy"/>
        </w:rPr>
        <w:t xml:space="preserve">SUBSECCIÓN 49. </w:t>
      </w:r>
    </w:p>
    <w:p>
      <w:pPr>
        <w:jc w:val="center"/>
      </w:pPr>
      <w:r>
        <w:rPr>
          <w:rFonts w:hAnsi="Arial"/>
          <w:rFonts w:ascii="Arial"/>
          <w:sz w:val="24"/>
          <w:color w:val="navy"/>
        </w:rPr>
        <w:t xml:space="preserve">MEDALLA MILITAR "ÁGUILA DE GULES".</w:t>
      </w:r>
      <w:bookmarkEnd w:id="6084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50" w:name="2.3.1.3.6.49.1"/>
      <w:r>
        <w:rPr>
          <w:rFonts w:hAnsi="Arial"/>
          <w:rFonts w:ascii="Arial"/>
          <w:sz w:val="24"/>
          <w:color w:val="navy"/>
        </w:rPr>
        <w:t xml:space="preserve">ARTÍCULO 2.3.1.3.6.49.1. </w:t>
      </w:r>
      <w:r>
        <w:rPr>
          <w:rFonts w:hAnsi="Arial"/>
          <w:rFonts w:ascii="Arial"/>
          <w:sz w:val="24"/>
          <w:i/>
          <w:color w:val="navy"/>
        </w:rPr>
        <w:t>ORIGEN.</w:t>
      </w:r>
      <w:bookmarkEnd w:id="60850"/>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"http://www.redjurista.com/document.aspx?ajcode=d0786_95&amp;arts=INICIO"</w:instrText>
      </w:r>
      <w:r>
        <w:fldChar w:fldCharType="separate"/>
      </w:r>
      <w:r>
        <w:rPr>
          <w:rFonts w:hAnsi="Arial"/>
          <w:rFonts w:ascii="Arial"/>
          <w:sz w:val="24"/>
          <w:u w:val="single"/>
          <w:color w:val="black"/>
        </w:rPr>
        <w:t>786</w:t>
      </w:r>
      <w:r>
        <w:fldChar w:fldCharType="end"/>
      </w:r>
      <w:r>
        <w:rPr>
          <w:rFonts w:hAnsi="Arial"/>
          <w:rFonts w:ascii="Arial"/>
          <w:sz w:val="24"/>
          <w:u w:val="none"/>
          <w:color w:val="black"/>
        </w:rPr>
        <w:t xml:space="preserve"> del 12 de mayo de 1995, ostenta una sola categoría "Honor Aéreo", con el fin de enaltecer y destacar al personal de oficiales de vuelo y suboficiales técnicos de la Fuerza Aérea que desempeñen misiones como tripulantes de vuelo, que en cumplimiento de sus funciones se hayan distinguido por sus servicios prestados a las operaciones aéreas o aquellas personas o entidades que el Comando de la Fuerza Aérea considere meritorio resaltar sus aportes al cumplimiento de las operaciones aéreas.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"http://www.redjurista.com/document.aspx?ajcode=d4444010&amp;arts=177"</w:instrText>
      </w:r>
      <w:r>
        <w:fldChar w:fldCharType="separate"/>
      </w:r>
      <w:r>
        <w:rPr>
          <w:rFonts w:hAnsi="Arial"/>
          <w:rFonts w:ascii="Arial"/>
          <w:sz w:val="24"/>
          <w:i/>
          <w:u w:val="single"/>
          <w:color w:val="black"/>
        </w:rPr>
        <w:t>177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51" w:name="2.3.1.3.6.49.2"/>
      <w:r>
        <w:rPr>
          <w:rFonts w:hAnsi="Arial"/>
          <w:rFonts w:ascii="Arial"/>
          <w:sz w:val="24"/>
          <w:color w:val="navy"/>
        </w:rPr>
        <w:t xml:space="preserve">ARTÍCULO 2.3.1.3.6.49.2. </w:t>
      </w:r>
      <w:r>
        <w:rPr>
          <w:rFonts w:hAnsi="Arial"/>
          <w:rFonts w:ascii="Arial"/>
          <w:sz w:val="24"/>
          <w:i/>
          <w:color w:val="navy"/>
        </w:rPr>
        <w:t>CARACTERÍSTICAS.</w:t>
      </w:r>
      <w:bookmarkEnd w:id="60851"/>
      <w:r>
        <w:rPr>
          <w:rFonts w:hAnsi="Arial"/>
          <w:rFonts w:ascii="Arial"/>
          <w:sz w:val="24"/>
          <w:b/>
          <w:i/>
          <w:color w:val="black"/>
        </w:rPr>
        <w:t xml:space="preserve"> </w:t>
      </w:r>
      <w:r>
        <w:rPr>
          <w:rFonts w:hAnsi="Arial"/>
          <w:rFonts w:ascii="Arial"/>
          <w:sz w:val="24"/>
          <w:color w:val="black"/>
        </w:rPr>
        <w:t xml:space="preserve">La Joya su base es una medalla dorada, en forma de delta de cuarenta (40) milímetros de diámetro, con un ángulo superior de cuarenta y cinco (45) grados apuntando hacia arriba, y con sus dos (2) ángulos inferiores cargados hacia abajo en un diedro de veinte (20) grados, sobre esta en alto relieve, un águila metálica de color bronce rojizo en posición de vuelo ascendente hacia la diestra con las alas plenamente desplegadas cuya envergadura es de quince (15) mm, protegida y coronada por dos (2) ramos de laurel dorado que la circundan abiertos y arriba. Este conjunto está suspendido de unas alas abiertas y limpias, las cuales se unen al delta mediante un anillo de unión también dorado. Las alas penden a su vez, de una cinta de seda de cuarenta (40) milímetros de ancho y treinta y cinco (35) milímetros de longitud de color rojo, con una franja central en azul oscuro de diez (10) milímetros de ancho, sostenida por una barra metálica rectangular en dorado de cincuenta (50) milímetros de longitud y diez (10) milímetros de ancho, con alto relieve en todos sus costados.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"http://www.redjurista.com/document.aspx?ajcode=d4444010&amp;arts=178"</w:instrText>
      </w:r>
      <w:r>
        <w:fldChar w:fldCharType="separate"/>
      </w:r>
      <w:r>
        <w:rPr>
          <w:rFonts w:hAnsi="Arial"/>
          <w:rFonts w:ascii="Arial"/>
          <w:sz w:val="24"/>
          <w:i/>
          <w:u w:val="single"/>
          <w:color w:val="black"/>
        </w:rPr>
        <w:t>178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52" w:name="2.3.1.3.6.49.3"/>
      <w:r>
        <w:rPr>
          <w:rFonts w:hAnsi="Arial"/>
          <w:rFonts w:ascii="Arial"/>
          <w:sz w:val="24"/>
          <w:color w:val="navy"/>
        </w:rPr>
        <w:t xml:space="preserve">ARTÍCULO 2.3.1.3.6.49.3. </w:t>
      </w:r>
      <w:r>
        <w:rPr>
          <w:rFonts w:hAnsi="Arial"/>
          <w:rFonts w:ascii="Arial"/>
          <w:sz w:val="24"/>
          <w:i/>
          <w:color w:val="navy"/>
        </w:rPr>
        <w:t>CONSEJO.</w:t>
      </w:r>
      <w:bookmarkEnd w:id="60852"/>
      <w:r>
        <w:rPr>
          <w:rFonts w:hAnsi="Arial"/>
          <w:rFonts w:ascii="Arial"/>
          <w:sz w:val="24"/>
          <w:b/>
          <w:i/>
          <w:color w:val="black"/>
        </w:rPr>
        <w:t xml:space="preserve"> </w:t>
      </w:r>
      <w:r>
        <w:rPr>
          <w:rFonts w:hAnsi="Arial"/>
          <w:rFonts w:ascii="Arial"/>
          <w:sz w:val="24"/>
          <w:color w:val="black"/>
        </w:rPr>
        <w:t xml:space="preserve">El Consejo de la Medalla Militar "Águila de Gules",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FAC y Jefe de Estado Mayor de la Fuerza Aérea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Operaciones Aéreas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53" w:name="SUBSECCIÓN 2.3.1.3.6.50"/>
      <w:r>
        <w:rPr>
          <w:rFonts w:hAnsi="Arial"/>
          <w:rFonts w:ascii="Arial"/>
          <w:sz w:val="24"/>
          <w:color w:val="navy"/>
        </w:rPr>
        <w:t xml:space="preserve">SUBSECCIÓN 50. </w:t>
      </w:r>
    </w:p>
    <w:p>
      <w:pPr>
        <w:jc w:val="center"/>
      </w:pPr>
      <w:r>
        <w:rPr>
          <w:rFonts w:hAnsi="Arial"/>
          <w:rFonts w:ascii="Arial"/>
          <w:sz w:val="24"/>
          <w:color w:val="navy"/>
        </w:rPr>
        <w:t xml:space="preserve">MEDALLA MILITAR "FE EN LA CAUSA" DE LA FUERZA AÉREA COLOMBIANA.</w:t>
      </w:r>
      <w:bookmarkEnd w:id="60853"/>
      <w:r>
        <w:rPr>
          <w:rFonts w:hAnsi="Arial"/>
          <w:rFonts w:ascii="Arial"/>
          <w:sz w:val="24"/>
          <w:b/>
          <w:color w:val="black"/>
        </w:rPr>
        <w:t xml:space="preserve"> </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p>
    <w:p>
      <w:pPr>
        <w:jc w:val="both"/>
      </w:pPr>
      <w:rPr>
        <w:sz w:val="24"/>
        <w:color w:val="black"/>
      </w:rPr>
    </w:p>
    <w:p>
      <w:pPr>
        <w:jc w:val="both"/>
      </w:pPr>
      <w:r>
        <w:rPr>
          <w:rFonts w:hAnsi="Arial"/>
          <w:rFonts w:ascii="Arial"/>
          <w:sz w:val="24"/>
          <w:vanish/>
          <w:color w:val="black"/>
        </w:rPr>
        <w:t>&amp;$</w:t>
      </w:r>
      <w:bookmarkStart w:id="60854" w:name="2.3.1.3.6.50"/>
      <w:r>
        <w:rPr>
          <w:rFonts w:hAnsi="Arial"/>
          <w:rFonts w:ascii="Arial"/>
          <w:sz w:val="24"/>
          <w:color w:val="navy"/>
        </w:rPr>
        <w:t xml:space="preserve">ARTÍCULO 3.1.3.6.50.1. </w:t>
      </w:r>
      <w:r>
        <w:rPr>
          <w:rFonts w:hAnsi="Arial"/>
          <w:rFonts w:ascii="Arial"/>
          <w:sz w:val="24"/>
          <w:i/>
          <w:color w:val="navy"/>
        </w:rPr>
        <w:t>ORIGEN.</w:t>
      </w:r>
      <w:bookmarkEnd w:id="60854"/>
      <w:r>
        <w:rPr>
          <w:rFonts w:hAnsi="Arial"/>
          <w:rFonts w:ascii="Arial"/>
          <w:sz w:val="24"/>
          <w:b/>
          <w:i/>
          <w:color w:val="black"/>
        </w:rPr>
        <w:t xml:space="preserve"> </w:t>
      </w:r>
      <w:r>
        <w:rPr>
          <w:rFonts w:hAnsi="Arial"/>
          <w:rFonts w:ascii="Arial"/>
          <w:sz w:val="24"/>
          <w:color w:val="black"/>
        </w:rPr>
        <w:t xml:space="preserve">&lt;sic, 2.3.1.3.6.50.1&gt; Creada mediante Decreto </w:t>
      </w:r>
      <w:r>
        <w:fldChar w:fldCharType="begin"/>
      </w:r>
      <w:r>
        <w:instrText>HYPERLINK "http://www.redjurista.com/document.aspx?ajcode=d0961012&amp;arts=INICIO"</w:instrText>
      </w:r>
      <w:r>
        <w:fldChar w:fldCharType="separate"/>
      </w:r>
      <w:r>
        <w:rPr>
          <w:rFonts w:hAnsi="Arial"/>
          <w:rFonts w:ascii="Arial"/>
          <w:sz w:val="24"/>
          <w:u w:val="single"/>
          <w:color w:val="black"/>
        </w:rPr>
        <w:t>0961</w:t>
      </w:r>
      <w:r>
        <w:fldChar w:fldCharType="end"/>
      </w:r>
      <w:r>
        <w:rPr>
          <w:rFonts w:hAnsi="Arial"/>
          <w:rFonts w:ascii="Arial"/>
          <w:sz w:val="24"/>
          <w:u w:val="none"/>
          <w:color w:val="black"/>
        </w:rPr>
        <w:t xml:space="preserve"> de 2012, en categoría única, en categoría única, para premiar al personal de Oficiales, Suboficiales, Infantes de Marina Profesionales, Soldados y Civiles, que se destaquen en la recuperación de la paz, el orden y la democracia de la Nación, así como al personal militar en uso de buen retiro, a personalidades Nacionales y Extranjeras y entidades públicas o privadas que presten sus servicios meritorios en beneficio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55" w:name="2.3.1.3.6.50.2"/>
      <w:r>
        <w:rPr>
          <w:rFonts w:hAnsi="Arial"/>
          <w:rFonts w:ascii="Arial"/>
          <w:sz w:val="24"/>
          <w:color w:val="navy"/>
        </w:rPr>
        <w:t xml:space="preserve">ARTÍCULO 2.3.1.3.6.50.2. </w:t>
      </w:r>
      <w:r>
        <w:rPr>
          <w:rFonts w:hAnsi="Arial"/>
          <w:rFonts w:ascii="Arial"/>
          <w:sz w:val="24"/>
          <w:i/>
          <w:color w:val="navy"/>
        </w:rPr>
        <w:t>CARACTERÍSTICAS.</w:t>
      </w:r>
      <w:bookmarkEnd w:id="60855"/>
      <w:r>
        <w:rPr>
          <w:rFonts w:hAnsi="Arial"/>
          <w:rFonts w:ascii="Arial"/>
          <w:sz w:val="24"/>
          <w:b/>
          <w:i/>
          <w:color w:val="black"/>
        </w:rPr>
        <w:t xml:space="preserve"> </w:t>
      </w:r>
      <w:r>
        <w:rPr>
          <w:rFonts w:hAnsi="Arial"/>
          <w:rFonts w:ascii="Arial"/>
          <w:sz w:val="24"/>
          <w:color w:val="black"/>
        </w:rPr>
        <w:t xml:space="preserve">La Joya de la Medalla Militar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consiste en una medalla esmaltada, de 55 mm de ancho por 55 mm de alto, con corona cóncava color oro y plata brillante de la cual pende un circulo en laurel donde estarán expuestas, una estrella de color plata de 16 puntas y una estrella de color dorado de 8 puntas; en su anverso con el escudo de la Fuerza Aérea sobre la estrella dorada y en su base superior e inferior los emblemas "Somos la Fuerza" y "Fe en la Causa", respectivamente, y en su revés central el grafema SOMOS LA FUERZA acompañado en los bordes de los ocho pilates, los principios y valores de la fuerza en su orden: superior HONOR Y VALOR e inferior COMPROMISO Y SEGURIDAD. Esta joya penderá de una cinta de 40 mm de ancho de color azul "Cielo Azul de Colombia la Grande" y en sus bordes derecho e izquierdo desde la parte interior a la exterior tres franjas de color dorado, azul y rojo.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réplicas serán condecoraciones similares a la joya descrita anteriormente, pero reducidas a 15 milímetros, la cual irá suspendida de una cinta con los mismos colores de la establecida para la joya, tendrá 15 mm de ancho por 35 mm de largo y en el centro ostentara el distintivo indicado para la venera.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metálica esmaltada al fuego, de 40 milímetros de largo por 10 milímetros de ancho con las características y colores de la cinta de la joya, y en el centro sobre la franja azul llevará el Escudo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56" w:name="2.3.1.3.6.50.3"/>
      <w:r>
        <w:rPr>
          <w:rFonts w:hAnsi="Arial"/>
          <w:rFonts w:ascii="Arial"/>
          <w:sz w:val="24"/>
          <w:color w:val="navy"/>
        </w:rPr>
        <w:t xml:space="preserve">ARTÍCULO 2.3.1.3.6.50.3. </w:t>
      </w:r>
      <w:r>
        <w:rPr>
          <w:rFonts w:hAnsi="Arial"/>
          <w:rFonts w:ascii="Arial"/>
          <w:sz w:val="24"/>
          <w:i/>
          <w:color w:val="navy"/>
        </w:rPr>
        <w:t>CONSEJO.</w:t>
      </w:r>
      <w:bookmarkEnd w:id="60856"/>
      <w:r>
        <w:rPr>
          <w:rFonts w:hAnsi="Arial"/>
          <w:rFonts w:ascii="Arial"/>
          <w:sz w:val="24"/>
          <w:b/>
          <w:i/>
          <w:color w:val="black"/>
        </w:rPr>
        <w:t xml:space="preserve"> </w:t>
      </w:r>
      <w:r>
        <w:rPr>
          <w:rFonts w:hAnsi="Arial"/>
          <w:rFonts w:ascii="Arial"/>
          <w:sz w:val="24"/>
          <w:color w:val="black"/>
        </w:rPr>
        <w:t xml:space="preserve">El Consejo de la Medalla Militar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Jefe de Estado Mayor de la Fuerza Aérea</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Jefe de Operaciones Aéreas de la Fuerza Aérea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de la Fuerza Aérea</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57" w:name="2.3.1.3.6.50.4"/>
      <w:r>
        <w:rPr>
          <w:rFonts w:hAnsi="Arial"/>
          <w:rFonts w:ascii="Arial"/>
          <w:sz w:val="24"/>
          <w:color w:val="navy"/>
        </w:rPr>
        <w:t xml:space="preserve">ARTÍCULO 2.3.1.3.6.50.4. </w:t>
      </w:r>
      <w:r>
        <w:rPr>
          <w:rFonts w:hAnsi="Arial"/>
          <w:rFonts w:ascii="Arial"/>
          <w:sz w:val="24"/>
          <w:i/>
          <w:color w:val="navy"/>
        </w:rPr>
        <w:t>REQUISITOS.</w:t>
      </w:r>
      <w:bookmarkEnd w:id="60857"/>
      <w:r>
        <w:rPr>
          <w:rFonts w:hAnsi="Arial"/>
          <w:rFonts w:ascii="Arial"/>
          <w:sz w:val="24"/>
          <w:b/>
          <w:i/>
          <w:color w:val="black"/>
        </w:rPr>
        <w:t xml:space="preserve"> </w:t>
      </w:r>
      <w:r>
        <w:rPr>
          <w:rFonts w:hAnsi="Arial"/>
          <w:rFonts w:ascii="Arial"/>
          <w:sz w:val="24"/>
          <w:color w:val="black"/>
        </w:rPr>
        <w:t xml:space="preserve">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 se tendrán en cuenta los siguientes, para su otorgamiento:</w:t>
      </w:r>
    </w:p>
    <w:p>
      <w:pPr>
        <w:jc w:val="both"/>
      </w:pPr>
      <w:rPr>
        <w:sz w:val="24"/>
        <w:color w:val="black"/>
      </w:rPr>
    </w:p>
    <w:p>
      <w:pPr>
        <w:jc w:val="both"/>
      </w:pPr>
      <w:r>
        <w:rPr>
          <w:rFonts w:hAnsi="Arial"/>
          <w:rFonts w:ascii="Arial"/>
          <w:sz w:val="24"/>
          <w:color w:val="black"/>
        </w:rPr>
        <w:t xml:space="preserve">Para Oficiales:</w:t>
      </w:r>
    </w:p>
    <w:p>
      <w:pPr>
        <w:jc w:val="both"/>
      </w:pPr>
      <w:rPr>
        <w:sz w:val="24"/>
        <w:color w:val="black"/>
      </w:rPr>
    </w:p>
    <w:p>
      <w:pPr>
        <w:jc w:val="both"/>
      </w:pPr>
      <w:r>
        <w:rPr>
          <w:rFonts w:hAnsi="Arial"/>
          <w:rFonts w:ascii="Arial"/>
          <w:sz w:val="24"/>
          <w:color w:val="black"/>
        </w:rPr>
        <w:t xml:space="preserve">1. Debe haber sido protagonista en el respeto por los Derechos Humanos.</w:t>
      </w:r>
    </w:p>
    <w:p>
      <w:pPr>
        <w:jc w:val="both"/>
      </w:pPr>
      <w:rPr>
        <w:sz w:val="24"/>
        <w:color w:val="black"/>
      </w:rPr>
    </w:p>
    <w:p>
      <w:pPr>
        <w:jc w:val="both"/>
      </w:pPr>
      <w:r>
        <w:rPr>
          <w:rFonts w:hAnsi="Arial"/>
          <w:rFonts w:ascii="Arial"/>
          <w:sz w:val="24"/>
          <w:color w:val="black"/>
        </w:rPr>
        <w:t xml:space="preserve">2. Debe haber liderado, planeado, dirigido o ejecutado episodios que hayan restituido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Suboficiales:</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3. Al momento de solicitarle la medalla, debe ostentar todas las jinetas de buena conducta reglamentadas, y que le correspondan de acuerdo a su grado y tiempo en el escalafón.</w:t>
      </w:r>
    </w:p>
    <w:p>
      <w:pPr>
        <w:jc w:val="both"/>
      </w:pPr>
      <w:rPr>
        <w:sz w:val="24"/>
        <w:color w:val="black"/>
      </w:rPr>
    </w:p>
    <w:p>
      <w:pPr>
        <w:jc w:val="both"/>
      </w:pPr>
      <w:r>
        <w:rPr>
          <w:rFonts w:hAnsi="Arial"/>
          <w:rFonts w:ascii="Arial"/>
          <w:sz w:val="24"/>
          <w:color w:val="black"/>
        </w:rPr>
        <w:t xml:space="preserve">Para Infantes de Marina Profesionales y Soldados:</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directamente en eventos que hayan sido eficaces y efectivos para la restitución la libertad, la democracia y la paz de una región en territorio nacional.</w:t>
      </w:r>
    </w:p>
    <w:p>
      <w:pPr>
        <w:jc w:val="both"/>
      </w:pPr>
      <w:rPr>
        <w:sz w:val="24"/>
        <w:color w:val="black"/>
      </w:rPr>
    </w:p>
    <w:p>
      <w:pPr>
        <w:jc w:val="both"/>
      </w:pPr>
      <w:r>
        <w:rPr>
          <w:rFonts w:hAnsi="Arial"/>
          <w:rFonts w:ascii="Arial"/>
          <w:sz w:val="24"/>
          <w:color w:val="black"/>
        </w:rPr>
        <w:t xml:space="preserve">Para los Servidores Públicos del Sector Defensa e Instituciones de Derecho Público o Privado:</w:t>
      </w:r>
    </w:p>
    <w:p>
      <w:pPr>
        <w:jc w:val="both"/>
      </w:pPr>
      <w:rPr>
        <w:sz w:val="24"/>
        <w:color w:val="black"/>
      </w:rPr>
    </w:p>
    <w:p>
      <w:pPr>
        <w:jc w:val="both"/>
      </w:pPr>
      <w:r>
        <w:rPr>
          <w:rFonts w:hAnsi="Arial"/>
          <w:rFonts w:ascii="Arial"/>
          <w:sz w:val="24"/>
          <w:color w:val="black"/>
        </w:rPr>
        <w:t xml:space="preserve">1. Debe haber sido un protagonista en el respeto por los Derechos Humanos.</w:t>
      </w:r>
    </w:p>
    <w:p>
      <w:pPr>
        <w:jc w:val="both"/>
      </w:pPr>
      <w:rPr>
        <w:sz w:val="24"/>
        <w:color w:val="black"/>
      </w:rPr>
    </w:p>
    <w:p>
      <w:pPr>
        <w:jc w:val="both"/>
      </w:pPr>
      <w:r>
        <w:rPr>
          <w:rFonts w:hAnsi="Arial"/>
          <w:rFonts w:ascii="Arial"/>
          <w:sz w:val="24"/>
          <w:color w:val="black"/>
        </w:rPr>
        <w:t xml:space="preserve">2. Debe haber participado o apoyado directamente eventos que hayan sido eficaces y efectivos para la restitución de la libertad, la democracia y la paz de una región en territorio nacional.</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58" w:name="2.3.1.3.6.50.5"/>
      <w:r>
        <w:rPr>
          <w:rFonts w:hAnsi="Arial"/>
          <w:rFonts w:ascii="Arial"/>
          <w:sz w:val="24"/>
          <w:color w:val="navy"/>
        </w:rPr>
        <w:t xml:space="preserve">ARTÍCULO 2.3.1.3.6.50.5. </w:t>
      </w:r>
      <w:r>
        <w:rPr>
          <w:rFonts w:hAnsi="Arial"/>
          <w:rFonts w:ascii="Arial"/>
          <w:sz w:val="24"/>
          <w:i/>
          <w:color w:val="navy"/>
        </w:rPr>
        <w:t>DIPLOMA.</w:t>
      </w:r>
      <w:bookmarkEnd w:id="60858"/>
      <w:r>
        <w:rPr>
          <w:rFonts w:hAnsi="Arial"/>
          <w:rFonts w:ascii="Arial"/>
          <w:sz w:val="24"/>
          <w:b/>
          <w:i/>
          <w:color w:val="black"/>
        </w:rPr>
        <w:t xml:space="preserve"> </w:t>
      </w:r>
      <w:r>
        <w:rPr>
          <w:rFonts w:hAnsi="Arial"/>
          <w:rFonts w:ascii="Arial"/>
          <w:sz w:val="24"/>
          <w:color w:val="black"/>
        </w:rPr>
        <w:t xml:space="preserve">Los diplomas correspondientes a la Medalla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serán elaborados de acuerdo a lo establecido en el artículo </w:t>
      </w:r>
      <w:r>
        <w:fldChar w:fldCharType="begin"/>
      </w:r>
      <w:r>
        <w:instrText>HYPERLINK "http://www.redjurista.com/document.aspx?ajcode=d1070015&amp;arts=2.3.1.3.6.4"</w:instrText>
      </w:r>
      <w:r>
        <w:fldChar w:fldCharType="separate"/>
      </w:r>
      <w:r>
        <w:rPr>
          <w:rFonts w:hAnsi="Arial"/>
          <w:rFonts w:ascii="Arial"/>
          <w:sz w:val="24"/>
          <w:u w:val="single"/>
          <w:color w:val="black"/>
        </w:rPr>
        <w:t>2.3.1.3.6.4</w:t>
      </w:r>
      <w:r>
        <w:fldChar w:fldCharType="end"/>
      </w:r>
      <w:r>
        <w:rPr>
          <w:rFonts w:hAnsi="Arial"/>
          <w:rFonts w:ascii="Arial"/>
          <w:sz w:val="24"/>
          <w:u w:val="none"/>
          <w:color w:val="black"/>
        </w:rPr>
        <w:t xml:space="preserve">., de este Capítulo.</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59" w:name="2.3.1.3.6.50.6"/>
      <w:r>
        <w:rPr>
          <w:rFonts w:hAnsi="Arial"/>
          <w:rFonts w:ascii="Arial"/>
          <w:sz w:val="24"/>
          <w:color w:val="navy"/>
        </w:rPr>
        <w:t xml:space="preserve">ARTÍCULO 2.3.1.3.6.50.6. </w:t>
      </w:r>
      <w:r>
        <w:rPr>
          <w:rFonts w:hAnsi="Arial"/>
          <w:rFonts w:ascii="Arial"/>
          <w:sz w:val="24"/>
          <w:i/>
          <w:color w:val="navy"/>
        </w:rPr>
        <w:t>OTORGAMIENTO.</w:t>
      </w:r>
      <w:bookmarkEnd w:id="60859"/>
      <w:r>
        <w:rPr>
          <w:rFonts w:hAnsi="Arial"/>
          <w:rFonts w:ascii="Arial"/>
          <w:sz w:val="24"/>
          <w:b/>
          <w:i/>
          <w:color w:val="black"/>
        </w:rPr>
        <w:t xml:space="preserve"> </w:t>
      </w:r>
      <w:r>
        <w:rPr>
          <w:rFonts w:hAnsi="Arial"/>
          <w:rFonts w:ascii="Arial"/>
          <w:sz w:val="24"/>
          <w:color w:val="black"/>
        </w:rPr>
        <w:t xml:space="preserve">La Medalla "Fe en la Causa"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será conferida por una sola vez, previo cumplimiento de los requisitos establecidos para el efecto y que a consideración del Consejo de la Medalla se hagan merecedores de esta distinción.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Al personal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que falleciere como consecuencia del cumplimiento del deber en actos del servicio para mantener o restablecer el orden público, se le podrá conceder en forma póstuma, igualmente a los miembros de la Policía Nacional que fallecieren por la misma causa, participando en operaciones conjuntas con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60" w:name="2.3.1.3.6.50.7"/>
      <w:r>
        <w:rPr>
          <w:rFonts w:hAnsi="Arial"/>
          <w:rFonts w:ascii="Arial"/>
          <w:sz w:val="24"/>
          <w:color w:val="navy"/>
        </w:rPr>
        <w:t xml:space="preserve">ARTÍCULO 2.3.1.3.6.50.7</w:t>
      </w:r>
      <w:r>
        <w:rPr>
          <w:rFonts w:hAnsi="Arial"/>
          <w:rFonts w:ascii="Arial"/>
          <w:sz w:val="24"/>
          <w:i/>
          <w:color w:val="navy"/>
        </w:rPr>
        <w:t xml:space="preserve">. IMPOSICIÓN.</w:t>
      </w:r>
      <w:bookmarkEnd w:id="60860"/>
      <w:r>
        <w:rPr>
          <w:rFonts w:hAnsi="Arial"/>
          <w:rFonts w:ascii="Arial"/>
          <w:sz w:val="24"/>
          <w:b/>
          <w:i/>
          <w:color w:val="black"/>
        </w:rPr>
        <w:t xml:space="preserve"> </w:t>
      </w:r>
      <w:r>
        <w:rPr>
          <w:rFonts w:hAnsi="Arial"/>
          <w:rFonts w:ascii="Arial"/>
          <w:sz w:val="24"/>
          <w:color w:val="black"/>
        </w:rPr>
        <w:t xml:space="preserve">Además de lo establecido en el artículo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imposición de la Medalla Fe en la Causa revestirá la mayor solemnidad. Para la ceremonia se conformarán destacamentos de acuerdo con el reglamento de ceremonial militar y estará precedida por el señor Comandante de la Armada Nacional quien impondrá la condecoración de acuerdo al Reglamento de Ceremonial Militar.</w:t>
      </w:r>
    </w:p>
    <w:p>
      <w:pPr>
        <w:jc w:val="both"/>
      </w:pPr>
      <w:rPr>
        <w:sz w:val="24"/>
        <w:color w:val="black"/>
      </w:rPr>
    </w:p>
    <w:p>
      <w:pPr>
        <w:jc w:val="both"/>
      </w:pPr>
      <w:r>
        <w:rPr>
          <w:rFonts w:hAnsi="Arial"/>
          <w:rFonts w:ascii="Arial"/>
          <w:sz w:val="24"/>
          <w:i/>
          <w:color w:val="black"/>
        </w:rPr>
        <w:t xml:space="preserve">(Decreto 0961 de 2012 artículo </w:t>
      </w:r>
      <w:r>
        <w:fldChar w:fldCharType="begin"/>
      </w:r>
      <w:r>
        <w:instrText>HYPERLINK "http://www.redjurista.com/document.aspx?ajcode=d0961012&amp;arts=8"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861" w:name="SUBSECCIÓN 2.3.1.3.6.51"/>
      <w:r>
        <w:rPr>
          <w:rFonts w:hAnsi="Arial"/>
          <w:rFonts w:ascii="Arial"/>
          <w:sz w:val="24"/>
          <w:color w:val="navy"/>
        </w:rPr>
        <w:t xml:space="preserve">SUBSECCIÓN 51. </w:t>
      </w:r>
    </w:p>
    <w:p>
      <w:pPr>
        <w:jc w:val="center"/>
      </w:pPr>
      <w:r>
        <w:rPr>
          <w:rFonts w:hAnsi="Arial"/>
          <w:rFonts w:ascii="Arial"/>
          <w:sz w:val="24"/>
          <w:color w:val="navy"/>
        </w:rPr>
        <w:t xml:space="preserve">MEDALLA MILITAR "SERVICIOS DISTINGUIDOS A LA SEGURIDAD Y DEFENSA DE BASES AÉREAS".</w:t>
      </w:r>
      <w:bookmarkEnd w:id="6086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62" w:name="2.3.1.3.6.51.1"/>
      <w:r>
        <w:rPr>
          <w:rFonts w:hAnsi="Arial"/>
          <w:rFonts w:ascii="Arial"/>
          <w:sz w:val="24"/>
          <w:color w:val="navy"/>
        </w:rPr>
        <w:t xml:space="preserve">ARTÍCULO 2.3.1.3.6.51.1. </w:t>
      </w:r>
      <w:r>
        <w:rPr>
          <w:rFonts w:hAnsi="Arial"/>
          <w:rFonts w:ascii="Arial"/>
          <w:sz w:val="24"/>
          <w:i/>
          <w:color w:val="navy"/>
        </w:rPr>
        <w:t>ORIGEN.</w:t>
      </w:r>
      <w:bookmarkEnd w:id="60862"/>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"http://www.redjurista.com/document.aspx?ajcode=d0786_95&amp;arts=INICIO"</w:instrText>
      </w:r>
      <w:r>
        <w:fldChar w:fldCharType="separate"/>
      </w:r>
      <w:r>
        <w:rPr>
          <w:rFonts w:hAnsi="Arial"/>
          <w:rFonts w:ascii="Arial"/>
          <w:sz w:val="24"/>
          <w:u w:val="single"/>
          <w:color w:val="black"/>
        </w:rPr>
        <w:t>786</w:t>
      </w:r>
      <w:r>
        <w:fldChar w:fldCharType="end"/>
      </w:r>
      <w:r>
        <w:rPr>
          <w:rFonts w:hAnsi="Arial"/>
          <w:rFonts w:ascii="Arial"/>
          <w:sz w:val="24"/>
          <w:u w:val="none"/>
          <w:color w:val="black"/>
        </w:rPr>
        <w:t xml:space="preserve"> del 12 de mayo de 1995, como medalla "Servicios Distinguidos a la Infantería de Aviación", hoy especialidad de "Seguridad y Defensa de Bases Aéreas", con el fin de enaltecer y destacar al personal que en cumplimiento de sus funciones se hayan distinguido por sus servicios prestados a la Especialidad, o aquellas personas o entidades que el Comando de la Fuerza Aérea considere meritorio resaltar por sus aportes para el cumplimiento de las misiones de seguridad.</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"http://www.redjurista.com/document.aspx?ajcode=d4444010&amp;arts=179"</w:instrText>
      </w:r>
      <w:r>
        <w:fldChar w:fldCharType="separate"/>
      </w:r>
      <w:r>
        <w:rPr>
          <w:rFonts w:hAnsi="Arial"/>
          <w:rFonts w:ascii="Arial"/>
          <w:sz w:val="24"/>
          <w:i/>
          <w:u w:val="single"/>
          <w:color w:val="black"/>
        </w:rPr>
        <w:t>179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63" w:name="2.3.1.3.6.51.2"/>
      <w:r>
        <w:rPr>
          <w:rFonts w:hAnsi="Arial"/>
          <w:rFonts w:ascii="Arial"/>
          <w:sz w:val="24"/>
          <w:color w:val="navy"/>
        </w:rPr>
        <w:t xml:space="preserve">ARTÍCULO 2.3.1.3.6.51.2. </w:t>
      </w:r>
      <w:r>
        <w:rPr>
          <w:rFonts w:hAnsi="Arial"/>
          <w:rFonts w:ascii="Arial"/>
          <w:sz w:val="24"/>
          <w:i/>
          <w:color w:val="navy"/>
        </w:rPr>
        <w:t>CARACTERÍSTICAS.</w:t>
      </w:r>
      <w:bookmarkEnd w:id="60863"/>
      <w:r>
        <w:rPr>
          <w:rFonts w:hAnsi="Arial"/>
          <w:rFonts w:ascii="Arial"/>
          <w:sz w:val="24"/>
          <w:b/>
          <w:i/>
          <w:color w:val="black"/>
        </w:rPr>
        <w:t xml:space="preserve"> </w:t>
      </w:r>
      <w:r>
        <w:rPr>
          <w:rFonts w:hAnsi="Arial"/>
          <w:rFonts w:ascii="Arial"/>
          <w:sz w:val="24"/>
          <w:color w:val="black"/>
        </w:rPr>
        <w:t xml:space="preserve">La joya en la base está materializada por una Medalla Circular Dorada de cuarenta (40) milímetros de diámetro de la cual se desprenden radialmente, también en dorado cinco (5) grupos de cinco (5) rayos por cada uno, cual estrella pentagonal. En su centro se destaca el perfil de un aguerrido león rampante en relieve, mirando a la derecha, con la lengua afuera y la cola ondulante y levantada como signo de orgullo armado con una espada con su punta hacia arriba, evocando el permanente alistamiento de las armas, el ejercicio del mando en la defensa y la rectitud de los hombres que lo ejercen. Es también ello símbolo de arrojo y valentía. Esta Medalla a su vez se encuentra suspendida de un Águila que vigilante mira a la derecha, con sus alas limpias y desplegadas y lleva en sus garras un anillo de unión; el león protege esta águila como símbolo de la labor cumplida por los hombres que dedican su tiempo a la Defensa de nuestra soberanía Aérea. Este conjunto va también dorado. El Águila pende a su vez, de una cinta de seda de cuarenta (40) milímetros de ancho que lleva en su orden de derecha a izquierda tres (3) bandas de similar anchura (13,3 milímetros) los colores rojo, blanco y azul oscuro. La cinta de treinta y cinco (35) mm de longitud se encuentra sostenida por una barra metálica rectangular en dorado de cincuenta (50) milímetros de longitud y diez (10) milímetros de ancho, con alto relieve en todos sus bordes. Los colores tienen el significado que en cada caso se indica, así: El color oro (dorado) simboliza al astro del sol a la nobleza y la luz; el rojo (Gules) evoca al planeta Marte, el fuego, a la fortaleza y al valor; al honor, a la fidelidad y a la sangre derramada en el cumplimiento del deber; el banco (plata) simboliza la luna, la fe y la integridad; el azul oscuro (azul) representa a Venus al aire y al acero, a la justicia y a la lealtad. Todos ellos tienen un estrecho y permanente vínculo con la abnegada, gloriosa y sacrificada labor que cumplen todos aquellos hombres, que permanecen atentos velando y protegiendo aquella invaluable herencia que se ha puesto a su cuidado.</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"http://www.redjurista.com/document.aspx?ajcode=d4444010&amp;arts=180"</w:instrText>
      </w:r>
      <w:r>
        <w:fldChar w:fldCharType="separate"/>
      </w:r>
      <w:r>
        <w:rPr>
          <w:rFonts w:hAnsi="Arial"/>
          <w:rFonts w:ascii="Arial"/>
          <w:sz w:val="24"/>
          <w:i/>
          <w:u w:val="single"/>
          <w:color w:val="black"/>
        </w:rPr>
        <w:t>180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64" w:name="2.3.1.3.6.51.3"/>
      <w:r>
        <w:rPr>
          <w:rFonts w:hAnsi="Arial"/>
          <w:rFonts w:ascii="Arial"/>
          <w:sz w:val="24"/>
          <w:color w:val="navy"/>
        </w:rPr>
        <w:t xml:space="preserve">ARTÍCULO 2.3.1.3.6.51.3. </w:t>
      </w:r>
      <w:r>
        <w:rPr>
          <w:rFonts w:hAnsi="Arial"/>
          <w:rFonts w:ascii="Arial"/>
          <w:sz w:val="24"/>
          <w:i/>
          <w:color w:val="navy"/>
        </w:rPr>
        <w:t>CONSEJO.</w:t>
      </w:r>
      <w:bookmarkEnd w:id="60864"/>
      <w:r>
        <w:rPr>
          <w:rFonts w:hAnsi="Arial"/>
          <w:rFonts w:ascii="Arial"/>
          <w:sz w:val="24"/>
          <w:b/>
          <w:i/>
          <w:color w:val="black"/>
        </w:rPr>
        <w:t xml:space="preserve"> </w:t>
      </w:r>
      <w:r>
        <w:rPr>
          <w:rFonts w:hAnsi="Arial"/>
          <w:rFonts w:ascii="Arial"/>
          <w:sz w:val="24"/>
          <w:color w:val="black"/>
        </w:rPr>
        <w:t xml:space="preserve">El Consejo de la Medalla Militar "Servicios Distinguidos a la Seguridad y Defensa de Bases Aéreas",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del Estado Mayor de la Fuerza Aérea.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Seguridad y Defensa de Bases Aéreas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65" w:name="SUBSECCIÓN 2.3.1.3.6.52"/>
      <w:r>
        <w:rPr>
          <w:rFonts w:hAnsi="Arial"/>
          <w:rFonts w:ascii="Arial"/>
          <w:sz w:val="24"/>
          <w:color w:val="navy"/>
        </w:rPr>
        <w:t xml:space="preserve">SUBSECCIÓN 52. </w:t>
      </w:r>
    </w:p>
    <w:p>
      <w:pPr>
        <w:jc w:val="center"/>
      </w:pPr>
      <w:r>
        <w:rPr>
          <w:rFonts w:hAnsi="Arial"/>
          <w:rFonts w:ascii="Arial"/>
          <w:sz w:val="24"/>
          <w:color w:val="navy"/>
        </w:rPr>
        <w:t xml:space="preserve">MEDALLA MILITAR "SERVICIOS DISTINGUIDOS A LA INTELIGENCIA AÉREA".</w:t>
      </w:r>
      <w:bookmarkEnd w:id="6086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66" w:name="2.3.1.3.6.52.1"/>
      <w:r>
        <w:rPr>
          <w:rFonts w:hAnsi="Arial"/>
          <w:rFonts w:ascii="Arial"/>
          <w:sz w:val="24"/>
          <w:color w:val="navy"/>
        </w:rPr>
        <w:t xml:space="preserve">ARTÍCULO 2.3.1.3.6.52.1. </w:t>
      </w:r>
      <w:r>
        <w:rPr>
          <w:rFonts w:hAnsi="Arial"/>
          <w:rFonts w:ascii="Arial"/>
          <w:sz w:val="24"/>
          <w:i/>
          <w:color w:val="navy"/>
        </w:rPr>
        <w:t>ORIGEN.</w:t>
      </w:r>
      <w:bookmarkEnd w:id="60866"/>
      <w:r>
        <w:rPr>
          <w:rFonts w:hAnsi="Arial"/>
          <w:rFonts w:ascii="Arial"/>
          <w:sz w:val="24"/>
          <w:b/>
          <w:i/>
          <w:color w:val="black"/>
        </w:rPr>
        <w:t xml:space="preserve"> </w:t>
      </w:r>
      <w:r>
        <w:rPr>
          <w:rFonts w:hAnsi="Arial"/>
          <w:rFonts w:ascii="Arial"/>
          <w:sz w:val="24"/>
          <w:color w:val="black"/>
        </w:rPr>
        <w:t xml:space="preserve">Crease la "Medalla Servicios Distinguidos a la Inteligencia Aérea" para estimular y premiar al personal de Oficiales, Suboficiales, Soldados y Personal Civil, que se haya destacado por su participación en operaciones de Inteligencia Militar, Inteligencia Técnica y Contrainteligencia, o a quienes se hayan distinguido por su capacidad profesional, técnica o sobresaliente dedicación a esta especialidad, al igual que entidades oficiales, particulares y personal que haya prestado eminentes servicios en contribución de la inteligencia Aérea, propendiendo por su desarrollo y proyección en la Institución.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"http://www.redjurista.com/document.aspx?ajcode=d4444010&amp;arts=181"</w:instrText>
      </w:r>
      <w:r>
        <w:fldChar w:fldCharType="separate"/>
      </w:r>
      <w:r>
        <w:rPr>
          <w:rFonts w:hAnsi="Arial"/>
          <w:rFonts w:ascii="Arial"/>
          <w:sz w:val="24"/>
          <w:i/>
          <w:u w:val="single"/>
          <w:color w:val="black"/>
        </w:rPr>
        <w:t>181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67" w:name="2.3.1.3.6.52.2"/>
      <w:r>
        <w:rPr>
          <w:rFonts w:hAnsi="Arial"/>
          <w:rFonts w:ascii="Arial"/>
          <w:sz w:val="24"/>
          <w:color w:val="navy"/>
        </w:rPr>
        <w:t xml:space="preserve">ARTÍCULO 2.3.1.3.6.52.2. </w:t>
      </w:r>
      <w:r>
        <w:rPr>
          <w:rFonts w:hAnsi="Arial"/>
          <w:rFonts w:ascii="Arial"/>
          <w:sz w:val="24"/>
          <w:i/>
          <w:color w:val="navy"/>
        </w:rPr>
        <w:t>CARACTERÍSTICAS.</w:t>
      </w:r>
      <w:bookmarkEnd w:id="60867"/>
      <w:r>
        <w:rPr>
          <w:rFonts w:hAnsi="Arial"/>
          <w:rFonts w:ascii="Arial"/>
          <w:sz w:val="24"/>
          <w:b/>
          <w:i/>
          <w:color w:val="black"/>
        </w:rPr>
        <w:t xml:space="preserve"> </w:t>
      </w:r>
      <w:r>
        <w:rPr>
          <w:rFonts w:hAnsi="Arial"/>
          <w:rFonts w:ascii="Arial"/>
          <w:sz w:val="24"/>
          <w:color w:val="black"/>
        </w:rPr>
        <w:t xml:space="preserve">La Joya consiste en una cruz de malta metálica dorada en cuyo centro sobre un círculo se encuentra el norte del hemisferio occidental terrestre y la bóveda celeste, proyectado sobre la línea ecuatorial en el que se destaca el mapa de la República de Colombia; sobre este aparece un águila en vuelo con sus alas desplegadas, el sol a la derecha, saliendo del globo terráqueo y la luna a la izquierda en el firmamento, en cuarto creciente. Pende de un Grifo cuya mitad superior es de águila y la mitad inferior de león, y este a su vez de una cinta de cuarenta (40) milímetros de ancho con cinco (5) franjas verticales así: en el centro una franja dorada de diez (10) milímetros, dos franjas blancas de cinco (5) milímetros de ancho, una a cada lado de la central, y dos franjas de color azul cielo de diez (10) milímetros cada una en los extremos exteriores. En la parte superior de la cinta, lleva una placa metálica dorada de cuarenta (40) por diez (10) milímetros con un gancho de sujeción.</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"http://www.redjurista.com/document.aspx?ajcode=d4444010&amp;arts=182"</w:instrText>
      </w:r>
      <w:r>
        <w:fldChar w:fldCharType="separate"/>
      </w:r>
      <w:r>
        <w:rPr>
          <w:rFonts w:hAnsi="Arial"/>
          <w:rFonts w:ascii="Arial"/>
          <w:sz w:val="24"/>
          <w:i/>
          <w:u w:val="single"/>
          <w:color w:val="black"/>
        </w:rPr>
        <w:t>182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68" w:name="2.3.1.3.6.52.3"/>
      <w:r>
        <w:rPr>
          <w:rFonts w:hAnsi="Arial"/>
          <w:rFonts w:ascii="Arial"/>
          <w:sz w:val="24"/>
          <w:color w:val="navy"/>
        </w:rPr>
        <w:t xml:space="preserve">ARTÍCULO 2.3.1.3.6.52.3. </w:t>
      </w:r>
      <w:r>
        <w:rPr>
          <w:rFonts w:hAnsi="Arial"/>
          <w:rFonts w:ascii="Arial"/>
          <w:sz w:val="24"/>
          <w:i/>
          <w:color w:val="navy"/>
        </w:rPr>
        <w:t>CONSEJO.</w:t>
      </w:r>
      <w:bookmarkEnd w:id="60868"/>
      <w:r>
        <w:rPr>
          <w:rFonts w:hAnsi="Arial"/>
          <w:rFonts w:ascii="Arial"/>
          <w:sz w:val="24"/>
          <w:b/>
          <w:i/>
          <w:color w:val="black"/>
        </w:rPr>
        <w:t xml:space="preserve"> </w:t>
      </w:r>
      <w:r>
        <w:rPr>
          <w:rFonts w:hAnsi="Arial"/>
          <w:rFonts w:ascii="Arial"/>
          <w:sz w:val="24"/>
          <w:color w:val="black"/>
        </w:rPr>
        <w:t xml:space="preserve">El Consejo de la Medalla Militar "Servicios Distinguidos a la Inteligencia Aérea",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del Estado Mayor de la Fuerza Aérea.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Inteligencia Aérea.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69" w:name="SUBSECCIÓN 2.3.1.3.6.53"/>
      <w:r>
        <w:rPr>
          <w:rFonts w:hAnsi="Arial"/>
          <w:rFonts w:ascii="Arial"/>
          <w:sz w:val="24"/>
          <w:color w:val="navy"/>
        </w:rPr>
        <w:t xml:space="preserve">SUBSECCIÓN 53. </w:t>
      </w:r>
    </w:p>
    <w:p>
      <w:pPr>
        <w:jc w:val="center"/>
      </w:pPr>
      <w:r>
        <w:rPr>
          <w:rFonts w:hAnsi="Arial"/>
          <w:rFonts w:ascii="Arial"/>
          <w:sz w:val="24"/>
          <w:color w:val="navy"/>
        </w:rPr>
        <w:t xml:space="preserve">MEDALLA MILITAR "SERVICIOS DISTINGUIDOS A LA DEFENSA AÉREA Y NAVEGACIÓN AÉREA".</w:t>
      </w:r>
      <w:bookmarkEnd w:id="6086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70" w:name="2.3.1.3.6.53.1"/>
      <w:r>
        <w:rPr>
          <w:rFonts w:hAnsi="Arial"/>
          <w:rFonts w:ascii="Arial"/>
          <w:sz w:val="24"/>
          <w:color w:val="navy"/>
        </w:rPr>
        <w:t xml:space="preserve">ARTÍCULO 2.3.1.3.6.53.1. </w:t>
      </w:r>
      <w:r>
        <w:rPr>
          <w:rFonts w:hAnsi="Arial"/>
          <w:rFonts w:ascii="Arial"/>
          <w:sz w:val="24"/>
          <w:i/>
          <w:color w:val="navy"/>
        </w:rPr>
        <w:t>ORIGEN.</w:t>
      </w:r>
      <w:bookmarkEnd w:id="60870"/>
      <w:r>
        <w:rPr>
          <w:rFonts w:hAnsi="Arial"/>
          <w:rFonts w:ascii="Arial"/>
          <w:sz w:val="24"/>
          <w:b/>
          <w:i/>
          <w:color w:val="black"/>
        </w:rPr>
        <w:t xml:space="preserve"> </w:t>
      </w:r>
      <w:r>
        <w:rPr>
          <w:rFonts w:hAnsi="Arial"/>
          <w:rFonts w:ascii="Arial"/>
          <w:sz w:val="24"/>
          <w:color w:val="black"/>
        </w:rPr>
        <w:t xml:space="preserve">Créase la Medalla Servicios Distinguidos a la "Defensa Aérea y Navegación Aérea" para enaltecer y premiar el espíritu de consagración y esmero del personal militar y civil que labora en el aérea de Defensa Aérea o Navegación Aérea, quienes con su trabajo hayan contribuido al engrandecimiento del tránsito aéreo, meteorología, servicios de información aeronáutica y aeronavegabilidad, como partícipes de la planeación y el desarrollo de las operaciones aéreas, así como a los funcionarios, personalidades o entidades que con su gestión hayan contribuido a la evolución y mejoramiento de estas especialidades.</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"http://www.redjurista.com/document.aspx?ajcode=d4444010&amp;arts=183"</w:instrText>
      </w:r>
      <w:r>
        <w:fldChar w:fldCharType="separate"/>
      </w:r>
      <w:r>
        <w:rPr>
          <w:rFonts w:hAnsi="Arial"/>
          <w:rFonts w:ascii="Arial"/>
          <w:sz w:val="24"/>
          <w:i/>
          <w:u w:val="single"/>
          <w:color w:val="black"/>
        </w:rPr>
        <w:t>183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71" w:name="2.3.1.3.6.53.2"/>
      <w:r>
        <w:rPr>
          <w:rFonts w:hAnsi="Arial"/>
          <w:rFonts w:ascii="Arial"/>
          <w:sz w:val="24"/>
          <w:color w:val="navy"/>
        </w:rPr>
        <w:t xml:space="preserve">ARTÍCULO 2.3.1.3.6.53.2. </w:t>
      </w:r>
      <w:r>
        <w:rPr>
          <w:rFonts w:hAnsi="Arial"/>
          <w:rFonts w:ascii="Arial"/>
          <w:sz w:val="24"/>
          <w:i/>
          <w:color w:val="navy"/>
        </w:rPr>
        <w:t>CARACTERÍSTICAS.</w:t>
      </w:r>
      <w:bookmarkEnd w:id="60871"/>
      <w:r>
        <w:rPr>
          <w:rFonts w:hAnsi="Arial"/>
          <w:rFonts w:ascii="Arial"/>
          <w:sz w:val="24"/>
          <w:b/>
          <w:i/>
          <w:color w:val="black"/>
        </w:rPr>
        <w:t xml:space="preserve"> </w:t>
      </w:r>
      <w:r>
        <w:rPr>
          <w:rFonts w:hAnsi="Arial"/>
          <w:rFonts w:ascii="Arial"/>
          <w:sz w:val="24"/>
          <w:color w:val="black"/>
        </w:rPr>
        <w:t xml:space="preserve">La Joya consiste en una rosa de los vientos con sus ejes longitudinal y transversal y el escudo de las especialidades en el centro, sobrepuesta sobre un círculo dorado con cuatro (4) círculos concéntricos. En la parte inferior, en semicírculo de fondo azul, lleva la inscripción "UBI LABOR IBI VIRTUS" en letras doradas, que significa "Donde hay trabajo hay virtud". Pende de un águila dorada con sus alas extendidas, y esta a su vez de una cinta de cuarenta (40) milímetros de ancho de cinco (5) franjas así: en el centro una franja amarilla de ocho (8) milímetros, dos franjas azules de seis (6) milímetros de ancho, una a cada lado de la central, y dos franjas de color rojo de diez (10) milímetros cada una en los extremos exteriores. En la parte superior de la cinta, lleva una placa metálica de cuarenta (40) por diez (10) milímetros con un gancho de sujeción.</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"http://www.redjurista.com/document.aspx?ajcode=d4444010&amp;arts=184"</w:instrText>
      </w:r>
      <w:r>
        <w:fldChar w:fldCharType="separate"/>
      </w:r>
      <w:r>
        <w:rPr>
          <w:rFonts w:hAnsi="Arial"/>
          <w:rFonts w:ascii="Arial"/>
          <w:sz w:val="24"/>
          <w:i/>
          <w:u w:val="single"/>
          <w:color w:val="black"/>
        </w:rPr>
        <w:t>184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72" w:name="2.3.1.3.6.53.3"/>
      <w:r>
        <w:rPr>
          <w:rFonts w:hAnsi="Arial"/>
          <w:rFonts w:ascii="Arial"/>
          <w:sz w:val="24"/>
          <w:color w:val="navy"/>
        </w:rPr>
        <w:t xml:space="preserve">ARTÍCULO 2.3.1.3.6.53.3. </w:t>
      </w:r>
      <w:r>
        <w:rPr>
          <w:rFonts w:hAnsi="Arial"/>
          <w:rFonts w:ascii="Arial"/>
          <w:sz w:val="24"/>
          <w:i/>
          <w:color w:val="navy"/>
        </w:rPr>
        <w:t>CONSEJO.</w:t>
      </w:r>
      <w:bookmarkEnd w:id="60872"/>
      <w:r>
        <w:rPr>
          <w:rFonts w:hAnsi="Arial"/>
          <w:rFonts w:ascii="Arial"/>
          <w:sz w:val="24"/>
          <w:b/>
          <w:i/>
          <w:color w:val="black"/>
        </w:rPr>
        <w:t xml:space="preserve"> </w:t>
      </w:r>
      <w:r>
        <w:rPr>
          <w:rFonts w:hAnsi="Arial"/>
          <w:rFonts w:ascii="Arial"/>
          <w:sz w:val="24"/>
          <w:color w:val="black"/>
        </w:rPr>
        <w:t xml:space="preserve">El Consejo de la Medalla Militar "Servicios Distinguidos a la Defensa Aérea y Navegación Aérea",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del Estado Mayor Aéreo.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Operaciones Aéreas.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73" w:name="SUBSECCIÓN 2.3.1.3.6.54"/>
      <w:r>
        <w:rPr>
          <w:rFonts w:hAnsi="Arial"/>
          <w:rFonts w:ascii="Arial"/>
          <w:sz w:val="24"/>
          <w:color w:val="navy"/>
        </w:rPr>
        <w:t xml:space="preserve">SUBSECCIÓN 54. </w:t>
      </w:r>
    </w:p>
    <w:p>
      <w:pPr>
        <w:jc w:val="center"/>
      </w:pPr>
      <w:r>
        <w:rPr>
          <w:rFonts w:hAnsi="Arial"/>
          <w:rFonts w:ascii="Arial"/>
          <w:sz w:val="24"/>
          <w:color w:val="navy"/>
        </w:rPr>
        <w:t xml:space="preserve">MEDALLA MILITAR "SERVICIOS DISTINGUIDOS AL CUERPO LOGÍSTICO Y ADMINISTRATIVO".</w:t>
      </w:r>
      <w:bookmarkEnd w:id="6087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74" w:name="2.3.1.3.6.54.1"/>
      <w:r>
        <w:rPr>
          <w:rFonts w:hAnsi="Arial"/>
          <w:rFonts w:ascii="Arial"/>
          <w:sz w:val="24"/>
          <w:color w:val="navy"/>
        </w:rPr>
        <w:t xml:space="preserve">ARTÍCULO 2.3.1.3.6.54.1. </w:t>
      </w:r>
      <w:r>
        <w:rPr>
          <w:rFonts w:hAnsi="Arial"/>
          <w:rFonts w:ascii="Arial"/>
          <w:sz w:val="24"/>
          <w:i/>
          <w:color w:val="navy"/>
        </w:rPr>
        <w:t>ORIGEN.</w:t>
      </w:r>
      <w:bookmarkEnd w:id="60874"/>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"http://www.redjurista.com/document.aspx?ajcode=d0786_95&amp;arts=INICIO"</w:instrText>
      </w:r>
      <w:r>
        <w:fldChar w:fldCharType="separate"/>
      </w:r>
      <w:r>
        <w:rPr>
          <w:rFonts w:hAnsi="Arial"/>
          <w:rFonts w:ascii="Arial"/>
          <w:sz w:val="24"/>
          <w:u w:val="single"/>
          <w:color w:val="black"/>
        </w:rPr>
        <w:t>786</w:t>
      </w:r>
      <w:r>
        <w:fldChar w:fldCharType="end"/>
      </w:r>
      <w:r>
        <w:rPr>
          <w:rFonts w:hAnsi="Arial"/>
          <w:rFonts w:ascii="Arial"/>
          <w:sz w:val="24"/>
          <w:u w:val="none"/>
          <w:color w:val="black"/>
        </w:rPr>
        <w:t xml:space="preserve"> del 12 de mayo de 1995, con el fin de enaltecer y destacar al personal del Cuerpo Logístico y Administrativo, que en cumplimiento de sus funciones se haya distinguido por sus servicios prestados a la Especialidad, o aquellas personas o entidades que el Comando de la Fuerza Aérea considere meritorio resaltar, por sus aportes para el cumplimiento del apoyo logístico.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"http://www.redjurista.com/document.aspx?ajcode=d4444010&amp;arts=185"</w:instrText>
      </w:r>
      <w:r>
        <w:fldChar w:fldCharType="separate"/>
      </w:r>
      <w:r>
        <w:rPr>
          <w:rFonts w:hAnsi="Arial"/>
          <w:rFonts w:ascii="Arial"/>
          <w:sz w:val="24"/>
          <w:i/>
          <w:u w:val="single"/>
          <w:color w:val="black"/>
        </w:rPr>
        <w:t>185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75" w:name="2.3.1.3.6.54.2"/>
      <w:r>
        <w:rPr>
          <w:rFonts w:hAnsi="Arial"/>
          <w:rFonts w:ascii="Arial"/>
          <w:sz w:val="24"/>
          <w:color w:val="navy"/>
        </w:rPr>
        <w:t xml:space="preserve">ARTÍCULO 2.3.1.3.6.54.2. </w:t>
      </w:r>
      <w:r>
        <w:rPr>
          <w:rFonts w:hAnsi="Arial"/>
          <w:rFonts w:ascii="Arial"/>
          <w:sz w:val="24"/>
          <w:i/>
          <w:color w:val="navy"/>
        </w:rPr>
        <w:t>CARACTERÍSTICAS.</w:t>
      </w:r>
      <w:bookmarkEnd w:id="60875"/>
      <w:r>
        <w:rPr>
          <w:rFonts w:hAnsi="Arial"/>
          <w:rFonts w:ascii="Arial"/>
          <w:sz w:val="24"/>
          <w:b/>
          <w:i/>
          <w:color w:val="black"/>
        </w:rPr>
        <w:t xml:space="preserve"> </w:t>
      </w:r>
      <w:r>
        <w:rPr>
          <w:rFonts w:hAnsi="Arial"/>
          <w:rFonts w:ascii="Arial"/>
          <w:sz w:val="24"/>
          <w:color w:val="black"/>
        </w:rPr>
        <w:t xml:space="preserve">La Joya es una corona de laurel circular plateada y cerrada en señal de victoria, con sus frutos también plateados, en un diámetro total de cincuenta (50) milímetros, donde cada uno de sus ramos laterales mide seis (6) milímetros de ancho. Estos circundan un águila imperial explayada que sostiene en sus garras un cuerno de la abundancia, que va de derecha a izquierda como símbolo de la riqueza de recursos y de la oportunidad de la gestión logística; el cuerno sobrepasa ligeramente la base inferior de la corona. A su vez, la Medalla pende de un par de lambrequines en forma de hojas y de flores en caprichosas y graciosas vueltas. Todo este conjunto va también en plateado. La Medalla pende de una cinta en seda de cuarenta (40) milímetros de ancho, que lleva en su orden de derecha a izquierda tres (3) bandas de igual anchura trece punto tres (13.3) milímetros con los colores azul celeste, verde y azul oscuro. La cinta con treinta y cinco (35) mm de longitud está sostenida por una barra metálica rectangular plateada también, de cincuenta (50) milímetros de longitud y diez (10) milímetros de ancho, con alto relieve en todos sus costados. Los colores quieren significar lo que en cada caso, se indica a continuación: el plateado simboliza la luna, la fe y la integridad, el azul celeste es el símbolo inequívoco e inconfundible de nuestra bella institución área y de aquel límpido cielo que ejerce su soberanía; el verde (sinople) representa el planeta mercurio, al agua y a la esperanza, a las riquezas de la tierra, a la constancia y a la intrepidez, el azul oscuro (azul), representa al planeta Venus, al acero y al aire, a la lealtad y a la justicia. Todos estos colores tienen íntimos vínculos con la silenciosa e imprescindible gestión que cumplen los hombres y mujeres de la especialidad, que son garantes de la preservación y del mantenimiento de toda la infraestructura y del complejo inventario aeroespacial, tesoros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"http://www.redjurista.com/document.aspx?ajcode=d4444010&amp;arts=186"</w:instrText>
      </w:r>
      <w:r>
        <w:fldChar w:fldCharType="separate"/>
      </w:r>
      <w:r>
        <w:rPr>
          <w:rFonts w:hAnsi="Arial"/>
          <w:rFonts w:ascii="Arial"/>
          <w:sz w:val="24"/>
          <w:i/>
          <w:u w:val="single"/>
          <w:color w:val="black"/>
        </w:rPr>
        <w:t>186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76" w:name="2.3.1.3.6.54.3"/>
      <w:r>
        <w:rPr>
          <w:rFonts w:hAnsi="Arial"/>
          <w:rFonts w:ascii="Arial"/>
          <w:sz w:val="24"/>
          <w:color w:val="navy"/>
        </w:rPr>
        <w:t xml:space="preserve">ARTÍCULO 2.3.1.3.6.54.3. </w:t>
      </w:r>
      <w:r>
        <w:rPr>
          <w:rFonts w:hAnsi="Arial"/>
          <w:rFonts w:ascii="Arial"/>
          <w:sz w:val="24"/>
          <w:i/>
          <w:color w:val="navy"/>
        </w:rPr>
        <w:t>CONSEJO.</w:t>
      </w:r>
      <w:bookmarkEnd w:id="60876"/>
      <w:r>
        <w:rPr>
          <w:rFonts w:hAnsi="Arial"/>
          <w:rFonts w:ascii="Arial"/>
          <w:sz w:val="24"/>
          <w:b/>
          <w:i/>
          <w:color w:val="black"/>
        </w:rPr>
        <w:t xml:space="preserve"> </w:t>
      </w:r>
      <w:r>
        <w:rPr>
          <w:rFonts w:hAnsi="Arial"/>
          <w:rFonts w:ascii="Arial"/>
          <w:sz w:val="24"/>
          <w:color w:val="black"/>
        </w:rPr>
        <w:t xml:space="preserve">El Consejo de la Medalla Militar "Servicios Distinguidos Cuerpo Logístico y Administrativo",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del Estado Mayor de la Fuerza Aérea.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Operaciones Logísticas.</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77" w:name="SUBSECCIÓN 2.3.1.3.6.55"/>
      <w:r>
        <w:rPr>
          <w:rFonts w:hAnsi="Arial"/>
          <w:rFonts w:ascii="Arial"/>
          <w:sz w:val="24"/>
          <w:color w:val="navy"/>
        </w:rPr>
        <w:t xml:space="preserve">SUBSECCIÓN 55. </w:t>
      </w:r>
    </w:p>
    <w:p>
      <w:pPr>
        <w:jc w:val="center"/>
      </w:pPr>
      <w:r>
        <w:rPr>
          <w:rFonts w:hAnsi="Arial"/>
          <w:rFonts w:ascii="Arial"/>
          <w:sz w:val="24"/>
          <w:color w:val="navy"/>
        </w:rPr>
        <w:t xml:space="preserve">MEDALLA MILITAR "A LA CIENCIA Y LA TECNOLOGÍA".</w:t>
      </w:r>
      <w:bookmarkEnd w:id="608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78" w:name="2.3.1.3.6.55.1"/>
      <w:r>
        <w:rPr>
          <w:rFonts w:hAnsi="Arial"/>
          <w:rFonts w:ascii="Arial"/>
          <w:sz w:val="24"/>
          <w:color w:val="navy"/>
        </w:rPr>
        <w:t xml:space="preserve">ARTÍCULO 2.3.1.3.6.55.1. </w:t>
      </w:r>
      <w:r>
        <w:rPr>
          <w:rFonts w:hAnsi="Arial"/>
          <w:rFonts w:ascii="Arial"/>
          <w:sz w:val="24"/>
          <w:i/>
          <w:color w:val="navy"/>
        </w:rPr>
        <w:t>ORIGEN.</w:t>
      </w:r>
      <w:bookmarkEnd w:id="60878"/>
      <w:r>
        <w:rPr>
          <w:rFonts w:hAnsi="Arial"/>
          <w:rFonts w:ascii="Arial"/>
          <w:sz w:val="24"/>
          <w:b/>
          <w:i/>
          <w:color w:val="black"/>
        </w:rPr>
        <w:t xml:space="preserve"> </w:t>
      </w:r>
      <w:r>
        <w:rPr>
          <w:rFonts w:hAnsi="Arial"/>
          <w:rFonts w:ascii="Arial"/>
          <w:sz w:val="24"/>
          <w:color w:val="black"/>
        </w:rPr>
        <w:t xml:space="preserve">Créase la "Medalla a la Ciencia y la Tecnología" por Servicios Distinguidos a la Institución Militar, para estimular, enaltecer y premiar a los miembros de las Fuerzas Militares, Servidores Públicos del Sector Defensa Particulares Prominentes o Instituciones que sobresalgan apoyando el desarrollo de la Gestión o Investigación Científica y Tecnológica en la Fuerza Aérea o a los funcionarios, personalidades o entidades, que con su gestión hayan contribuido a la evolución y mejoramiento de la misma.</w:t>
      </w:r>
    </w:p>
    <w:p>
      <w:pPr>
        <w:jc w:val="both"/>
      </w:pPr>
      <w:rPr>
        <w:sz w:val="24"/>
        <w:color w:val="black"/>
      </w:rPr>
    </w:p>
    <w:p>
      <w:pPr>
        <w:jc w:val="both"/>
      </w:pPr>
      <w:r>
        <w:rPr>
          <w:rFonts w:hAnsi="Arial"/>
          <w:rFonts w:ascii="Arial"/>
          <w:sz w:val="24"/>
          <w:color w:val="black"/>
        </w:rPr>
        <w:t xml:space="preserve">Ostenta dos (2) categorías:</w:t>
      </w:r>
    </w:p>
    <w:p>
      <w:pPr>
        <w:jc w:val="both"/>
      </w:pPr>
      <w:rPr>
        <w:sz w:val="24"/>
        <w:color w:val="black"/>
      </w:rPr>
    </w:p>
    <w:p>
      <w:pPr>
        <w:jc w:val="both"/>
      </w:pPr>
      <w:r>
        <w:rPr>
          <w:rFonts w:hAnsi="Arial"/>
          <w:rFonts w:ascii="Arial"/>
          <w:sz w:val="24"/>
          <w:color w:val="black"/>
        </w:rPr>
        <w:t xml:space="preserve">a) Gestión Tecnológica</w:t>
      </w:r>
    </w:p>
    <w:p>
      <w:pPr>
        <w:jc w:val="both"/>
      </w:pPr>
      <w:rPr>
        <w:sz w:val="24"/>
        <w:color w:val="black"/>
      </w:rPr>
    </w:p>
    <w:p>
      <w:pPr>
        <w:jc w:val="both"/>
      </w:pPr>
      <w:r>
        <w:rPr>
          <w:rFonts w:hAnsi="Arial"/>
          <w:rFonts w:ascii="Arial"/>
          <w:sz w:val="24"/>
          <w:color w:val="black"/>
        </w:rPr>
        <w:t xml:space="preserve">b) Investigación.</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"http://www.redjurista.com/document.aspx?ajcode=d4444010&amp;arts=187"</w:instrText>
      </w:r>
      <w:r>
        <w:fldChar w:fldCharType="separate"/>
      </w:r>
      <w:r>
        <w:rPr>
          <w:rFonts w:hAnsi="Arial"/>
          <w:rFonts w:ascii="Arial"/>
          <w:sz w:val="24"/>
          <w:i/>
          <w:u w:val="single"/>
          <w:color w:val="black"/>
        </w:rPr>
        <w:t>187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79" w:name="2.3.1.3.6.55.2"/>
      <w:r>
        <w:rPr>
          <w:rFonts w:hAnsi="Arial"/>
          <w:rFonts w:ascii="Arial"/>
          <w:sz w:val="24"/>
          <w:color w:val="navy"/>
        </w:rPr>
        <w:t xml:space="preserve">ARTÍCULO 2.3.1.3.6.55.2. </w:t>
      </w:r>
      <w:r>
        <w:rPr>
          <w:rFonts w:hAnsi="Arial"/>
          <w:rFonts w:ascii="Arial"/>
          <w:sz w:val="24"/>
          <w:i/>
          <w:color w:val="navy"/>
        </w:rPr>
        <w:t>CATEGORÍAS.</w:t>
      </w:r>
      <w:bookmarkEnd w:id="60879"/>
      <w:r>
        <w:rPr>
          <w:rFonts w:hAnsi="Arial"/>
          <w:rFonts w:ascii="Arial"/>
          <w:sz w:val="24"/>
          <w:b/>
          <w:i/>
          <w:color w:val="black"/>
        </w:rPr>
        <w:t xml:space="preserve"> </w:t>
      </w:r>
      <w:r>
        <w:rPr>
          <w:rFonts w:hAnsi="Arial"/>
          <w:rFonts w:ascii="Arial"/>
          <w:sz w:val="24"/>
          <w:color w:val="black"/>
        </w:rPr>
        <w:t xml:space="preserve">La medalla Ciencia y Tecnología puede otorgarse en cada categoría, de acuerdo con las siguientes normas:</w:t>
      </w:r>
    </w:p>
    <w:p>
      <w:pPr>
        <w:jc w:val="both"/>
      </w:pPr>
      <w:rPr>
        <w:sz w:val="24"/>
        <w:color w:val="black"/>
      </w:rPr>
    </w:p>
    <w:p>
      <w:pPr>
        <w:jc w:val="both"/>
      </w:pPr>
      <w:r>
        <w:rPr>
          <w:rFonts w:hAnsi="Arial"/>
          <w:rFonts w:ascii="Arial"/>
          <w:sz w:val="24"/>
          <w:color w:val="black"/>
        </w:rPr>
        <w:t xml:space="preserve">a) Gestión Tecnológica.</w:t>
      </w:r>
    </w:p>
    <w:p>
      <w:pPr>
        <w:jc w:val="both"/>
      </w:pPr>
      <w:rPr>
        <w:sz w:val="24"/>
        <w:color w:val="black"/>
      </w:rPr>
    </w:p>
    <w:p>
      <w:pPr>
        <w:jc w:val="both"/>
      </w:pPr>
      <w:r>
        <w:rPr>
          <w:rFonts w:hAnsi="Arial"/>
          <w:rFonts w:ascii="Arial"/>
          <w:sz w:val="24"/>
          <w:color w:val="black"/>
        </w:rPr>
        <w:t xml:space="preserve">Se confiere al personal que se haya desempeñado mínimo dos años en cargos como Director de Ciencia y Tecnología Centro de Investigación en Tecnología Aeronáutica, Subdirector de Administración de Líneas de Investigación, Subdirector de Gestión de Ciencia y Tecnología, Analista de Investigación, Jefe de Sección de Desarrollo Tecnológico, Jefe de Sección de investigación, Asesor de Gestión Tecnológica o a funcionarios y particulares quienes con su trabajo hayan contribuido al desarrollo de la misma.</w:t>
      </w:r>
    </w:p>
    <w:p>
      <w:pPr>
        <w:jc w:val="both"/>
      </w:pPr>
      <w:rPr>
        <w:sz w:val="24"/>
        <w:color w:val="black"/>
      </w:rPr>
    </w:p>
    <w:p>
      <w:pPr>
        <w:jc w:val="both"/>
      </w:pPr>
      <w:r>
        <w:rPr>
          <w:rFonts w:hAnsi="Arial"/>
          <w:rFonts w:ascii="Arial"/>
          <w:sz w:val="24"/>
          <w:color w:val="black"/>
        </w:rPr>
        <w:t xml:space="preserve">b) Investigación.</w:t>
      </w:r>
    </w:p>
    <w:p>
      <w:pPr>
        <w:jc w:val="both"/>
      </w:pPr>
      <w:rPr>
        <w:sz w:val="24"/>
        <w:color w:val="black"/>
      </w:rPr>
    </w:p>
    <w:p>
      <w:pPr>
        <w:jc w:val="both"/>
      </w:pPr>
      <w:r>
        <w:rPr>
          <w:rFonts w:hAnsi="Arial"/>
          <w:rFonts w:ascii="Arial"/>
          <w:sz w:val="24"/>
          <w:color w:val="black"/>
        </w:rPr>
        <w:t xml:space="preserve">Se confiere al personal que haya desarrollado proyectos de investigación o sean ganadores de los premios de ciencia y tecnología o a funcionarios y particulares quienes con su trabajo hayan contribuido al desarrollo de la misma.</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"http://www.redjurista.com/document.aspx?ajcode=d4444010&amp;arts=188"</w:instrText>
      </w:r>
      <w:r>
        <w:fldChar w:fldCharType="separate"/>
      </w:r>
      <w:r>
        <w:rPr>
          <w:rFonts w:hAnsi="Arial"/>
          <w:rFonts w:ascii="Arial"/>
          <w:sz w:val="24"/>
          <w:i/>
          <w:u w:val="single"/>
          <w:color w:val="black"/>
        </w:rPr>
        <w:t>188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80" w:name="2.3.1.3.6.55.3"/>
      <w:r>
        <w:rPr>
          <w:rFonts w:hAnsi="Arial"/>
          <w:rFonts w:ascii="Arial"/>
          <w:sz w:val="24"/>
          <w:color w:val="navy"/>
        </w:rPr>
        <w:t xml:space="preserve">ARTÍCULO 2.3.1.3.6.55.3. </w:t>
      </w:r>
      <w:r>
        <w:rPr>
          <w:rFonts w:hAnsi="Arial"/>
          <w:rFonts w:ascii="Arial"/>
          <w:sz w:val="24"/>
          <w:i/>
          <w:color w:val="navy"/>
        </w:rPr>
        <w:t>CARACTERÍSTICAS.</w:t>
      </w:r>
      <w:bookmarkEnd w:id="60880"/>
      <w:r>
        <w:rPr>
          <w:rFonts w:hAnsi="Arial"/>
          <w:rFonts w:ascii="Arial"/>
          <w:sz w:val="24"/>
          <w:b/>
          <w:i/>
          <w:color w:val="black"/>
        </w:rPr>
        <w:t xml:space="preserve"> </w:t>
      </w:r>
      <w:r>
        <w:rPr>
          <w:rFonts w:hAnsi="Arial"/>
          <w:rFonts w:ascii="Arial"/>
          <w:sz w:val="24"/>
          <w:color w:val="black"/>
        </w:rPr>
        <w:t xml:space="preserve">La Joya consiste en una circunferencia metálica dorada, rodeada por una corona de laurel abierta en la parte superior; en el centro a la derecha lleva la cabeza de un hombre desde el cuello, de perfil derecho, y en su parte posterior y superior cuatro (4) piñones de diferente tamaño engranados entre sí; atrás a la altura de la frente, un globo terráqueo y debajo de este dos tableros de reloj con números romanos y sobre estos el símbolo del átomo con su núcleo a la altura de la oreja de la figura humana. En semicírculo en la parte superior lleva la inscripción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en la parte inferior "Ciencia y Tecnología". El reverso de la joya, consiste en una circunferencia metálica dorada, rodeada por una corona de laurel abierta en la parte superior, en el centro desde el borde inferior se levanta un cohete espacial con el escudo de la Fuerza Aérea en su base y el globo terráqueo en la parte superior, el cual muestra el continente americano en color verde con el mapa de Colombia resaltado en dorado y los dos casquetes polares en color blanco. Alrededor del mundo lleva una elipse a la altura del Ecuador.</w:t>
      </w:r>
    </w:p>
    <w:p>
      <w:pPr>
        <w:jc w:val="both"/>
      </w:pPr>
      <w:rPr>
        <w:sz w:val="24"/>
        <w:color w:val="black"/>
      </w:rPr>
    </w:p>
    <w:p>
      <w:pPr>
        <w:jc w:val="both"/>
      </w:pPr>
      <w:r>
        <w:rPr>
          <w:rFonts w:hAnsi="Arial"/>
          <w:rFonts w:ascii="Arial"/>
          <w:sz w:val="24"/>
          <w:color w:val="black"/>
        </w:rPr>
        <w:t xml:space="preserve">La joya pende de una cinta de seda de cuarenta (40) milímetros de ancho de siete franjas así: una franja central negra de diez (10) milímetros de ancho, dos franjas amarillas de cinco (05) milímetros de ancho, una a cada lado de la central, en la parte exterior de las franjas amarillas, dos negras de cinco (5) milímetros y a continuación de esta, en los bordes exteriores, dos franjas azul celeste de cinco (5) milímetros cada una. En la parte superior de la cinta, lleva una placa metálica de cuarenta (40) por diez (10) milímetros con un gancho de sujeción.</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"http://www.redjurista.com/document.aspx?ajcode=d4444010&amp;arts=189"</w:instrText>
      </w:r>
      <w:r>
        <w:fldChar w:fldCharType="separate"/>
      </w:r>
      <w:r>
        <w:rPr>
          <w:rFonts w:hAnsi="Arial"/>
          <w:rFonts w:ascii="Arial"/>
          <w:sz w:val="24"/>
          <w:i/>
          <w:u w:val="single"/>
          <w:color w:val="black"/>
        </w:rPr>
        <w:t>189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0881" w:name="2.3.1.3.6.55.4"/>
      <w:r>
        <w:rPr>
          <w:rFonts w:hAnsi="Arial"/>
          <w:rFonts w:ascii="Arial"/>
          <w:sz w:val="24"/>
          <w:color w:val="navy"/>
        </w:rPr>
        <w:t xml:space="preserve">ARTÍCULO 2.3.1.3.6.55.4. </w:t>
      </w:r>
      <w:r>
        <w:rPr>
          <w:rFonts w:hAnsi="Arial"/>
          <w:rFonts w:ascii="Arial"/>
          <w:sz w:val="24"/>
          <w:i/>
          <w:color w:val="navy"/>
        </w:rPr>
        <w:t>CONSEJO.</w:t>
      </w:r>
      <w:bookmarkEnd w:id="60881"/>
      <w:r>
        <w:rPr>
          <w:rFonts w:hAnsi="Arial"/>
          <w:rFonts w:ascii="Arial"/>
          <w:sz w:val="24"/>
          <w:b/>
          <w:i/>
          <w:color w:val="black"/>
        </w:rPr>
        <w:t xml:space="preserve"> </w:t>
      </w:r>
      <w:r>
        <w:rPr>
          <w:rFonts w:hAnsi="Arial"/>
          <w:rFonts w:ascii="Arial"/>
          <w:sz w:val="24"/>
          <w:color w:val="black"/>
        </w:rPr>
        <w:t xml:space="preserve">El Consejo de la Medalla Militar "A la Ciencia y la Tecnología",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y Jefe de Estado Mayor de la Fuerza Aérea.</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de Educación Aeronáutica.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w:t>
      </w:r>
    </w:p>
    <w:p>
      <w:pPr>
        <w:jc w:val="both"/>
      </w:pPr>
      <w:rPr>
        <w:sz w:val="24"/>
        <w:color w:val="black"/>
      </w:rPr>
    </w:p>
    <w:p>
      <w:pPr>
        <w:jc w:val="both"/>
      </w:pPr>
      <w:r>
        <w:rPr>
          <w:rFonts w:hAnsi="Arial"/>
          <w:rFonts w:ascii="Arial"/>
          <w:sz w:val="24"/>
          <w:i/>
          <w:color w:val="black"/>
        </w:rPr>
        <w:t xml:space="preserve">(Decreto 4444 de 2010 artículo </w:t>
      </w:r>
      <w:r>
        <w:fldChar w:fldCharType="begin"/>
      </w:r>
      <w:r>
        <w:instrText>HYPERLINK "http://www.redjurista.com/document.aspx?ajcode=d4444010&amp;arts=90"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0882" w:name="SUBSECCIÓN 2.3.1.3.6.56"/>
      <w:r>
        <w:rPr>
          <w:rFonts w:hAnsi="Arial"/>
          <w:rFonts w:ascii="Arial"/>
          <w:sz w:val="24"/>
          <w:color w:val="navy"/>
        </w:rPr>
        <w:t xml:space="preserve">SUBSECCIÓN 56. </w:t>
      </w:r>
    </w:p>
    <w:p>
      <w:pPr>
        <w:jc w:val="center"/>
      </w:pPr>
      <w:r>
        <w:rPr>
          <w:rFonts w:hAnsi="Arial"/>
          <w:rFonts w:ascii="Arial"/>
          <w:sz w:val="24"/>
          <w:color w:val="navy"/>
        </w:rPr>
        <w:t xml:space="preserve">MEDALLA MILITAR "SERVICIOS DISTINGUIDOS A LA ESCUELA DE SUBOFICIALES CT. ANDRÉS M. DÍAZ DÍAZ DE LA FUERZA AÉREA COLOMBIANA".</w:t>
      </w:r>
      <w:bookmarkEnd w:id="60882"/>
      <w:r>
        <w:rPr>
          <w:rFonts w:hAnsi="Arial"/>
          <w:rFonts w:ascii="Arial"/>
          <w:sz w:val="24"/>
          <w:b/>
          <w:color w:val="black"/>
        </w:rPr>
        <w:t xml:space="preserve"> </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p>
    <w:p>
      <w:pPr>
        <w:jc w:val="center"/>
      </w:pPr>
      <w:rPr>
        <w:sz w:val="24"/>
        <w:color w:val="black"/>
      </w:rPr>
    </w:p>
    <w:p>
      <w:pPr>
        <w:jc w:val="both"/>
      </w:pPr>
      <w:r>
        <w:rPr>
          <w:rFonts w:hAnsi="Arial"/>
          <w:rFonts w:ascii="Arial"/>
          <w:sz w:val="24"/>
          <w:vanish/>
          <w:color w:val="black"/>
        </w:rPr>
        <w:t>&amp;$</w:t>
      </w:r>
      <w:bookmarkStart w:id="60883" w:name="2.3.1.3.6.56.1"/>
      <w:r>
        <w:rPr>
          <w:rFonts w:hAnsi="Arial"/>
          <w:rFonts w:ascii="Arial"/>
          <w:sz w:val="24"/>
          <w:color w:val="navy"/>
        </w:rPr>
        <w:t xml:space="preserve">ARTÍCULO 2.3.1.3.6.56.1. </w:t>
      </w:r>
      <w:r>
        <w:rPr>
          <w:rFonts w:hAnsi="Arial"/>
          <w:rFonts w:ascii="Arial"/>
          <w:sz w:val="24"/>
          <w:i/>
          <w:color w:val="navy"/>
        </w:rPr>
        <w:t>ORIGEN.</w:t>
      </w:r>
      <w:bookmarkEnd w:id="60883"/>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"http://www.redjurista.com/document.aspx?ajcode=d1409012&amp;arts=INICIO"</w:instrText>
      </w:r>
      <w:r>
        <w:fldChar w:fldCharType="separate"/>
      </w:r>
      <w:r>
        <w:rPr>
          <w:rFonts w:hAnsi="Arial"/>
          <w:rFonts w:ascii="Arial"/>
          <w:sz w:val="24"/>
          <w:u w:val="single"/>
          <w:color w:val="black"/>
        </w:rPr>
        <w:t>1409</w:t>
      </w:r>
      <w:r>
        <w:fldChar w:fldCharType="end"/>
      </w:r>
      <w:r>
        <w:rPr>
          <w:rFonts w:hAnsi="Arial"/>
          <w:rFonts w:ascii="Arial"/>
          <w:sz w:val="24"/>
          <w:u w:val="none"/>
          <w:color w:val="black"/>
        </w:rPr>
        <w:t xml:space="preserve"> de 2012, en categoría única, con el fin de honrar públicamente e incentivar al personal de los Oficiales, Suboficiales y Civiles que se destaquen por sus virtudes militares y profesionales de carácter excepcional en beneficio de la Escuela de Suboficiales y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a miembros activos y retirados de las Fuerzas Militares y de Policía Nacional, autoridades civiles y eclesiásticas, servidores públicos, así como a funcionarios de entidades oficiales o particulares que por su decisión, colaboración y apoyo hayan contribuido al cumplimiento de la Misión de la Escuela de Suboficiales "CT. ANDRES M. DIAZ DIAZ", a los alumnos de las Escuelas de Formación Suboficiales de Ejército Nacional y Armada Nacional que ocupen los primeros puestos en sus promociones; por derecho propio a los Oficiales Directores de la Escuela de Suboficiales y finalmente, a las Banderas de Guerra de las Fuerzas Militares o de Policía.</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4" w:name="2.3.1.3.6.56.2"/>
      <w:r>
        <w:rPr>
          <w:rFonts w:hAnsi="Arial"/>
          <w:rFonts w:ascii="Arial"/>
          <w:sz w:val="24"/>
          <w:color w:val="navy"/>
        </w:rPr>
        <w:t xml:space="preserve">ARTÍCULO 2.3.1.3.6.56.2. </w:t>
      </w:r>
      <w:r>
        <w:rPr>
          <w:rFonts w:hAnsi="Arial"/>
          <w:rFonts w:ascii="Arial"/>
          <w:sz w:val="24"/>
          <w:i/>
          <w:color w:val="navy"/>
        </w:rPr>
        <w:t>CARACTERÍSTICAS.</w:t>
      </w:r>
      <w:bookmarkEnd w:id="60884"/>
      <w:r>
        <w:rPr>
          <w:rFonts w:hAnsi="Arial"/>
          <w:rFonts w:ascii="Arial"/>
          <w:sz w:val="24"/>
          <w:b/>
          <w:i/>
          <w:color w:val="black"/>
        </w:rPr>
        <w:t xml:space="preserve"> </w:t>
      </w:r>
      <w:r>
        <w:rPr>
          <w:rFonts w:hAnsi="Arial"/>
          <w:rFonts w:ascii="Arial"/>
          <w:sz w:val="24"/>
          <w:color w:val="black"/>
        </w:rPr>
        <w:t xml:space="preserve">La joya consiste en una estrella de plata de cinco (5) puntas de 60 mm en su máximo diámetro, las puntas de la estrella irán rematadas en esferas de esmalte de color azul profundo de 3 mm de diámetro, en el área central de su anverso lleva en alto relieve un disco de treinta (30) mm de diámetro en color azul y sobre el disco el escudo de la Escuela de Suboficiales, con la leyenda "ESCUELA DE SUBOFICIALES FAC CT. ANDRÉS M, DÍAZ DIAL". La joya pende de una argolla en esmalte de plata unida mediante un aro en bronce a una cinta de cuatro (4) cm de ancho por cinco (5) cm de longitud, bordeada de un hilo de color dorado dividida en tres franjas: azul celeste, blanca y azul celeste de trece punto tres (13,3) mm de ancho cada una, las cuales están bordeadas de un hilo color dorado. La cinta pende de un gancho de fijación de 10 mm de ancho por cuarenta y cinco (45) mm de longitud. Al reverso, y en el centro de la estrella en alto relieve en color dorado la efigie del señor CT. ANDRES M. DÍAZ DÍAZ. Circundado en letras de color azul profundo la leyenda "LEALTAD, MÍSTICA, PROFESIONALISMO", lema que caracteriza a los alumnos en formación y en la parte inferior del círculo el año en que se fundó la Escuela de Suboficiales FAC: 1932.</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miniaturas o replicas tienen el mismo diseño de la joya con un diámetro de quince (15) mm y pende de una cinta igual a la de la joya de quince (15) mm de ancho y treinta y cinco (35) mm de longitud.</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una cinta metálica de cuarenta (40) mm de ancho por diez (10) mm de longitud, con los detalles previstos por la cinta de (13) mm de la cual pende la joya y en el centro el escudo emblema de la Escuela de Suboficiales.</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5" w:name="2.3.1.3.6.56.3"/>
      <w:r>
        <w:rPr>
          <w:rFonts w:hAnsi="Arial"/>
          <w:rFonts w:ascii="Arial"/>
          <w:sz w:val="24"/>
          <w:color w:val="navy"/>
        </w:rPr>
        <w:t xml:space="preserve">ARTÍCULO 2.3.1.3.6.56.3. </w:t>
      </w:r>
      <w:r>
        <w:rPr>
          <w:rFonts w:hAnsi="Arial"/>
          <w:rFonts w:ascii="Arial"/>
          <w:sz w:val="24"/>
          <w:i/>
          <w:color w:val="navy"/>
        </w:rPr>
        <w:t>CONSEJO.</w:t>
      </w:r>
      <w:bookmarkEnd w:id="60885"/>
      <w:r>
        <w:rPr>
          <w:rFonts w:hAnsi="Arial"/>
          <w:rFonts w:ascii="Arial"/>
          <w:sz w:val="24"/>
          <w:b/>
          <w:i/>
          <w:color w:val="black"/>
        </w:rPr>
        <w:t xml:space="preserve"> </w:t>
      </w:r>
      <w:r>
        <w:rPr>
          <w:rFonts w:hAnsi="Arial"/>
          <w:rFonts w:ascii="Arial"/>
          <w:sz w:val="24"/>
          <w:color w:val="black"/>
        </w:rPr>
        <w:t xml:space="preserve">El Consejo de la Medalla Militar "Servicios Distinguidos Escuela de Suboficiales CT. Andrés M. Díaz Díaz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FAC y Jefe de Estado Mayor de la Fuerza Aérea.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COFAC.</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Director Escuela de Suboficiales FAC.</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6" w:name="2.3.1.3.6.56.4"/>
      <w:r>
        <w:rPr>
          <w:rFonts w:hAnsi="Arial"/>
          <w:rFonts w:ascii="Arial"/>
          <w:sz w:val="24"/>
          <w:color w:val="navy"/>
        </w:rPr>
        <w:t xml:space="preserve">ARTÍCULO 2.3.1.3.6.56.4. </w:t>
      </w:r>
      <w:r>
        <w:rPr>
          <w:rFonts w:hAnsi="Arial"/>
          <w:rFonts w:ascii="Arial"/>
          <w:sz w:val="24"/>
          <w:i/>
          <w:color w:val="navy"/>
        </w:rPr>
        <w:t>REQUISITOS.</w:t>
      </w:r>
      <w:bookmarkEnd w:id="60886"/>
      <w:r>
        <w:rPr>
          <w:rFonts w:hAnsi="Arial"/>
          <w:rFonts w:ascii="Arial"/>
          <w:sz w:val="24"/>
          <w:b/>
          <w:i/>
          <w:color w:val="black"/>
        </w:rPr>
        <w:t xml:space="preserve"> </w:t>
      </w:r>
      <w:r>
        <w:rPr>
          <w:rFonts w:hAnsi="Arial"/>
          <w:rFonts w:ascii="Arial"/>
          <w:sz w:val="24"/>
          <w:color w:val="black"/>
        </w:rPr>
        <w:t xml:space="preserve">Se tendrán en cuenta los requisitos establecidos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7" w:name="2.3.1.3.6.56.5"/>
      <w:r>
        <w:rPr>
          <w:rFonts w:hAnsi="Arial"/>
          <w:rFonts w:ascii="Arial"/>
          <w:sz w:val="24"/>
          <w:color w:val="navy"/>
        </w:rPr>
        <w:t xml:space="preserve">ARTÍCULO 2.3.1.3.6.56.5. </w:t>
      </w:r>
      <w:r>
        <w:rPr>
          <w:rFonts w:hAnsi="Arial"/>
          <w:rFonts w:ascii="Arial"/>
          <w:sz w:val="24"/>
          <w:i/>
          <w:color w:val="navy"/>
        </w:rPr>
        <w:t>DIPLOMA.</w:t>
      </w:r>
      <w:bookmarkEnd w:id="60887"/>
      <w:r>
        <w:rPr>
          <w:rFonts w:hAnsi="Arial"/>
          <w:rFonts w:ascii="Arial"/>
          <w:sz w:val="24"/>
          <w:b/>
          <w:i/>
          <w:color w:val="black"/>
        </w:rPr>
        <w:t xml:space="preserve"> </w:t>
      </w:r>
      <w:r>
        <w:rPr>
          <w:rFonts w:hAnsi="Arial"/>
          <w:rFonts w:ascii="Arial"/>
          <w:sz w:val="24"/>
          <w:color w:val="black"/>
        </w:rPr>
        <w:t xml:space="preserve">Los diplomas correspondientes a la Medalla de Servicios Distinguidos a la Escuela de Suboficiales FAC "Capitán Andrés M. Díaz Díaz", llevarán las firmas del Director de las Escuela de Suboficiales FAC y del Comandante de la Fuerza Aérea, con la siguiente leyenda:</w:t>
      </w:r>
    </w:p>
    <w:p>
      <w:pPr>
        <w:jc w:val="center"/>
      </w:pPr>
      <w:r>
        <w:drawing>
          <wp:inline distT="0" distB="0" distL="0" distR="0">
            <wp:extent cx="4930140" cy="2278380"/>
            <wp:docPr id="20" name=""/>
            <a:graphic xmlns:a="http://schemas.openxmlformats.org/drawingml/2006/main">
              <a:graphicData uri="http://schemas.openxmlformats.org/drawingml/2006/picture">
                <pic:pic xmlns:pic="http://schemas.openxmlformats.org/drawingml/2006/picture">
                  <pic:nvPicPr>
                    <pic:cNvPr id="19" name="Picture "/>
                    <pic:cNvPicPr/>
                  </pic:nvPicPr>
                  <pic:blipFill>
                    <a:blip r:embed="id19"/>
                    <a:stretch>
                      <a:fillRect/>
                    </a:stretch>
                  </pic:blipFill>
                  <pic:spPr>
                    <a:xfrm>
                      <a:off x="0" y="0"/>
                      <a:ext cx="4930140" cy="227838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8" w:name="2.3.1.3.6.56.6"/>
      <w:r>
        <w:rPr>
          <w:rFonts w:hAnsi="Arial"/>
          <w:rFonts w:ascii="Arial"/>
          <w:sz w:val="24"/>
          <w:color w:val="navy"/>
        </w:rPr>
        <w:t xml:space="preserve">ARTÍCULO 2.3.1.3.6.56.6. </w:t>
      </w:r>
      <w:r>
        <w:rPr>
          <w:rFonts w:hAnsi="Arial"/>
          <w:rFonts w:ascii="Arial"/>
          <w:sz w:val="24"/>
          <w:i/>
          <w:color w:val="navy"/>
        </w:rPr>
        <w:t>OTORGAMIENTO.</w:t>
      </w:r>
      <w:bookmarkEnd w:id="60888"/>
      <w:r>
        <w:rPr>
          <w:rFonts w:hAnsi="Arial"/>
          <w:rFonts w:ascii="Arial"/>
          <w:sz w:val="24"/>
          <w:b/>
          <w:i/>
          <w:color w:val="black"/>
        </w:rPr>
        <w:t xml:space="preserve"> </w:t>
      </w:r>
      <w:r>
        <w:rPr>
          <w:rFonts w:hAnsi="Arial"/>
          <w:rFonts w:ascii="Arial"/>
          <w:sz w:val="24"/>
          <w:color w:val="black"/>
        </w:rPr>
        <w:t xml:space="preserve">La Medalla Servicios Distinguidos a la Escuela de Suboficiales FAC "Capitán Andrés M. Díaz Díaz", será conferida por una sola vez, previo cumplimiento de los requisitos establecidos para el efecto y que a consideración del Consejo de la Medalla se hagan merecedores de esta distinción, mediante Resolución expedida por el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De igual manera, para el otorgamiento de la Medalla Servicios Distinguidos a la Escuela de Suboficiales FAC "Capitán Andrés M. Díaz Díaz", se seguirán las normas establecidas en el Artículo </w:t>
      </w:r>
      <w:r>
        <w:fldChar w:fldCharType="begin"/>
      </w:r>
      <w:r>
        <w:instrText>HYPERLINK "http://www.redjurista.com/document.aspx?ajcode=d1070015&amp;arts=3.1.3.6.2"</w:instrText>
      </w:r>
      <w:r>
        <w:fldChar w:fldCharType="separate"/>
      </w:r>
      <w:r>
        <w:rPr>
          <w:rFonts w:hAnsi="Arial"/>
          <w:rFonts w:ascii="Arial"/>
          <w:sz w:val="24"/>
          <w:u w:val="single"/>
          <w:color w:val="black"/>
        </w:rPr>
        <w:t>3.1.3.6.2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89" w:name="2.3.1.3.6.56.7"/>
      <w:r>
        <w:rPr>
          <w:rFonts w:hAnsi="Arial"/>
          <w:rFonts w:ascii="Arial"/>
          <w:sz w:val="24"/>
          <w:color w:val="navy"/>
        </w:rPr>
        <w:t xml:space="preserve">ARTÍCULO 2.3.1.3.6.56.7. </w:t>
      </w:r>
      <w:r>
        <w:rPr>
          <w:rFonts w:hAnsi="Arial"/>
          <w:rFonts w:ascii="Arial"/>
          <w:sz w:val="24"/>
          <w:i/>
          <w:color w:val="navy"/>
        </w:rPr>
        <w:t>IMPOSICIÓN.</w:t>
      </w:r>
      <w:bookmarkEnd w:id="60889"/>
      <w:r>
        <w:rPr>
          <w:rFonts w:hAnsi="Arial"/>
          <w:rFonts w:ascii="Arial"/>
          <w:sz w:val="24"/>
          <w:b/>
          <w:i/>
          <w:color w:val="black"/>
        </w:rPr>
        <w:t xml:space="preserve"> </w:t>
      </w:r>
      <w:r>
        <w:rPr>
          <w:rFonts w:hAnsi="Arial"/>
          <w:rFonts w:ascii="Arial"/>
          <w:sz w:val="24"/>
          <w:color w:val="black"/>
        </w:rPr>
        <w:t xml:space="preserve">Además de lo establecido en los artículos </w:t>
      </w:r>
      <w:r>
        <w:fldChar w:fldCharType="begin"/>
      </w:r>
      <w:r>
        <w:instrText>HYPERLINK "http://www.redjurista.com/document.aspx?ajcode=d1070015&amp;arts=2.3.1.3.2.1"</w:instrText>
      </w:r>
      <w:r>
        <w:fldChar w:fldCharType="separate"/>
      </w:r>
      <w:r>
        <w:rPr>
          <w:rFonts w:hAnsi="Arial"/>
          <w:rFonts w:ascii="Arial"/>
          <w:sz w:val="24"/>
          <w:u w:val="single"/>
          <w:color w:val="black"/>
        </w:rPr>
        <w:t>2.3.1.3.2.1</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 la imposición de la Medalla Servicios Distinguidos a la Escuela de Suboficiales FAC "Capitán Andrés M. Díaz Díaz" revestirá la mayor solemnidad. Para la ceremonia se conformarán destacamentos de acuerdo con el reglamento de ceremonial militar y estará precedida por el señor Comandante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quien impondrá la condecoración.</w:t>
      </w:r>
    </w:p>
    <w:p>
      <w:pPr>
        <w:jc w:val="both"/>
      </w:pPr>
      <w:rPr>
        <w:sz w:val="24"/>
        <w:color w:val="black"/>
      </w:rPr>
    </w:p>
    <w:p>
      <w:pPr>
        <w:jc w:val="both"/>
      </w:pPr>
      <w:r>
        <w:rPr>
          <w:rFonts w:hAnsi="Arial"/>
          <w:rFonts w:ascii="Arial"/>
          <w:sz w:val="24"/>
          <w:i/>
          <w:color w:val="black"/>
        </w:rPr>
        <w:t xml:space="preserve">(Decreto 1409 de 2012 artículo </w:t>
      </w:r>
      <w:r>
        <w:fldChar w:fldCharType="begin"/>
      </w:r>
      <w:r>
        <w:instrText>HYPERLINK "http://www.redjurista.com/document.aspx?ajcode=d1409012&amp;arts=7"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0890" w:name="SUBSECCIÓN 2.3.1.3.6.57"/>
      <w:r>
        <w:rPr>
          <w:rFonts w:hAnsi="Arial"/>
          <w:rFonts w:ascii="Arial"/>
          <w:sz w:val="24"/>
          <w:color w:val="navy"/>
        </w:rPr>
        <w:t xml:space="preserve">SUBSECCIÓN 57. </w:t>
      </w:r>
    </w:p>
    <w:p>
      <w:pPr>
        <w:jc w:val="center"/>
      </w:pPr>
      <w:r>
        <w:rPr>
          <w:rFonts w:hAnsi="Arial"/>
          <w:rFonts w:ascii="Arial"/>
          <w:sz w:val="24"/>
          <w:color w:val="navy"/>
        </w:rPr>
        <w:t xml:space="preserve">MEDALLA MILITAR "SERVICIOS MERITORIOS A LA JEFATURA JURÍDICA Y DERECHOS HUMANOS Y AL DERECHOS INTERNACIONAL HUMANITARIO DE LA FUERZA AÉREA COLOMBIANA".</w:t>
      </w:r>
      <w:bookmarkEnd w:id="6089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0891" w:name="2.3.1.3.6.57.1"/>
      <w:r>
        <w:rPr>
          <w:rFonts w:hAnsi="Arial"/>
          <w:rFonts w:ascii="Arial"/>
          <w:sz w:val="24"/>
          <w:color w:val="navy"/>
        </w:rPr>
        <w:t xml:space="preserve">ARTÍCULO 2.3.1.3.6.57.1. </w:t>
      </w:r>
      <w:r>
        <w:rPr>
          <w:rFonts w:hAnsi="Arial"/>
          <w:rFonts w:ascii="Arial"/>
          <w:sz w:val="24"/>
          <w:i/>
          <w:color w:val="navy"/>
        </w:rPr>
        <w:t>ORIGEN.</w:t>
      </w:r>
      <w:bookmarkEnd w:id="60891"/>
      <w:r>
        <w:rPr>
          <w:rFonts w:hAnsi="Arial"/>
          <w:rFonts w:ascii="Arial"/>
          <w:sz w:val="24"/>
          <w:b/>
          <w:i/>
          <w:color w:val="black"/>
        </w:rPr>
        <w:t xml:space="preserve"> </w:t>
      </w:r>
      <w:r>
        <w:rPr>
          <w:rFonts w:hAnsi="Arial"/>
          <w:rFonts w:ascii="Arial"/>
          <w:sz w:val="24"/>
          <w:color w:val="black"/>
        </w:rPr>
        <w:t xml:space="preserve">Creada mediante Decreto número </w:t>
      </w:r>
      <w:r>
        <w:fldChar w:fldCharType="begin"/>
      </w:r>
      <w:r>
        <w:instrText>HYPERLINK "http://www.redjurista.com/document.aspx?ajcode=d2457013&amp;arts=INICIO"</w:instrText>
      </w:r>
      <w:r>
        <w:fldChar w:fldCharType="separate"/>
      </w:r>
      <w:r>
        <w:rPr>
          <w:rFonts w:hAnsi="Arial"/>
          <w:rFonts w:ascii="Arial"/>
          <w:sz w:val="24"/>
          <w:u w:val="single"/>
          <w:color w:val="black"/>
        </w:rPr>
        <w:t>2457</w:t>
      </w:r>
      <w:r>
        <w:fldChar w:fldCharType="end"/>
      </w:r>
      <w:r>
        <w:rPr>
          <w:rFonts w:hAnsi="Arial"/>
          <w:rFonts w:ascii="Arial"/>
          <w:sz w:val="24"/>
          <w:u w:val="none"/>
          <w:color w:val="black"/>
        </w:rPr>
        <w:t xml:space="preserve"> de 2013, en categoría única, con el fin de honrar públicamente e incentivar al personal de oficiales y suboficiales abogados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que se destaquen por sus virtudes militares y/o profesionales de carácter excepcional, en beneficio del área Jurídica, los Derechos Humanos y el Derecho Internacional Humanitario; a miembros activos y retirados de las Fuerzas Militares y de la Policía Nacional, autoridades civiles, servidores públicos, así como a funcionarios de entidades oficiales o particulares que con su trabajo, colaboración y apoyo, han coadyuvado de manera sobresaliente, en el cumplimiento de la misión institucional de fortalecer la legitimidad y la primacía de los Derechos Humanos y el Derecho Internacional Humanitario en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2" w:name="2.3.1.3.6.57.2"/>
      <w:r>
        <w:rPr>
          <w:rFonts w:hAnsi="Arial"/>
          <w:rFonts w:ascii="Arial"/>
          <w:sz w:val="24"/>
          <w:i/>
          <w:color w:val="navy"/>
        </w:rPr>
        <w:t xml:space="preserve">ARTÍCULO 2.3.1.3.6.57.2. CARACTERÍSTICAS.</w:t>
      </w:r>
      <w:bookmarkEnd w:id="60892"/>
      <w:r>
        <w:rPr>
          <w:rFonts w:hAnsi="Arial"/>
          <w:rFonts w:ascii="Arial"/>
          <w:sz w:val="24"/>
          <w:b/>
          <w:i/>
          <w:color w:val="black"/>
        </w:rPr>
        <w:t xml:space="preserve"> </w:t>
      </w:r>
      <w:r>
        <w:rPr>
          <w:rFonts w:hAnsi="Arial"/>
          <w:rFonts w:ascii="Arial"/>
          <w:sz w:val="24"/>
          <w:color w:val="black"/>
        </w:rPr>
        <w:t xml:space="preserve">La joya consiste en una estrella de color plateado de cinco (5) puntas que representan las cinco direcciones que conforman la Jefatura Jurídica y Derechos Humanos, enarbolada por una corona plateada de laureles en un diámetro de sesenta (60) mm. En el centro de la presea se encuentran los signos distintivos de la justicia: la balanza y la espada de Damocles y el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las alas doradas, soportando una cinta en la que se encuentran grabadas las iniciales de la Jefatura Jurídica y Derechos Humanos: "JURDH". En el anverso, en alto relieve, y sobre un disco de treinta (30) mm de diámetro, se encuentra el escudo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rodeado de la leyenda "SUUN CIUQUE TRIBUERE " SERVICIOS MERITORIOS". La joya pende de una argolla en esmalte dorado, unida mediante un aro en color bronce a una cinta de cuatro (4) centímetros de ancho por cinco (5) centímetros de longitud, bordeada en hilo color dorado y dividida en cinco franjas: dorado, blanco, azul rey, blanco y dorado. </w:t>
      </w:r>
    </w:p>
    <w:p>
      <w:pPr>
        <w:jc w:val="both"/>
      </w:pPr>
      <w:rPr>
        <w:sz w:val="24"/>
        <w:color w:val="black"/>
      </w:rPr>
    </w:p>
    <w:p>
      <w:pPr>
        <w:jc w:val="both"/>
      </w:pPr>
      <w:r>
        <w:rPr>
          <w:rFonts w:hAnsi="Arial"/>
          <w:rFonts w:ascii="Arial"/>
          <w:sz w:val="24"/>
          <w:color w:val="black"/>
        </w:rPr>
        <w:t xml:space="preserve">La cinta pende de un gancho de fijación de diez (10) mm de ancho por cuarenta y cinco (45) mm de longitud. Al anverso, y en el centro de la presea en alto relieve, se encuentra el escudo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circundado por la leyenda "SUUN CIUQUE TRIBUERE " SERVICIOS MERITORIOS", lema que hace alegoría a la máxima del derecho desde sus inicios y que significa: "Dar a cada cual lo suyo".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miniaturas o réplicas tienen el mismo diseño de la joya con un diámetro de dieciocho (18) mm y pende de una cinta igual a la de la joya de quince (15) mm de ancho y treinta y cinco (35) mm de longitud.</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3" w:name="2.3.1.3.6.57.3"/>
      <w:r>
        <w:rPr>
          <w:rFonts w:hAnsi="Arial"/>
          <w:rFonts w:ascii="Arial"/>
          <w:sz w:val="24"/>
          <w:color w:val="navy"/>
        </w:rPr>
        <w:t xml:space="preserve">ARTÍCULO 2.3.1.3.6.57.3. </w:t>
      </w:r>
      <w:r>
        <w:rPr>
          <w:rFonts w:hAnsi="Arial"/>
          <w:rFonts w:ascii="Arial"/>
          <w:sz w:val="24"/>
          <w:i/>
          <w:color w:val="navy"/>
        </w:rPr>
        <w:t>CONSEJO.</w:t>
      </w:r>
      <w:bookmarkEnd w:id="60893"/>
      <w:r>
        <w:rPr>
          <w:rFonts w:hAnsi="Arial"/>
          <w:rFonts w:ascii="Arial"/>
          <w:sz w:val="24"/>
          <w:b/>
          <w:i/>
          <w:color w:val="black"/>
        </w:rPr>
        <w:t xml:space="preserve"> </w:t>
      </w:r>
      <w:r>
        <w:rPr>
          <w:rFonts w:hAnsi="Arial"/>
          <w:rFonts w:ascii="Arial"/>
          <w:sz w:val="24"/>
          <w:color w:val="black"/>
        </w:rPr>
        <w:t xml:space="preserve">El Consejo de la Medalla Militar "Servicios Meritorios a la Jefatura Jurídica y Derechos Humanos y al Derechos Internacional Humanitario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estará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Segundo Comandante FAC y Jefe de Estado Mayor de la Fuerza Aérea o su delegado.</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Desarrollo Humano FAC o su delegado.</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Jefe Jefatura Jurídica y Derechos Humanos FAC.</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4" w:name="2.3.1.3.6.57.4"/>
      <w:r>
        <w:rPr>
          <w:rFonts w:hAnsi="Arial"/>
          <w:rFonts w:ascii="Arial"/>
          <w:sz w:val="24"/>
          <w:color w:val="navy"/>
        </w:rPr>
        <w:t xml:space="preserve">ARTÍCULO 2.3.1.3.6.57.4. </w:t>
      </w:r>
      <w:r>
        <w:rPr>
          <w:rFonts w:hAnsi="Arial"/>
          <w:rFonts w:ascii="Arial"/>
          <w:sz w:val="24"/>
          <w:i/>
          <w:color w:val="navy"/>
        </w:rPr>
        <w:t>REQUISITOS.</w:t>
      </w:r>
      <w:bookmarkEnd w:id="60894"/>
      <w:r>
        <w:rPr>
          <w:rFonts w:hAnsi="Arial"/>
          <w:rFonts w:ascii="Arial"/>
          <w:sz w:val="24"/>
          <w:b/>
          <w:i/>
          <w:color w:val="black"/>
        </w:rPr>
        <w:t xml:space="preserve"> </w:t>
      </w:r>
      <w:r>
        <w:rPr>
          <w:rFonts w:hAnsi="Arial"/>
          <w:rFonts w:ascii="Arial"/>
          <w:sz w:val="24"/>
          <w:color w:val="black"/>
        </w:rPr>
        <w:t xml:space="preserve">Para la imposición de la medalla "Servicios Meritorios a la Jefatura Jurídica y Derechos Humanos y al Derecho Internacional Humanitario", se tendrán en cuenta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5" w:name="2.3.1.3.6.57.5"/>
      <w:r>
        <w:rPr>
          <w:rFonts w:hAnsi="Arial"/>
          <w:rFonts w:ascii="Arial"/>
          <w:sz w:val="24"/>
          <w:color w:val="navy"/>
        </w:rPr>
        <w:t xml:space="preserve">ARTÍCULO 2.3.1.3.6.57.5. </w:t>
      </w:r>
      <w:r>
        <w:rPr>
          <w:rFonts w:hAnsi="Arial"/>
          <w:rFonts w:ascii="Arial"/>
          <w:sz w:val="24"/>
          <w:i/>
          <w:color w:val="navy"/>
        </w:rPr>
        <w:t>DIPLOMA</w:t>
      </w:r>
      <w:r>
        <w:rPr>
          <w:rFonts w:hAnsi="Arial"/>
          <w:rFonts w:ascii="Arial"/>
          <w:sz w:val="24"/>
          <w:color w:val="navy"/>
        </w:rPr>
        <w:t>.</w:t>
      </w:r>
      <w:bookmarkEnd w:id="60895"/>
      <w:r>
        <w:rPr>
          <w:rFonts w:hAnsi="Arial"/>
          <w:rFonts w:ascii="Arial"/>
          <w:sz w:val="24"/>
          <w:b/>
          <w:color w:val="black"/>
        </w:rPr>
        <w:t xml:space="preserve"> </w:t>
      </w:r>
      <w:r>
        <w:rPr>
          <w:rFonts w:hAnsi="Arial"/>
          <w:rFonts w:ascii="Arial"/>
          <w:sz w:val="24"/>
          <w:color w:val="black"/>
        </w:rPr>
        <w:t xml:space="preserve">Los diplomas correspondientes a la Medalla "Servicios Meritorios a la Jefatura Jurídica y Derechos Humanos y al Derecho Internacional Humanitario", llevarán las firmas del Jefe de la Jefatura Jurídica y Derechos Humanos FAC y del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con la siguiente leyenda:</w:t>
      </w:r>
    </w:p>
    <w:p>
      <w:pPr>
        <w:jc w:val="center"/>
      </w:pPr>
      <w:r>
        <w:drawing>
          <wp:inline distT="0" distB="0" distL="0" distR="0">
            <wp:extent cx="3413760" cy="1912620"/>
            <wp:docPr id="21" name=""/>
            <a:graphic xmlns:a="http://schemas.openxmlformats.org/drawingml/2006/main">
              <a:graphicData uri="http://schemas.openxmlformats.org/drawingml/2006/picture">
                <pic:pic xmlns:pic="http://schemas.openxmlformats.org/drawingml/2006/picture">
                  <pic:nvPicPr>
                    <pic:cNvPr id="20" name="Picture "/>
                    <pic:cNvPicPr/>
                  </pic:nvPicPr>
                  <pic:blipFill>
                    <a:blip r:embed="id20"/>
                    <a:stretch>
                      <a:fillRect/>
                    </a:stretch>
                  </pic:blipFill>
                  <pic:spPr>
                    <a:xfrm>
                      <a:off x="0" y="0"/>
                      <a:ext cx="3413760" cy="191262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6" w:name="2.3.1.3.6.57.6"/>
      <w:r>
        <w:rPr>
          <w:rFonts w:hAnsi="Arial"/>
          <w:rFonts w:ascii="Arial"/>
          <w:sz w:val="24"/>
          <w:color w:val="navy"/>
        </w:rPr>
        <w:t xml:space="preserve">ARTÍCULO 2.3.1.3.6.57.6. </w:t>
      </w:r>
      <w:r>
        <w:rPr>
          <w:rFonts w:hAnsi="Arial"/>
          <w:rFonts w:ascii="Arial"/>
          <w:sz w:val="24"/>
          <w:i/>
          <w:color w:val="navy"/>
        </w:rPr>
        <w:t>OTORGAMIENTO.</w:t>
      </w:r>
      <w:bookmarkEnd w:id="60896"/>
      <w:r>
        <w:rPr>
          <w:rFonts w:hAnsi="Arial"/>
          <w:rFonts w:ascii="Arial"/>
          <w:sz w:val="24"/>
          <w:b/>
          <w:i/>
          <w:color w:val="black"/>
        </w:rPr>
        <w:t xml:space="preserve"> </w:t>
      </w:r>
      <w:r>
        <w:rPr>
          <w:rFonts w:hAnsi="Arial"/>
          <w:rFonts w:ascii="Arial"/>
          <w:sz w:val="24"/>
          <w:color w:val="black"/>
        </w:rPr>
        <w:t xml:space="preserve">Otorgamiento. La medalla "Servicios Meritorios a la Jefatura Jurídica y Derechos Humanos y al Derecho Internacional Humanitario" será conferida por una sola vez, previo cumplimiento de los requisitos establecidos para el efecto y que a consideración del Consejo de Medalla, a quienes se hagan merecedores de esta distinción, mediante resolución expedida por el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De igual manera para el otorgamiento de la medalla "Servicios Meritorios a la Jefatura Jurídica y Derechos Humanos y al Derecho Internacional Humanitario", se seguirán las normas establecidas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0897" w:name="2.3.1.3.6.57.7"/>
      <w:r>
        <w:rPr>
          <w:rFonts w:hAnsi="Arial"/>
          <w:rFonts w:ascii="Arial"/>
          <w:sz w:val="24"/>
          <w:color w:val="navy"/>
        </w:rPr>
        <w:t xml:space="preserve">ARTÍCULO 2.3.1.3.6.57.7. </w:t>
      </w:r>
      <w:r>
        <w:rPr>
          <w:rFonts w:hAnsi="Arial"/>
          <w:rFonts w:ascii="Arial"/>
          <w:sz w:val="24"/>
          <w:i/>
          <w:color w:val="navy"/>
        </w:rPr>
        <w:t>IMPOSICIÓN.</w:t>
      </w:r>
      <w:bookmarkEnd w:id="60897"/>
      <w:r>
        <w:rPr>
          <w:rFonts w:hAnsi="Arial"/>
          <w:rFonts w:ascii="Arial"/>
          <w:sz w:val="24"/>
          <w:b/>
          <w:i/>
          <w:color w:val="black"/>
        </w:rPr>
        <w:t xml:space="preserve"> </w:t>
      </w:r>
      <w:r>
        <w:rPr>
          <w:rFonts w:hAnsi="Arial"/>
          <w:rFonts w:ascii="Arial"/>
          <w:sz w:val="24"/>
          <w:color w:val="black"/>
        </w:rPr>
        <w:t xml:space="preserve">Para la imposición de la medalla "Servicios Meritorios a la Jefatura Jurídica y Derechos Humanos y al Derecho Internacional Humanitario" se realizará ceremonia especial presidida por el señor Comandante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por el señor Jefe Jefatura Jurídica y Derechos Humanos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conforme lo establecido en el reglamento de ceremonial militar y siguiendo las normas establecidas en los artículos </w:t>
      </w:r>
      <w:r>
        <w:fldChar w:fldCharType="begin"/>
      </w:r>
      <w:r>
        <w:instrText>HYPERLINK "http://www.redjurista.com/document.aspx?ajcode=d1070015&amp;arts=2.3.1.3.2.1"</w:instrText>
      </w:r>
      <w:r>
        <w:fldChar w:fldCharType="separate"/>
      </w:r>
      <w:r>
        <w:rPr>
          <w:rFonts w:hAnsi="Arial"/>
          <w:rFonts w:ascii="Arial"/>
          <w:sz w:val="24"/>
          <w:u w:val="single"/>
          <w:color w:val="black"/>
        </w:rPr>
        <w:t>2.3.1.3.2.1</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i/>
          <w:color w:val="black"/>
        </w:rPr>
        <w:t xml:space="preserve">(Decreto 2457 de 2013 artículo </w:t>
      </w:r>
      <w:r>
        <w:fldChar w:fldCharType="begin"/>
      </w:r>
      <w:r>
        <w:instrText>HYPERLINK "http://www.redjurista.com/document.aspx?ajcode=d2457013&amp;arts=7"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b/>
        <w:color w:val="black"/>
      </w:rPr>
    </w:p>
    <w:p>
      <w:pPr>
        <w:jc w:val="center"/>
      </w:pPr>
      <w:r>
        <w:rPr>
          <w:rFonts w:hAnsi="Arial"/>
          <w:rFonts w:ascii="Arial"/>
          <w:sz w:val="24"/>
          <w:b/>
          <w:vanish/>
          <w:color w:val="black"/>
        </w:rPr>
        <w:t>&amp;$</w:t>
      </w:r>
      <w:bookmarkStart w:id="60898" w:name="SUBSECCIÓN 2.3.1.3.6.58"/>
      <w:r>
        <w:rPr>
          <w:rFonts w:hAnsi="Arial"/>
          <w:rFonts w:ascii="Arial"/>
          <w:sz w:val="24"/>
          <w:color w:val="navy"/>
        </w:rPr>
        <w:t xml:space="preserve">SUBSECCIÓN 58. </w:t>
      </w:r>
    </w:p>
    <w:p>
      <w:pPr>
        <w:jc w:val="center"/>
      </w:pPr>
      <w:r>
        <w:rPr>
          <w:rFonts w:hAnsi="Arial"/>
          <w:rFonts w:ascii="Arial"/>
          <w:sz w:val="24"/>
          <w:color w:val="navy"/>
        </w:rPr>
        <w:t xml:space="preserve">MEDALLA MILITAR DESMINADO “SOLDADO PROFESIONAL WILSON DE JESÚS MARTÍNEZ JARABA.</w:t>
      </w:r>
      <w:bookmarkEnd w:id="60898"/>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60899" w:name="2.3.1.3.6.58.1"/>
      <w:r>
        <w:rPr>
          <w:rFonts w:hAnsi="Arial"/>
          <w:rFonts w:ascii="Arial"/>
          <w:sz w:val="24"/>
          <w:color w:val="navy"/>
        </w:rPr>
        <w:t xml:space="preserve">ARTÍCULO 2.3.1.3.6.58.1. ORIGEN Y CATEGORÍA.</w:t>
      </w:r>
      <w:bookmarkEnd w:id="60899"/>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Créase la Medalla Militar de Desminado, para estimular, reconocer y exaltar la labor de Oficiales, Suboficiales, Soldados, Personal Policial, Unidades Militares y Policiales, Instituciones Públicas, Organizaciones Privadas, Personal Civil, por su intervención en las actividades de desminado y aportes en el cumplimiento de los compromisos, en pro de un territorio libre de artefactos explosivos improvisados, minas antipersonal y municiones sin explosionar. La condecoración tiene una categoría a saber:</w:t>
      </w:r>
    </w:p>
    <w:p>
      <w:pPr>
        <w:jc w:val="both"/>
      </w:pPr>
      <w:rPr>
        <w:sz w:val="24"/>
        <w:color w:val="black"/>
      </w:rPr>
    </w:p>
    <w:p>
      <w:pPr>
        <w:jc w:val="both"/>
      </w:pPr>
      <w:r>
        <w:rPr>
          <w:rFonts w:hAnsi="Arial"/>
          <w:rFonts w:ascii="Arial"/>
          <w:sz w:val="24"/>
          <w:color w:val="black"/>
        </w:rPr>
        <w:t xml:space="preserve">Medalla Militar de Desminado “Soldado Profesional Wilson de Jesús Martínez Jaraba”.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Al personal de las Fuerzas Militares y Policía que falleciere como consecuencia del desarrollo de actividades de Desminado, se le concederá de forma póstuma.</w:t>
      </w:r>
    </w:p>
    <w:p>
      <w:pPr>
        <w:jc w:val="both"/>
      </w:pPr>
      <w:rPr>
        <w:color w:val="black"/>
      </w:rPr>
    </w:p>
    <w:p>
      <w:pPr>
        <w:jc w:val="both"/>
      </w:pPr>
      <w:r>
        <w:rPr>
          <w:rFonts w:hAnsi="Arial"/>
          <w:rFonts w:ascii="Arial"/>
          <w:sz w:val="24"/>
          <w:vanish/>
          <w:color w:val="black"/>
        </w:rPr>
        <w:t>&amp;$</w:t>
      </w:r>
      <w:bookmarkStart w:id="60900" w:name="2.3.1.3.6.58.2"/>
      <w:r>
        <w:rPr>
          <w:rFonts w:hAnsi="Arial"/>
          <w:rFonts w:ascii="Arial"/>
          <w:sz w:val="24"/>
          <w:color w:val="navy"/>
        </w:rPr>
        <w:t xml:space="preserve">ARTÍCULO 2.3.1.3.6.58.2. CARACTERÍSTICAS.</w:t>
      </w:r>
      <w:bookmarkEnd w:id="60900"/>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La joya tendrá una base en forma de cruz, en la cual cada brazo estará divido en tres (3) secciones y entre cada brazo llevará cinco (5) haz de luz.</w:t>
      </w:r>
    </w:p>
    <w:p>
      <w:pPr>
        <w:jc w:val="both"/>
      </w:pPr>
      <w:rPr>
        <w:sz w:val="24"/>
        <w:color w:val="black"/>
      </w:rPr>
    </w:p>
    <w:p>
      <w:pPr>
        <w:jc w:val="both"/>
      </w:pPr>
      <w:r>
        <w:rPr>
          <w:rFonts w:hAnsi="Arial"/>
          <w:rFonts w:ascii="Arial"/>
          <w:sz w:val="24"/>
          <w:color w:val="black"/>
        </w:rPr>
        <w:t xml:space="preserve">En el centro de la cruz deberá estar un sobrepuesto circular con la imagen de un soldado, un perro, un equipo de desminado y un blasón, en la cual se encuentra una granada, el blasón estará sobre (4) cuatro rayos, (2) dos a cada costado. Debajo se encuentra a cada lado la figura de una hoja. En la parte baja una cinta. En la parte inferior una semicorona de laurel.</w:t>
      </w:r>
    </w:p>
    <w:p>
      <w:pPr>
        <w:jc w:val="both"/>
      </w:pPr>
      <w:rPr>
        <w:sz w:val="24"/>
        <w:color w:val="black"/>
      </w:rPr>
    </w:p>
    <w:p>
      <w:pPr>
        <w:jc w:val="both"/>
      </w:pPr>
      <w:r>
        <w:rPr>
          <w:rFonts w:hAnsi="Arial"/>
          <w:rFonts w:ascii="Arial"/>
          <w:sz w:val="24"/>
          <w:color w:val="black"/>
        </w:rPr>
        <w:t xml:space="preserve">En la parte superior dentro de un aro blanco llevará la leyenda “Desminado” y en la parte inferior “Nuestra misión salvar vidas - el primer error es el último”.</w:t>
      </w:r>
    </w:p>
    <w:p>
      <w:pPr>
        <w:jc w:val="both"/>
      </w:pPr>
      <w:rPr>
        <w:sz w:val="24"/>
        <w:color w:val="black"/>
      </w:rPr>
    </w:p>
    <w:p>
      <w:pPr>
        <w:jc w:val="both"/>
      </w:pPr>
      <w:r>
        <w:rPr>
          <w:rFonts w:hAnsi="Arial"/>
          <w:rFonts w:ascii="Arial"/>
          <w:sz w:val="24"/>
          <w:color w:val="black"/>
        </w:rPr>
        <w:t xml:space="preserve">En la cara posterior sobre el centro de la cruz llevará un sobrepuesto circular en el cual llevará la figura del escudo del Comando General de las Fuerzas Militares, alrededor sobre un aro las leyendas en forma de semicírculo, donde en la parte superior expresará Fuerzas Militares, y en la parte inferior Comando General. La cruz llevará en la parte superior un aro en forma de corona y otro liso, el cual sirve como argolla para sujetar la cinta a la cruz; la cinta será de color vinotinto, la cual llevará a cada costado el tricolor nacional iniciando con el color amarillo de afuera hacia adentro.</w:t>
      </w:r>
    </w:p>
    <w:p>
      <w:pPr>
        <w:jc w:val="both"/>
      </w:pPr>
      <w:rPr>
        <w:sz w:val="24"/>
        <w:color w:val="black"/>
      </w:rPr>
    </w:p>
    <w:p>
      <w:pPr>
        <w:jc w:val="both"/>
      </w:pPr>
      <w:r>
        <w:rPr>
          <w:rFonts w:hAnsi="Arial"/>
          <w:rFonts w:ascii="Arial"/>
          <w:sz w:val="24"/>
          <w:color w:val="black"/>
        </w:rPr>
        <w:t xml:space="preserve">Luego en su orden llevará franjas de color rojo, verde, azul y blanco. Sobre el centro de la cinta vertical y horizontalmente llevará un rosetón el cual estará divido a la mitad horizontalmente en dos secciones; donde la parte inferior es de color azul, y la superior está divida en siete secciones con los colores en su orden iniciando de izquierda a derecha, rojo, naranja, amarillo, verde, azul claro, azul y púrpura. En el centro de este, llevará un blasón que estará sobre cuatro rayos dos a cada costado, la figura de una hoja a cada lado y en la parte baja una cinta. La cinta estará en la parte superior sujeta por una barreta la cual llevará en la parte posterior de forma centrada un puente de donde pende la cinta y un gancho tipo nodriza para la sujeción de la medalla en el pecho. Todo el conjunto metálico tendrá un acabado dorado, la medalla deberá tener sus respectivos colores de acuerdo con las figuras adjuntas.</w:t>
      </w:r>
    </w:p>
    <w:p>
      <w:pPr>
        <w:jc w:val="both"/>
      </w:pPr>
      <w:rPr>
        <w:sz w:val="24"/>
        <w:color w:val="black"/>
      </w:rPr>
    </w:p>
    <w:p>
      <w:pPr>
        <w:jc w:val="both"/>
      </w:pPr>
      <w:r>
        <w:rPr>
          <w:rFonts w:hAnsi="Arial"/>
          <w:rFonts w:ascii="Arial"/>
          <w:sz w:val="24"/>
          <w:color w:val="black"/>
        </w:rPr>
        <w:t xml:space="preserve">La venera y la miniatura serán de acuerdo con lo estipulado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Decreto número 1070 de 2015.</w:t>
      </w:r>
    </w:p>
    <w:p>
      <w:pPr>
        <w:jc w:val="both"/>
      </w:pPr>
      <w:rPr>
        <w:color w:val="black"/>
      </w:rPr>
    </w:p>
    <w:p>
      <w:pPr>
        <w:jc w:val="both"/>
      </w:pPr>
      <w:r>
        <w:rPr>
          <w:rFonts w:hAnsi="Arial"/>
          <w:rFonts w:ascii="Arial"/>
          <w:sz w:val="24"/>
          <w:vanish/>
          <w:color w:val="black"/>
        </w:rPr>
        <w:t>&amp;$</w:t>
      </w:r>
      <w:bookmarkStart w:id="60901" w:name="2.3.1.3.6.58.3"/>
      <w:r>
        <w:rPr>
          <w:rFonts w:hAnsi="Arial"/>
          <w:rFonts w:ascii="Arial"/>
          <w:sz w:val="24"/>
          <w:color w:val="navy"/>
        </w:rPr>
        <w:t xml:space="preserve">ARTÍCULO 2.3.1.3.6.58.3. CONSEJO.</w:t>
      </w:r>
      <w:bookmarkEnd w:id="60901"/>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El Consejo de la Medalla Militar de Desminado “Soldado Profesional Wilson de Jesús Martínez Jaraba”, estará integrado por:</w:t>
      </w:r>
    </w:p>
    <w:p>
      <w:pPr>
        <w:jc w:val="both"/>
      </w:pPr>
      <w:rPr>
        <w:sz w:val="24"/>
        <w:color w:val="black"/>
      </w:rPr>
    </w:p>
    <w:p>
      <w:pPr>
        <w:jc w:val="both"/>
      </w:pPr>
      <w:r>
        <w:rPr>
          <w:rFonts w:hAnsi="Arial"/>
          <w:rFonts w:ascii="Arial"/>
          <w:sz w:val="24"/>
          <w:color w:val="black"/>
        </w:rPr>
        <w:t xml:space="preserve">Presidente: Comandante General de las Fuerzas Militares o su delegado.</w:t>
      </w:r>
    </w:p>
    <w:p>
      <w:pPr>
        <w:jc w:val="both"/>
      </w:pPr>
      <w:rPr>
        <w:sz w:val="24"/>
        <w:color w:val="black"/>
      </w:rPr>
    </w:p>
    <w:p>
      <w:pPr>
        <w:jc w:val="both"/>
      </w:pPr>
      <w:r>
        <w:rPr>
          <w:rFonts w:hAnsi="Arial"/>
          <w:rFonts w:ascii="Arial"/>
          <w:sz w:val="24"/>
          <w:color w:val="black"/>
        </w:rPr>
        <w:t xml:space="preserve">Vicepresidente: Jefe de Estado Mayor Conjunto de las Fuerzas Militares o su delegado.</w:t>
      </w:r>
    </w:p>
    <w:p>
      <w:pPr>
        <w:jc w:val="both"/>
      </w:pPr>
      <w:rPr>
        <w:sz w:val="24"/>
        <w:color w:val="black"/>
      </w:rPr>
    </w:p>
    <w:p>
      <w:pPr>
        <w:jc w:val="both"/>
      </w:pPr>
      <w:r>
        <w:rPr>
          <w:rFonts w:hAnsi="Arial"/>
          <w:rFonts w:ascii="Arial"/>
          <w:sz w:val="24"/>
          <w:color w:val="black"/>
        </w:rPr>
        <w:t xml:space="preserve">Vocal: Comandante del Ejército Nacional o su delegado.</w:t>
      </w:r>
    </w:p>
    <w:p>
      <w:pPr>
        <w:jc w:val="both"/>
      </w:pPr>
      <w:rPr>
        <w:sz w:val="24"/>
        <w:color w:val="black"/>
      </w:rPr>
    </w:p>
    <w:p>
      <w:pPr>
        <w:jc w:val="both"/>
      </w:pPr>
      <w:r>
        <w:rPr>
          <w:rFonts w:hAnsi="Arial"/>
          <w:rFonts w:ascii="Arial"/>
          <w:sz w:val="24"/>
          <w:color w:val="black"/>
        </w:rPr>
        <w:t xml:space="preserve">Comandante de la Armada Nacional o su delegado.</w:t>
      </w:r>
    </w:p>
    <w:p>
      <w:pPr>
        <w:jc w:val="both"/>
      </w:pPr>
      <w:rPr>
        <w:sz w:val="24"/>
        <w:color w:val="black"/>
      </w:rPr>
    </w:p>
    <w:p>
      <w:pPr>
        <w:jc w:val="both"/>
      </w:pP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o su delegado.</w:t>
      </w:r>
    </w:p>
    <w:p>
      <w:pPr>
        <w:jc w:val="both"/>
      </w:pPr>
      <w:rPr>
        <w:sz w:val="24"/>
        <w:color w:val="black"/>
      </w:rPr>
    </w:p>
    <w:p>
      <w:pPr>
        <w:jc w:val="both"/>
      </w:pPr>
      <w:r>
        <w:rPr>
          <w:rFonts w:hAnsi="Arial"/>
          <w:rFonts w:ascii="Arial"/>
          <w:sz w:val="24"/>
          <w:color w:val="black"/>
        </w:rPr>
        <w:t xml:space="preserve">Secretario: Inspector General de las Fuerzas Militares o su delegado.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funciones y atribuciones de los miembros del Consejo de la Medalla, serán las establecidas en el artículo </w:t>
      </w:r>
      <w:r>
        <w:fldChar w:fldCharType="begin"/>
      </w:r>
      <w:r>
        <w:instrText>HYPERLINK "http://www.redjurista.com/document.aspx?ajcode=d1070015&amp;arts=2.3.1.3.6.2"</w:instrText>
      </w:r>
      <w:r>
        <w:fldChar w:fldCharType="separate"/>
      </w:r>
      <w:r>
        <w:rPr>
          <w:rFonts w:hAnsi="Arial"/>
          <w:rFonts w:ascii="Arial"/>
          <w:sz w:val="24"/>
          <w:u w:val="single"/>
          <w:color w:val="black"/>
        </w:rPr>
        <w:t>2.3.1.3.6.2</w:t>
      </w:r>
      <w:r>
        <w:fldChar w:fldCharType="end"/>
      </w:r>
      <w:r>
        <w:rPr>
          <w:rFonts w:hAnsi="Arial"/>
          <w:rFonts w:ascii="Arial"/>
          <w:sz w:val="24"/>
          <w:u w:val="none"/>
          <w:color w:val="black"/>
        </w:rPr>
        <w:t xml:space="preserve"> del Decreto número 1070 de 2015.</w:t>
      </w:r>
    </w:p>
    <w:p>
      <w:pPr>
        <w:jc w:val="both"/>
      </w:pPr>
      <w:rPr>
        <w:color w:val="black"/>
      </w:rPr>
    </w:p>
    <w:p>
      <w:pPr>
        <w:jc w:val="both"/>
      </w:pPr>
      <w:r>
        <w:rPr>
          <w:rFonts w:hAnsi="Arial"/>
          <w:rFonts w:ascii="Arial"/>
          <w:sz w:val="24"/>
          <w:vanish/>
          <w:color w:val="black"/>
        </w:rPr>
        <w:t>&amp;$</w:t>
      </w:r>
      <w:bookmarkStart w:id="60902" w:name="2.3.1.3.6.58.4"/>
      <w:r>
        <w:rPr>
          <w:rFonts w:hAnsi="Arial"/>
          <w:rFonts w:ascii="Arial"/>
          <w:sz w:val="24"/>
          <w:color w:val="navy"/>
        </w:rPr>
        <w:t xml:space="preserve">ARTÍCULO 2.3.1.3.6.58.4. REQUISITOS.</w:t>
      </w:r>
      <w:bookmarkEnd w:id="60902"/>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Además de los requisitos generales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Decreto número 1070 de 2015, se tendrá como requisito la permanencia mínima de un (1) año, en actividades propias de la Acción Integral Contra Minas Antipersonales.</w:t>
      </w:r>
    </w:p>
    <w:p>
      <w:pPr>
        <w:jc w:val="both"/>
      </w:pPr>
      <w:rPr>
        <w:color w:val="black"/>
      </w:rPr>
    </w:p>
    <w:p>
      <w:pPr>
        <w:jc w:val="both"/>
      </w:pPr>
      <w:r>
        <w:rPr>
          <w:rFonts w:hAnsi="Arial"/>
          <w:rFonts w:ascii="Arial"/>
          <w:sz w:val="24"/>
          <w:vanish/>
          <w:color w:val="black"/>
        </w:rPr>
        <w:t>&amp;$</w:t>
      </w:r>
      <w:bookmarkStart w:id="60903" w:name="2.3.1.3.6.58.5"/>
      <w:r>
        <w:rPr>
          <w:rFonts w:hAnsi="Arial"/>
          <w:rFonts w:ascii="Arial"/>
          <w:sz w:val="24"/>
          <w:color w:val="navy"/>
        </w:rPr>
        <w:t xml:space="preserve">ARTÍCULO 2.3.1.3.6.58.5. DIPLOMA.</w:t>
      </w:r>
      <w:bookmarkEnd w:id="60903"/>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Será en papel pergamino con las siguientes dimensiones: treinta y cinco (35) centímetros de largo por veinticinco (25) centímetros de ancho, tipo de letra Oíd English, con el dibujo del anverso de la medalla al lado izquierdo superior y el reverso al lado derecho superior, de fondo el escudo del Comando General de las Fuerzas Militares y en el centro la siguiente leyenda:</w:t>
      </w:r>
    </w:p>
    <w:p>
      <w:pPr>
        <w:jc w:val="both"/>
      </w:pPr>
      <w:rPr>
        <w:sz w:val="24"/>
        <w:color w:val="black"/>
      </w:rPr>
    </w:p>
    <w:p>
      <w:pPr>
        <w:jc w:val="center"/>
      </w:pPr>
      <w:r>
        <w:rPr>
          <w:rFonts w:hAnsi="Arial"/>
          <w:rFonts w:ascii="Arial"/>
          <w:sz w:val="24"/>
          <w:b/>
          <w:color w:val="black"/>
        </w:rPr>
        <w:t xml:space="preserve">Medalla Militar de Desminado “Soldado Profesional Wilson de Jesús Martínez Jaraba”:</w:t>
      </w:r>
    </w:p>
    <w:p>
      <w:pPr>
        <w:jc w:val="center"/>
      </w:pPr>
      <w:r>
        <w:drawing>
          <wp:inline distT="0" distB="0" distL="0" distR="0">
            <wp:extent cx="4600575" cy="3467100"/>
            <wp:docPr id="22" name=""/>
            <a:graphic xmlns:a="http://schemas.openxmlformats.org/drawingml/2006/main">
              <a:graphicData uri="http://schemas.openxmlformats.org/drawingml/2006/picture">
                <pic:pic xmlns:pic="http://schemas.openxmlformats.org/drawingml/2006/picture">
                  <pic:nvPicPr>
                    <pic:cNvPr id="21" name="Picture "/>
                    <pic:cNvPicPr/>
                  </pic:nvPicPr>
                  <pic:blipFill>
                    <a:blip r:embed="id21"/>
                    <a:stretch>
                      <a:fillRect/>
                    </a:stretch>
                  </pic:blipFill>
                  <pic:spPr>
                    <a:xfrm>
                      <a:off x="0" y="0"/>
                      <a:ext cx="4600575" cy="3467100"/>
                    </a:xfrm>
                    <a:prstGeom prst="rect">
                      <a:avLst/>
                    </a:prstGeom>
                  </pic:spPr>
                </pic:pic>
              </a:graphicData>
            </a:graphic>
          </wp:inline>
        </w:drawing>
      </w:r>
    </w:p>
    <w:p>
      <w:pPr>
        <w:jc w:val="both"/>
      </w:pPr>
      <w:rPr>
        <w:sz w:val="24"/>
        <w:color w:val="black"/>
      </w:rPr>
    </w:p>
    <w:p>
      <w:pPr>
        <w:jc w:val="both"/>
      </w:pPr>
      <w:r>
        <w:rPr>
          <w:rFonts w:hAnsi="Arial"/>
          <w:rFonts w:ascii="Arial"/>
          <w:sz w:val="24"/>
          <w:vanish/>
          <w:color w:val="black"/>
        </w:rPr>
        <w:t>&amp;$</w:t>
      </w:r>
      <w:bookmarkStart w:id="60904" w:name="2.3.1.3.6.58.6"/>
      <w:r>
        <w:rPr>
          <w:rFonts w:hAnsi="Arial"/>
          <w:rFonts w:ascii="Arial"/>
          <w:sz w:val="24"/>
          <w:color w:val="navy"/>
        </w:rPr>
        <w:t xml:space="preserve">ARTÍCULO 2.3.1.3.6.58.6 OTORGAMIENTO.</w:t>
      </w:r>
      <w:bookmarkEnd w:id="60904"/>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La Medalla Militar de Desminado “Soldado Profesional Wilson de Jesús Martínez Jaraba”, será conferida por una sola vez, previo cumplimiento de los requisitos establecidos en el artículo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Decreto número 1070 de 2015 y en los Estatutos de la Medalla en mención del Comando General de las Fuerzas Militares, a quienes, a consideración del Consejo de la Medalla, se hagan merecedores de esta distinción por el aporte significativo en la labor de desminado.</w:t>
      </w:r>
    </w:p>
    <w:p>
      <w:pPr>
        <w:jc w:val="both"/>
      </w:pPr>
      <w:rPr>
        <w:color w:val="black"/>
      </w:rPr>
    </w:p>
    <w:p>
      <w:pPr>
        <w:jc w:val="both"/>
      </w:pPr>
      <w:r>
        <w:rPr>
          <w:rFonts w:hAnsi="Arial"/>
          <w:rFonts w:ascii="Arial"/>
          <w:sz w:val="24"/>
          <w:vanish/>
          <w:color w:val="black"/>
        </w:rPr>
        <w:t>&amp;$</w:t>
      </w:r>
      <w:bookmarkStart w:id="60905" w:name="2.3.1.3.6.58.7"/>
      <w:r>
        <w:rPr>
          <w:rFonts w:hAnsi="Arial"/>
          <w:rFonts w:ascii="Arial"/>
          <w:sz w:val="24"/>
          <w:color w:val="navy"/>
        </w:rPr>
        <w:t xml:space="preserve">ARTÍCULO 2.3.1.3.6.58.7 IMPOSICIÓN.</w:t>
      </w:r>
      <w:bookmarkEnd w:id="60905"/>
      <w:r>
        <w:rPr>
          <w:rFonts w:hAnsi="Arial"/>
          <w:rFonts w:ascii="Arial"/>
          <w:sz w:val="24"/>
          <w:color w:val="black"/>
        </w:rPr>
        <w:t xml:space="preserve"> &lt;Artículo adicionado por el artículo </w:t>
      </w:r>
      <w:r>
        <w:fldChar w:fldCharType="begin"/>
      </w:r>
      <w:r>
        <w:instrText>HYPERLINK "http://www.redjurista.com/document.aspx?ajcode=d0592019&amp;arts=1"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592 de 2019. El nuevo texto es el siguiente:&gt; La imposición de la medalla se hará conforme a lo establecido en los artículos </w:t>
      </w:r>
      <w:r>
        <w:fldChar w:fldCharType="begin"/>
      </w:r>
      <w:r>
        <w:instrText>HYPERLINK "http://www.redjurista.com/document.aspx?ajcode=d1070015&amp;arts=2.3.1.3.1.4"</w:instrText>
      </w:r>
      <w:r>
        <w:fldChar w:fldCharType="separate"/>
      </w:r>
      <w:r>
        <w:rPr>
          <w:rFonts w:hAnsi="Arial"/>
          <w:rFonts w:ascii="Arial"/>
          <w:sz w:val="24"/>
          <w:u w:val="single"/>
          <w:color w:val="black"/>
        </w:rPr>
        <w:t>2.3.1.3.1.4</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Decreto número 1070 de 2015 y en los Estatutos de la Medalla en mención del Comando General de las Fuerzas Militares.</w:t>
      </w:r>
    </w:p>
    <w:p>
      <w:pPr>
        <w:jc w:val="both"/>
      </w:pPr>
      <w:rPr>
        <w:color w:val="black"/>
      </w:rPr>
    </w:p>
    <w:p>
      <w:pPr>
        <w:jc w:val="center"/>
      </w:pPr>
      <w:r>
        <w:rPr>
          <w:rFonts w:hAnsi="Arial"/>
          <w:rFonts w:ascii="Arial"/>
          <w:sz w:val="24"/>
          <w:b/>
          <w:vanish/>
          <w:color w:val="black"/>
        </w:rPr>
        <w:t>&amp;$</w:t>
      </w:r>
      <w:bookmarkStart w:id="60906" w:name="Subsección 2.3.1.3.6.59"/>
      <w:r>
        <w:rPr>
          <w:rFonts w:hAnsi="Arial"/>
          <w:rFonts w:ascii="Arial"/>
          <w:sz w:val="24"/>
          <w:color w:val="navy"/>
        </w:rPr>
        <w:t xml:space="preserve">SUBSECCIÓN 59. </w:t>
      </w:r>
    </w:p>
    <w:p>
      <w:pPr>
        <w:jc w:val="center"/>
      </w:pPr>
      <w:r>
        <w:rPr>
          <w:rFonts w:hAnsi="Arial"/>
          <w:rFonts w:ascii="Arial"/>
          <w:sz w:val="24"/>
          <w:color w:val="navy"/>
        </w:rPr>
        <w:t xml:space="preserve">“MEDALLA MILITAR BICENTENARIO DE LA CAMPAÑA LIBERTADORA”.</w:t>
      </w:r>
      <w:bookmarkEnd w:id="6090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07" w:name="2.3.1.3.6.59.1"/>
      <w:r>
        <w:rPr>
          <w:rFonts w:hAnsi="Arial"/>
          <w:rFonts w:ascii="Arial"/>
          <w:sz w:val="24"/>
          <w:color w:val="navy"/>
        </w:rPr>
        <w:t xml:space="preserve">ARTÍCULO 2.3.1.3.6.59.1 ORIGEN.</w:t>
      </w:r>
      <w:bookmarkEnd w:id="60907"/>
      <w:r>
        <w:rPr>
          <w:rFonts w:hAnsi="Arial"/>
          <w:rFonts w:ascii="Arial"/>
          <w:sz w:val="24"/>
          <w:color w:val="black"/>
        </w:rPr>
        <w:t xml:space="preserve"> &lt;Artículo adicionado por el artículo </w:t>
      </w:r>
      <w:r>
        <w:fldChar w:fldCharType="begin"/>
      </w:r>
      <w:r>
        <w:instrText>HYPERLINK "http://www.redjurista.com/document.aspx?ajcode=d1181019&amp;arts=1"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1181 de 2019. El nuevo texto es el siguiente:&gt; Créase en única categoría la Medalla Militar “Bicentenario de la Campaña Libertadora”, para premiar y estimular por una sola vez al personal de oficiales, suboficiales, soldados profesionales, servidores públicos del Ministerio de Defensa Nacional al servicio del Ejército Nacional que a fecha 7 de agosto de 2019 estén activos, así como a las Unidades Militares de la Fuerza; igualmente al personal de Oficiales Generales de la reserva que hayan ostentado el cargo de Comandante del Ejército Nacional y al personal de Oficiales y suboficiales de la Reserva postulados por los comandantes de unidades operativas mayores del Ejército Nacional, quienes con su honor, vocación de servicio y abnegada labor han contribuido de manera significativa a la preservación de la libertad, la democracia, la seguridad y la paz en todo el territorio colombiano. </w:t>
      </w:r>
    </w:p>
    <w:p>
      <w:pPr>
        <w:jc w:val="both"/>
      </w:pPr>
      <w:rPr>
        <w:color w:val="black"/>
      </w:rPr>
    </w:p>
    <w:p>
      <w:pPr>
        <w:jc w:val="both"/>
      </w:pPr>
      <w:r>
        <w:rPr>
          <w:rFonts w:hAnsi="Arial"/>
          <w:rFonts w:ascii="Arial"/>
          <w:sz w:val="24"/>
          <w:b/>
          <w:vanish/>
          <w:color w:val="black"/>
        </w:rPr>
        <w:t>&amp;$</w:t>
      </w:r>
      <w:bookmarkStart w:id="60908" w:name="2.3.1.3.6.59.2"/>
      <w:r>
        <w:rPr>
          <w:rFonts w:hAnsi="Arial"/>
          <w:rFonts w:ascii="Arial"/>
          <w:sz w:val="24"/>
          <w:color w:val="navy"/>
        </w:rPr>
        <w:t xml:space="preserve">ARTÍCULO 2.3.1.3.6.59.2. CARACTERÍSTICAS.</w:t>
      </w:r>
      <w:bookmarkEnd w:id="609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"http://www.redjurista.com/document.aspx?ajcode=d1181019&amp;arts=1"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1181 de 2019. El nuevo texto es el siguiente:&gt; La joya está conformada por tres piezas, la primera, una base con forma de sol de diez puntas de 70 mm de ancho x 67,3 mm de alto, en acabado dorado brillante, moldeada en 3D, cada una de ellas en alusión a las divisiones del Ejército. Sobre esta, van situadas diez estrellas de 7 mm de diámetro, en honor a cada una de las armas del Ejército, con su respectivo color. (Pantone 186 C, Pantone 188 C, Pantone 2627 C, Pantone 2738 C, Pantone 3435 C, Pantone 422 C, Pantone 476 C, Pantone 660 C, Pantone 7409 C y Pantone Black 6 C); la segunda pieza, es una estrella sobrepuesta de 10 puntas que representa cada una de las divisiones pertenecientes al Ejército, en acabado dorado antiguo y pintura al fuego en color rojo Pantone 186 C, moldeado en 3D de 60 mm de ancho x 63 mm de alto; la tercera pieza, es un sobrepuesto central de 30 mm de diámetro conformado por 120 circunferencias, las cuales recuerdan los comandantes que han pasado por el Ejército, y seguido a ella, un conjunto de rayos en memoria de las guerras, batallas, condecoraciones y en especial a los héroes caídos en acción. A su vez, estos rodean una cruz de malta con la palabra “Bicentenario” la cual evoca la primera condecoración del Ejército libertador “Vencedores de Boyacá”. En la parte superior y en su inferior el sable y el olivo, con acabados en dorado brillante y moldeado en 3D. En el anverso la joya estará suspendida por 5 espadas que sostienen el número 200 de 30 mm de ancho x 32 mm de alto, esta a su vez sostiene una cinta de 40 mm de ancho x 55 mm de alto, de color rojo, en el centro seis franjas doradas de 2.5 mm de ancho divididas por un espacio de 3 mm las cuales representan los seis momentos importantes de la Fuerza a lo largo de su historia. En el reverso estará plasmado el escudo del Ejército en oro, la joya estará suspendida por 5 espadas en virtud de las guerras internacionales donde ha participado la Institución, a su vez sostienen el número “200” de 30 mm de ancho x 32 mm de alto, con motivo al Bicentenario, esta a su vez sostiene una cinta de 40 mm de ancho x 55 mm de alto, de color rojo, color característico y distintivo del Ejército Nacional, en el centro seis franjas doradas de 2.5 mm de ancho divididas por un espacio de 3 mm.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miniatura o réplica. Será similar a la joya de la condecoración, pero reducida a un diámetro de 20 mm, suspendida por una cinta similar de la joya, de 15 mm de ancho X 35 mm de alto.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venera. Será un rectángulo metálico esmaltado de 40 mm de ancho x 10 mm de alto, dividida de igual forma que la cinta; color rojo, en el centro seis franjas doradas de 2.5 mm de ancho divididas por un espacio de 3 mm. </w:t>
      </w:r>
    </w:p>
    <w:p>
      <w:pPr>
        <w:jc w:val="both"/>
      </w:pPr>
      <w:rPr>
        <w:color w:val="black"/>
      </w:rPr>
    </w:p>
    <w:p>
      <w:pPr>
        <w:jc w:val="both"/>
      </w:pPr>
      <w:r>
        <w:rPr>
          <w:rFonts w:hAnsi="Arial"/>
          <w:rFonts w:ascii="Arial"/>
          <w:sz w:val="24"/>
          <w:b/>
          <w:vanish/>
          <w:color w:val="black"/>
        </w:rPr>
        <w:t>&amp;$</w:t>
      </w:r>
      <w:bookmarkStart w:id="60909" w:name="2.3.1.3.6.59.3"/>
      <w:r>
        <w:rPr>
          <w:rFonts w:hAnsi="Arial"/>
          <w:rFonts w:ascii="Arial"/>
          <w:sz w:val="24"/>
          <w:color w:val="navy"/>
        </w:rPr>
        <w:t xml:space="preserve">ARTÍCULO 2.3.1.3.6.59.3. CONSEJO DE LA MEDALLA.</w:t>
      </w:r>
      <w:bookmarkEnd w:id="609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"http://www.redjurista.com/document.aspx?ajcode=d1181019&amp;arts=1"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1181 de 2019. El nuevo texto es el siguiente:&gt; El Consejo de la Medalla Militar “Bicentenario de la Campaña Libertadora” estará integrado así: </w:t>
      </w:r>
    </w:p>
    <w:tbl>
      <w:tblGrid>
        <w:gridCol w:w="4320"/>
        <w:gridCol w:w="4500"/>
      </w:tblGrid>
      <w:tblPr>
        <w:tblW w:w="8838" w:type="dxa"/>
        <w:tblBorders/>
      </w:tblPr>
      <w:tr>
        <w:trPr/>
        <w:tc>
          <w:tcPr>
            <w:tcW w:w="4332" w:type="dxa"/>
            <w:tcMar/>
            <w:tcBorders>
              <w:top w:val="single" w:sz="1" w:space="0" w:color="auto"/>
              <w:left w:val="single" w:sz="1" w:space="0" w:color="auto"/>
            </w:tcBorders>
          </w:tcPr>
          <w:p>
            <w:pPr>
              <w:jc w:val="both"/>
            </w:pPr>
            <w:r>
              <w:rPr>
                <w:rFonts w:hAnsi="Arial"/>
                <w:rFonts w:ascii="Arial"/>
                <w:sz w:val="24"/>
                <w:color w:val="black"/>
              </w:rPr>
              <w:t xml:space="preserve">Presidente: </w:t>
            </w:r>
          </w:p>
        </w:tc>
        <w:tc>
          <w:tcPr>
            <w:tcW w:w="450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Comandante del Ejército. </w:t>
            </w:r>
          </w:p>
        </w:tc>
      </w:tr>
      <w:tr>
        <w:trPr/>
        <w:tc>
          <w:tcPr>
            <w:tcW w:w="4332" w:type="dxa"/>
            <w:tcMar/>
            <w:tcBorders>
              <w:top w:val="single" w:sz="1" w:space="0" w:color="auto"/>
              <w:left w:val="single" w:sz="1" w:space="0" w:color="auto"/>
            </w:tcBorders>
          </w:tcPr>
          <w:p>
            <w:pPr>
              <w:jc w:val="both"/>
            </w:pPr>
            <w:r>
              <w:rPr>
                <w:rFonts w:hAnsi="Arial"/>
                <w:rFonts w:ascii="Arial"/>
                <w:sz w:val="24"/>
                <w:color w:val="black"/>
              </w:rPr>
              <w:t xml:space="preserve">Vicepresidente: </w:t>
            </w:r>
          </w:p>
        </w:tc>
        <w:tc>
          <w:tcPr>
            <w:tcW w:w="450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Segundo Comandante del Ejército. </w:t>
            </w:r>
          </w:p>
        </w:tc>
      </w:tr>
      <w:tr>
        <w:trPr/>
        <w:tc>
          <w:tcPr>
            <w:tcW w:w="4332" w:type="dxa"/>
            <w:tcMar/>
            <w:tcBorders>
              <w:top w:val="single" w:sz="1" w:space="0" w:color="auto"/>
              <w:left w:val="single" w:sz="1" w:space="0" w:color="auto"/>
            </w:tcBorders>
          </w:tcPr>
          <w:p>
            <w:pPr>
              <w:jc w:val="both"/>
            </w:pPr>
            <w:r>
              <w:rPr>
                <w:rFonts w:hAnsi="Arial"/>
                <w:rFonts w:ascii="Arial"/>
                <w:sz w:val="24"/>
                <w:color w:val="black"/>
              </w:rPr>
              <w:t xml:space="preserve">Vocal: </w:t>
            </w:r>
          </w:p>
        </w:tc>
        <w:tc>
          <w:tcPr>
            <w:tcW w:w="4506"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Comandante Comando de Personal. </w:t>
            </w:r>
          </w:p>
        </w:tc>
      </w:tr>
      <w:tr>
        <w:trPr/>
        <w:tc>
          <w:tcPr>
            <w:tcW w:w="4332"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Secretario: </w:t>
            </w:r>
          </w:p>
        </w:tc>
        <w:tc>
          <w:tcPr>
            <w:tcW w:w="4506"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Director de Familia y Bienestar. </w:t>
            </w:r>
          </w:p>
        </w:tc>
      </w:tr>
    </w:tbl>
    <w:p>
      <w:pPr>
        <w:jc w:val="both"/>
      </w:pPr>
      <w:rPr>
        <w:color w:val="black"/>
      </w:rPr>
    </w:p>
    <w:p>
      <w:pPr>
        <w:jc w:val="both"/>
      </w:pPr>
      <w:r>
        <w:rPr>
          <w:rFonts w:hAnsi="Arial"/>
          <w:rFonts w:ascii="Arial"/>
          <w:sz w:val="24"/>
          <w:b/>
          <w:vanish/>
          <w:color w:val="black"/>
        </w:rPr>
        <w:t>&amp;$</w:t>
      </w:r>
      <w:bookmarkStart w:id="60910" w:name="2.3.1.3.6.59.4"/>
      <w:r>
        <w:rPr>
          <w:rFonts w:hAnsi="Arial"/>
          <w:rFonts w:ascii="Arial"/>
          <w:sz w:val="24"/>
          <w:color w:val="navy"/>
        </w:rPr>
        <w:t xml:space="preserve">ARTÍCULO 2.3.1.3.6.59.4. REQUISITOS.</w:t>
      </w:r>
      <w:bookmarkEnd w:id="60910"/>
      <w:r>
        <w:rPr>
          <w:rFonts w:hAnsi="Arial"/>
          <w:rFonts w:ascii="Arial"/>
          <w:sz w:val="24"/>
          <w:color w:val="black"/>
        </w:rPr>
        <w:t xml:space="preserve"> &lt;Artículo adicionado por el artículo </w:t>
      </w:r>
      <w:r>
        <w:fldChar w:fldCharType="begin"/>
      </w:r>
      <w:r>
        <w:instrText>HYPERLINK "http://www.redjurista.com/document.aspx?ajcode=d1181019&amp;arts=1"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1181 de 2019. El nuevo texto es el siguiente:&gt; Los requisitos mínimos para el otorgamiento de la medalla militar “Bicentenario de la Campaña Libertadora” son: </w:t>
      </w:r>
    </w:p>
    <w:p>
      <w:pPr>
        <w:jc w:val="both"/>
      </w:pPr>
      <w:rPr>
        <w:sz w:val="24"/>
        <w:b/>
        <w:color w:val="black"/>
      </w:rPr>
    </w:p>
    <w:p>
      <w:pPr>
        <w:jc w:val="both"/>
      </w:pPr>
      <w:r>
        <w:rPr>
          <w:rFonts w:hAnsi="Arial"/>
          <w:rFonts w:ascii="Arial"/>
          <w:sz w:val="24"/>
          <w:color w:val="black"/>
        </w:rPr>
        <w:t xml:space="preserve">1. Ser Oficial, Suboficial, Soldado profesional o servidor público del Ministerio de Defensa Nacional al servicio del Ejército Nacional que a fecha 7 de agosto de 2019 estén activos. </w:t>
      </w:r>
    </w:p>
    <w:p>
      <w:pPr>
        <w:jc w:val="both"/>
      </w:pPr>
      <w:rPr>
        <w:sz w:val="24"/>
        <w:b/>
        <w:color w:val="black"/>
      </w:rPr>
    </w:p>
    <w:p>
      <w:pPr>
        <w:jc w:val="both"/>
      </w:pPr>
      <w:r>
        <w:rPr>
          <w:rFonts w:hAnsi="Arial"/>
          <w:rFonts w:ascii="Arial"/>
          <w:sz w:val="24"/>
          <w:color w:val="black"/>
        </w:rPr>
        <w:t xml:space="preserve">2. Que durante los últimos tres años el citado personal no haya sido suspendido en el ejercicio de funciones y atribuciones. </w:t>
      </w:r>
    </w:p>
    <w:p>
      <w:pPr>
        <w:jc w:val="both"/>
      </w:pPr>
      <w:rPr>
        <w:sz w:val="24"/>
        <w:b/>
        <w:color w:val="black"/>
      </w:rPr>
    </w:p>
    <w:p>
      <w:pPr>
        <w:jc w:val="both"/>
      </w:pPr>
      <w:r>
        <w:rPr>
          <w:rFonts w:hAnsi="Arial"/>
          <w:rFonts w:ascii="Arial"/>
          <w:sz w:val="24"/>
          <w:color w:val="black"/>
        </w:rPr>
        <w:t xml:space="preserve">3. Que durante los últimos tres años el citado personal no haya sido sancionado por autoridad disciplinaria. </w:t>
      </w:r>
    </w:p>
    <w:p>
      <w:pPr>
        <w:jc w:val="both"/>
      </w:pPr>
      <w:rPr>
        <w:sz w:val="24"/>
        <w:b/>
        <w:color w:val="black"/>
      </w:rPr>
    </w:p>
    <w:p>
      <w:pPr>
        <w:jc w:val="both"/>
      </w:pPr>
      <w:r>
        <w:rPr>
          <w:rFonts w:hAnsi="Arial"/>
          <w:rFonts w:ascii="Arial"/>
          <w:sz w:val="24"/>
          <w:color w:val="black"/>
        </w:rPr>
        <w:t xml:space="preserve">4. Que durante los últimos tres años el citado personal no haya sido condenado por la justicia penal militar o la ordinaria. </w:t>
      </w:r>
    </w:p>
    <w:p>
      <w:pPr>
        <w:jc w:val="both"/>
      </w:pPr>
      <w:rPr>
        <w:sz w:val="24"/>
        <w:b/>
        <w:color w:val="black"/>
      </w:rPr>
    </w:p>
    <w:p>
      <w:pPr>
        <w:jc w:val="both"/>
      </w:pPr>
      <w:r>
        <w:rPr>
          <w:rFonts w:hAnsi="Arial"/>
          <w:rFonts w:ascii="Arial"/>
          <w:sz w:val="24"/>
          <w:color w:val="black"/>
        </w:rPr>
        <w:t xml:space="preserve">5. Oficiales Generales de la reserva que hayan ostentado el cargo de Comandante del Ejército. </w:t>
      </w:r>
    </w:p>
    <w:p>
      <w:pPr>
        <w:jc w:val="both"/>
      </w:pPr>
      <w:rPr>
        <w:sz w:val="24"/>
        <w:b/>
        <w:color w:val="black"/>
      </w:rPr>
    </w:p>
    <w:p>
      <w:pPr>
        <w:jc w:val="both"/>
      </w:pPr>
      <w:r>
        <w:rPr>
          <w:rFonts w:hAnsi="Arial"/>
          <w:rFonts w:ascii="Arial"/>
          <w:sz w:val="24"/>
          <w:color w:val="black"/>
        </w:rPr>
        <w:t xml:space="preserve">6. Oficiales y Suboficiales de la reserva postulados por los Comandantes de Unidad Operativa Mayor por una sola vez, a excepción de aquellos que hayan sido retirados por incapacidad profesional y por retiro discrecional. </w:t>
      </w:r>
    </w:p>
    <w:p>
      <w:pPr>
        <w:jc w:val="both"/>
      </w:pPr>
      <w:rPr>
        <w:color w:val="black"/>
      </w:rPr>
    </w:p>
    <w:p>
      <w:pPr>
        <w:jc w:val="both"/>
      </w:pPr>
      <w:r>
        <w:rPr>
          <w:rFonts w:hAnsi="Arial"/>
          <w:rFonts w:ascii="Arial"/>
          <w:sz w:val="24"/>
          <w:b/>
          <w:vanish/>
          <w:color w:val="black"/>
        </w:rPr>
        <w:t>&amp;$</w:t>
      </w:r>
      <w:bookmarkStart w:id="60911" w:name="2.3.1.3.6.59.5"/>
      <w:r>
        <w:rPr>
          <w:rFonts w:hAnsi="Arial"/>
          <w:rFonts w:ascii="Arial"/>
          <w:sz w:val="24"/>
          <w:color w:val="navy"/>
        </w:rPr>
        <w:t xml:space="preserve">ARTÍCULO 2.3.1.3.6.59.5. DIPLOMA.</w:t>
      </w:r>
      <w:bookmarkEnd w:id="60911"/>
      <w:r>
        <w:rPr>
          <w:rFonts w:hAnsi="Arial"/>
          <w:rFonts w:ascii="Arial"/>
          <w:sz w:val="24"/>
          <w:color w:val="black"/>
        </w:rPr>
        <w:t xml:space="preserve"> &lt;Artículo adicionado por el artículo </w:t>
      </w:r>
      <w:r>
        <w:fldChar w:fldCharType="begin"/>
      </w:r>
      <w:r>
        <w:instrText>HYPERLINK "http://www.redjurista.com/document.aspx?ajcode=d1181019&amp;arts=1"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1181 de 2019. El nuevo texto es el siguiente:&gt; Será en papel Reemp Kimberly Tradit Marfil con las siguientes dimensiones: treinta y cinco (35) centímetros de largo por veinticinco (25) centímetros de ancho, tipo de letra Edwardian Script ITC, excepto las firmas en tipo de letra; Monotipe Cursiva, con el dibujo del anverso de la medalla al lado izquierdo superior y al lado superior derecho, de fondo el escudo del Ejército Nacional y en el centro la siguiente leyenda: </w:t>
      </w:r>
    </w:p>
    <w:p>
      <w:pPr>
        <w:jc w:val="center"/>
      </w:pPr>
      <w:r>
        <w:drawing>
          <wp:inline distT="0" distB="0" distL="0" distR="0">
            <wp:extent cx="4991100" cy="3314700"/>
            <wp:docPr id="23" name=""/>
            <a:graphic xmlns:a="http://schemas.openxmlformats.org/drawingml/2006/main">
              <a:graphicData uri="http://schemas.openxmlformats.org/drawingml/2006/picture">
                <pic:pic xmlns:pic="http://schemas.openxmlformats.org/drawingml/2006/picture">
                  <pic:nvPicPr>
                    <pic:cNvPr id="22" name="Picture "/>
                    <pic:cNvPicPr/>
                  </pic:nvPicPr>
                  <pic:blipFill>
                    <a:blip r:embed="id22"/>
                    <a:stretch>
                      <a:fillRect/>
                    </a:stretch>
                  </pic:blipFill>
                  <pic:spPr>
                    <a:xfrm>
                      <a:off x="0" y="0"/>
                      <a:ext cx="4991100" cy="3314700"/>
                    </a:xfrm>
                    <a:prstGeom prst="rect">
                      <a:avLst/>
                    </a:prstGeom>
                  </pic:spPr>
                </pic:pic>
              </a:graphicData>
            </a:graphic>
          </wp:inline>
        </w:drawing>
      </w:r>
    </w:p>
    <w:p>
      <w:pPr>
        <w:jc w:val="both"/>
      </w:pPr>
      <w:rPr>
        <w:color w:val="black"/>
      </w:rPr>
    </w:p>
    <w:p>
      <w:pPr>
        <w:jc w:val="center"/>
      </w:pPr>
      <w:rPr>
        <w:sz w:val="24"/>
        <w:b/>
        <w:color w:val="black"/>
      </w:rPr>
    </w:p>
    <w:p>
      <w:pPr>
        <w:jc w:val="center"/>
      </w:pPr>
      <w:r>
        <w:rPr>
          <w:rFonts w:hAnsi="Arial"/>
          <w:rFonts w:ascii="Arial"/>
          <w:sz w:val="24"/>
          <w:vanish/>
          <w:color w:val="navy"/>
        </w:rPr>
        <w:t>&amp;$</w:t>
      </w:r>
      <w:bookmarkStart w:id="60912" w:name="SUBSECCIÓN 2.3.1.3.6.60"/>
      <w:r>
        <w:rPr>
          <w:rFonts w:hAnsi="Arial"/>
          <w:rFonts w:ascii="Arial"/>
          <w:sz w:val="24"/>
          <w:color w:val="navy"/>
        </w:rPr>
        <w:t xml:space="preserve">SUBSECCIÓN 60. </w:t>
      </w:r>
    </w:p>
    <w:p>
      <w:pPr>
        <w:jc w:val="center"/>
      </w:pPr>
      <w:r>
        <w:rPr>
          <w:rFonts w:hAnsi="Arial"/>
          <w:rFonts w:ascii="Arial"/>
          <w:sz w:val="24"/>
          <w:color w:val="navy"/>
        </w:rPr>
        <w:t xml:space="preserve">MEDALLA MILITAR “BICENTENARIO DE LA CABALLERÍA”.</w:t>
      </w:r>
      <w:bookmarkEnd w:id="6091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13" w:name="2.3.1.3.6.60.1"/>
      <w:r>
        <w:rPr>
          <w:rFonts w:hAnsi="Arial"/>
          <w:rFonts w:ascii="Arial"/>
          <w:sz w:val="24"/>
          <w:color w:val="navy"/>
        </w:rPr>
        <w:t xml:space="preserve">ARTÍCULO 2.3.1.3.6.60.1. ORIGEN.</w:t>
      </w:r>
      <w:bookmarkEnd w:id="60913"/>
      <w:r>
        <w:rPr>
          <w:rFonts w:hAnsi="Arial"/>
          <w:rFonts w:ascii="Arial"/>
          <w:sz w:val="24"/>
          <w:color w:val="black"/>
        </w:rPr>
        <w:t xml:space="preserve"> &lt;Artículo adicionado por el artículo </w:t>
      </w:r>
      <w:r>
        <w:fldChar w:fldCharType="begin"/>
      </w:r>
      <w:r>
        <w:instrText>HYPERLINK "http://www.redjurista.com/document.aspx?ajcode=d1181019&amp;arts=2"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1181 de 2019. El nuevo texto es el siguiente:&gt; Créase la Medalla Militar “Bicentenario de la Caballería” en categoría única para premiar y estimular por una sola vez al personal de Oficiales y Suboficiales del arma de Caballería, soldados profesionales, servidores públicos del Ministerio de Defensa Nacional al servicio del Ejército Nacional y de la Caballería, unidades de militares del arma; igualmente al personal de Oficiales y Suboficiales de la reserva quienes hicieron parte de la Caballería Colombiana postulados por los Comandantes de las unidades de Caballería. </w:t>
      </w:r>
    </w:p>
    <w:p>
      <w:pPr>
        <w:jc w:val="both"/>
      </w:pPr>
      <w:rPr>
        <w:color w:val="black"/>
      </w:rPr>
    </w:p>
    <w:p>
      <w:pPr>
        <w:jc w:val="both"/>
      </w:pPr>
      <w:r>
        <w:rPr>
          <w:rFonts w:hAnsi="Arial"/>
          <w:rFonts w:ascii="Arial"/>
          <w:sz w:val="24"/>
          <w:vanish/>
          <w:color w:val="black"/>
        </w:rPr>
        <w:t>&amp;$</w:t>
      </w:r>
      <w:bookmarkStart w:id="60914" w:name="2.3.1.3.6.60.2"/>
      <w:r>
        <w:rPr>
          <w:rFonts w:hAnsi="Arial"/>
          <w:rFonts w:ascii="Arial"/>
          <w:sz w:val="24"/>
          <w:color w:val="navy"/>
        </w:rPr>
        <w:t xml:space="preserve">ARTÍCULO 2.3.1.3.6.60.2. CARACTERÍSTICAS.</w:t>
      </w:r>
      <w:bookmarkEnd w:id="609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"http://www.redjurista.com/document.aspx?ajcode=d1181019&amp;arts=2"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1181 de 2019. El nuevo texto es el siguiente:&gt; La joya está conformada por cuatro piezas, la primera, una base cóncava con forma de sol de ocho puntas de 80 mm de ancho x 80 mm de alto, en acabado dorado brillante, moldeada en 3D. La segunda; es una cruz con laurel sobrepuesta, en acabado dorado brillante y pintura al fuego en color azul Pantone 2738 C, moldeado en 3D de 63 mm de ancho x 63 mm de alto. Las 8 puntas exteriores y las 4 interiores de la joya, representan las 12 unidades de la Caballería ubicadas estratégicamente, como vigías de las fronteras y del centro del país como garantes de la democracia, una tercera; un sobrepuesto central de 25 mm de diámetro conformado por una figura que representa la Batalla en el municipio de Paipa Boyacá entre las tropas patriotas y las realistas en la campaña libertadora, por la independencia de ese entonces la Nueva Granada, gracias a ella, el Ejército Libertador pudo llegar a Tunja, y la Gran Colombia grita libertad el 7 de agosto de 1819, y una frase utilizada por el General Simón Bolívar al Coronel Juan José Rondón cuando este se dispone a dirigir a los lanceros a la Batalla, con acabados en dorado brillante y moldeado en 3D. La cuarta; un sobrepuesto en la parte posterior de la medalla de 35 mm de diámetro, que lleva los sables que representan la gesta victoriosa lograda por la carga de Caballería Montada; 14 lanceros al mando del Coronel Juan José Rondón en la Batalla del Pantano de Vargas el 25 de julio de 1819 y la fecha que representa la conmemoración de los 200 años. En su anverso la joya estará suspendida por una cinta de 40 mm de ancho x 55 mm de alto, de color amarillo (Caballería Pantone 7409 C), en el centro cuatro franjas negras de 2,8 mm de ancho divididas por un espacio de 2,8 mm. A su vez llevará un sobrepuesto triangular tricolor que representa las unidades de Caballería; de 17 mm de alto x 20 mm de ancho, el cual lleva un caballo que representa los inicios de la Caballería, un vehículo blindado EE-9 Cascabel representa el presente de la Caballería y un tanque de guerra representa la Proyección de las nuevas capacidades de la Caballería para el futuro. A su vez la cinta estará suspendida por una placa con la palabra “Bicentenario”. En su reverso finalmente llevará un sobrepuesto en la parte posterior de la medalla de 35 mm de diámetro, que lleva los sables que representan la gesta victoriosa lograda por la carga de Caballería Montada; 14 lanceros al mando del Coronel Juan José Rondón en la Batalla del Pantano de Vargas el 25 de julio de 1819 y la fecha que representa la conmemoración de los 200 años.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La miniatura o réplica; será similar a la joya de la condecoración, pero reducida a un diámetro de 20 mm, suspendida por una cinta similar de la joya, de 15 mm de ancho x 35 mm de alto.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un rectángulo metálico esmaltado de 40 mm de ancho x 10 mm de alto, dividida de igual forma que la cinta; color amarillo, en el centro cuatro franjas negras de 2,8 mm de ancho divididas por un espacio de 2,8 mm y un sobrepuesto igual al de la cinta reducido proporcionalmente a 10 mm de alto. </w:t>
      </w:r>
    </w:p>
    <w:p>
      <w:pPr>
        <w:jc w:val="both"/>
      </w:pPr>
      <w:rPr>
        <w:color w:val="black"/>
      </w:rPr>
    </w:p>
    <w:p>
      <w:pPr>
        <w:jc w:val="both"/>
      </w:pPr>
      <w:r>
        <w:rPr>
          <w:rFonts w:hAnsi="Arial"/>
          <w:rFonts w:ascii="Arial"/>
          <w:sz w:val="24"/>
          <w:b/>
          <w:vanish/>
          <w:color w:val="black"/>
        </w:rPr>
        <w:t>&amp;$</w:t>
      </w:r>
      <w:bookmarkStart w:id="60915" w:name="2.3.1.3.6.60.3"/>
      <w:r>
        <w:rPr>
          <w:rFonts w:hAnsi="Arial"/>
          <w:rFonts w:ascii="Arial"/>
          <w:sz w:val="24"/>
          <w:color w:val="navy"/>
        </w:rPr>
        <w:t xml:space="preserve">ARTÍCULO 2.3.1.3.6.60.3. CONSEJO DE LA MEDALLA.</w:t>
      </w:r>
      <w:bookmarkEnd w:id="609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"http://www.redjurista.com/document.aspx?ajcode=d1181019&amp;arts=2"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1181 de 2019. El nuevo texto es el siguiente:&gt; El Consejo de la Medalla Militar “Bicentenario de la Caballería” estará integrado así: </w:t>
      </w:r>
    </w:p>
    <w:tbl>
      <w:tblGrid>
        <w:gridCol w:w="3360"/>
        <w:gridCol w:w="5460"/>
      </w:tblGrid>
      <w:tblPr>
        <w:tblW w:w="8838" w:type="dxa"/>
        <w:tblBorders/>
      </w:tblPr>
      <w:tr>
        <w:trPr/>
        <w:tc>
          <w:tcPr>
            <w:tcW w:w="3361" w:type="dxa"/>
            <w:tcMar/>
            <w:tcBorders>
              <w:top w:val="single" w:sz="1" w:space="0" w:color="auto"/>
              <w:left w:val="single" w:sz="1" w:space="0" w:color="auto"/>
            </w:tcBorders>
          </w:tcPr>
          <w:p>
            <w:pPr>
              <w:jc w:val="both"/>
            </w:pPr>
            <w:r>
              <w:rPr>
                <w:rFonts w:hAnsi="Arial"/>
                <w:rFonts w:ascii="Arial"/>
                <w:sz w:val="24"/>
                <w:color w:val="black"/>
              </w:rPr>
              <w:t xml:space="preserve">Presidente: </w:t>
            </w:r>
          </w:p>
        </w:tc>
        <w:tc>
          <w:tcPr>
            <w:tcW w:w="547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Comandante del Ejército. </w:t>
            </w:r>
          </w:p>
        </w:tc>
      </w:tr>
      <w:tr>
        <w:trPr/>
        <w:tc>
          <w:tcPr>
            <w:tcW w:w="3361" w:type="dxa"/>
            <w:tcMar/>
            <w:tcBorders>
              <w:top w:val="single" w:sz="1" w:space="0" w:color="auto"/>
              <w:left w:val="single" w:sz="1" w:space="0" w:color="auto"/>
            </w:tcBorders>
          </w:tcPr>
          <w:p>
            <w:pPr>
              <w:jc w:val="both"/>
            </w:pPr>
            <w:r>
              <w:rPr>
                <w:rFonts w:hAnsi="Arial"/>
                <w:rFonts w:ascii="Arial"/>
                <w:sz w:val="24"/>
                <w:color w:val="black"/>
              </w:rPr>
              <w:t xml:space="preserve">Vicepresidente: </w:t>
            </w:r>
          </w:p>
        </w:tc>
        <w:tc>
          <w:tcPr>
            <w:tcW w:w="547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Jefe de Estado Mayor Generador de Fuerza. </w:t>
            </w:r>
          </w:p>
        </w:tc>
      </w:tr>
      <w:tr>
        <w:trPr/>
        <w:tc>
          <w:tcPr>
            <w:tcW w:w="3361" w:type="dxa"/>
            <w:tcMar/>
            <w:tcBorders>
              <w:top w:val="single" w:sz="1" w:space="0" w:color="auto"/>
              <w:left w:val="single" w:sz="1" w:space="0" w:color="auto"/>
            </w:tcBorders>
          </w:tcPr>
          <w:p>
            <w:pPr>
              <w:jc w:val="both"/>
            </w:pPr>
            <w:r>
              <w:rPr>
                <w:rFonts w:hAnsi="Arial"/>
                <w:rFonts w:ascii="Arial"/>
                <w:sz w:val="24"/>
                <w:color w:val="black"/>
              </w:rPr>
              <w:t xml:space="preserve">Vocal: </w:t>
            </w:r>
          </w:p>
        </w:tc>
        <w:tc>
          <w:tcPr>
            <w:tcW w:w="547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Director Escuela de Caballería. </w:t>
            </w:r>
          </w:p>
        </w:tc>
      </w:tr>
      <w:tr>
        <w:trPr/>
        <w:tc>
          <w:tcPr>
            <w:tcW w:w="3361"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Secretario: </w:t>
            </w:r>
          </w:p>
        </w:tc>
        <w:tc>
          <w:tcPr>
            <w:tcW w:w="5477"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Subdirector Escuela de Caballería. </w:t>
            </w:r>
          </w:p>
        </w:tc>
      </w:tr>
    </w:tbl>
    <w:p>
      <w:pPr>
        <w:jc w:val="both"/>
      </w:pPr>
      <w:rPr>
        <w:color w:val="black"/>
      </w:rPr>
    </w:p>
    <w:p>
      <w:pPr>
        <w:jc w:val="both"/>
      </w:pPr>
      <w:r>
        <w:rPr>
          <w:rFonts w:hAnsi="Arial"/>
          <w:rFonts w:ascii="Arial"/>
          <w:sz w:val="24"/>
          <w:b/>
          <w:vanish/>
          <w:color w:val="black"/>
        </w:rPr>
        <w:t>&amp;$</w:t>
      </w:r>
      <w:bookmarkStart w:id="60916" w:name="2.3.1.3.6.60.4"/>
      <w:r>
        <w:rPr>
          <w:rFonts w:hAnsi="Arial"/>
          <w:rFonts w:ascii="Arial"/>
          <w:sz w:val="24"/>
          <w:color w:val="navy"/>
        </w:rPr>
        <w:t xml:space="preserve">ARTÍCULO 2.3.1.3.6.60.4. REQUISITOS.</w:t>
      </w:r>
      <w:bookmarkEnd w:id="60916"/>
      <w:r>
        <w:rPr>
          <w:rFonts w:hAnsi="Arial"/>
          <w:rFonts w:ascii="Arial"/>
          <w:sz w:val="24"/>
          <w:color w:val="black"/>
        </w:rPr>
        <w:t xml:space="preserve"> &lt;Artículo adicionado por el artículo </w:t>
      </w:r>
      <w:r>
        <w:fldChar w:fldCharType="begin"/>
      </w:r>
      <w:r>
        <w:instrText>HYPERLINK "http://www.redjurista.com/document.aspx?ajcode=d1181019&amp;arts=2"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1181 de 2019. El nuevo texto es el siguiente:&gt; Los requisitos mínimos para el otorgamiento de la Medalla Militar “Bicentenario de la Caballería” son: </w:t>
      </w:r>
    </w:p>
    <w:p>
      <w:pPr>
        <w:jc w:val="both"/>
      </w:pPr>
      <w:rPr>
        <w:sz w:val="24"/>
        <w:b/>
        <w:color w:val="black"/>
      </w:rPr>
    </w:p>
    <w:p>
      <w:pPr>
        <w:jc w:val="both"/>
      </w:pPr>
      <w:r>
        <w:rPr>
          <w:rFonts w:hAnsi="Arial"/>
          <w:rFonts w:ascii="Arial"/>
          <w:sz w:val="24"/>
          <w:color w:val="black"/>
        </w:rPr>
        <w:t xml:space="preserve">1. Ser Oficial, Suboficial, Soldado profesional o servidor público del Ministerio de Defensa Nacional al servicio del Ejército Nacional y de la Caballería Colombiana que a fecha 25 de julio de 2019 estén activos. </w:t>
      </w:r>
    </w:p>
    <w:p>
      <w:pPr>
        <w:jc w:val="both"/>
      </w:pPr>
      <w:rPr>
        <w:sz w:val="24"/>
        <w:b/>
        <w:color w:val="black"/>
      </w:rPr>
    </w:p>
    <w:p>
      <w:pPr>
        <w:jc w:val="both"/>
      </w:pPr>
      <w:r>
        <w:rPr>
          <w:rFonts w:hAnsi="Arial"/>
          <w:rFonts w:ascii="Arial"/>
          <w:sz w:val="24"/>
          <w:color w:val="black"/>
        </w:rPr>
        <w:t xml:space="preserve">2. Ser Oficial y Suboficial de la reserva postulado por los Comandantes de unidades de Caballería por una sola vez, a excepción de aquellos que hayan sido retirados por incapacidad profesional y por retiro discrecional. </w:t>
      </w:r>
    </w:p>
    <w:p>
      <w:pPr>
        <w:jc w:val="both"/>
      </w:pPr>
      <w:rPr>
        <w:sz w:val="24"/>
        <w:b/>
        <w:color w:val="black"/>
      </w:rPr>
    </w:p>
    <w:p>
      <w:pPr>
        <w:jc w:val="both"/>
      </w:pPr>
      <w:r>
        <w:rPr>
          <w:rFonts w:hAnsi="Arial"/>
          <w:rFonts w:ascii="Arial"/>
          <w:sz w:val="24"/>
          <w:color w:val="black"/>
        </w:rPr>
        <w:t xml:space="preserve">3. Que durante los últimos tres años el citado personal no haya sido suspendido en el ejercicio de funciones y atribuciones. </w:t>
      </w:r>
    </w:p>
    <w:p>
      <w:pPr>
        <w:jc w:val="both"/>
      </w:pPr>
      <w:rPr>
        <w:sz w:val="24"/>
        <w:b/>
        <w:color w:val="black"/>
      </w:rPr>
    </w:p>
    <w:p>
      <w:pPr>
        <w:jc w:val="both"/>
      </w:pPr>
      <w:r>
        <w:rPr>
          <w:rFonts w:hAnsi="Arial"/>
          <w:rFonts w:ascii="Arial"/>
          <w:sz w:val="24"/>
          <w:color w:val="black"/>
        </w:rPr>
        <w:t xml:space="preserve">4. Que durante los últimos tres años el citado personal no haya sido sancionado por autoridad disciplinaria. </w:t>
      </w:r>
    </w:p>
    <w:p>
      <w:pPr>
        <w:jc w:val="both"/>
      </w:pPr>
      <w:rPr>
        <w:sz w:val="24"/>
        <w:b/>
        <w:color w:val="black"/>
      </w:rPr>
    </w:p>
    <w:p>
      <w:pPr>
        <w:jc w:val="both"/>
      </w:pPr>
      <w:r>
        <w:rPr>
          <w:rFonts w:hAnsi="Arial"/>
          <w:rFonts w:ascii="Arial"/>
          <w:sz w:val="24"/>
          <w:color w:val="black"/>
        </w:rPr>
        <w:t xml:space="preserve">5. Que durante los últimos tres años el citado personal no haya sido condenado por la justicia penal militar o la ordinaria. </w:t>
      </w:r>
    </w:p>
    <w:p>
      <w:pPr>
        <w:jc w:val="both"/>
      </w:pPr>
      <w:rPr>
        <w:color w:val="black"/>
      </w:rPr>
    </w:p>
    <w:p>
      <w:pPr>
        <w:jc w:val="both"/>
      </w:pPr>
      <w:r>
        <w:rPr>
          <w:rFonts w:hAnsi="Arial"/>
          <w:rFonts w:ascii="Arial"/>
          <w:sz w:val="24"/>
          <w:b/>
          <w:vanish/>
          <w:color w:val="black"/>
        </w:rPr>
        <w:t>&amp;$</w:t>
      </w:r>
      <w:bookmarkStart w:id="60917" w:name="2.3.1.3.6.60.5"/>
      <w:r>
        <w:rPr>
          <w:rFonts w:hAnsi="Arial"/>
          <w:rFonts w:ascii="Arial"/>
          <w:sz w:val="24"/>
          <w:color w:val="navy"/>
        </w:rPr>
        <w:t xml:space="preserve">ARTÍCULO 2.3.1.3.6.60.5. DIPLOMA.</w:t>
      </w:r>
      <w:bookmarkEnd w:id="609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"http://www.redjurista.com/document.aspx?ajcode=d1181019&amp;arts=2"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1181 de 2019. El nuevo texto es el siguiente:&gt; Será en papel Reemp Kimberly Tradit Marfil con las siguientes dimensiones: treinta y cinco (35) centímetros de largo por veinticinco (25) centímetros de ancho, tipo de letra Edwardian Script ITC, excepto las firmas en tipo de letra; Monotipe Cursiva, con el dibujo del anverso de la medalla al lado izquierdo superior y al lado superior derecho y en el centro la siguiente leyenda:</w:t>
      </w:r>
    </w:p>
    <w:p>
      <w:pPr>
        <w:jc w:val="center"/>
      </w:pPr>
      <w:r>
        <w:drawing>
          <wp:inline distT="0" distB="0" distL="0" distR="0">
            <wp:extent cx="5010150" cy="3362325"/>
            <wp:docPr id="24" name=""/>
            <a:graphic xmlns:a="http://schemas.openxmlformats.org/drawingml/2006/main">
              <a:graphicData uri="http://schemas.openxmlformats.org/drawingml/2006/picture">
                <pic:pic xmlns:pic="http://schemas.openxmlformats.org/drawingml/2006/picture">
                  <pic:nvPicPr>
                    <pic:cNvPr id="23" name="Picture "/>
                    <pic:cNvPicPr/>
                  </pic:nvPicPr>
                  <pic:blipFill>
                    <a:blip r:embed="id23"/>
                    <a:stretch>
                      <a:fillRect/>
                    </a:stretch>
                  </pic:blipFill>
                  <pic:spPr>
                    <a:xfrm>
                      <a:off x="0" y="0"/>
                      <a:ext cx="5010150" cy="3362325"/>
                    </a:xfrm>
                    <a:prstGeom prst="rect">
                      <a:avLst/>
                    </a:prstGeom>
                  </pic:spPr>
                </pic:pic>
              </a:graphicData>
            </a:graphic>
          </wp:inline>
        </w:drawing>
      </w:r>
    </w:p>
    <w:p>
      <w:pPr>
        <w:jc w:val="both"/>
      </w:pPr>
      <w:rPr>
        <w:color w:val="black"/>
      </w:rPr>
    </w:p>
    <w:p>
      <w:pPr>
        <w:jc w:val="center"/>
      </w:pPr>
      <w:r>
        <w:rPr>
          <w:rFonts w:hAnsi="Arial"/>
          <w:rFonts w:ascii="Arial"/>
          <w:sz w:val="24"/>
          <w:b/>
          <w:vanish/>
          <w:color w:val="black"/>
        </w:rPr>
        <w:t>&amp;$</w:t>
      </w:r>
      <w:bookmarkStart w:id="60918" w:name="SUBSECCIÓN 2.3.1.3.6.61"/>
      <w:r>
        <w:rPr>
          <w:rFonts w:hAnsi="Arial"/>
          <w:rFonts w:ascii="Arial"/>
          <w:sz w:val="24"/>
          <w:color w:val="navy"/>
        </w:rPr>
        <w:t xml:space="preserve">SUBSECCIÓN 61. </w:t>
      </w:r>
    </w:p>
    <w:p>
      <w:pPr>
        <w:jc w:val="center"/>
      </w:pPr>
      <w:r>
        <w:rPr>
          <w:rFonts w:hAnsi="Arial"/>
          <w:rFonts w:ascii="Arial"/>
          <w:sz w:val="24"/>
          <w:color w:val="navy"/>
        </w:rPr>
        <w:t xml:space="preserve">MEDALLA MILITAR “PROTECTORES DE LA ESPADA DEL LIBERTADOR”.</w:t>
      </w:r>
      <w:bookmarkEnd w:id="6091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19" w:name="2.3.1.3.6.61.1"/>
      <w:r>
        <w:rPr>
          <w:rFonts w:hAnsi="Arial"/>
          <w:rFonts w:ascii="Arial"/>
          <w:sz w:val="24"/>
          <w:color w:val="navy"/>
        </w:rPr>
        <w:t xml:space="preserve">ARTÍCULO 2.3.1.3.6.61.1. ORIGEN.</w:t>
      </w:r>
      <w:bookmarkEnd w:id="609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"http://www.redjurista.com/document.aspx?ajcode=d0093021&amp;arts=1"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 de 2021. El nuevo texto es el siguiente:&gt; Créase en única categoría la Medalla Militar “Protectores de la Espada del Libertador”, para premiar y estimular por una sola vez al personal de Oficiales, Suboficiales, Soldados Profesionales y Soldados del Batallón de Infantería número 37 “Guardia Presidencial” y al personal militar que se encuentre en comisión en la Casa Militar de la Presidencia de la República, así como a las Unidades Militares de la Fuerza que por razones del servicio sean designadas a custodiar la “Espada del Libertador” fuera de la Casa de Nariño, quienes en cumplimiento de su juramento patrio custodian y protegen la espada del Libertador el Capitán General del Ejército de la Nueva Granada Simón José Antonio de la Santísima Trinidad Bolívar Palacios como representación de la patria misma. </w:t>
      </w:r>
    </w:p>
    <w:p>
      <w:pPr>
        <w:jc w:val="both"/>
      </w:pPr>
      <w:rPr>
        <w:color w:val="black"/>
      </w:rPr>
    </w:p>
    <w:p>
      <w:pPr>
        <w:jc w:val="both"/>
      </w:pPr>
      <w:r>
        <w:rPr>
          <w:rFonts w:hAnsi="Arial"/>
          <w:rFonts w:ascii="Arial"/>
          <w:sz w:val="24"/>
          <w:b/>
          <w:vanish/>
          <w:color w:val="black"/>
        </w:rPr>
        <w:t>&amp;$</w:t>
      </w:r>
      <w:bookmarkStart w:id="60920" w:name="2.3.1.3.6.61.2"/>
      <w:r>
        <w:rPr>
          <w:rFonts w:hAnsi="Arial"/>
          <w:rFonts w:ascii="Arial"/>
          <w:sz w:val="24"/>
          <w:color w:val="navy"/>
        </w:rPr>
        <w:t xml:space="preserve">ARTÍCULO 2.3.1.3.6.61.2. CARACTERÍSTICAS.</w:t>
      </w:r>
      <w:bookmarkEnd w:id="609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"http://www.redjurista.com/document.aspx?ajcode=d0093021&amp;arts=1"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 de 2021. El nuevo texto es el siguiente:&gt; La joya está conformada por una pieza troquelada, la cual está conformada en su parte frontal; por una circunferencia rodeada por 60 estrellas, donde en su centro se encuentra la imagen de nuestro Libertador el Capitán General del Ejército de la Nueva Granada Simón José Antonio de la Santísima Trinidad Bolívar Palacios en escultura tomada corno referencia del óleo de Ricardo Acevedo Bernal, de la circunferencia sobresale un laurel de 50 mm de ancho x 50 mm de alto que recubre la joya, en acabado dorado brillante, moldeada en alto relieve. La parte posterior de la joya se conforma por una circunferencia rodeada por 60 estrellas, donde se encuentran las palabras “Medalla al mérito” (en forma de arco superior) y “Protectores de la Espada del Libertador” (forma de arco inferior), mientras en su centro posan las palabras del Libertador Simón Bolívar “No envainaré jamás la espada mientras la libertad de mi patria no esté completamente asegurada”, en acabado dorado brillante, moldeada en alto relieve. </w:t>
      </w:r>
    </w:p>
    <w:p>
      <w:pPr>
        <w:jc w:val="both"/>
      </w:pPr>
      <w:rPr>
        <w:sz w:val="24"/>
        <w:b/>
        <w:color w:val="black"/>
      </w:rPr>
    </w:p>
    <w:p>
      <w:pPr>
        <w:jc w:val="both"/>
      </w:pPr>
      <w:r>
        <w:rPr>
          <w:rFonts w:hAnsi="Arial"/>
          <w:rFonts w:ascii="Arial"/>
          <w:sz w:val="24"/>
          <w:color w:val="black"/>
        </w:rPr>
        <w:t xml:space="preserve">La joya estará suspendida por una cinta de 40 mm de ancho x 55 mm de alto, con el tricolor colombiano con los colores; amarillo (Pantone 116 C), azul (Pantone 287 C) y rojo (Pantone 186 C), a su vez la cinta lleva un sobrepuesto de la espada del Libertador, con una altura de 6 mm x 30 mm de ancho, en acabado dorado brillante y moldeada en alto relieve.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w:t>
      </w:r>
      <w:r>
        <w:rPr>
          <w:rFonts w:hAnsi="Arial"/>
          <w:rFonts w:ascii="Arial"/>
          <w:sz w:val="24"/>
          <w:b/>
          <w:color w:val="black"/>
        </w:rPr>
        <w:t xml:space="preserve">La miniatura o réplica. </w:t>
      </w:r>
      <w:r>
        <w:rPr>
          <w:rFonts w:hAnsi="Arial"/>
          <w:rFonts w:ascii="Arial"/>
          <w:sz w:val="24"/>
          <w:color w:val="black"/>
        </w:rPr>
        <w:t xml:space="preserve">La miniatura o replica; será similar a la joya de la condecoración, pero reducida a un diámetro de 20 mm, suspendida por una cinta similar de la joya, de 15 mm de ancho X 35 mm de alto, según lo contemplado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w:t>
      </w:r>
      <w:r>
        <w:rPr>
          <w:rFonts w:hAnsi="Arial"/>
          <w:rFonts w:ascii="Arial"/>
          <w:sz w:val="24"/>
          <w:b/>
          <w:color w:val="black"/>
        </w:rPr>
        <w:t xml:space="preserve">La venera. </w:t>
      </w:r>
      <w:r>
        <w:rPr>
          <w:rFonts w:hAnsi="Arial"/>
          <w:rFonts w:ascii="Arial"/>
          <w:sz w:val="24"/>
          <w:color w:val="black"/>
        </w:rPr>
        <w:t xml:space="preserve">Será un rectángulo metálico esmaltado de 40 mm de ancho x 10 mm de alto, dividida de igual forma que la cinta; amarillo (Pantone 116 C), azul (Pantone 287 C) y rojo (Pantone 186 C), a su vez la lleva un sobrepuesto de la espada del Libertador, con una altura de 6 mm x 30 mm de ancho, en acabado dorado brillante y moldeada en alto relieve. </w:t>
      </w:r>
    </w:p>
    <w:p>
      <w:pPr>
        <w:jc w:val="both"/>
      </w:pPr>
      <w:rPr>
        <w:color w:val="black"/>
      </w:rPr>
    </w:p>
    <w:p>
      <w:pPr>
        <w:jc w:val="both"/>
      </w:pPr>
      <w:r>
        <w:rPr>
          <w:rFonts w:hAnsi="Arial"/>
          <w:rFonts w:ascii="Arial"/>
          <w:sz w:val="24"/>
          <w:b/>
          <w:vanish/>
          <w:color w:val="black"/>
        </w:rPr>
        <w:t>&amp;$</w:t>
      </w:r>
      <w:bookmarkStart w:id="60921" w:name="2.3.1.3.6.61.3"/>
      <w:r>
        <w:rPr>
          <w:rFonts w:hAnsi="Arial"/>
          <w:rFonts w:ascii="Arial"/>
          <w:sz w:val="24"/>
          <w:color w:val="navy"/>
        </w:rPr>
        <w:t xml:space="preserve">ARTÍCULO 2.3.1.3.6.61.3. CONSEJO DE LA MEDALLA.</w:t>
      </w:r>
      <w:bookmarkEnd w:id="609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"http://www.redjurista.com/document.aspx?ajcode=d0093021&amp;arts=1"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 de 2021. El nuevo texto es el siguiente:&gt; El Consejo de la Medalla Militar “Protectores de la Espada del Libertador” estará integrado así: </w:t>
      </w:r>
    </w:p>
    <w:tbl>
      <w:tblGrid>
        <w:gridCol w:w="2060"/>
        <w:gridCol w:w="6760"/>
      </w:tblGrid>
      <w:tblPr>
        <w:tblW w:w="8838" w:type="dxa"/>
        <w:tblBorders/>
      </w:tblPr>
      <w:tr>
        <w:trPr/>
        <w:tc>
          <w:tcPr>
            <w:tcW w:w="2079" w:type="dxa"/>
            <w:tcMar/>
            <w:tcBorders/>
          </w:tcPr>
          <w:p>
            <w:pPr>
              <w:jc w:val="both"/>
            </w:pPr>
            <w:r>
              <w:rPr>
                <w:rFonts w:hAnsi="Arial"/>
                <w:rFonts w:ascii="Arial"/>
                <w:sz w:val="24"/>
                <w:color w:val="black"/>
              </w:rPr>
              <w:t xml:space="preserve">Presidente: </w:t>
            </w:r>
          </w:p>
        </w:tc>
        <w:tc>
          <w:tcPr>
            <w:tcW w:w="6759" w:type="dxa"/>
            <w:tcMar/>
            <w:tcBorders/>
          </w:tcPr>
          <w:p>
            <w:pPr>
              <w:jc w:val="both"/>
            </w:pPr>
            <w:r>
              <w:rPr>
                <w:rFonts w:hAnsi="Arial"/>
                <w:rFonts w:ascii="Arial"/>
                <w:sz w:val="24"/>
                <w:color w:val="black"/>
              </w:rPr>
              <w:t xml:space="preserve">Comandante del Ejército. </w:t>
            </w:r>
          </w:p>
        </w:tc>
      </w:tr>
      <w:tr>
        <w:trPr/>
        <w:tc>
          <w:tcPr>
            <w:tcW w:w="2079" w:type="dxa"/>
            <w:tcMar/>
            <w:tcBorders/>
          </w:tcPr>
          <w:p>
            <w:pPr>
              <w:jc w:val="both"/>
            </w:pPr>
            <w:r>
              <w:rPr>
                <w:rFonts w:hAnsi="Arial"/>
                <w:rFonts w:ascii="Arial"/>
                <w:sz w:val="24"/>
                <w:color w:val="black"/>
              </w:rPr>
              <w:t xml:space="preserve">Vicepresidente: </w:t>
            </w:r>
          </w:p>
        </w:tc>
        <w:tc>
          <w:tcPr>
            <w:tcW w:w="6759" w:type="dxa"/>
            <w:tcMar/>
            <w:tcBorders/>
          </w:tcPr>
          <w:p>
            <w:pPr>
              <w:jc w:val="both"/>
            </w:pPr>
            <w:r>
              <w:rPr>
                <w:rFonts w:hAnsi="Arial"/>
                <w:rFonts w:ascii="Arial"/>
                <w:sz w:val="24"/>
                <w:color w:val="black"/>
              </w:rPr>
              <w:t xml:space="preserve">Jefe de Casa Militar. </w:t>
            </w:r>
          </w:p>
        </w:tc>
      </w:tr>
      <w:tr>
        <w:trPr/>
        <w:tc>
          <w:tcPr>
            <w:tcW w:w="2079" w:type="dxa"/>
            <w:tcMar/>
            <w:tcBorders/>
          </w:tcPr>
          <w:p>
            <w:pPr>
              <w:jc w:val="both"/>
            </w:pPr>
            <w:r>
              <w:rPr>
                <w:rFonts w:hAnsi="Arial"/>
                <w:rFonts w:ascii="Arial"/>
                <w:sz w:val="24"/>
                <w:color w:val="black"/>
              </w:rPr>
              <w:t xml:space="preserve">Vocal: </w:t>
            </w:r>
          </w:p>
        </w:tc>
        <w:tc>
          <w:tcPr>
            <w:tcW w:w="6759" w:type="dxa"/>
            <w:tcMar/>
            <w:tcBorders/>
          </w:tcPr>
          <w:p>
            <w:pPr>
              <w:jc w:val="both"/>
            </w:pPr>
            <w:r>
              <w:rPr>
                <w:rFonts w:hAnsi="Arial"/>
                <w:rFonts w:ascii="Arial"/>
                <w:sz w:val="24"/>
                <w:color w:val="black"/>
              </w:rPr>
              <w:t xml:space="preserve">Comandante del Batallón de Infantería número 37 “Guardia Presidencial”. </w:t>
            </w:r>
          </w:p>
        </w:tc>
      </w:tr>
      <w:tr>
        <w:trPr/>
        <w:tc>
          <w:tcPr>
            <w:tcW w:w="2079" w:type="dxa"/>
            <w:tcMar/>
            <w:tcBorders/>
          </w:tcPr>
          <w:p>
            <w:pPr>
              <w:jc w:val="both"/>
            </w:pPr>
            <w:r>
              <w:rPr>
                <w:rFonts w:hAnsi="Arial"/>
                <w:rFonts w:ascii="Arial"/>
                <w:sz w:val="24"/>
                <w:color w:val="black"/>
              </w:rPr>
              <w:t xml:space="preserve">Secretario: </w:t>
            </w:r>
          </w:p>
        </w:tc>
        <w:tc>
          <w:tcPr>
            <w:tcW w:w="6759" w:type="dxa"/>
            <w:tcMar/>
            <w:tcBorders/>
          </w:tcPr>
          <w:p>
            <w:pPr>
              <w:jc w:val="both"/>
            </w:pPr>
            <w:r>
              <w:rPr>
                <w:rFonts w:hAnsi="Arial"/>
                <w:rFonts w:ascii="Arial"/>
                <w:sz w:val="24"/>
                <w:color w:val="black"/>
              </w:rPr>
              <w:t xml:space="preserve">Oficial S3 del Batallón de Infantería número 37 “Guardia Presidencial”. </w:t>
            </w:r>
          </w:p>
        </w:tc>
      </w:tr>
    </w:tbl>
    <w:p>
      <w:pPr>
        <w:jc w:val="both"/>
      </w:pPr>
      <w:rPr>
        <w:color w:val="black"/>
      </w:rPr>
    </w:p>
    <w:p>
      <w:pPr>
        <w:jc w:val="both"/>
      </w:pPr>
      <w:r>
        <w:rPr>
          <w:rFonts w:hAnsi="Arial"/>
          <w:rFonts w:ascii="Arial"/>
          <w:sz w:val="24"/>
          <w:b/>
          <w:vanish/>
          <w:color w:val="black"/>
        </w:rPr>
        <w:t>&amp;$</w:t>
      </w:r>
      <w:bookmarkStart w:id="60922" w:name="2.3.1.3.6.61.4"/>
      <w:r>
        <w:rPr>
          <w:rFonts w:hAnsi="Arial"/>
          <w:rFonts w:ascii="Arial"/>
          <w:sz w:val="24"/>
          <w:color w:val="navy"/>
        </w:rPr>
        <w:t xml:space="preserve">ARTÍCULO 2.3.1.3.6.61.4. REQUISITOS.</w:t>
      </w:r>
      <w:bookmarkEnd w:id="6092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"http://www.redjurista.com/document.aspx?ajcode=d0093021&amp;arts=1"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 de 2021. El nuevo texto es el siguiente:&gt; Los requisitos para el otorgamiento de la medalla militar “Protectores de la Espada del Libertador” son: </w:t>
      </w:r>
    </w:p>
    <w:p>
      <w:pPr>
        <w:jc w:val="both"/>
        <w:outlineLvl w:val="1"/>
      </w:pPr>
      <w:rPr>
        <w:sz w:val="24"/>
        <w:b/>
        <w:color w:val="black"/>
      </w:rPr>
    </w:p>
    <w:p>
      <w:pPr>
        <w:jc w:val="both"/>
        <w:outlineLvl w:val="1"/>
      </w:pPr>
      <w:r>
        <w:rPr>
          <w:rFonts w:hAnsi="Arial"/>
          <w:rFonts w:ascii="Arial"/>
          <w:sz w:val="24"/>
          <w:color w:val="black"/>
        </w:rPr>
        <w:t xml:space="preserve">Para Oficiales y Suboficiales: </w:t>
      </w:r>
    </w:p>
    <w:p>
      <w:pPr>
        <w:jc w:val="both"/>
        <w:outlineLvl w:val="1"/>
      </w:pPr>
      <w:rPr>
        <w:sz w:val="24"/>
        <w:b/>
        <w:color w:val="black"/>
      </w:rPr>
    </w:p>
    <w:p>
      <w:pPr>
        <w:jc w:val="both"/>
        <w:outlineLvl w:val="1"/>
      </w:pPr>
      <w:r>
        <w:rPr>
          <w:rFonts w:hAnsi="Arial"/>
          <w:rFonts w:ascii="Arial"/>
          <w:sz w:val="24"/>
          <w:color w:val="black"/>
        </w:rPr>
        <w:t xml:space="preserve">1. Haber estado comprometido directamente en las actividades de protección, seguridad y el protocolo de la “Espada del Libertador” por un tiempo no menor a un (1) año certificado por el S3 del Batallón de Infantería número 37 “Guardia Presidencial” teniendo como base las órdenes del día de la unidad y el nombramiento de este servicio. </w:t>
      </w:r>
    </w:p>
    <w:p>
      <w:pPr>
        <w:jc w:val="both"/>
        <w:outlineLvl w:val="1"/>
      </w:pPr>
      <w:rPr>
        <w:sz w:val="24"/>
        <w:b/>
        <w:color w:val="black"/>
      </w:rPr>
    </w:p>
    <w:p>
      <w:pPr>
        <w:jc w:val="both"/>
        <w:outlineLvl w:val="1"/>
      </w:pPr>
      <w:r>
        <w:rPr>
          <w:rFonts w:hAnsi="Arial"/>
          <w:rFonts w:ascii="Arial"/>
          <w:sz w:val="24"/>
          <w:color w:val="black"/>
        </w:rPr>
        <w:t xml:space="preserve">2. Que durante los tres (3) últimos años hayan sido clasificados en lista uno (1), dos (2) o tres (3). </w:t>
      </w:r>
    </w:p>
    <w:p>
      <w:pPr>
        <w:jc w:val="both"/>
        <w:outlineLvl w:val="1"/>
      </w:pPr>
      <w:rPr>
        <w:sz w:val="24"/>
        <w:b/>
        <w:color w:val="black"/>
      </w:rPr>
    </w:p>
    <w:p>
      <w:pPr>
        <w:jc w:val="both"/>
        <w:outlineLvl w:val="1"/>
      </w:pPr>
      <w:r>
        <w:rPr>
          <w:rFonts w:hAnsi="Arial"/>
          <w:rFonts w:ascii="Arial"/>
          <w:sz w:val="24"/>
          <w:color w:val="black"/>
        </w:rPr>
        <w:t xml:space="preserve">3. Que durante los tres últimos años no hayan sido objeto de sanción disciplinaria. </w:t>
      </w:r>
    </w:p>
    <w:p>
      <w:pPr>
        <w:jc w:val="both"/>
        <w:outlineLvl w:val="1"/>
      </w:pPr>
      <w:rPr>
        <w:sz w:val="24"/>
        <w:b/>
        <w:color w:val="black"/>
      </w:rPr>
    </w:p>
    <w:p>
      <w:pPr>
        <w:jc w:val="both"/>
        <w:outlineLvl w:val="1"/>
      </w:pPr>
      <w:r>
        <w:rPr>
          <w:rFonts w:hAnsi="Arial"/>
          <w:rFonts w:ascii="Arial"/>
          <w:sz w:val="24"/>
          <w:color w:val="black"/>
        </w:rPr>
        <w:t xml:space="preserve">4. Cinco (5) años de tiempo de Servicio como Oficial o Suboficial. </w:t>
      </w:r>
    </w:p>
    <w:p>
      <w:pPr>
        <w:jc w:val="both"/>
        <w:outlineLvl w:val="1"/>
      </w:pPr>
      <w:rPr>
        <w:sz w:val="24"/>
        <w:b/>
        <w:color w:val="black"/>
      </w:rPr>
    </w:p>
    <w:p>
      <w:pPr>
        <w:jc w:val="both"/>
        <w:outlineLvl w:val="1"/>
      </w:pPr>
      <w:r>
        <w:rPr>
          <w:rFonts w:hAnsi="Arial"/>
          <w:rFonts w:ascii="Arial"/>
          <w:sz w:val="24"/>
          <w:color w:val="black"/>
        </w:rPr>
        <w:t xml:space="preserve">Para Soldados Profesionales y Soldados: </w:t>
      </w:r>
    </w:p>
    <w:p>
      <w:pPr>
        <w:jc w:val="both"/>
        <w:outlineLvl w:val="1"/>
      </w:pPr>
      <w:rPr>
        <w:sz w:val="24"/>
        <w:b/>
        <w:color w:val="black"/>
      </w:rPr>
    </w:p>
    <w:p>
      <w:pPr>
        <w:jc w:val="both"/>
        <w:outlineLvl w:val="1"/>
      </w:pPr>
      <w:r>
        <w:rPr>
          <w:rFonts w:hAnsi="Arial"/>
          <w:rFonts w:ascii="Arial"/>
          <w:sz w:val="24"/>
          <w:color w:val="black"/>
        </w:rPr>
        <w:t xml:space="preserve">1. Que no hayan sido objeto de sanciones disciplinarias durante su,tiempo de servicio militar obligatorio o en los últimos tres (3) años de servicio. </w:t>
      </w:r>
    </w:p>
    <w:p>
      <w:pPr>
        <w:jc w:val="both"/>
        <w:outlineLvl w:val="1"/>
      </w:pPr>
      <w:rPr>
        <w:sz w:val="24"/>
        <w:b/>
        <w:color w:val="black"/>
      </w:rPr>
    </w:p>
    <w:p>
      <w:pPr>
        <w:jc w:val="both"/>
        <w:outlineLvl w:val="1"/>
      </w:pPr>
      <w:r>
        <w:rPr>
          <w:rFonts w:hAnsi="Arial"/>
          <w:rFonts w:ascii="Arial"/>
          <w:sz w:val="24"/>
          <w:color w:val="black"/>
        </w:rPr>
        <w:t xml:space="preserve">2. Que se hayan distinguido entre sus compañeros por haber observado excelente conducta y sobresaliente espíritu militar en el cumplimiento de sus deberes. </w:t>
      </w:r>
    </w:p>
    <w:p>
      <w:pPr>
        <w:jc w:val="both"/>
        <w:outlineLvl w:val="1"/>
      </w:pPr>
      <w:rPr>
        <w:sz w:val="24"/>
        <w:b/>
        <w:color w:val="black"/>
      </w:rPr>
    </w:p>
    <w:p>
      <w:pPr>
        <w:jc w:val="both"/>
        <w:outlineLvl w:val="1"/>
      </w:pPr>
      <w:r>
        <w:rPr>
          <w:rFonts w:hAnsi="Arial"/>
          <w:rFonts w:ascii="Arial"/>
          <w:sz w:val="24"/>
          <w:color w:val="black"/>
        </w:rPr>
        <w:t xml:space="preserve">3. Que tengan un tiempo mínimo de tres (3) meses de servicio militar o cinco (5) años de Servicio como Soldado Profesional. </w:t>
      </w:r>
    </w:p>
    <w:p>
      <w:pPr>
        <w:jc w:val="both"/>
        <w:outlineLvl w:val="1"/>
      </w:pPr>
      <w:rPr>
        <w:sz w:val="24"/>
        <w:b/>
        <w:color w:val="black"/>
      </w:rPr>
    </w:p>
    <w:p>
      <w:pPr>
        <w:jc w:val="both"/>
        <w:outlineLvl w:val="1"/>
      </w:pPr>
      <w:r>
        <w:rPr>
          <w:rFonts w:hAnsi="Arial"/>
          <w:rFonts w:ascii="Arial"/>
          <w:sz w:val="24"/>
          <w:color w:val="black"/>
        </w:rPr>
        <w:t xml:space="preserve">Para todos: </w:t>
      </w:r>
    </w:p>
    <w:p>
      <w:pPr>
        <w:jc w:val="both"/>
        <w:outlineLvl w:val="1"/>
      </w:pPr>
      <w:rPr>
        <w:sz w:val="24"/>
        <w:b/>
        <w:color w:val="black"/>
      </w:rPr>
    </w:p>
    <w:p>
      <w:pPr>
        <w:jc w:val="both"/>
        <w:outlineLvl w:val="1"/>
      </w:pPr>
      <w:r>
        <w:rPr>
          <w:rFonts w:hAnsi="Arial"/>
          <w:rFonts w:ascii="Arial"/>
          <w:sz w:val="24"/>
          <w:color w:val="black"/>
        </w:rPr>
        <w:t xml:space="preserve">1. Que en los últimos tres (3) años no haya sido condenado por la Justicia Penal Militar o la Ordinaria y/o sancionado por autoridad administrativa o disciplinaria. </w:t>
      </w:r>
    </w:p>
    <w:p>
      <w:pPr>
        <w:jc w:val="both"/>
        <w:outlineLvl w:val="1"/>
      </w:pPr>
      <w:rPr>
        <w:sz w:val="24"/>
        <w:b/>
        <w:color w:val="black"/>
      </w:rPr>
    </w:p>
    <w:p>
      <w:pPr>
        <w:jc w:val="both"/>
        <w:outlineLvl w:val="1"/>
      </w:pPr>
      <w:r>
        <w:rPr>
          <w:rFonts w:hAnsi="Arial"/>
          <w:rFonts w:ascii="Arial"/>
          <w:sz w:val="24"/>
          <w:color w:val="black"/>
        </w:rPr>
        <w:t xml:space="preserve">2. Que no haya sido suspendido en el ejercicio de funciones y atribuciones en los últimos tres (3) años. </w:t>
      </w:r>
    </w:p>
    <w:p>
      <w:pPr>
        <w:jc w:val="both"/>
        <w:outlineLvl w:val="1"/>
      </w:pPr>
      <w:rPr>
        <w:sz w:val="24"/>
        <w:b/>
        <w:color w:val="black"/>
      </w:rPr>
    </w:p>
    <w:p>
      <w:pPr>
        <w:jc w:val="both"/>
        <w:outlineLvl w:val="1"/>
      </w:pPr>
      <w:r>
        <w:rPr>
          <w:rFonts w:hAnsi="Arial"/>
          <w:rFonts w:ascii="Arial"/>
          <w:sz w:val="24"/>
          <w:color w:val="black"/>
        </w:rPr>
        <w:t xml:space="preserve">3. Ser orgánicos del Batallón de Infantería número 37 “Guardia Presidencial”, de la Casa Militar de la Presidencia de la Republica o haber sido comisionados por razones del servicio como Guardia de Honor en el servicio de Protectores de la Espada del Libertador. </w:t>
      </w:r>
    </w:p>
    <w:p>
      <w:pPr>
        <w:jc w:val="both"/>
        <w:outlineLvl w:val="1"/>
      </w:pPr>
      <w:rPr>
        <w:sz w:val="24"/>
        <w:b/>
        <w:color w:val="black"/>
      </w:rPr>
    </w:p>
    <w:p>
      <w:pPr>
        <w:jc w:val="both"/>
        <w:outlineLvl w:val="1"/>
      </w:pPr>
      <w:r>
        <w:rPr>
          <w:rFonts w:hAnsi="Arial"/>
          <w:rFonts w:ascii="Arial"/>
          <w:sz w:val="24"/>
          <w:color w:val="black"/>
        </w:rPr>
        <w:t xml:space="preserve">Para Unidades Militares: </w:t>
      </w:r>
    </w:p>
    <w:p>
      <w:pPr>
        <w:jc w:val="both"/>
        <w:outlineLvl w:val="1"/>
      </w:pPr>
      <w:rPr>
        <w:sz w:val="24"/>
        <w:b/>
        <w:color w:val="black"/>
      </w:rPr>
    </w:p>
    <w:p>
      <w:pPr>
        <w:jc w:val="both"/>
        <w:outlineLvl w:val="1"/>
      </w:pPr>
      <w:r>
        <w:rPr>
          <w:rFonts w:hAnsi="Arial"/>
          <w:rFonts w:ascii="Arial"/>
          <w:sz w:val="24"/>
          <w:color w:val="black"/>
        </w:rPr>
        <w:t xml:space="preserve">1. Las Unidades Militares que por razones del servicio sean designadas a custodiar la “Espada del Libertador” cuando la “Espada del Libertador” sea exhibida fuera de la Casa de Nariño y que su misión sea la seguridad de la misma por un tiempo no mínimo de un mes sustentado por una orden de operaciones.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Pérdida del Derecho al Uso. </w:t>
      </w:r>
      <w:r>
        <w:rPr>
          <w:rFonts w:hAnsi="Arial"/>
          <w:rFonts w:ascii="Arial"/>
          <w:sz w:val="24"/>
          <w:color w:val="black"/>
        </w:rPr>
        <w:t xml:space="preserve">Se pierde el derecho al uso de la condecoración por las siguientes causas: El personal de Oficiales, Suboficiales y Soldados Profesionales de acuerdo con el artículo </w:t>
      </w:r>
      <w:r>
        <w:fldChar w:fldCharType="begin"/>
      </w:r>
      <w:r>
        <w:instrText>HYPERLINK "http://www.redjurista.com/document.aspx?ajcode=d1070015&amp;arts=2.3.1.3.1.9"</w:instrText>
      </w:r>
      <w:r>
        <w:fldChar w:fldCharType="separate"/>
      </w:r>
      <w:r>
        <w:rPr>
          <w:rFonts w:hAnsi="Arial"/>
          <w:rFonts w:ascii="Arial"/>
          <w:sz w:val="24"/>
          <w:u w:val="single"/>
          <w:color w:val="black"/>
        </w:rPr>
        <w:t>2.3.1.3.1.9</w:t>
      </w:r>
      <w:r>
        <w:fldChar w:fldCharType="end"/>
      </w:r>
      <w:r>
        <w:rPr>
          <w:rFonts w:hAnsi="Arial"/>
          <w:rFonts w:ascii="Arial"/>
          <w:sz w:val="24"/>
          <w:u w:val="none"/>
          <w:color w:val="black"/>
        </w:rPr>
        <w:t xml:space="preserve"> del Decreto 1070 del 2015. </w:t>
      </w:r>
    </w:p>
    <w:p>
      <w:pPr>
        <w:jc w:val="both"/>
      </w:pPr>
      <w:rPr>
        <w:color w:val="black"/>
      </w:rPr>
    </w:p>
    <w:p>
      <w:pPr>
        <w:jc w:val="both"/>
      </w:pPr>
      <w:r>
        <w:rPr>
          <w:rFonts w:hAnsi="Arial"/>
          <w:rFonts w:ascii="Arial"/>
          <w:sz w:val="24"/>
          <w:b/>
          <w:vanish/>
          <w:color w:val="black"/>
        </w:rPr>
        <w:t>&amp;$</w:t>
      </w:r>
      <w:bookmarkStart w:id="60923" w:name="2.3.1.3.6.61.5"/>
      <w:r>
        <w:rPr>
          <w:rFonts w:hAnsi="Arial"/>
          <w:rFonts w:ascii="Arial"/>
          <w:sz w:val="24"/>
          <w:color w:val="navy"/>
        </w:rPr>
        <w:t xml:space="preserve">ARTÍCULO 2.3.1.3.6.61.5. DIPLOMA.</w:t>
      </w:r>
      <w:bookmarkEnd w:id="6092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"http://www.redjurista.com/document.aspx?ajcode=d0093021&amp;arts=1"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 de 2021. El nuevo texto es el siguiente:&gt; Deben ser elaborados en papel pergamino o cartulina blanca, de las siguientes dimensiones; treinta y dos centímetros de ancho por veintidós de alto, con el dibujo del adverso de la medalla en la parte superior izquierda y el reverso en la parte superior derecha. </w:t>
      </w:r>
    </w:p>
    <w:p>
      <w:pPr>
        <w:jc w:val="center"/>
        <w:outlineLvl w:val="1"/>
      </w:pPr>
      <w:r>
        <w:drawing>
          <wp:inline distT="0" distB="0" distL="0" distR="0">
            <wp:extent cx="4495800" cy="1809750"/>
            <wp:docPr id="25" name=""/>
            <a:graphic xmlns:a="http://schemas.openxmlformats.org/drawingml/2006/main">
              <a:graphicData uri="http://schemas.openxmlformats.org/drawingml/2006/picture">
                <pic:pic xmlns:pic="http://schemas.openxmlformats.org/drawingml/2006/picture">
                  <pic:nvPicPr>
                    <pic:cNvPr id="24" name="Picture "/>
                    <pic:cNvPicPr/>
                  </pic:nvPicPr>
                  <pic:blipFill>
                    <a:blip r:embed="id24"/>
                    <a:stretch>
                      <a:fillRect/>
                    </a:stretch>
                  </pic:blipFill>
                  <pic:spPr>
                    <a:xfrm>
                      <a:off x="0" y="0"/>
                      <a:ext cx="4495800" cy="1809750"/>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24" w:name="SUBSECCIÓN 2.3.1.3.6.62"/>
      <w:r>
        <w:rPr>
          <w:rFonts w:hAnsi="Arial"/>
          <w:rFonts w:ascii="Arial"/>
          <w:sz w:val="24"/>
          <w:color w:val="navy"/>
        </w:rPr>
        <w:t xml:space="preserve">SUBSECCIÓN 62. </w:t>
      </w:r>
    </w:p>
    <w:p>
      <w:pPr>
        <w:jc w:val="center"/>
        <w:outlineLvl w:val="1"/>
      </w:pPr>
      <w:r>
        <w:rPr>
          <w:rFonts w:hAnsi="Arial"/>
          <w:rFonts w:ascii="Arial"/>
          <w:sz w:val="24"/>
          <w:color w:val="navy"/>
        </w:rPr>
        <w:t xml:space="preserve">MEDALLA MILITAR “SIMONA AMAYA”.</w:t>
      </w:r>
      <w:bookmarkEnd w:id="6092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0925" w:name="2.3.1.3.6.62.1"/>
      <w:r>
        <w:rPr>
          <w:rFonts w:hAnsi="Arial"/>
          <w:rFonts w:ascii="Arial"/>
          <w:sz w:val="24"/>
          <w:color w:val="navy"/>
        </w:rPr>
        <w:t xml:space="preserve">ARTÍCULO 2.3.1.3.6.62.1. ORIGEN.</w:t>
      </w:r>
      <w:bookmarkEnd w:id="6092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247 de 2021. El nuevo texto es el siguiente:&gt; Créase en única categoría la Medalla Militar “Simona Amaya”, para premiar y estimular por una sola vez al personal femenino de Oficiales y Suboficiales de las Fuerzas Militares de Colombia, que con su trabajo, colaboración y apoyo se destaquen dentro del ámbito de su competencia, por ser Mujeres Militares valientes, resueltas, emprendedoras, comprometidas en el ejercicio de las misiones encomendadas, que obran con mística y convicción, profesionalismo, espíritu de superación, creativas, innovadoras, arrojadas, disciplinadas, cumplidoras de los deberes y obligaciones, respetuosas del honor militar, pundonorosas; de impoluto patriotismo y espíritu militar. </w:t>
      </w:r>
    </w:p>
    <w:p>
      <w:pPr>
        <w:jc w:val="both"/>
        <w:outlineLvl w:val="1"/>
      </w:pPr>
      <w:rPr>
        <w:sz w:val="24"/>
        <w:color w:val="black"/>
      </w:rPr>
    </w:p>
    <w:p>
      <w:pPr>
        <w:jc w:val="both"/>
        <w:outlineLvl w:val="1"/>
      </w:pPr>
      <w:r>
        <w:rPr>
          <w:rFonts w:hAnsi="Arial"/>
          <w:rFonts w:ascii="Arial"/>
          <w:sz w:val="24"/>
          <w:color w:val="black"/>
        </w:rPr>
        <w:t xml:space="preserve">La Medalla será conferida el día 27 de junio de los años venideros, en conmemoración a la Batalla de Páya en donde “Simona Amaya” lideró heroicamente el asedio, caída y toma del bastión del Trincheron de Sangenís en el Departamento de Boyacá, fortaleza donde reposaban tropas del Ejército Español, propinando un golpe contundente al enemigo y, elevando la moral de los patriotas en su primera victoria como Ejército libertador, lo que le genero reconocimiento, siendo ascendida al grado de Sargento. </w:t>
      </w:r>
    </w:p>
    <w:p>
      <w:pPr>
        <w:jc w:val="both"/>
      </w:pPr>
      <w:rPr>
        <w:color w:val="black"/>
      </w:rPr>
    </w:p>
    <w:p>
      <w:pPr>
        <w:jc w:val="both"/>
      </w:pPr>
      <w:r>
        <w:rPr>
          <w:rFonts w:hAnsi="Arial"/>
          <w:rFonts w:ascii="Arial"/>
          <w:sz w:val="24"/>
          <w:b/>
          <w:vanish/>
          <w:color w:val="black"/>
        </w:rPr>
        <w:t>&amp;$</w:t>
      </w:r>
      <w:bookmarkStart w:id="60926" w:name="2.3.1.3.6.62.2"/>
      <w:r>
        <w:rPr>
          <w:rFonts w:hAnsi="Arial"/>
          <w:rFonts w:ascii="Arial"/>
          <w:sz w:val="24"/>
          <w:color w:val="navy"/>
        </w:rPr>
        <w:t xml:space="preserve">ARTÍCULO 2.3.1.3.6.62.2. CARACTERÍSTICAS.</w:t>
      </w:r>
      <w:bookmarkEnd w:id="6092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"http://www.redjurista.com/document.aspx?ajcode=d0247021&amp;arts=1"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247 de 2021. El nuevo texto es el siguiente:&gt; La joya está conformada por tres piezas, la primera; una base con forma de sol con doce destellos y en sus puntas finaliza en esferas. Internamente lleva una estrella de doce puntas en color púrpura, acabado dorado brillante, pintura al fuego y moldeado en 3D. La segunda pieza es una flor sobrepuesta- de cinco pétalos color rojo con hojas verdes y que en su centro posará la tercera pieza circular, sobrepuesta, con la figura de Simona Amaya, acompañada por. el texto “Medalla Militar” en la parte superior y “Simona Amaya” en la parte inferior, en acabado dorado brillante y moldeado en 3D. La joya estará suspendida por una cinta de 40 mm de ancho x 55 mm de alto, lleva dos franjas laterales de color púrpura, dos franjas más delgadas en color blanco y una franja central en color rosa. La cinta tendrá el sobrepuesto central de la flor de 10 mm de diámetro. A su vez la cinta sostendrá a la joya por “La vesica piscis” (vejiga de pez en latín), es un símbolo hecho con dos círculos del mismo radio que se intersecan de manera que el centro de cada círculo está en la circunferencia del otro. En acabado dorado brillante y moldeado en 3D.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miniatura o réplica será similar a la joya de la condecoración, pero reducida a un diámetro de 20 mm, suspendida por una cinta similar de la joya, de 15 mm de ancho X 35 mm de alto, según lo contemplado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un rectángulo metálico esmaltado de 40 mm de ancho x 10 mm de alto, dividida de igual forma que la cinta; dos franjas laterales de color púrpura, dos franjas más delgadas en color blanco y una franja central en color rosa. En el centro, tendrá como sobrepuesto la misma flor de la cinta de 10 mm de diámetro, pintura al fuego y moldeada en 3D.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anverso tendrá una flor sobrepuesta de cinco pétalos color rojo con hojas verdes y que en su centro posará la tercera pieza circular, sobrepuesta, con la figura de Simona Amaya, acompañada por el texto “Medalla militar” en la parte superior y “Simonía Amaya” en la parte inferior, en acabado dorado brillante y moldeado en 3D. </w:t>
      </w:r>
    </w:p>
    <w:p>
      <w:pPr>
        <w:jc w:val="both"/>
      </w:pPr>
      <w:rPr>
        <w:sz w:val="24"/>
        <w:b/>
        <w:color w:val="black"/>
      </w:rPr>
    </w:p>
    <w:p>
      <w:pPr>
        <w:jc w:val="both"/>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En el reverso estará plasmado el escudo de armas del Comando General de las Fuerzas Militares. A su vez la cinta sostendrá a la joya por “La vesica piscis”- (vejiga de pez en latín), es un símbolo hecho con dos círculos del mismo radio que se intersecan de manera que el centro de cada círculo está en la circunferencia del otro. En acabado dorado brillante y moldeado en 3D. </w:t>
      </w:r>
    </w:p>
    <w:p>
      <w:pPr>
        <w:jc w:val="both"/>
      </w:pPr>
      <w:rPr>
        <w:color w:val="black"/>
      </w:rPr>
    </w:p>
    <w:p>
      <w:pPr>
        <w:jc w:val="both"/>
      </w:pPr>
      <w:r>
        <w:rPr>
          <w:rFonts w:hAnsi="Arial"/>
          <w:rFonts w:ascii="Arial"/>
          <w:sz w:val="24"/>
          <w:b/>
          <w:vanish/>
          <w:color w:val="black"/>
        </w:rPr>
        <w:t>&amp;$</w:t>
      </w:r>
      <w:bookmarkStart w:id="60927" w:name="2.3.1.3.6.62.3"/>
      <w:r>
        <w:rPr>
          <w:rFonts w:hAnsi="Arial"/>
          <w:rFonts w:ascii="Arial"/>
          <w:sz w:val="24"/>
          <w:color w:val="navy"/>
        </w:rPr>
        <w:t xml:space="preserve">ARTÍCULO 2.3.1.3.6.62.3. CONSEJO DE LA MEDALLA.</w:t>
      </w:r>
      <w:bookmarkEnd w:id="60927"/>
      <w:r>
        <w:rPr>
          <w:rFonts w:hAnsi="Arial"/>
          <w:rFonts w:ascii="Arial"/>
          <w:sz w:val="24"/>
          <w:color w:val="black"/>
        </w:rPr>
        <w:t xml:space="preserve"> &lt;Artículo adicionado por el artículo </w:t>
      </w:r>
      <w:r>
        <w:fldChar w:fldCharType="begin"/>
      </w:r>
      <w:r>
        <w:instrText>HYPERLINK "http://www.redjurista.com/document.aspx?ajcode=d0247021&amp;arts=1"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247 de 2021. El nuevo texto es el siguiente:&gt; El Consejo de la Medalla Militar “Simona Amaya” estará integrado así: </w:t>
      </w:r>
    </w:p>
    <w:tbl>
      <w:tblGrid>
        <w:gridCol w:w="2000"/>
        <w:gridCol w:w="6820"/>
      </w:tblGrid>
      <w:tblPr>
        <w:tblW w:w="8838" w:type="dxa"/>
        <w:tblBorders/>
      </w:tblPr>
      <w:tr>
        <w:trPr/>
        <w:tc>
          <w:tcPr>
            <w:tcW w:w="2010" w:type="dxa"/>
            <w:tcMar/>
            <w:tcBorders/>
          </w:tcPr>
          <w:p>
            <w:pPr>
              <w:jc w:val="both"/>
            </w:pPr>
            <w:r>
              <w:rPr>
                <w:rFonts w:hAnsi="Arial"/>
                <w:rFonts w:ascii="Arial"/>
                <w:sz w:val="24"/>
                <w:color w:val="black"/>
              </w:rPr>
              <w:t xml:space="preserve">Presidente: </w:t>
            </w:r>
          </w:p>
        </w:tc>
        <w:tc>
          <w:tcPr>
            <w:tcW w:w="6828" w:type="dxa"/>
            <w:tcMar/>
            <w:tcBorders/>
          </w:tcPr>
          <w:p>
            <w:pPr>
              <w:jc w:val="both"/>
            </w:pPr>
            <w:r>
              <w:rPr>
                <w:rFonts w:hAnsi="Arial"/>
                <w:rFonts w:ascii="Arial"/>
                <w:sz w:val="24"/>
                <w:color w:val="black"/>
              </w:rPr>
              <w:t xml:space="preserve">Comandante General de las Fuerzas Militares </w:t>
            </w:r>
          </w:p>
        </w:tc>
      </w:tr>
      <w:tr>
        <w:trPr/>
        <w:tc>
          <w:tcPr>
            <w:tcW w:w="2010" w:type="dxa"/>
            <w:tcMar/>
            <w:tcBorders/>
          </w:tcPr>
          <w:p>
            <w:pPr>
              <w:jc w:val="both"/>
            </w:pPr>
            <w:r>
              <w:rPr>
                <w:rFonts w:hAnsi="Arial"/>
                <w:rFonts w:ascii="Arial"/>
                <w:sz w:val="24"/>
                <w:color w:val="black"/>
              </w:rPr>
              <w:t xml:space="preserve">Vicepresidente: </w:t>
            </w:r>
          </w:p>
        </w:tc>
        <w:tc>
          <w:tcPr>
            <w:tcW w:w="6828" w:type="dxa"/>
            <w:tcMar/>
            <w:tcBorders/>
          </w:tcPr>
          <w:p>
            <w:pPr>
              <w:jc w:val="both"/>
            </w:pPr>
            <w:r>
              <w:rPr>
                <w:rFonts w:hAnsi="Arial"/>
                <w:rFonts w:ascii="Arial"/>
                <w:sz w:val="24"/>
                <w:color w:val="black"/>
              </w:rPr>
              <w:t xml:space="preserve">Jefe de Estado Mayor Conjunto </w:t>
            </w:r>
          </w:p>
        </w:tc>
      </w:tr>
      <w:tr>
        <w:trPr/>
        <w:tc>
          <w:tcPr>
            <w:tcW w:w="2010" w:type="dxa"/>
            <w:tcMar/>
            <w:tcBorders/>
          </w:tcPr>
          <w:p>
            <w:pPr>
              <w:jc w:val="both"/>
            </w:pPr>
            <w:r>
              <w:rPr>
                <w:rFonts w:hAnsi="Arial"/>
                <w:rFonts w:ascii="Arial"/>
                <w:sz w:val="24"/>
                <w:color w:val="black"/>
              </w:rPr>
              <w:t xml:space="preserve">Vocales: </w:t>
            </w:r>
          </w:p>
        </w:tc>
        <w:tc>
          <w:tcPr>
            <w:tcW w:w="6828" w:type="dxa"/>
            <w:tcMar/>
            <w:tcBorders/>
          </w:tcPr>
          <w:p>
            <w:pPr>
              <w:jc w:val="both"/>
            </w:pPr>
            <w:r>
              <w:rPr>
                <w:rFonts w:hAnsi="Arial"/>
                <w:rFonts w:ascii="Arial"/>
                <w:sz w:val="24"/>
                <w:color w:val="black"/>
              </w:rPr>
              <w:t xml:space="preserve">Comandantes Ejército Nacional, Armada Nacional y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tc>
      </w:tr>
      <w:tr>
        <w:trPr/>
        <w:tc>
          <w:tcPr>
            <w:tcW w:w="2010" w:type="dxa"/>
            <w:tcMar/>
            <w:tcBorders/>
          </w:tcPr>
          <w:p>
            <w:pPr>
              <w:jc w:val="both"/>
            </w:pPr>
            <w:r>
              <w:rPr>
                <w:rFonts w:hAnsi="Arial"/>
                <w:rFonts w:ascii="Arial"/>
                <w:sz w:val="24"/>
                <w:color w:val="black"/>
              </w:rPr>
              <w:t xml:space="preserve">Secretario: </w:t>
            </w:r>
          </w:p>
        </w:tc>
        <w:tc>
          <w:tcPr>
            <w:tcW w:w="6828" w:type="dxa"/>
            <w:tcMar/>
            <w:tcBorders/>
          </w:tcPr>
          <w:p>
            <w:pPr>
              <w:jc w:val="both"/>
            </w:pPr>
            <w:r>
              <w:rPr>
                <w:rFonts w:hAnsi="Arial"/>
                <w:rFonts w:ascii="Arial"/>
                <w:sz w:val="24"/>
                <w:color w:val="black"/>
              </w:rPr>
              <w:t xml:space="preserve">Jefe del Departamento de Personal de Comando General. </w:t>
            </w:r>
          </w:p>
        </w:tc>
      </w:tr>
    </w:tbl>
    <w:p>
      <w:pPr>
        <w:jc w:val="both"/>
      </w:pPr>
      <w:rPr>
        <w:color w:val="black"/>
      </w:rPr>
    </w:p>
    <w:p>
      <w:pPr>
        <w:jc w:val="both"/>
        <w:outlineLvl w:val="1"/>
      </w:pPr>
      <w:r>
        <w:rPr>
          <w:rFonts w:hAnsi="Arial"/>
          <w:rFonts w:ascii="Arial"/>
          <w:sz w:val="24"/>
          <w:b/>
          <w:vanish/>
          <w:color w:val="black"/>
        </w:rPr>
        <w:t>&amp;$</w:t>
      </w:r>
      <w:bookmarkStart w:id="60928" w:name="2.3.1.3.6.62.4"/>
      <w:r>
        <w:rPr>
          <w:rFonts w:hAnsi="Arial"/>
          <w:rFonts w:ascii="Arial"/>
          <w:sz w:val="24"/>
          <w:color w:val="navy"/>
        </w:rPr>
        <w:t xml:space="preserve">ARTÍCULO 2.3.1.3.6.62.4. REQUISITOS.</w:t>
      </w:r>
      <w:bookmarkEnd w:id="60928"/>
      <w:r>
        <w:rPr>
          <w:rFonts w:hAnsi="Arial"/>
          <w:rFonts w:ascii="Arial"/>
          <w:sz w:val="24"/>
          <w:color w:val="black"/>
        </w:rPr>
        <w:t xml:space="preserve"> &lt;Artículo adicionado por el artículo </w:t>
      </w:r>
      <w:r>
        <w:fldChar w:fldCharType="begin"/>
      </w:r>
      <w:r>
        <w:instrText>HYPERLINK "http://www.redjurista.com/document.aspx?ajcode=d0247021&amp;arts=1"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247 de 2021. El nuevo texto es el siguiente:&gt; Los requisitos para el otorgamiento de la medalla militar “Simona Amaya” son: </w:t>
      </w:r>
    </w:p>
    <w:p>
      <w:pPr>
        <w:jc w:val="both"/>
        <w:outlineLvl w:val="1"/>
      </w:pPr>
      <w:rPr>
        <w:sz w:val="24"/>
        <w:b/>
        <w:color w:val="black"/>
      </w:rPr>
    </w:p>
    <w:p>
      <w:pPr>
        <w:jc w:val="both"/>
        <w:outlineLvl w:val="1"/>
      </w:pPr>
      <w:r>
        <w:rPr>
          <w:rFonts w:hAnsi="Arial"/>
          <w:rFonts w:ascii="Arial"/>
          <w:sz w:val="24"/>
          <w:color w:val="black"/>
        </w:rPr>
        <w:t xml:space="preserve">1. Ser militar femenina de jerarquía Oficial o Suboficial de las Fuerzas Militares. </w:t>
      </w:r>
    </w:p>
    <w:p>
      <w:pPr>
        <w:jc w:val="both"/>
        <w:outlineLvl w:val="1"/>
      </w:pPr>
      <w:rPr>
        <w:sz w:val="24"/>
        <w:b/>
        <w:color w:val="black"/>
      </w:rPr>
    </w:p>
    <w:p>
      <w:pPr>
        <w:jc w:val="both"/>
        <w:outlineLvl w:val="1"/>
      </w:pPr>
      <w:r>
        <w:rPr>
          <w:rFonts w:hAnsi="Arial"/>
          <w:rFonts w:ascii="Arial"/>
          <w:sz w:val="24"/>
          <w:color w:val="black"/>
        </w:rPr>
        <w:t xml:space="preserve">2. Que durante los tres (3) últimos años no haya sido suspendido en el ejercicio de funciones y atribuciones. </w:t>
      </w:r>
    </w:p>
    <w:p>
      <w:pPr>
        <w:jc w:val="both"/>
        <w:outlineLvl w:val="1"/>
      </w:pPr>
      <w:rPr>
        <w:sz w:val="24"/>
        <w:b/>
        <w:color w:val="black"/>
      </w:rPr>
    </w:p>
    <w:p>
      <w:pPr>
        <w:jc w:val="both"/>
        <w:outlineLvl w:val="1"/>
      </w:pPr>
      <w:r>
        <w:rPr>
          <w:rFonts w:hAnsi="Arial"/>
          <w:rFonts w:ascii="Arial"/>
          <w:sz w:val="24"/>
          <w:color w:val="black"/>
        </w:rPr>
        <w:t xml:space="preserve">3. Que durante los tres (3) últimos años no haya sido objeto de sanción disciplinaria. </w:t>
      </w:r>
    </w:p>
    <w:p>
      <w:pPr>
        <w:jc w:val="both"/>
        <w:outlineLvl w:val="1"/>
      </w:pPr>
      <w:rPr>
        <w:sz w:val="24"/>
        <w:b/>
        <w:color w:val="black"/>
      </w:rPr>
    </w:p>
    <w:p>
      <w:pPr>
        <w:jc w:val="both"/>
        <w:outlineLvl w:val="1"/>
      </w:pPr>
      <w:r>
        <w:rPr>
          <w:rFonts w:hAnsi="Arial"/>
          <w:rFonts w:ascii="Arial"/>
          <w:sz w:val="24"/>
          <w:color w:val="black"/>
        </w:rPr>
        <w:t xml:space="preserve">4. Que durante los tres (3) últimos años no haya sido condenada por la Justicia Penal Militar o la Ordinaria. </w:t>
      </w:r>
    </w:p>
    <w:p>
      <w:pPr>
        <w:jc w:val="both"/>
        <w:outlineLvl w:val="1"/>
      </w:pPr>
      <w:rPr>
        <w:sz w:val="24"/>
        <w:b/>
        <w:color w:val="black"/>
      </w:rPr>
    </w:p>
    <w:p>
      <w:pPr>
        <w:jc w:val="both"/>
        <w:outlineLvl w:val="1"/>
      </w:pPr>
      <w:r>
        <w:rPr>
          <w:rFonts w:hAnsi="Arial"/>
          <w:rFonts w:ascii="Arial"/>
          <w:sz w:val="24"/>
          <w:color w:val="black"/>
        </w:rPr>
        <w:t xml:space="preserve">5. Que se distinga por sus eminentes servicios prestados a las Fuerzas Militares dentro del cumplimiento de su función en el ejercicio del cargo o prestación del servicio, por sus reconocidas virtudes militares de patriotismo, honor militar, mística, ética, liderazgo, sacrificio, voluntad, disciplina, fortaleza coraje, compromiso, lealtad y valor. </w:t>
      </w:r>
    </w:p>
    <w:p>
      <w:pPr>
        <w:jc w:val="both"/>
      </w:pPr>
      <w:rPr>
        <w:color w:val="black"/>
      </w:rPr>
    </w:p>
    <w:p>
      <w:pPr>
        <w:jc w:val="both"/>
      </w:pPr>
      <w:r>
        <w:rPr>
          <w:rFonts w:hAnsi="Arial"/>
          <w:rFonts w:ascii="Arial"/>
          <w:sz w:val="24"/>
          <w:b/>
          <w:vanish/>
          <w:color w:val="black"/>
        </w:rPr>
        <w:t>&amp;$</w:t>
      </w:r>
      <w:bookmarkStart w:id="60929" w:name="2.3.1.3.6.62.5"/>
      <w:r>
        <w:rPr>
          <w:rFonts w:hAnsi="Arial"/>
          <w:rFonts w:ascii="Arial"/>
          <w:sz w:val="24"/>
          <w:color w:val="navy"/>
        </w:rPr>
        <w:t xml:space="preserve">ARTÍCULO 2.3.1.3.6.62.5. DIPLOMA.</w:t>
      </w:r>
      <w:bookmarkEnd w:id="60929"/>
      <w:r>
        <w:rPr>
          <w:rFonts w:hAnsi="Arial"/>
          <w:rFonts w:ascii="Arial"/>
          <w:sz w:val="24"/>
          <w:color w:val="black"/>
        </w:rPr>
        <w:t xml:space="preserve"> &lt;Artículo adicionado por el artículo </w:t>
      </w:r>
      <w:r>
        <w:fldChar w:fldCharType="begin"/>
      </w:r>
      <w:r>
        <w:instrText>HYPERLINK "http://www.redjurista.com/document.aspx?ajcode=d0247021&amp;arts=1"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247 de 2021. El nuevo texto es el siguiente:&gt; Deben ser elaborados en papel Reemp Kimberly Tradit Marfil con las siguientes dimensiones: treinta y cinco (35) centímetros de largo por veinticinco (25) centímetros de ancho, tipo de letra Edwardian Script ITC, excepto las firmas en tipo de letra; Monotipe Cursiva, con el dibujo del anverso de la medalla al lado izquierdo superior y al lado superior derecho, de fondo el escudo del Comando General y en el centro la siguiente leyenda.</w:t>
      </w:r>
    </w:p>
    <w:p>
      <w:pPr>
        <w:jc w:val="center"/>
      </w:pPr>
      <w:r>
        <w:drawing>
          <wp:inline distT="0" distB="0" distL="0" distR="0">
            <wp:extent cx="3952875" cy="2914650"/>
            <wp:docPr id="26" name=""/>
            <a:graphic xmlns:a="http://schemas.openxmlformats.org/drawingml/2006/main">
              <a:graphicData uri="http://schemas.openxmlformats.org/drawingml/2006/picture">
                <pic:pic xmlns:pic="http://schemas.openxmlformats.org/drawingml/2006/picture">
                  <pic:nvPicPr>
                    <pic:cNvPr id="25" name="Picture "/>
                    <pic:cNvPicPr/>
                  </pic:nvPicPr>
                  <pic:blipFill>
                    <a:blip r:embed="id25"/>
                    <a:stretch>
                      <a:fillRect/>
                    </a:stretch>
                  </pic:blipFill>
                  <pic:spPr>
                    <a:xfrm>
                      <a:off x="0" y="0"/>
                      <a:ext cx="3952875" cy="2914650"/>
                    </a:xfrm>
                    <a:prstGeom prst="rect">
                      <a:avLst/>
                    </a:prstGeom>
                  </pic:spPr>
                </pic:pic>
              </a:graphicData>
            </a:graphic>
          </wp:inline>
        </w:drawing>
      </w:r>
    </w:p>
    <w:p>
      <w:pPr>
        <w:jc w:val="center"/>
        <w:keepNext/>
      </w:pPr>
      <w:rPr>
        <w:sz w:val="24"/>
        <w:color w:val="navy"/>
      </w:rPr>
    </w:p>
    <w:p>
      <w:pPr>
        <w:jc w:val="center"/>
        <w:keepNext/>
      </w:pPr>
      <w:r>
        <w:rPr>
          <w:rFonts w:hAnsi="Arial"/>
          <w:rFonts w:ascii="Arial"/>
          <w:sz w:val="24"/>
          <w:vanish/>
          <w:color w:val="navy"/>
        </w:rPr>
        <w:t>&amp;$</w:t>
      </w:r>
      <w:bookmarkStart w:id="60930" w:name="SUBSECCIÓN 2.3.1.3.63"/>
      <w:r>
        <w:rPr>
          <w:rFonts w:hAnsi="Arial"/>
          <w:rFonts w:ascii="Arial"/>
          <w:sz w:val="24"/>
          <w:color w:val="navy"/>
        </w:rPr>
        <w:t xml:space="preserve">SUBSECCIÓN 63. </w:t>
      </w:r>
    </w:p>
    <w:p>
      <w:pPr>
        <w:jc w:val="center"/>
        <w:keepNext/>
        <w:outlineLvl w:val="1"/>
      </w:pPr>
      <w:r>
        <w:rPr>
          <w:rFonts w:hAnsi="Arial"/>
          <w:rFonts w:ascii="Arial"/>
          <w:sz w:val="24"/>
          <w:color w:val="navy"/>
        </w:rPr>
        <w:t xml:space="preserve">MEDALLA MILITAR “BICENTENARIO DE LA LOGÍSTICA MILITAR”.</w:t>
      </w:r>
      <w:bookmarkEnd w:id="60930"/>
      <w:r>
        <w:rPr>
          <w:rFonts w:hAnsi="Arial"/>
          <w:rFonts w:ascii="Arial"/>
          <w:sz w:val="24"/>
          <w:color w:val="navy"/>
        </w:rPr>
        <w:t xml:space="preserve"> </w:t>
      </w:r>
    </w:p>
    <w:p>
      <w:pPr>
        <w:jc w:val="both"/>
        <w:tabs>
          <w:tab w:val="left" w:leader="none" w:pos="2736"/>
        </w:tabs>
      </w:pPr>
      <w:rPr>
        <w:color w:val="black"/>
      </w:rPr>
    </w:p>
    <w:p>
      <w:pPr>
        <w:jc w:val="both"/>
        <w:tabs>
          <w:tab w:val="left" w:leader="none" w:pos="2736"/>
        </w:tabs>
      </w:pPr>
      <w:r>
        <w:rPr>
          <w:rFonts w:hAnsi="Arial"/>
          <w:rFonts w:ascii="Arial"/>
          <w:sz w:val="24"/>
          <w:vanish/>
          <w:color w:val="navy"/>
        </w:rPr>
        <w:t>&amp;$</w:t>
      </w:r>
      <w:bookmarkStart w:id="60931" w:name="2.3.1.3.6.63.1"/>
      <w:r>
        <w:rPr>
          <w:rFonts w:hAnsi="Arial"/>
          <w:rFonts w:ascii="Arial"/>
          <w:sz w:val="24"/>
          <w:color w:val="navy"/>
        </w:rPr>
        <w:t xml:space="preserve">ARTÍCULO 2.3.1.3.6.63.1. ORIGEN.</w:t>
      </w:r>
      <w:bookmarkEnd w:id="609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1428 de 2021. El nuevo texto es el siguiente:&gt; Créase en única categoría la Medalla Militar “Bicentenario de la Logística Militar”, para premiar y estimular por una sola vez al personal de Oficiales y Suboficiales del Cuerpo Logístico y del Cuerpo Administrativo; Personal de Soldados Profesionales y Servidores públicos del Ministerio de Defensa Nacional al servicio del Cuerpo Logístico y del Cuerpo Administrativo en el Ejército Nacional, que a fecha 12 de junio de 2021 estaban activos, así como a las Unidades Militares creadas y activadas a la misma fecha, quienes han contribuido al progreso, fortalecimiento y alcance de los objetivos misionales, enalteciendo la magna labor y el nombre de la logística colombiana durante estos 200 años al servicio del pueblo colombiano. </w:t>
      </w:r>
    </w:p>
    <w:p>
      <w:pPr>
        <w:jc w:val="both"/>
        <w:tabs>
          <w:tab w:val="left" w:leader="none" w:pos="2736"/>
        </w:tabs>
      </w:pPr>
      <w:rPr>
        <w:sz w:val="24"/>
        <w:color w:val="navy"/>
      </w:rPr>
    </w:p>
    <w:p>
      <w:pPr>
        <w:jc w:val="both"/>
        <w:tabs>
          <w:tab w:val="left" w:leader="none" w:pos="2736"/>
        </w:tabs>
      </w:pPr>
      <w:r>
        <w:rPr>
          <w:rFonts w:hAnsi="Arial"/>
          <w:rFonts w:ascii="Arial"/>
          <w:sz w:val="24"/>
          <w:vanish/>
          <w:color w:val="navy"/>
        </w:rPr>
        <w:t>&amp;$</w:t>
      </w:r>
      <w:bookmarkStart w:id="60932" w:name="2.3.1.3.6.63.2"/>
      <w:r>
        <w:rPr>
          <w:rFonts w:hAnsi="Arial"/>
          <w:rFonts w:ascii="Arial"/>
          <w:sz w:val="24"/>
          <w:color w:val="navy"/>
        </w:rPr>
        <w:t xml:space="preserve">ARTÍCULO 2.3.1.3.6.63.2. CARACTERÍSTICAS.</w:t>
      </w:r>
      <w:bookmarkEnd w:id="609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1428 de 2021. El nuevo texto es el siguiente:&gt; La Joya: Está conformada por cuatro piezas, la primera, una base con forma de sol de ocho puntas, en acabado dorado brillante y moldeado en 3D las cuales representan las seis funciones de conducción de la guerra, el liderazgo y la información que apoya la logística Colombiana mediante la libertad de acción, la segunda es una pieza con forma de estrella con ocho puntas en acabado plateado brillante y moldeado en 3D, cada una de ellas representan los ocho principios del Ejército Nacional, descritos en el Manual Fundamental del Ejercito (MFE 1.0 )El Ejército”, la tercera es un sobrepuesto circular donde en el centro posará la insignia de la Logística Militar en acabado plateado y dorado brillante, moldeado en 3D, finalmente lleva una cuarta pieza sobrepuesta en la parte posterior de la joya; con la figura del puente de Boyacá y el número 200, acompañada por el texto “Campaña Libertadora” en la parte superior e “Íntegros y valientes” en la parte inferior, en acabado dorado brillante y moldeado en 3D.</w:t>
      </w:r>
    </w:p>
    <w:p>
      <w:pPr>
        <w:jc w:val="both"/>
      </w:pPr>
      <w:rPr>
        <w:sz w:val="24"/>
        <w:color w:val="black"/>
      </w:rPr>
    </w:p>
    <w:p>
      <w:pPr>
        <w:jc w:val="both"/>
        <w:outlineLvl w:val="1"/>
      </w:pPr>
      <w:r>
        <w:rPr>
          <w:rFonts w:hAnsi="Arial"/>
          <w:rFonts w:ascii="Arial"/>
          <w:sz w:val="24"/>
          <w:color w:val="black"/>
        </w:rPr>
        <w:t xml:space="preserve">La joya estará suspendida por una cinta de 40mm de ancho x 56mm de alto, lleva dos franjas laterales de 11.25mm de ancho cada una en color gris en alusión a la divisa gris, color representativo de la Logística Colombiana (Pantone 422C), lleva 7 franjas centrales de 2.5 mm de ancho cada una en color rojo (Pantone 186C), amarillo (Pantone 7409C), negro (Pantone black 6C), purpura (Pantone 188C), naranja (Pantone 152C), azul (Pantone 2738C) y celeste (Pantone 660C). Cada uno de estos colores representan las armas de la Fuerza.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miniatura o réplica será similar a la joya de la condecoración, pero reducida a un diámetro de 20 mm, suspendida por una cinta similar de la joya, de 15 mm de ancho X 35 mm de alto.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venera será un rectángulo metálico esmaltado de 40 mm de ancho x 10 mm de alto, dividida de igual forma que la cinta; dos franjas laterales en color gris (Pantone 422 C), lleva 7 franjas centrales en color rojo (Pantone 186 C), amarillo (Pantone 7409 C), negro (Pantone Black 6 C), púrpura (Pantone 188 C), naranja (Pantone 152 C), azul (Pantone 2738 C) y celeste (Pantone 660 C). En el centro, tendrá como sobrepuesto el distintivo de la Logística Militar en acabado plateado y dorado brillante, pintura al fuego y moldeada en 3D. </w:t>
      </w:r>
    </w:p>
    <w:p>
      <w:pPr>
        <w:jc w:val="both"/>
        <w:tabs>
          <w:tab w:val="left" w:leader="none" w:pos="2736"/>
        </w:tabs>
      </w:pPr>
      <w:rPr>
        <w:sz w:val="24"/>
        <w:color w:val="navy"/>
      </w:rPr>
    </w:p>
    <w:p>
      <w:pPr>
        <w:jc w:val="both"/>
        <w:tabs>
          <w:tab w:val="left" w:leader="none" w:pos="2736"/>
        </w:tabs>
      </w:pPr>
      <w:r>
        <w:rPr>
          <w:rFonts w:hAnsi="Arial"/>
          <w:rFonts w:ascii="Arial"/>
          <w:sz w:val="24"/>
          <w:vanish/>
          <w:color w:val="navy"/>
        </w:rPr>
        <w:t>&amp;$</w:t>
      </w:r>
      <w:bookmarkStart w:id="60933" w:name="2.3.1.3.6.63.3"/>
      <w:r>
        <w:rPr>
          <w:rFonts w:hAnsi="Arial"/>
          <w:rFonts w:ascii="Arial"/>
          <w:sz w:val="24"/>
          <w:color w:val="navy"/>
        </w:rPr>
        <w:t xml:space="preserve">ARTÍCULO 2.3.1.3.6.63.3. CONSEJO DE LA MEDALLA.</w:t>
      </w:r>
      <w:bookmarkEnd w:id="609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1428 de 2021. El nuevo texto es el siguiente:&gt; El Consejo de la Medalla Militar “Bicentenario de la Logística Militar” estará integrado así: </w:t>
      </w:r>
    </w:p>
    <w:p>
      <w:pPr>
        <w:jc w:val="both"/>
      </w:pPr>
      <w:rPr>
        <w:sz w:val="24"/>
        <w:b/>
        <w:color w:val="black"/>
      </w:rPr>
    </w:p>
    <w:p>
      <w:pPr>
        <w:jc w:val="both"/>
        <w:outlineLvl w:val="1"/>
      </w:pPr>
      <w:r>
        <w:rPr>
          <w:rFonts w:hAnsi="Arial"/>
          <w:rFonts w:ascii="Arial"/>
          <w:sz w:val="24"/>
          <w:color w:val="black"/>
        </w:rPr>
        <w:t xml:space="preserve">Presidente: Comandante del Ejército Nacional. </w:t>
      </w:r>
    </w:p>
    <w:p>
      <w:pPr>
        <w:jc w:val="both"/>
        <w:outlineLvl w:val="1"/>
      </w:pPr>
      <w:r>
        <w:rPr>
          <w:rFonts w:hAnsi="Arial"/>
          <w:rFonts w:ascii="Arial"/>
          <w:sz w:val="24"/>
          <w:color w:val="black"/>
        </w:rPr>
        <w:t xml:space="preserve">Vicepresidente: Jefe de Estado Mayor Generador de Fuerza. </w:t>
      </w:r>
    </w:p>
    <w:p>
      <w:pPr>
        <w:jc w:val="both"/>
        <w:outlineLvl w:val="1"/>
      </w:pPr>
      <w:r>
        <w:rPr>
          <w:rFonts w:hAnsi="Arial"/>
          <w:rFonts w:ascii="Arial"/>
          <w:sz w:val="24"/>
          <w:color w:val="black"/>
        </w:rPr>
        <w:t xml:space="preserve">Vocal: Comandante del Comando Logístico. </w:t>
      </w:r>
    </w:p>
    <w:p>
      <w:pPr>
        <w:jc w:val="both"/>
        <w:outlineLvl w:val="1"/>
      </w:pPr>
      <w:r>
        <w:rPr>
          <w:rFonts w:hAnsi="Arial"/>
          <w:rFonts w:ascii="Arial"/>
          <w:sz w:val="24"/>
          <w:color w:val="black"/>
        </w:rPr>
        <w:t xml:space="preserve">Secretario: Director Escuela de Logística. </w:t>
      </w:r>
    </w:p>
    <w:p>
      <w:pPr>
        <w:jc w:val="both"/>
        <w:tabs>
          <w:tab w:val="left" w:leader="none" w:pos="2736"/>
        </w:tabs>
      </w:pPr>
      <w:rPr>
        <w:sz w:val="24"/>
        <w:color w:val="navy"/>
      </w:rPr>
    </w:p>
    <w:p>
      <w:pPr>
        <w:jc w:val="both"/>
        <w:tabs>
          <w:tab w:val="left" w:leader="none" w:pos="2736"/>
        </w:tabs>
      </w:pPr>
      <w:r>
        <w:rPr>
          <w:rFonts w:hAnsi="Arial"/>
          <w:rFonts w:ascii="Arial"/>
          <w:sz w:val="24"/>
          <w:vanish/>
          <w:color w:val="navy"/>
        </w:rPr>
        <w:t>&amp;$</w:t>
      </w:r>
      <w:bookmarkStart w:id="60934" w:name="2.3.1.3.6.63.4"/>
      <w:r>
        <w:rPr>
          <w:rFonts w:hAnsi="Arial"/>
          <w:rFonts w:ascii="Arial"/>
          <w:sz w:val="24"/>
          <w:color w:val="navy"/>
        </w:rPr>
        <w:t xml:space="preserve">ARTÍCULO 2.3.1.3.6.63.4. REQUISITOS.</w:t>
      </w:r>
      <w:bookmarkEnd w:id="609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1428 de 2021. El nuevo texto es el siguiente:&gt; Además de los requisitos mínimos contemplados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son necesarios los siguientes requisitos para el otorgamiento de la Medalla Militar “Bicentenario de la Logística Militar”: </w:t>
      </w:r>
    </w:p>
    <w:p>
      <w:pPr>
        <w:jc w:val="both"/>
      </w:pPr>
      <w:rPr>
        <w:sz w:val="24"/>
        <w:b/>
        <w:color w:val="black"/>
      </w:rPr>
    </w:p>
    <w:p>
      <w:pPr>
        <w:jc w:val="both"/>
      </w:pPr>
      <w:r>
        <w:rPr>
          <w:rFonts w:hAnsi="Arial"/>
          <w:rFonts w:ascii="Arial"/>
          <w:sz w:val="24"/>
          <w:color w:val="black"/>
        </w:rPr>
        <w:t xml:space="preserve">Para Unidades Militares</w:t>
      </w:r>
    </w:p>
    <w:p>
      <w:pPr>
        <w:jc w:val="both"/>
        <w:outlineLvl w:val="1"/>
      </w:pPr>
      <w:rPr>
        <w:sz w:val="24"/>
        <w:b/>
        <w:color w:val="black"/>
      </w:rPr>
    </w:p>
    <w:p>
      <w:pPr>
        <w:jc w:val="both"/>
        <w:outlineLvl w:val="1"/>
      </w:pPr>
      <w:r>
        <w:rPr>
          <w:rFonts w:hAnsi="Arial"/>
          <w:rFonts w:ascii="Arial"/>
          <w:sz w:val="24"/>
          <w:color w:val="black"/>
        </w:rPr>
        <w:t xml:space="preserve">- Ser Unidad Militar correspondiente a Unidades Tácticas de apoyo y Servicios para el Combate, Brigada de Apoyo Logístico y sus Unidades Tácticas que se encontraban creadas y activadas a fecha 12 de junio de 2021. </w:t>
      </w:r>
    </w:p>
    <w:p>
      <w:pPr>
        <w:jc w:val="both"/>
        <w:outlineLvl w:val="1"/>
      </w:pPr>
      <w:rPr>
        <w:sz w:val="24"/>
        <w:b/>
        <w:color w:val="black"/>
      </w:rPr>
    </w:p>
    <w:p>
      <w:pPr>
        <w:jc w:val="both"/>
        <w:outlineLvl w:val="1"/>
      </w:pPr>
      <w:r>
        <w:rPr>
          <w:rFonts w:hAnsi="Arial"/>
          <w:rFonts w:ascii="Arial"/>
          <w:sz w:val="24"/>
          <w:color w:val="black"/>
        </w:rPr>
        <w:t xml:space="preserve">Para Oficiales, Suboficiales, Soldados Profesionales y Servidores Públicos del Ministerio de Defensa. </w:t>
      </w:r>
    </w:p>
    <w:p>
      <w:pPr>
        <w:jc w:val="both"/>
        <w:outlineLvl w:val="1"/>
      </w:pPr>
      <w:rPr>
        <w:sz w:val="24"/>
        <w:b/>
        <w:color w:val="black"/>
      </w:rPr>
    </w:p>
    <w:p>
      <w:pPr>
        <w:jc w:val="both"/>
        <w:outlineLvl w:val="1"/>
      </w:pPr>
      <w:r>
        <w:rPr>
          <w:rFonts w:hAnsi="Arial"/>
          <w:rFonts w:ascii="Arial"/>
          <w:sz w:val="24"/>
          <w:color w:val="black"/>
        </w:rPr>
        <w:t xml:space="preserve">- Ser Oficial o Suboficial del Cuerpo Logístico y del Cuerpo Administrativo, Soldado Profesional o Servidor público del Ministerio de Defensa Nacional al servicio del Cuerpo Logístico o del Cuerpo Administrativo en el Ejército Nacional, que a fecha 12 de junio de 2021 estaban activos. </w:t>
      </w:r>
    </w:p>
    <w:p>
      <w:pPr>
        <w:jc w:val="both"/>
        <w:tabs>
          <w:tab w:val="left" w:leader="none" w:pos="2736"/>
        </w:tabs>
      </w:pPr>
      <w:rPr>
        <w:sz w:val="24"/>
        <w:color w:val="navy"/>
      </w:rPr>
    </w:p>
    <w:p>
      <w:pPr>
        <w:jc w:val="both"/>
        <w:tabs>
          <w:tab w:val="left" w:leader="none" w:pos="2736"/>
        </w:tabs>
      </w:pPr>
      <w:r>
        <w:rPr>
          <w:rFonts w:hAnsi="Arial"/>
          <w:rFonts w:ascii="Arial"/>
          <w:sz w:val="24"/>
          <w:vanish/>
          <w:color w:val="navy"/>
        </w:rPr>
        <w:t>&amp;$</w:t>
      </w:r>
      <w:bookmarkStart w:id="60935" w:name="2.3.1.3.6.63.5"/>
      <w:r>
        <w:rPr>
          <w:rFonts w:hAnsi="Arial"/>
          <w:rFonts w:ascii="Arial"/>
          <w:sz w:val="24"/>
          <w:color w:val="navy"/>
        </w:rPr>
        <w:t xml:space="preserve">ARTÍCULO 2.3.1.3.6.63.5. DIPLOMA.</w:t>
      </w:r>
      <w:bookmarkEnd w:id="60935"/>
      <w:r>
        <w:rPr>
          <w:rFonts w:hAnsi="Arial"/>
          <w:rFonts w:ascii="Arial"/>
          <w:sz w:val="24"/>
          <w:color w:val="navy"/>
        </w:rPr>
        <w:t xml:space="preserve"> </w:t>
      </w:r>
      <w:r>
        <w:rPr>
          <w:rFonts w:hAnsi="Arial"/>
          <w:rFonts w:ascii="Arial"/>
          <w:sz w:val="24"/>
          <w:color w:val="black"/>
        </w:rPr>
        <w:t xml:space="preserve">&lt;Artículo adicionado por el artículo </w:t>
      </w:r>
      <w:r>
        <w:fldChar w:fldCharType="begin"/>
      </w:r>
      <w:r>
        <w:instrText>HYPERLINK "http://www.redjurista.com/document.aspx?ajcode=dd1428021&amp;arts=1"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1428 de 2021. El nuevo texto es el siguiente:&gt; Será en papel Reemp Kimberly Tradit Marfil con las siguientes dimensiones: treinta y cinco (35) centímetros de largo por veinticinco (25) centímetros de ancho, tipo de letra Old English Text MT. Título a 31 puntos, texto a quien se otorga y resolución a 18 puntos, nombre medalla a 28 puntos, texto del por qué se otorga el diploma a 18 puntos, firmas a 18 puntos, Ciudad y Fecha a 15 puntos. </w:t>
      </w:r>
    </w:p>
    <w:p>
      <w:pPr>
        <w:jc w:val="center"/>
      </w:pPr>
      <w:r>
        <w:drawing>
          <wp:inline distT="0" distB="0" distL="0" distR="0">
            <wp:extent cx="4029075" cy="2924175"/>
            <wp:docPr id="27" name=""/>
            <a:graphic xmlns:a="http://schemas.openxmlformats.org/drawingml/2006/main">
              <a:graphicData uri="http://schemas.openxmlformats.org/drawingml/2006/picture">
                <pic:pic xmlns:pic="http://schemas.openxmlformats.org/drawingml/2006/picture">
                  <pic:nvPicPr>
                    <pic:cNvPr id="26" name="Picture "/>
                    <pic:cNvPicPr/>
                  </pic:nvPicPr>
                  <pic:blipFill>
                    <a:blip r:embed="id26"/>
                    <a:stretch>
                      <a:fillRect/>
                    </a:stretch>
                  </pic:blipFill>
                  <pic:spPr>
                    <a:xfrm>
                      <a:off x="0" y="0"/>
                      <a:ext cx="4029075" cy="2924175"/>
                    </a:xfrm>
                    <a:prstGeom prst="rect">
                      <a:avLst/>
                    </a:prstGeom>
                  </pic:spPr>
                </pic:pic>
              </a:graphicData>
            </a:graphic>
          </wp:inline>
        </w:drawing>
      </w:r>
    </w:p>
    <w:p>
      <w:pPr>
        <w:jc w:val="center"/>
      </w:pPr>
      <w:r>
        <w:rPr>
          <w:rFonts w:hAnsi="Arial"/>
          <w:rFonts w:ascii="Arial"/>
          <w:sz w:val="24"/>
          <w:vanish/>
          <w:color w:val="black"/>
        </w:rPr>
        <w:t>&amp;$</w:t>
      </w:r>
    </w:p>
    <w:p>
      <w:pPr>
        <w:jc w:val="center"/>
      </w:pPr>
      <w:rPr>
        <w:sz w:val="24"/>
        <w:b/>
        <w:color w:val="black"/>
      </w:rPr>
    </w:p>
    <w:p>
      <w:pPr>
        <w:jc w:val="center"/>
      </w:pPr>
      <w:r>
        <w:rPr>
          <w:rFonts w:hAnsi="Arial"/>
          <w:rFonts w:ascii="Arial"/>
          <w:sz w:val="24"/>
          <w:vanish/>
          <w:color w:val="black"/>
        </w:rPr>
        <w:t>&amp;$</w:t>
      </w:r>
      <w:bookmarkStart w:id="60936" w:name="SUBSECCIÓN 2.3.1.3.6.64"/>
      <w:r>
        <w:rPr>
          <w:rFonts w:hAnsi="Arial"/>
          <w:rFonts w:ascii="Arial"/>
          <w:sz w:val="24"/>
          <w:color w:val="navy"/>
        </w:rPr>
        <w:t xml:space="preserve">SUBSECCIÓN 64. </w:t>
      </w:r>
    </w:p>
    <w:p>
      <w:pPr>
        <w:jc w:val="center"/>
        <w:outlineLvl w:val="1"/>
      </w:pPr>
      <w:r>
        <w:rPr>
          <w:rFonts w:hAnsi="Arial"/>
          <w:rFonts w:ascii="Arial"/>
          <w:sz w:val="24"/>
          <w:color w:val="navy"/>
        </w:rPr>
        <w:t xml:space="preserve">MEDALLA MILITAR “CORAZÓN AZUL”.</w:t>
      </w:r>
      <w:bookmarkEnd w:id="6093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0937" w:name="2.3.1.3.6.64.1"/>
      <w:r>
        <w:rPr>
          <w:rFonts w:hAnsi="Arial"/>
          <w:rFonts w:ascii="Arial"/>
          <w:sz w:val="24"/>
          <w:color w:val="navy"/>
        </w:rPr>
        <w:t xml:space="preserve">ARTÍCULO 2.3.1.3.6.64.1. ORIGEN.</w:t>
      </w:r>
      <w:bookmarkEnd w:id="609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Créase la Medalla Militar “Corazón Azul” para premiar y estimular al personal militar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militares extranjeros que pertenezcan a la Fuerza Aérea de países con los que se lleven a cabo operaciones, ejercicios y mantenimiento de la seguridad en fronteras y espacios insulares, quienes, además, hayan participado conjuntamente en operaciones de restablecimiento del orden interno de la Nación y cuyos aportes, incluyendo la academia, entrenamiento, ciencia y tecnología, logística y apoyo operacional, arrojen resultados positivos para preservar la seguridad de la Nación. </w:t>
      </w:r>
    </w:p>
    <w:p>
      <w:pPr>
        <w:jc w:val="both"/>
        <w:outlineLvl w:val="1"/>
      </w:pPr>
      <w:rPr>
        <w:sz w:val="24"/>
        <w:color w:val="black"/>
      </w:rPr>
    </w:p>
    <w:p>
      <w:pPr>
        <w:jc w:val="both"/>
        <w:outlineLvl w:val="1"/>
      </w:pPr>
      <w:r>
        <w:rPr>
          <w:rFonts w:hAnsi="Arial"/>
          <w:rFonts w:ascii="Arial"/>
          <w:sz w:val="24"/>
          <w:color w:val="black"/>
        </w:rPr>
        <w:t xml:space="preserve">Por ser destinada al personal de tripulaciones y combatientes, esta joya podrá ser otorgada hasta por cinco veces, quedando dicha secuencia consignada, directamente, en la cantidad de estrellas que acompañan la parte superior de la medalla. </w:t>
      </w:r>
    </w:p>
    <w:p>
      <w:pPr>
        <w:jc w:val="both"/>
      </w:pPr>
      <w:rPr>
        <w:sz w:val="24"/>
        <w:b/>
        <w:color w:val="black"/>
      </w:rPr>
    </w:p>
    <w:p>
      <w:pPr>
        <w:jc w:val="both"/>
      </w:pPr>
      <w:r>
        <w:rPr>
          <w:rFonts w:hAnsi="Arial"/>
          <w:rFonts w:ascii="Arial"/>
          <w:sz w:val="24"/>
          <w:b/>
          <w:vanish/>
          <w:color w:val="black"/>
        </w:rPr>
        <w:t>&amp;$</w:t>
      </w:r>
      <w:bookmarkStart w:id="60938" w:name="2.3.1.3.6.64.2"/>
      <w:r>
        <w:rPr>
          <w:rFonts w:hAnsi="Arial"/>
          <w:rFonts w:ascii="Arial"/>
          <w:sz w:val="24"/>
          <w:color w:val="navy"/>
        </w:rPr>
        <w:t xml:space="preserve">ARTÍCULO 2.3.1.3.6.64.2. CARACTERÍSTICAS.</w:t>
      </w:r>
      <w:bookmarkEnd w:id="609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La Joya consiste en una medalla en forma de corazón, de fondo azul medianoche que expresa la transición del día hacia la noche; retoma la esencia de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que, día y noche, vuela, entrena y combate para vencer. El borde, en tono plata, denota un blindaje para hacerle frente a la adversidad y poseer, con valor y entereza, el carácter necesario para defender, con las armas legítimas, la Soberanía Nacional. Al reverso de la misma, va inscrito “mi corazón palpita por la patria”. </w:t>
      </w:r>
    </w:p>
    <w:p>
      <w:pPr>
        <w:jc w:val="both"/>
        <w:outlineLvl w:val="1"/>
      </w:pPr>
      <w:rPr>
        <w:sz w:val="24"/>
        <w:color w:val="black"/>
      </w:rPr>
    </w:p>
    <w:p>
      <w:pPr>
        <w:jc w:val="both"/>
        <w:outlineLvl w:val="1"/>
      </w:pPr>
      <w:r>
        <w:rPr>
          <w:rFonts w:hAnsi="Arial"/>
          <w:rFonts w:ascii="Arial"/>
          <w:sz w:val="24"/>
          <w:color w:val="black"/>
        </w:rPr>
        <w:t xml:space="preserve">La joya tendrá las siguientes dimensiones: Ancho: cuatro (4) centímetros, alto: Un (1) centímetro y espesor: Dos (2) milímetros, su parte intermedia estará compuesta por un vínculo entre el corazón y la cinta superior, el cual corresponde a una parte del escudo institucional del cual se han extraído con la venia de su heráldica, las Alas de Ícaro con tonalidad degradé. </w:t>
      </w:r>
    </w:p>
    <w:p>
      <w:pPr>
        <w:jc w:val="both"/>
        <w:outlineLvl w:val="1"/>
      </w:pPr>
      <w:rPr>
        <w:sz w:val="24"/>
        <w:b/>
        <w:color w:val="black"/>
      </w:rPr>
    </w:p>
    <w:p>
      <w:pPr>
        <w:jc w:val="both"/>
        <w:outlineLvl w:val="1"/>
      </w:pPr>
      <w:r>
        <w:rPr>
          <w:rFonts w:hAnsi="Arial"/>
          <w:rFonts w:ascii="Arial"/>
          <w:sz w:val="24"/>
          <w:color w:val="black"/>
        </w:rPr>
        <w:t xml:space="preserve">La cinta que suspende la joya mantendrá la uniformidad del azul medianoche del corazón; sus bordes, tanto laterales como el superior, también en plata, evocan el tono metalizado de las aeronaves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miniatura o réplica será una medalla similar a la joya de la condecoración descrita, pero reducida a un diámetro de quince (15) milímetros, la cual estará suspendida por una cinta similar a la de la joya, de quince (15) milímetros de ancho por treinta y cinco (35) milímetros de largo y en el centro ostentará los distintivos establecidos para la joya.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venera será una figura rectangular de cuarenta (40) milímetros de largo por diez (10) milímetros de ancho; sus colores serán los mismos que posee la cinta de la joya, centrado llevará una minuatura del corazón en tono azul medianoche, en la categoría por “Primera Vez”, llevará centrada una línea horizontal sobria en azul claro, por cada categoría subsiguiente en que sea otorgada, llevará centrada de manera adicional otra línea horizontal sobria en azul claro, hasta un máximo de cinco líneas correspondiente a su categoría por “Quinta Vez”. </w:t>
      </w:r>
    </w:p>
    <w:p>
      <w:pPr>
        <w:jc w:val="both"/>
      </w:pPr>
      <w:rPr>
        <w:sz w:val="24"/>
        <w:b/>
        <w:color w:val="black"/>
      </w:rPr>
    </w:p>
    <w:p>
      <w:pPr>
        <w:jc w:val="both"/>
      </w:pPr>
      <w:r>
        <w:rPr>
          <w:rFonts w:hAnsi="Arial"/>
          <w:rFonts w:ascii="Arial"/>
          <w:sz w:val="24"/>
          <w:b/>
          <w:vanish/>
          <w:color w:val="black"/>
        </w:rPr>
        <w:t>&amp;$</w:t>
      </w:r>
      <w:bookmarkStart w:id="60939" w:name="2.3.1.3.6.64.3"/>
      <w:r>
        <w:rPr>
          <w:rFonts w:hAnsi="Arial"/>
          <w:rFonts w:ascii="Arial"/>
          <w:sz w:val="24"/>
          <w:color w:val="navy"/>
        </w:rPr>
        <w:t xml:space="preserve">ARTÍCULO 2.3.1.3.6.64.3. CONSEJO DE LA MEDALLA.</w:t>
      </w:r>
      <w:bookmarkEnd w:id="609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El Consejo de la Medalla Militar “Corazón Azul” estará integrado así: </w:t>
      </w:r>
    </w:p>
    <w:p>
      <w:pPr>
        <w:jc w:val="both"/>
        <w:outlineLvl w:val="1"/>
      </w:pPr>
      <w:rPr>
        <w:sz w:val="24"/>
        <w:b/>
        <w:color w:val="black"/>
      </w:rPr>
    </w:p>
    <w:p>
      <w:pPr>
        <w:jc w:val="both"/>
        <w:outlineLvl w:val="1"/>
      </w:pPr>
      <w:r>
        <w:rPr>
          <w:rFonts w:hAnsi="Arial"/>
          <w:rFonts w:ascii="Arial"/>
          <w:sz w:val="24"/>
          <w:color w:val="black"/>
        </w:rPr>
        <w:t xml:space="preserve">Presidente: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
        <w:rPr>
          <w:rFonts w:hAnsi="Arial"/>
          <w:rFonts w:ascii="Arial"/>
          <w:sz w:val="24"/>
          <w:color w:val="black"/>
        </w:rPr>
        <w:t xml:space="preserve">Vicepresidente: Segundo Comandante y Jefe de Estado Mayor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
        <w:rPr>
          <w:rFonts w:hAnsi="Arial"/>
          <w:rFonts w:ascii="Arial"/>
          <w:sz w:val="24"/>
          <w:color w:val="black"/>
        </w:rPr>
        <w:t xml:space="preserve">Vocal: Comandante de Operaciones Aéreas y Espaciales. </w:t>
      </w:r>
    </w:p>
    <w:p>
      <w:pPr>
        <w:jc w:val="both"/>
        <w:outlineLvl w:val="1"/>
      </w:pPr>
      <w:r>
        <w:rPr>
          <w:rFonts w:hAnsi="Arial"/>
          <w:rFonts w:ascii="Arial"/>
          <w:sz w:val="24"/>
          <w:color w:val="black"/>
        </w:rPr>
        <w:t xml:space="preserve">Secretario: Jefe de Combate y Defensa del Espacio Aéreo. </w:t>
      </w:r>
    </w:p>
    <w:p>
      <w:pPr>
        <w:jc w:val="both"/>
      </w:pPr>
      <w:rPr>
        <w:sz w:val="24"/>
        <w:b/>
        <w:color w:val="black"/>
      </w:rPr>
    </w:p>
    <w:p>
      <w:pPr>
        <w:jc w:val="both"/>
      </w:pPr>
      <w:r>
        <w:rPr>
          <w:rFonts w:hAnsi="Arial"/>
          <w:rFonts w:ascii="Arial"/>
          <w:sz w:val="24"/>
          <w:b/>
          <w:vanish/>
          <w:color w:val="black"/>
        </w:rPr>
        <w:t>&amp;$</w:t>
      </w:r>
      <w:bookmarkStart w:id="60940" w:name="2.3.1.3.6.64.4"/>
      <w:r>
        <w:rPr>
          <w:rFonts w:hAnsi="Arial"/>
          <w:rFonts w:ascii="Arial"/>
          <w:sz w:val="24"/>
          <w:color w:val="navy"/>
        </w:rPr>
        <w:t xml:space="preserve">ARTÍCULO 2.3.1.3.6.64.4. REQUISITOS.</w:t>
      </w:r>
      <w:bookmarkEnd w:id="609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Además de los requisitos mínimos contemplados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son necesarios los siguientes requisitos para el otorgamiento de la Medalla Militar “Corazón Azul”: </w:t>
      </w:r>
    </w:p>
    <w:p>
      <w:pPr>
        <w:jc w:val="both"/>
        <w:outlineLvl w:val="1"/>
      </w:pPr>
      <w:rPr>
        <w:sz w:val="24"/>
        <w:b/>
        <w:color w:val="black"/>
      </w:rPr>
    </w:p>
    <w:p>
      <w:pPr>
        <w:jc w:val="both"/>
        <w:outlineLvl w:val="1"/>
      </w:pPr>
      <w:r>
        <w:rPr>
          <w:rFonts w:hAnsi="Arial"/>
          <w:rFonts w:ascii="Arial"/>
          <w:sz w:val="24"/>
          <w:color w:val="black"/>
        </w:rPr>
        <w:t xml:space="preserve">a) Para el personal de Oficiales y Suboficiales: </w:t>
      </w:r>
    </w:p>
    <w:p>
      <w:pPr>
        <w:jc w:val="both"/>
        <w:outlineLvl w:val="1"/>
      </w:pPr>
      <w:rPr>
        <w:sz w:val="24"/>
        <w:b/>
        <w:color w:val="black"/>
      </w:rPr>
    </w:p>
    <w:p>
      <w:pPr>
        <w:jc w:val="both"/>
        <w:outlineLvl w:val="1"/>
      </w:pPr>
      <w:r>
        <w:rPr>
          <w:rFonts w:hAnsi="Arial"/>
          <w:rFonts w:ascii="Arial"/>
          <w:sz w:val="24"/>
          <w:color w:val="black"/>
        </w:rPr>
        <w:t xml:space="preserve">1. Que hayan prestado sus servicios en el desarrollo de operaciones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como mínimo tres (3) años continuos de manera sobresaliente. </w:t>
      </w:r>
    </w:p>
    <w:p>
      <w:pPr>
        <w:jc w:val="both"/>
        <w:outlineLvl w:val="1"/>
      </w:pPr>
      <w:rPr>
        <w:sz w:val="24"/>
        <w:b/>
        <w:color w:val="black"/>
      </w:rPr>
    </w:p>
    <w:p>
      <w:pPr>
        <w:jc w:val="both"/>
        <w:outlineLvl w:val="1"/>
      </w:pPr>
      <w:r>
        <w:rPr>
          <w:rFonts w:hAnsi="Arial"/>
          <w:rFonts w:ascii="Arial"/>
          <w:sz w:val="24"/>
          <w:color w:val="black"/>
        </w:rPr>
        <w:t xml:space="preserve">2. Que las tareas ejecutadas sean de impacto en el proceso y logro de los objetivos estratégicos institucionales y en el desarrollo de operaciones. </w:t>
      </w:r>
    </w:p>
    <w:p>
      <w:pPr>
        <w:jc w:val="both"/>
        <w:outlineLvl w:val="1"/>
      </w:pPr>
      <w:rPr>
        <w:sz w:val="24"/>
        <w:b/>
        <w:color w:val="black"/>
      </w:rPr>
    </w:p>
    <w:p>
      <w:pPr>
        <w:jc w:val="both"/>
        <w:outlineLvl w:val="1"/>
      </w:pPr>
      <w:r>
        <w:rPr>
          <w:rFonts w:hAnsi="Arial"/>
          <w:rFonts w:ascii="Arial"/>
          <w:sz w:val="24"/>
          <w:color w:val="black"/>
        </w:rPr>
        <w:t xml:space="preserve">b) Para el personal militar extranjero: </w:t>
      </w:r>
    </w:p>
    <w:p>
      <w:pPr>
        <w:jc w:val="both"/>
        <w:outlineLvl w:val="1"/>
      </w:pPr>
      <w:rPr>
        <w:sz w:val="24"/>
        <w:b/>
        <w:color w:val="black"/>
      </w:rPr>
    </w:p>
    <w:p>
      <w:pPr>
        <w:jc w:val="both"/>
        <w:outlineLvl w:val="1"/>
      </w:pPr>
      <w:r>
        <w:rPr>
          <w:rFonts w:hAnsi="Arial"/>
          <w:rFonts w:ascii="Arial"/>
          <w:sz w:val="24"/>
          <w:color w:val="black"/>
        </w:rPr>
        <w:t xml:space="preserve">1. Que pertenezcan a la Fuerza Aérea de países con los que se hayan llevado a cabo operaciones y ejercicios para el mantenimiento de la seguridad en fronteras y espacios insulares. </w:t>
      </w:r>
    </w:p>
    <w:p>
      <w:pPr>
        <w:jc w:val="both"/>
        <w:outlineLvl w:val="1"/>
      </w:pPr>
      <w:rPr>
        <w:sz w:val="24"/>
        <w:b/>
        <w:color w:val="black"/>
      </w:rPr>
    </w:p>
    <w:p>
      <w:pPr>
        <w:jc w:val="both"/>
        <w:outlineLvl w:val="1"/>
      </w:pPr>
      <w:r>
        <w:rPr>
          <w:rFonts w:hAnsi="Arial"/>
          <w:rFonts w:ascii="Arial"/>
          <w:sz w:val="24"/>
          <w:color w:val="black"/>
        </w:rPr>
        <w:t xml:space="preserve">2. Que hayan participado conjuntamente en operaciones de restablecimiento del orden interno de la Nación y cuyos aportes, incluyendo la academia, entrenamiento, ciencia y tecnología, logística y apoyo operacional, arrojen resultados positivos para preservar la seguridad de la Nación. </w:t>
      </w:r>
    </w:p>
    <w:p>
      <w:pPr>
        <w:jc w:val="both"/>
      </w:pPr>
      <w:rPr>
        <w:sz w:val="24"/>
        <w:b/>
        <w:color w:val="black"/>
      </w:rPr>
    </w:p>
    <w:p>
      <w:pPr>
        <w:jc w:val="both"/>
      </w:pPr>
      <w:r>
        <w:rPr>
          <w:rFonts w:hAnsi="Arial"/>
          <w:rFonts w:ascii="Arial"/>
          <w:sz w:val="24"/>
          <w:b/>
          <w:vanish/>
          <w:color w:val="black"/>
        </w:rPr>
        <w:t>&amp;$</w:t>
      </w:r>
      <w:bookmarkStart w:id="60941" w:name="2.3.1.3.6.64.5"/>
      <w:r>
        <w:rPr>
          <w:rFonts w:hAnsi="Arial"/>
          <w:rFonts w:ascii="Arial"/>
          <w:sz w:val="24"/>
          <w:color w:val="navy"/>
        </w:rPr>
        <w:t xml:space="preserve">ARTÍCULO 2.3.1.3.6.64.5. DIPLOMA.</w:t>
      </w:r>
      <w:bookmarkEnd w:id="609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Será elaborado en papel pergamino o cartulina blanca, con las siguientes dimensiones: Treinta y cinco (35) centímetros de largo por veinticinco (25) centímetros de ancho, con el dibujo del anverso de la medalla al lado izquierdo superior y el reverso al lado derecho superior, y de fondo la imagen del lago institucional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El contenido en letras corresponderá al siguiente diseño: </w:t>
      </w:r>
    </w:p>
    <w:p>
      <w:pPr>
        <w:jc w:val="center"/>
        <w:outlineLvl w:val="1"/>
      </w:pPr>
      <w:r>
        <w:drawing>
          <wp:inline distT="0" distB="0" distL="0" distR="0">
            <wp:extent cx="4476750" cy="2447925"/>
            <wp:docPr id="28" name=""/>
            <a:graphic xmlns:a="http://schemas.openxmlformats.org/drawingml/2006/main">
              <a:graphicData uri="http://schemas.openxmlformats.org/drawingml/2006/picture">
                <pic:pic xmlns:pic="http://schemas.openxmlformats.org/drawingml/2006/picture">
                  <pic:nvPicPr>
                    <pic:cNvPr id="27" name="Picture "/>
                    <pic:cNvPicPr/>
                  </pic:nvPicPr>
                  <pic:blipFill>
                    <a:blip r:embed="id27"/>
                    <a:stretch>
                      <a:fillRect/>
                    </a:stretch>
                  </pic:blipFill>
                  <pic:spPr>
                    <a:xfrm>
                      <a:off x="0" y="0"/>
                      <a:ext cx="4476750" cy="2447925"/>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42" w:name="SUBSECCIÓN 2.3.1.3.6.65"/>
      <w:r>
        <w:rPr>
          <w:rFonts w:hAnsi="Arial"/>
          <w:rFonts w:ascii="Arial"/>
          <w:sz w:val="24"/>
          <w:color w:val="navy"/>
        </w:rPr>
        <w:t xml:space="preserve">SUBSECCIÓN 65. </w:t>
      </w:r>
    </w:p>
    <w:p>
      <w:pPr>
        <w:jc w:val="center"/>
        <w:outlineLvl w:val="1"/>
      </w:pPr>
      <w:r>
        <w:rPr>
          <w:rFonts w:hAnsi="Arial"/>
          <w:rFonts w:ascii="Arial"/>
          <w:sz w:val="24"/>
          <w:color w:val="navy"/>
        </w:rPr>
        <w:t xml:space="preserve">MEDALLA MILITAR “ALMA MATER ESCUELA MILITAR DE AVIACIÓN”.</w:t>
      </w:r>
      <w:bookmarkEnd w:id="60942"/>
      <w:r>
        <w:rPr>
          <w:rFonts w:hAnsi="Arial"/>
          <w:rFonts w:ascii="Arial"/>
          <w:sz w:val="24"/>
          <w:color w:val="navy"/>
        </w:rPr>
        <w:t xml:space="preserve"> </w:t>
      </w:r>
    </w:p>
    <w:p>
      <w:pPr>
        <w:jc w:val="both"/>
      </w:pPr>
      <w:rPr>
        <w:sz w:val="24"/>
        <w:b/>
        <w:color w:val="black"/>
      </w:rPr>
    </w:p>
    <w:p>
      <w:pPr>
        <w:jc w:val="both"/>
      </w:pPr>
      <w:r>
        <w:rPr>
          <w:rFonts w:hAnsi="Arial"/>
          <w:rFonts w:ascii="Arial"/>
          <w:sz w:val="24"/>
          <w:b/>
          <w:vanish/>
          <w:color w:val="black"/>
        </w:rPr>
        <w:t>&amp;$</w:t>
      </w:r>
      <w:bookmarkStart w:id="60943" w:name="2.3.1.3.6.65.1"/>
      <w:r>
        <w:rPr>
          <w:rFonts w:hAnsi="Arial"/>
          <w:rFonts w:ascii="Arial"/>
          <w:sz w:val="24"/>
          <w:color w:val="navy"/>
        </w:rPr>
        <w:t xml:space="preserve">ARTÍCULO 2.3.1.3.6.65.1. ORIGEN.</w:t>
      </w:r>
      <w:bookmarkEnd w:id="609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Créase en única categoría la Medalla Militar “Alma Mater Escuela Militar de Aviación”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para estimular al personal de Oficiales, Suboficiales, Profesionales Oficiales de la Reserva, Personal de la Reserva Activa, cadetes, alféreces, Unidades Militares, Personal Civil del Sector Defensa, Personal de Entidades Públicas y Privadas, e Instituciones de derecho público, privado, particulares, personalidades nacionales y extranjeras; que se hayan caracterizado por sus méritos militares, profesionales, servicios eminentes prestados en beneficio de la Escuela Militar de Aviación. </w:t>
      </w:r>
    </w:p>
    <w:p>
      <w:pPr>
        <w:jc w:val="both"/>
      </w:pPr>
      <w:rPr>
        <w:sz w:val="24"/>
        <w:b/>
        <w:color w:val="black"/>
      </w:rPr>
    </w:p>
    <w:p>
      <w:pPr>
        <w:jc w:val="both"/>
      </w:pPr>
      <w:r>
        <w:rPr>
          <w:rFonts w:hAnsi="Arial"/>
          <w:rFonts w:ascii="Arial"/>
          <w:sz w:val="24"/>
          <w:b/>
          <w:vanish/>
          <w:color w:val="black"/>
        </w:rPr>
        <w:t>&amp;$</w:t>
      </w:r>
      <w:bookmarkStart w:id="60944" w:name="2.3.1.3.6.65.2"/>
      <w:r>
        <w:rPr>
          <w:rFonts w:hAnsi="Arial"/>
          <w:rFonts w:ascii="Arial"/>
          <w:sz w:val="24"/>
          <w:color w:val="navy"/>
        </w:rPr>
        <w:t xml:space="preserve">ARTÍCULO 2.3.1.3.6.65.2. CARACTERÍSTICAS.</w:t>
      </w:r>
      <w:bookmarkEnd w:id="609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La Joya consiste en una medalla en forma de estrella de 50 milímetros en su máxima extensión de punta a punta, símbolo del grado de subteniente y del modelo de formación estrella de la Escuela Militar de Aviación. Cada Punta motiva los principios fundamentales para ejercer el liderazgo, enmarcados en la Sabiduría (punta superior); en la cual reposan el deseo, el poder, la convicción e iluminación, factores que, a través de la línea amarilla, permitirán llegar más allá de lo que la imaginación puede dictar. Las demás puntas de la estrella, significan el Bien, la Verdad, la Justicia y el Amor. </w:t>
      </w:r>
    </w:p>
    <w:p>
      <w:pPr>
        <w:jc w:val="both"/>
        <w:outlineLvl w:val="1"/>
      </w:pPr>
      <w:rPr>
        <w:sz w:val="24"/>
        <w:b/>
        <w:color w:val="black"/>
      </w:rPr>
    </w:p>
    <w:p>
      <w:pPr>
        <w:jc w:val="both"/>
        <w:outlineLvl w:val="1"/>
      </w:pPr>
      <w:r>
        <w:rPr>
          <w:rFonts w:hAnsi="Arial"/>
          <w:rFonts w:ascii="Arial"/>
          <w:sz w:val="24"/>
          <w:color w:val="black"/>
        </w:rPr>
        <w:t xml:space="preserve">En el centro de la estrella se aprecia un círculo con una profundidad media con fondo de color amarillo, las alas, ubicadas tras la estrella serán de 50 milímetros. Su tonalidad gris metalizada hace parte del concepto plasmado en los bordes de la cinta. Su forma corresponde a las mismas que lleva el escudo de la Escuela y que acompañan la antorcha. </w:t>
      </w:r>
    </w:p>
    <w:p>
      <w:pPr>
        <w:jc w:val="both"/>
        <w:outlineLvl w:val="1"/>
      </w:pPr>
      <w:rPr>
        <w:sz w:val="24"/>
        <w:b/>
        <w:color w:val="black"/>
      </w:rPr>
    </w:p>
    <w:p>
      <w:pPr>
        <w:jc w:val="both"/>
        <w:outlineLvl w:val="1"/>
      </w:pPr>
      <w:r>
        <w:rPr>
          <w:rFonts w:hAnsi="Arial"/>
          <w:rFonts w:ascii="Arial"/>
          <w:sz w:val="24"/>
          <w:color w:val="black"/>
        </w:rPr>
        <w:t xml:space="preserve">En la parte inferior del cuerpo de la joya se aprecia el lema que acompaña el objetivo de quien hace parte de la Fuerza Aérea desde la Academia: “La ciencia mi Ruta, mi meta el Espacio”, escrito en letra de 5 milímetros. En el reverso de la joya se observa la estructura de las alas y una parte de la estrella, inscribiendo los principios que encierran las cinco puntas, junto a la sigla EMAVI. La joya tendrá las siguientes dimensiones: Ancho: cuatro (4) centímetros, alto: Un (1) centímetro y espesor: Dos (2) milímetros. </w:t>
      </w:r>
    </w:p>
    <w:p>
      <w:pPr>
        <w:jc w:val="both"/>
        <w:outlineLvl w:val="1"/>
      </w:pPr>
      <w:rPr>
        <w:sz w:val="24"/>
        <w:b/>
        <w:color w:val="black"/>
      </w:rPr>
    </w:p>
    <w:p>
      <w:pPr>
        <w:jc w:val="both"/>
        <w:outlineLvl w:val="1"/>
      </w:pPr>
      <w:r>
        <w:rPr>
          <w:rFonts w:hAnsi="Arial"/>
          <w:rFonts w:ascii="Arial"/>
          <w:sz w:val="24"/>
          <w:color w:val="black"/>
        </w:rPr>
        <w:t xml:space="preserve">La cinta será en formato vertical con final en delta, inscribe dos colores: azul medianoche de 15 milímetros en cada lado. En el costado central izquierdo se observarán tres estrellas de 5 milímetros, dos (2) franjas verticales laterales de tonalidad gris de 20 milímetros, una línea amarilla vertical de 5 milímetros, cuyo nacimiento proviene del centro de la estrella, en la franja superior horizontal prevalece un tono oscuro, con puntos que asemejan estrellas.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miniatura o replica será similar a la joya de la condecoración, pero reducida a un diámetro de 15 milímetros, la cual estará suspendida por una cinta similar a la de la joya, de 15 milímetros de ancho por 35 milímetros de largo y en el centro ostentará los distintivos establecidos para la joya.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venera, será un rectángulo esmaltado al fuego de cuarenta (40) milímetros de largo por diez (10) milímetros de ancho; sus colores y detalles serán los mismos que la joya y en el centro llevará una estrella como símbolo del primer grado de la oficialidad y el modelo de formación estrella de la Escuela Militar de Aviación. </w:t>
      </w:r>
    </w:p>
    <w:p>
      <w:pPr>
        <w:jc w:val="both"/>
      </w:pPr>
      <w:rPr>
        <w:sz w:val="24"/>
        <w:b/>
        <w:color w:val="black"/>
      </w:rPr>
    </w:p>
    <w:p>
      <w:pPr>
        <w:jc w:val="both"/>
      </w:pPr>
      <w:r>
        <w:rPr>
          <w:rFonts w:hAnsi="Arial"/>
          <w:rFonts w:ascii="Arial"/>
          <w:sz w:val="24"/>
          <w:b/>
          <w:vanish/>
          <w:color w:val="black"/>
        </w:rPr>
        <w:t>&amp;$</w:t>
      </w:r>
      <w:bookmarkStart w:id="60945" w:name="2.3.1.3.6.65.3"/>
      <w:r>
        <w:rPr>
          <w:rFonts w:hAnsi="Arial"/>
          <w:rFonts w:ascii="Arial"/>
          <w:sz w:val="24"/>
          <w:color w:val="navy"/>
        </w:rPr>
        <w:t xml:space="preserve">ARTÍCULO 2.3.1.3.6.65.3. CONSEJO DE LA MEDALLA.</w:t>
      </w:r>
      <w:bookmarkEnd w:id="609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El Consejo de la Medalla Militar “Alma Mater Escuela Militar de Aviación”, estará integrado así: </w:t>
      </w:r>
    </w:p>
    <w:p>
      <w:pPr>
        <w:jc w:val="both"/>
        <w:outlineLvl w:val="1"/>
      </w:pPr>
      <w:rPr>
        <w:sz w:val="24"/>
        <w:b/>
        <w:color w:val="black"/>
      </w:rPr>
    </w:p>
    <w:p>
      <w:pPr>
        <w:jc w:val="both"/>
        <w:outlineLvl w:val="1"/>
      </w:pPr>
      <w:r>
        <w:rPr>
          <w:rFonts w:hAnsi="Arial"/>
          <w:rFonts w:ascii="Arial"/>
          <w:sz w:val="24"/>
          <w:color w:val="black"/>
        </w:rPr>
        <w:t xml:space="preserve">Presidente: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Vicepresidente: Segundo Comandante y Jefe de Estado Mayor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Vocal: Director de la Escuela Militar de Aviación. </w:t>
      </w:r>
    </w:p>
    <w:p>
      <w:pPr>
        <w:jc w:val="both"/>
        <w:outlineLvl w:val="1"/>
      </w:pPr>
      <w:rPr>
        <w:sz w:val="24"/>
        <w:b/>
        <w:color w:val="black"/>
      </w:rPr>
    </w:p>
    <w:p>
      <w:pPr>
        <w:jc w:val="both"/>
        <w:outlineLvl w:val="1"/>
      </w:pPr>
      <w:r>
        <w:rPr>
          <w:rFonts w:hAnsi="Arial"/>
          <w:rFonts w:ascii="Arial"/>
          <w:sz w:val="24"/>
          <w:color w:val="black"/>
        </w:rPr>
        <w:t xml:space="preserve">Secretario: Subdirector de la Escuela Militar de Aviación. </w:t>
      </w:r>
    </w:p>
    <w:p>
      <w:pPr>
        <w:jc w:val="both"/>
      </w:pPr>
      <w:rPr>
        <w:sz w:val="24"/>
        <w:b/>
        <w:color w:val="black"/>
      </w:rPr>
    </w:p>
    <w:p>
      <w:pPr>
        <w:jc w:val="both"/>
      </w:pPr>
      <w:r>
        <w:rPr>
          <w:rFonts w:hAnsi="Arial"/>
          <w:rFonts w:ascii="Arial"/>
          <w:sz w:val="24"/>
          <w:b/>
          <w:vanish/>
          <w:color w:val="black"/>
        </w:rPr>
        <w:t>&amp;$</w:t>
      </w:r>
      <w:bookmarkStart w:id="60946" w:name="2.3.1.3.6.65.4"/>
      <w:r>
        <w:rPr>
          <w:rFonts w:hAnsi="Arial"/>
          <w:rFonts w:ascii="Arial"/>
          <w:sz w:val="24"/>
          <w:color w:val="navy"/>
        </w:rPr>
        <w:t xml:space="preserve">ARTÍCULO 2.3.1.3.6.65.4. REQUISITOS.</w:t>
      </w:r>
      <w:bookmarkEnd w:id="609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Además de los requisitos mínimos contemplados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son necesarios los siguientes requisitos para el otorgamiento de la Medalla Militar “Alma Mater Escuela Militar de Aviación” </w:t>
      </w:r>
    </w:p>
    <w:p>
      <w:pPr>
        <w:jc w:val="both"/>
        <w:outlineLvl w:val="1"/>
      </w:pPr>
      <w:rPr>
        <w:sz w:val="24"/>
        <w:b/>
        <w:color w:val="black"/>
      </w:rPr>
    </w:p>
    <w:p>
      <w:pPr>
        <w:jc w:val="both"/>
        <w:outlineLvl w:val="1"/>
      </w:pPr>
      <w:r>
        <w:rPr>
          <w:rFonts w:hAnsi="Arial"/>
          <w:rFonts w:ascii="Arial"/>
          <w:sz w:val="24"/>
          <w:color w:val="black"/>
        </w:rPr>
        <w:t xml:space="preserve">a) Para personal de Oficiales y Suboficiales en servicio activo </w:t>
      </w:r>
    </w:p>
    <w:p>
      <w:pPr>
        <w:jc w:val="both"/>
        <w:outlineLvl w:val="1"/>
      </w:pPr>
      <w:rPr>
        <w:sz w:val="24"/>
        <w:b/>
        <w:color w:val="black"/>
      </w:rPr>
    </w:p>
    <w:p>
      <w:pPr>
        <w:jc w:val="both"/>
        <w:outlineLvl w:val="1"/>
      </w:pPr>
      <w:r>
        <w:rPr>
          <w:rFonts w:hAnsi="Arial"/>
          <w:rFonts w:ascii="Arial"/>
          <w:sz w:val="24"/>
          <w:color w:val="black"/>
        </w:rPr>
        <w:t xml:space="preserve">1. Que hayan prestado sus servicios a la Escuela Militar de Aviación como mínimo dos (2) años continuos. </w:t>
      </w:r>
    </w:p>
    <w:p>
      <w:pPr>
        <w:jc w:val="both"/>
        <w:outlineLvl w:val="1"/>
      </w:pPr>
      <w:rPr>
        <w:sz w:val="24"/>
        <w:b/>
        <w:color w:val="black"/>
      </w:rPr>
    </w:p>
    <w:p>
      <w:pPr>
        <w:jc w:val="both"/>
        <w:outlineLvl w:val="1"/>
      </w:pPr>
      <w:r>
        <w:rPr>
          <w:rFonts w:hAnsi="Arial"/>
          <w:rFonts w:ascii="Arial"/>
          <w:sz w:val="24"/>
          <w:color w:val="black"/>
        </w:rPr>
        <w:t xml:space="preserve">2. Que las tareas desarrolladas hayan sido de impacto en el proceso y en el logro de los objetivos estratégicos institucionales en la formación de cadetes y alféreces de la Escuela Militar de Aviación. </w:t>
      </w:r>
    </w:p>
    <w:p>
      <w:pPr>
        <w:jc w:val="both"/>
        <w:outlineLvl w:val="1"/>
      </w:pPr>
      <w:rPr>
        <w:sz w:val="24"/>
        <w:b/>
        <w:color w:val="black"/>
      </w:rPr>
    </w:p>
    <w:p>
      <w:pPr>
        <w:jc w:val="both"/>
        <w:outlineLvl w:val="1"/>
      </w:pPr>
      <w:r>
        <w:rPr>
          <w:rFonts w:hAnsi="Arial"/>
          <w:rFonts w:ascii="Arial"/>
          <w:sz w:val="24"/>
          <w:color w:val="black"/>
        </w:rPr>
        <w:t xml:space="preserve">b) Para los servidores públicos del Sector Defensa: </w:t>
      </w:r>
    </w:p>
    <w:p>
      <w:pPr>
        <w:jc w:val="both"/>
        <w:outlineLvl w:val="1"/>
      </w:pPr>
      <w:rPr>
        <w:sz w:val="24"/>
        <w:b/>
        <w:color w:val="black"/>
      </w:rPr>
    </w:p>
    <w:p>
      <w:pPr>
        <w:jc w:val="both"/>
        <w:outlineLvl w:val="1"/>
      </w:pPr>
      <w:r>
        <w:rPr>
          <w:rFonts w:hAnsi="Arial"/>
          <w:rFonts w:ascii="Arial"/>
          <w:sz w:val="24"/>
          <w:color w:val="black"/>
        </w:rPr>
        <w:t xml:space="preserve">Que tengan mínimo cinco (5) años de servicio en la Escuela Militar de Aviación. </w:t>
      </w:r>
    </w:p>
    <w:p>
      <w:pPr>
        <w:jc w:val="both"/>
        <w:outlineLvl w:val="1"/>
      </w:pPr>
      <w:rPr>
        <w:sz w:val="24"/>
        <w:b/>
        <w:color w:val="black"/>
      </w:rPr>
    </w:p>
    <w:p>
      <w:pPr>
        <w:jc w:val="both"/>
        <w:outlineLvl w:val="1"/>
      </w:pPr>
      <w:r>
        <w:rPr>
          <w:rFonts w:hAnsi="Arial"/>
          <w:rFonts w:ascii="Arial"/>
          <w:sz w:val="24"/>
          <w:color w:val="black"/>
        </w:rPr>
        <w:t xml:space="preserve">c) Para personal militar en uso de buen retiro, oficiales profesionales de la reserva, cadetes y alféreces, personalidades nacionales y extranjeras, instituciones de derecho público, privado y particulares. </w:t>
      </w:r>
    </w:p>
    <w:p>
      <w:pPr>
        <w:jc w:val="both"/>
        <w:outlineLvl w:val="1"/>
      </w:pPr>
      <w:rPr>
        <w:sz w:val="24"/>
        <w:b/>
        <w:color w:val="black"/>
      </w:rPr>
    </w:p>
    <w:p>
      <w:pPr>
        <w:jc w:val="both"/>
        <w:outlineLvl w:val="1"/>
      </w:pPr>
      <w:r>
        <w:rPr>
          <w:rFonts w:hAnsi="Arial"/>
          <w:rFonts w:ascii="Arial"/>
          <w:sz w:val="24"/>
          <w:color w:val="black"/>
        </w:rPr>
        <w:t xml:space="preserve">1. Que hayan prestado servicios eminentes a la Escuela Militar de Aviación. </w:t>
      </w:r>
    </w:p>
    <w:p>
      <w:pPr>
        <w:jc w:val="both"/>
        <w:outlineLvl w:val="1"/>
      </w:pPr>
      <w:r>
        <w:rPr>
          <w:rFonts w:hAnsi="Arial"/>
          <w:rFonts w:ascii="Arial"/>
          <w:sz w:val="24"/>
          <w:color w:val="black"/>
        </w:rPr>
        <w:t xml:space="preserve">2. Que reúnan condiciones morales, éticas, profesionales y personales ejemplares. </w:t>
      </w:r>
    </w:p>
    <w:p>
      <w:pPr>
        <w:jc w:val="both"/>
        <w:outlineLvl w:val="1"/>
      </w:pPr>
      <w:r>
        <w:rPr>
          <w:rFonts w:hAnsi="Arial"/>
          <w:rFonts w:ascii="Arial"/>
          <w:sz w:val="24"/>
          <w:color w:val="black"/>
        </w:rPr>
        <w:t xml:space="preserve">3. Que por su posición y méritos se hayan hecho acreedores a esta gracia. </w:t>
      </w:r>
    </w:p>
    <w:p>
      <w:pPr>
        <w:jc w:val="both"/>
      </w:pPr>
      <w:rPr>
        <w:sz w:val="24"/>
        <w:b/>
        <w:color w:val="black"/>
      </w:rPr>
    </w:p>
    <w:p>
      <w:pPr>
        <w:jc w:val="both"/>
      </w:pPr>
      <w:r>
        <w:rPr>
          <w:rFonts w:hAnsi="Arial"/>
          <w:rFonts w:ascii="Arial"/>
          <w:sz w:val="24"/>
          <w:b/>
          <w:vanish/>
          <w:color w:val="black"/>
        </w:rPr>
        <w:t>&amp;$</w:t>
      </w:r>
      <w:bookmarkStart w:id="60947" w:name="2.3.1.3.6.65.5"/>
      <w:r>
        <w:rPr>
          <w:rFonts w:hAnsi="Arial"/>
          <w:rFonts w:ascii="Arial"/>
          <w:sz w:val="24"/>
          <w:color w:val="navy"/>
        </w:rPr>
        <w:t xml:space="preserve">ARTÍCULO 2.3.1.3.6.65.5. DIPLOMA.</w:t>
      </w:r>
      <w:bookmarkEnd w:id="60947"/>
      <w:r>
        <w:rPr>
          <w:rFonts w:hAnsi="Arial"/>
          <w:rFonts w:ascii="Arial"/>
          <w:sz w:val="24"/>
          <w:color w:val="navy"/>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Será elaborado en papel pergamino o cartulina blanca, de las siguientes dimensiones: 35 centímetros de largo por 25 centímetros de ancho, con el dibujo del anverso de la medalla al lado izquierdo superior y el reverso al lado derecho superior, y de fondo la imagen del escudo institucional de la Escuela Militar de Aviación Marco Fidel Suárez. El contenido en letras corresponderá al siguiente diseño:</w:t>
      </w:r>
    </w:p>
    <w:p>
      <w:pPr>
        <w:jc w:val="center"/>
      </w:pPr>
      <w:r>
        <w:drawing>
          <wp:inline distT="0" distB="0" distL="0" distR="0">
            <wp:extent cx="4276725" cy="2314575"/>
            <wp:docPr id="29" name=""/>
            <a:graphic xmlns:a="http://schemas.openxmlformats.org/drawingml/2006/main">
              <a:graphicData uri="http://schemas.openxmlformats.org/drawingml/2006/picture">
                <pic:pic xmlns:pic="http://schemas.openxmlformats.org/drawingml/2006/picture">
                  <pic:nvPicPr>
                    <pic:cNvPr id="28" name="Picture "/>
                    <pic:cNvPicPr/>
                  </pic:nvPicPr>
                  <pic:blipFill>
                    <a:blip r:embed="id28"/>
                    <a:stretch>
                      <a:fillRect/>
                    </a:stretch>
                  </pic:blipFill>
                  <pic:spPr>
                    <a:xfrm>
                      <a:off x="0" y="0"/>
                      <a:ext cx="4276725" cy="2314575"/>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48" w:name="SUBSECCIÓN 2.3.1.3.6.66"/>
      <w:r>
        <w:rPr>
          <w:rFonts w:hAnsi="Arial"/>
          <w:rFonts w:ascii="Arial"/>
          <w:sz w:val="24"/>
          <w:color w:val="navy"/>
        </w:rPr>
        <w:t xml:space="preserve">SUBSECCIÓN 66. </w:t>
      </w:r>
    </w:p>
    <w:p>
      <w:pPr>
        <w:jc w:val="center"/>
        <w:outlineLvl w:val="1"/>
      </w:pPr>
      <w:r>
        <w:rPr>
          <w:rFonts w:hAnsi="Arial"/>
          <w:rFonts w:ascii="Arial"/>
          <w:sz w:val="24"/>
          <w:color w:val="navy"/>
        </w:rPr>
        <w:t xml:space="preserve">MEDALLA MILITAR “SERVICIOS DISTINGUIDOS AL DESARROLLO DE OPERACIONES Y ACTIVIDADES ESPACIALES AD ASTRA”.</w:t>
      </w:r>
      <w:bookmarkEnd w:id="60948"/>
      <w:r>
        <w:rPr>
          <w:rFonts w:hAnsi="Arial"/>
          <w:rFonts w:ascii="Arial"/>
          <w:sz w:val="24"/>
          <w:color w:val="navy"/>
        </w:rPr>
        <w:t xml:space="preserve"> </w:t>
      </w:r>
    </w:p>
    <w:p>
      <w:pPr>
        <w:jc w:val="center"/>
      </w:pPr>
      <w:rPr>
        <w:color w:val="black"/>
      </w:rPr>
    </w:p>
    <w:p>
      <w:pPr>
        <w:jc w:val="both"/>
      </w:pPr>
      <w:r>
        <w:rPr>
          <w:rFonts w:hAnsi="Arial"/>
          <w:rFonts w:ascii="Arial"/>
          <w:sz w:val="24"/>
          <w:b/>
          <w:vanish/>
          <w:color w:val="black"/>
        </w:rPr>
        <w:t>&amp;$</w:t>
      </w:r>
      <w:bookmarkStart w:id="60949" w:name="2.3.1.3.6.66.1"/>
      <w:r>
        <w:rPr>
          <w:rFonts w:hAnsi="Arial"/>
          <w:rFonts w:ascii="Arial"/>
          <w:sz w:val="24"/>
          <w:color w:val="navy"/>
        </w:rPr>
        <w:t xml:space="preserve">ARTÍCULO 2.3.1.3.6.66.1. ORIGEN.</w:t>
      </w:r>
      <w:bookmarkEnd w:id="609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Créase en única categoría la Medalla Militar “Servicios Distinguidos al Desarrollo de Operaciones y Actividades Espaciales AD ASTRA”, para estimular y reconocer al Personal de Oficiales, Suboficiales, Profesionales Oficiales de la Reserva, Personal de la Reserva Activa, Unidades Militares, Personal Civil del Sector Defensa, Personal de Entidades Públicas y Privadas, e Instituciones de derecho público, privado y particulares, personalidades nacionales y extranjeras; que se hayan caracterizado por sus méritos militares, profesionales y servicios eminentes prestados en beneficio del desarrollo espacial de la Nación y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center"/>
      </w:pPr>
      <w:rPr>
        <w:color w:val="black"/>
      </w:rPr>
    </w:p>
    <w:p>
      <w:pPr>
        <w:jc w:val="both"/>
      </w:pPr>
      <w:r>
        <w:rPr>
          <w:rFonts w:hAnsi="Arial"/>
          <w:rFonts w:ascii="Arial"/>
          <w:sz w:val="24"/>
          <w:b/>
          <w:vanish/>
          <w:color w:val="black"/>
        </w:rPr>
        <w:t>&amp;$</w:t>
      </w:r>
      <w:bookmarkStart w:id="60950" w:name="2.3.1.3.6.66.2"/>
      <w:r>
        <w:rPr>
          <w:rFonts w:hAnsi="Arial"/>
          <w:rFonts w:ascii="Arial"/>
          <w:sz w:val="24"/>
          <w:color w:val="navy"/>
        </w:rPr>
        <w:t xml:space="preserve">ARTÍCULO 2.3.1.3.6.66.2. CARACTERÍSTICAS.</w:t>
      </w:r>
      <w:bookmarkEnd w:id="609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La joya consiste en una medalla en forma de estrella de cinco puntas las cuales denotan las áreas por medio las cuales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impulsa y visiona llegar y dominar el espacio, en sus puntas inferiores (bases), tiene la doctrina y la investigación, la punta del centro simboliza las operaciones espaciales, en sus puntas laterales el desarrollo tecnológico y la innovación y finalmente con su punta superior se figura el liderazgo que la institución por medio de capital humano ejerce en el desarrollo espacial del país. </w:t>
      </w:r>
    </w:p>
    <w:p>
      <w:pPr>
        <w:jc w:val="both"/>
        <w:outlineLvl w:val="1"/>
      </w:pPr>
      <w:rPr>
        <w:sz w:val="24"/>
        <w:b/>
        <w:color w:val="black"/>
      </w:rPr>
    </w:p>
    <w:p>
      <w:pPr>
        <w:jc w:val="both"/>
        <w:outlineLvl w:val="1"/>
      </w:pPr>
      <w:r>
        <w:rPr>
          <w:rFonts w:hAnsi="Arial"/>
          <w:rFonts w:ascii="Arial"/>
          <w:sz w:val="24"/>
          <w:color w:val="black"/>
        </w:rPr>
        <w:t xml:space="preserve">La joya estará suspendida por una cinta en formato vertical con final delta en la cual se inscriben dos colores divididos por una franja color azul celeste, representa el renacimiento de una nueva era, que a través del desarrollo cognoscitivo permite la observación, participación y exploración espacial, a distancias que van más allá de la atmósfera terrestre; en la parte superior, se encuentra el color negro, que representa la tierra, punto donde se planea, proyecta y ejecuta el desarrollo de las operaciones y actividades espaciales; la parte inferior será de color azul oscuro, la cual representa de manera visual la transformación de la institución y las exigencias de querer explorar el espacio, lugar en el cual la Institución se ha trazado el objetivo de llegar y dominar a través de la ciencia. La joya tendrá las siguientes dimensiones: Ancho: ocho (8) centímetros, alto: Cinco (5) centímetros y espesor: Dos (2) milímetros.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miniatura o réplica será una medalla similar a la joya de la condecoración descrita, pero reducida a un diámetro de 15 milímetros, la cual estará suspendida por una cinta similar a la de la joya, de 15 milímetros de ancho por 35 milímetros de largo y en el centro ostentará los distintivos establecidos para la joya.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Venera será un rectángulo esmaltado al fuego de cuarenta (40) milímetros de largo por diez (10) milímetros de ancho; sus colores y detalles serán los mismos que la joya y en el centro llevará la estrella descrita anteriormente como símbolo de la fuerza con la que el programa espacial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surge y se mantiene como punta de lanza en la evolución de la institución por llegar al espacio a través de la ciencia. </w:t>
      </w:r>
    </w:p>
    <w:p>
      <w:pPr>
        <w:jc w:val="center"/>
      </w:pPr>
      <w:rPr>
        <w:color w:val="black"/>
      </w:rPr>
    </w:p>
    <w:p>
      <w:pPr>
        <w:jc w:val="both"/>
      </w:pPr>
      <w:r>
        <w:rPr>
          <w:rFonts w:hAnsi="Arial"/>
          <w:rFonts w:ascii="Arial"/>
          <w:sz w:val="24"/>
          <w:b/>
          <w:vanish/>
          <w:color w:val="black"/>
        </w:rPr>
        <w:t>&amp;$</w:t>
      </w:r>
      <w:bookmarkStart w:id="60951" w:name="2.3.1.3.6.66.3"/>
      <w:r>
        <w:rPr>
          <w:rFonts w:hAnsi="Arial"/>
          <w:rFonts w:ascii="Arial"/>
          <w:sz w:val="24"/>
          <w:color w:val="navy"/>
        </w:rPr>
        <w:t xml:space="preserve">ARTÍCULO 2.3.1.3.6.66.3. CONSEJO DE LA MEDALLA.</w:t>
      </w:r>
      <w:bookmarkEnd w:id="609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El Consejo de la Medalla Militar “Servicios Distinguidos al Desarrollo de Operaciones y Actividades Espaciales AD ASTRA”, estará integrado así: </w:t>
      </w:r>
    </w:p>
    <w:p>
      <w:pPr>
        <w:jc w:val="both"/>
        <w:outlineLvl w:val="1"/>
      </w:pPr>
      <w:rPr>
        <w:sz w:val="24"/>
        <w:b/>
        <w:color w:val="black"/>
      </w:rPr>
    </w:p>
    <w:p>
      <w:pPr>
        <w:jc w:val="both"/>
        <w:outlineLvl w:val="1"/>
      </w:pPr>
      <w:r>
        <w:rPr>
          <w:rFonts w:hAnsi="Arial"/>
          <w:rFonts w:ascii="Arial"/>
          <w:sz w:val="24"/>
          <w:color w:val="black"/>
        </w:rPr>
        <w:t xml:space="preserve">Presidente: 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Vicepresidente: Segundo Comandante y Jefe de Estado Mayor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Vocal: Comandante de Operaciones Aéreas y Espaciales. </w:t>
      </w:r>
    </w:p>
    <w:p>
      <w:pPr>
        <w:jc w:val="both"/>
        <w:outlineLvl w:val="1"/>
      </w:pPr>
      <w:rPr>
        <w:sz w:val="24"/>
        <w:b/>
        <w:color w:val="black"/>
      </w:rPr>
    </w:p>
    <w:p>
      <w:pPr>
        <w:jc w:val="both"/>
        <w:outlineLvl w:val="1"/>
      </w:pPr>
      <w:r>
        <w:rPr>
          <w:rFonts w:hAnsi="Arial"/>
          <w:rFonts w:ascii="Arial"/>
          <w:sz w:val="24"/>
          <w:color w:val="black"/>
        </w:rPr>
        <w:t xml:space="preserve">Secretario: Jefatura Operaciones Espaciales. </w:t>
      </w:r>
    </w:p>
    <w:p>
      <w:pPr>
        <w:jc w:val="center"/>
      </w:pPr>
      <w:rPr>
        <w:color w:val="black"/>
      </w:rPr>
    </w:p>
    <w:p>
      <w:pPr>
        <w:jc w:val="both"/>
      </w:pPr>
      <w:r>
        <w:rPr>
          <w:rFonts w:hAnsi="Arial"/>
          <w:rFonts w:ascii="Arial"/>
          <w:sz w:val="24"/>
          <w:b/>
          <w:vanish/>
          <w:color w:val="black"/>
        </w:rPr>
        <w:t>&amp;$</w:t>
      </w:r>
      <w:bookmarkStart w:id="60952" w:name="2.3.1.3.6.66.4"/>
      <w:r>
        <w:rPr>
          <w:rFonts w:hAnsi="Arial"/>
          <w:rFonts w:ascii="Arial"/>
          <w:sz w:val="24"/>
          <w:color w:val="navy"/>
        </w:rPr>
        <w:t xml:space="preserve">ARTÍCULO 2.3.1.3.6.66.4. REQUISITOS.</w:t>
      </w:r>
      <w:bookmarkEnd w:id="609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Además de los requisitos mínimos contemplados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son necesarios los siguientes requisitos para el otorgamiento de la Medalla Militar “Servicios Distinguidos al Desarrollo de Operaciones y Actividades Espaciales AD ASTRA”: </w:t>
      </w:r>
    </w:p>
    <w:p>
      <w:pPr>
        <w:jc w:val="both"/>
        <w:outlineLvl w:val="1"/>
      </w:pPr>
      <w:rPr>
        <w:sz w:val="24"/>
        <w:b/>
        <w:color w:val="black"/>
      </w:rPr>
    </w:p>
    <w:p>
      <w:pPr>
        <w:jc w:val="both"/>
        <w:outlineLvl w:val="1"/>
      </w:pPr>
      <w:r>
        <w:rPr>
          <w:rFonts w:hAnsi="Arial"/>
          <w:rFonts w:ascii="Arial"/>
          <w:sz w:val="24"/>
          <w:color w:val="black"/>
        </w:rPr>
        <w:t xml:space="preserve">a) Para el personal de oficiales y suboficiales. </w:t>
      </w:r>
    </w:p>
    <w:p>
      <w:pPr>
        <w:jc w:val="both"/>
        <w:outlineLvl w:val="1"/>
      </w:pPr>
      <w:rPr>
        <w:sz w:val="24"/>
        <w:b/>
        <w:color w:val="black"/>
      </w:rPr>
    </w:p>
    <w:p>
      <w:pPr>
        <w:jc w:val="both"/>
        <w:outlineLvl w:val="1"/>
      </w:pPr>
      <w:r>
        <w:rPr>
          <w:rFonts w:hAnsi="Arial"/>
          <w:rFonts w:ascii="Arial"/>
          <w:sz w:val="24"/>
          <w:color w:val="black"/>
        </w:rPr>
        <w:t xml:space="preserve">1. Que hayan prestado sus servicios al desarrollo de operaciones y actividades espaciales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como mínimo tres (3) años continuos de manera sobresaliente.</w:t>
      </w:r>
    </w:p>
    <w:p>
      <w:pPr>
        <w:jc w:val="both"/>
        <w:outlineLvl w:val="1"/>
      </w:pPr>
      <w:rPr>
        <w:sz w:val="24"/>
        <w:b/>
        <w:color w:val="black"/>
      </w:rPr>
    </w:p>
    <w:p>
      <w:pPr>
        <w:jc w:val="both"/>
        <w:outlineLvl w:val="1"/>
      </w:pPr>
      <w:r>
        <w:rPr>
          <w:rFonts w:hAnsi="Arial"/>
          <w:rFonts w:ascii="Arial"/>
          <w:sz w:val="24"/>
          <w:color w:val="black"/>
        </w:rPr>
        <w:t xml:space="preserve">2. Que las tareas desarrolladas hayan sido de impacto en el proceso y en el logro de los objetivos estratégicos institucionales, en la ejecución de operaciones y actividades espaciales. </w:t>
      </w:r>
    </w:p>
    <w:p>
      <w:pPr>
        <w:jc w:val="both"/>
        <w:outlineLvl w:val="1"/>
      </w:pPr>
      <w:rPr>
        <w:sz w:val="24"/>
        <w:b/>
        <w:color w:val="black"/>
      </w:rPr>
    </w:p>
    <w:p>
      <w:pPr>
        <w:jc w:val="both"/>
        <w:outlineLvl w:val="1"/>
      </w:pPr>
      <w:r>
        <w:rPr>
          <w:rFonts w:hAnsi="Arial"/>
          <w:rFonts w:ascii="Arial"/>
          <w:sz w:val="24"/>
          <w:color w:val="black"/>
        </w:rPr>
        <w:t xml:space="preserve">b) Para los servidores públicos del Sector Defensa: </w:t>
      </w:r>
    </w:p>
    <w:p>
      <w:pPr>
        <w:jc w:val="both"/>
        <w:outlineLvl w:val="1"/>
      </w:pPr>
      <w:rPr>
        <w:sz w:val="24"/>
        <w:b/>
        <w:color w:val="black"/>
      </w:rPr>
    </w:p>
    <w:p>
      <w:pPr>
        <w:jc w:val="both"/>
        <w:outlineLvl w:val="1"/>
      </w:pPr>
      <w:r>
        <w:rPr>
          <w:rFonts w:hAnsi="Arial"/>
          <w:rFonts w:ascii="Arial"/>
          <w:sz w:val="24"/>
          <w:color w:val="black"/>
        </w:rPr>
        <w:t xml:space="preserve">1. Que tengan mínimo cinco (5) años de servicio, en los cuales hayan desarrollado tareas de impacto en el proceso y en el logro de los objetivos estratégicos institucionales y en el desarrollo de operaciones y actividades espaciales. </w:t>
      </w:r>
    </w:p>
    <w:p>
      <w:pPr>
        <w:jc w:val="both"/>
        <w:outlineLvl w:val="1"/>
      </w:pPr>
      <w:rPr>
        <w:sz w:val="24"/>
        <w:b/>
        <w:color w:val="black"/>
      </w:rPr>
    </w:p>
    <w:p>
      <w:pPr>
        <w:jc w:val="both"/>
        <w:outlineLvl w:val="1"/>
      </w:pPr>
      <w:r>
        <w:rPr>
          <w:rFonts w:hAnsi="Arial"/>
          <w:rFonts w:ascii="Arial"/>
          <w:sz w:val="24"/>
          <w:color w:val="black"/>
        </w:rPr>
        <w:t xml:space="preserve">c) Para personal de Profesionales Oficiales de la Reserva, Personal de la Reserva Activa, Unidades Militares, Personal Civil del Sector Defensa, Personal de Entidades Públicas y Privadas, e Instituciones de derecho público, privado y particulares, personalidades nacionales y extranjeras. </w:t>
      </w:r>
    </w:p>
    <w:p>
      <w:pPr>
        <w:jc w:val="both"/>
        <w:outlineLvl w:val="1"/>
      </w:pPr>
      <w:rPr>
        <w:sz w:val="24"/>
        <w:b/>
        <w:color w:val="black"/>
      </w:rPr>
    </w:p>
    <w:p>
      <w:pPr>
        <w:jc w:val="both"/>
        <w:outlineLvl w:val="1"/>
      </w:pPr>
      <w:r>
        <w:rPr>
          <w:rFonts w:hAnsi="Arial"/>
          <w:rFonts w:ascii="Arial"/>
          <w:sz w:val="24"/>
          <w:color w:val="black"/>
        </w:rPr>
        <w:t xml:space="preserve">1. Que hayan prestado servicios en beneficio del desarrollo e innovación de la Nación y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2. Que reúnan condiciones morales, éticas, profesionales y personales ejemplares. </w:t>
      </w:r>
    </w:p>
    <w:p>
      <w:pPr>
        <w:jc w:val="both"/>
        <w:outlineLvl w:val="1"/>
      </w:pPr>
      <w:rPr>
        <w:sz w:val="24"/>
        <w:b/>
        <w:color w:val="black"/>
      </w:rPr>
    </w:p>
    <w:p>
      <w:pPr>
        <w:jc w:val="both"/>
        <w:outlineLvl w:val="1"/>
      </w:pPr>
      <w:r>
        <w:rPr>
          <w:rFonts w:hAnsi="Arial"/>
          <w:rFonts w:ascii="Arial"/>
          <w:sz w:val="24"/>
          <w:color w:val="black"/>
        </w:rPr>
        <w:t xml:space="preserve">3. Que por su posición y méritos se hayan hecho acreedores a esta gracia. </w:t>
      </w:r>
    </w:p>
    <w:p>
      <w:pPr>
        <w:jc w:val="center"/>
      </w:pPr>
      <w:rPr>
        <w:color w:val="black"/>
      </w:rPr>
    </w:p>
    <w:p>
      <w:pPr>
        <w:jc w:val="both"/>
      </w:pPr>
      <w:r>
        <w:rPr>
          <w:rFonts w:hAnsi="Arial"/>
          <w:rFonts w:ascii="Arial"/>
          <w:sz w:val="24"/>
          <w:b/>
          <w:vanish/>
          <w:color w:val="black"/>
        </w:rPr>
        <w:t>&amp;$</w:t>
      </w:r>
      <w:bookmarkStart w:id="60953" w:name="2.3.1.3.6.66.5"/>
      <w:r>
        <w:rPr>
          <w:rFonts w:hAnsi="Arial"/>
          <w:rFonts w:ascii="Arial"/>
          <w:sz w:val="24"/>
          <w:color w:val="navy"/>
        </w:rPr>
        <w:t xml:space="preserve">ARTÍCULO 2.3.1.3.6.66.5 DIPLOMA.</w:t>
      </w:r>
      <w:bookmarkEnd w:id="6095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"http://www.redjurista.com/document.aspx?ajcode=dd1429021&amp;arts=1"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1429 de 2021. El nuevo texto es el siguiente:&gt; Será elaborado en papel pergamino o cartulina blanca, de las siguientes dimensiones: 35 centímetros de largo por 25 centímetros de ancho, con el dibujo del anverso de la medalla al lado izquierdo superior y el reverso al lado derecho superior y de fondo la imagen del lago institucional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el contenido en letras corresponderá al siguiente diseño: </w:t>
      </w:r>
    </w:p>
    <w:p>
      <w:pPr>
        <w:jc w:val="center"/>
        <w:outlineLvl w:val="1"/>
      </w:pPr>
      <w:r>
        <w:drawing>
          <wp:inline distT="0" distB="0" distL="0" distR="0">
            <wp:extent cx="4324350" cy="2257425"/>
            <wp:docPr id="30" name=""/>
            <a:graphic xmlns:a="http://schemas.openxmlformats.org/drawingml/2006/main">
              <a:graphicData uri="http://schemas.openxmlformats.org/drawingml/2006/picture">
                <pic:pic xmlns:pic="http://schemas.openxmlformats.org/drawingml/2006/picture">
                  <pic:nvPicPr>
                    <pic:cNvPr id="29" name="Picture "/>
                    <pic:cNvPicPr/>
                  </pic:nvPicPr>
                  <pic:blipFill>
                    <a:blip r:embed="id29"/>
                    <a:stretch>
                      <a:fillRect/>
                    </a:stretch>
                  </pic:blipFill>
                  <pic:spPr>
                    <a:xfrm>
                      <a:off x="0" y="0"/>
                      <a:ext cx="4324350" cy="2257425"/>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54" w:name="SUBSECCIÓN 1.3.1.3.6.67"/>
      <w:r>
        <w:rPr>
          <w:rFonts w:hAnsi="Arial"/>
          <w:rFonts w:ascii="Arial"/>
          <w:sz w:val="24"/>
          <w:color w:val="navy"/>
        </w:rPr>
        <w:t xml:space="preserve">SUBSECCIÓN 67.  </w:t>
      </w:r>
    </w:p>
    <w:p>
      <w:pPr>
        <w:jc w:val="center"/>
        <w:outlineLvl w:val="1"/>
      </w:pPr>
      <w:r>
        <w:rPr>
          <w:rFonts w:hAnsi="Arial"/>
          <w:rFonts w:ascii="Arial"/>
          <w:sz w:val="24"/>
          <w:color w:val="navy"/>
        </w:rPr>
        <w:t xml:space="preserve">MEDALLA MILITAR “SERVICIOS DISTINGUIDOS A LA ACCIÓN INTEGRAL”.</w:t>
      </w:r>
      <w:bookmarkEnd w:id="60954"/>
      <w:r>
        <w:rPr>
          <w:rFonts w:hAnsi="Arial"/>
          <w:rFonts w:ascii="Arial"/>
          <w:sz w:val="24"/>
          <w:b/>
          <w:color w:val="black"/>
        </w:rPr>
        <w:t xml:space="preserve"> </w:t>
      </w:r>
    </w:p>
    <w:p>
      <w:pPr>
        <w:jc w:val="both"/>
        <w:outlineLvl w:val="1"/>
      </w:pPr>
      <w:rPr>
        <w:color w:val="black"/>
      </w:rPr>
    </w:p>
    <w:p>
      <w:pPr>
        <w:jc w:val="both"/>
      </w:pPr>
      <w:r>
        <w:rPr>
          <w:rFonts w:hAnsi="Arial"/>
          <w:rFonts w:ascii="Arial"/>
          <w:sz w:val="24"/>
          <w:b/>
          <w:vanish/>
          <w:color w:val="black"/>
        </w:rPr>
        <w:t>&amp;$</w:t>
      </w:r>
      <w:bookmarkStart w:id="60955" w:name="2.3.1.3.6.67.1"/>
      <w:r>
        <w:rPr>
          <w:rFonts w:hAnsi="Arial"/>
          <w:rFonts w:ascii="Arial"/>
          <w:sz w:val="24"/>
          <w:color w:val="navy"/>
        </w:rPr>
        <w:t xml:space="preserve">ARTÍCULO 2.3.1.3.6.67.1. ORIGEN.</w:t>
      </w:r>
      <w:bookmarkEnd w:id="6095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1126 de 2023. El nuevo texto es el siguiente:&gt; Crease en única categoría la Medalla Militar “Servicios Distinguido a la Acción Integral”, para estimular al Personal de Oficiales, Suboficiales, Profesionales Oficiales de la Reserva, Personal de la Reserva Activa, Unidades Militares, Personal Civil del Sector Defensa, Personal de Entidades Públicas y Privadas, e Instituciones de derecho público, privado y particulares, que se hayan caracterizado por sus méritos militares, profesionales y servicios eminentes prestados en beneficio de la Acción Integral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956" w:name="2.3.1.3.6.67.2"/>
      <w:r>
        <w:rPr>
          <w:rFonts w:hAnsi="Arial"/>
          <w:rFonts w:ascii="Arial"/>
          <w:sz w:val="24"/>
          <w:color w:val="navy"/>
        </w:rPr>
        <w:t xml:space="preserve">ARTÍCULO 2.3.1.3.6.67.2. CARACTERÍSTICAS.</w:t>
      </w:r>
      <w:bookmarkEnd w:id="609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1126 de 2023. El nuevo texto es el siguiente:&gt; La Joya: Está conformada por una cruz teutona que representa a través de sus 4 partes la unión de la solidaridad, voluntad de servicio, sinergia operacional y acción unificada. Bordeada por un ribete plateado que integra sus 13 puntas representando los 9 Comandos y 4 Grupos Aéreos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como primer plano ostenta el Águila de Gules, emblema de la aviación militar colombiana. </w:t>
      </w:r>
    </w:p>
    <w:p>
      <w:pPr>
        <w:jc w:val="both"/>
        <w:outlineLvl w:val="1"/>
      </w:pPr>
      <w:rPr>
        <w:sz w:val="24"/>
        <w:color w:val="black"/>
      </w:rPr>
    </w:p>
    <w:p>
      <w:pPr>
        <w:jc w:val="both"/>
        <w:outlineLvl w:val="1"/>
      </w:pPr>
      <w:r>
        <w:rPr>
          <w:rFonts w:hAnsi="Arial"/>
          <w:rFonts w:ascii="Arial"/>
          <w:sz w:val="24"/>
          <w:color w:val="black"/>
        </w:rPr>
        <w:t xml:space="preserve">Así mismo posee un acabado en color plata y azul, con 3 rayos los cuales representan las capacidades de los hombres y mujeres de Acción Integral, de igual manera tiene un lazo metálico troquelado y en relieve grabado en color plata brillante, adicional tiene en su soporte superior, un conector en forma de arco de laureles. </w:t>
      </w:r>
    </w:p>
    <w:p>
      <w:pPr>
        <w:jc w:val="both"/>
        <w:outlineLvl w:val="1"/>
      </w:pPr>
      <w:rPr>
        <w:sz w:val="24"/>
        <w:color w:val="black"/>
      </w:rPr>
    </w:p>
    <w:p>
      <w:pPr>
        <w:jc w:val="both"/>
        <w:outlineLvl w:val="1"/>
      </w:pPr>
      <w:r>
        <w:rPr>
          <w:rFonts w:hAnsi="Arial"/>
          <w:rFonts w:ascii="Arial"/>
          <w:sz w:val="24"/>
          <w:color w:val="black"/>
        </w:rPr>
        <w:t xml:space="preserve">El riel con sujetadores metálico en color plata brillante con su respectivo gancho y este debe ser troquelado para que así pueda ver el interior de la bandera o venera. La cinta se compone por 7 franjas de adentro hacia afuera en cada lado en colores, 3 tonos de gris y 1 azul. La joya en sus dimensiones; tendrá de alto 11.5 cm, ancho 5.5 cm y espesor 2 mm.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venera será un rectángulo de 40 mm de largo por 10 mm de ancho, compuesta por 7 franjas de adentro hacia afuera en cada lado, 3 tonos de gris, en alusión a las cualidades propias del personal de la Especialidad de Protección Integral: sabiduría, corazón y voluntad; y, azul en el centro, en alusión al distintivo de la aviación militar, cuya dimensión será de 1 cm de alto por 4 cm de ancho.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réplica tiene las mismas características que la joya, en sus dimensiones será de 7.3 cm de alto por 3.5 cm de ancho.</w:t>
      </w:r>
    </w:p>
    <w:p>
      <w:pPr>
        <w:jc w:val="both"/>
        <w:outlineLvl w:val="1"/>
      </w:pPr>
      <w:rPr>
        <w:color w:val="black"/>
      </w:rPr>
    </w:p>
    <w:p>
      <w:pPr>
        <w:jc w:val="both"/>
        <w:outlineLvl w:val="1"/>
      </w:pPr>
      <w:r>
        <w:rPr>
          <w:rFonts w:hAnsi="Arial"/>
          <w:rFonts w:ascii="Arial"/>
          <w:sz w:val="24"/>
          <w:b/>
          <w:vanish/>
          <w:color w:val="black"/>
        </w:rPr>
        <w:t>&amp;$</w:t>
      </w:r>
      <w:bookmarkStart w:id="60957" w:name="2.3.1.3.6.67.3"/>
      <w:r>
        <w:rPr>
          <w:rFonts w:hAnsi="Arial"/>
          <w:rFonts w:ascii="Arial"/>
          <w:sz w:val="24"/>
          <w:color w:val="navy"/>
        </w:rPr>
        <w:t xml:space="preserve">ARTÍCULO 2.3.1.3.6.67.3. CONSEJO.</w:t>
      </w:r>
      <w:bookmarkEnd w:id="60957"/>
      <w:r>
        <w:rPr>
          <w:rFonts w:hAnsi="Arial"/>
          <w:rFonts w:ascii="Arial"/>
          <w:sz w:val="24"/>
          <w:color w:val="black"/>
        </w:rPr>
        <w:t xml:space="preserve"> &lt;Artículo adicionado por el artículo </w:t>
      </w:r>
      <w:r>
        <w:fldChar w:fldCharType="begin"/>
      </w:r>
      <w:r>
        <w:instrText>HYPERLINK "http://www.redjurista.com/document.aspx?ajcode=d1126023&amp;arts=1"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1126 de 2023. El nuevo texto es el siguiente:&gt; El Consejo de la Medalla Militar “Servicios Distinguidos a la Acción Integral”,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estará conformado de la siguiente manera: </w:t>
      </w:r>
    </w:p>
    <w:tbl>
      <w:tblGrid>
        <w:gridCol w:w="1900"/>
        <w:gridCol w:w="6920"/>
      </w:tblGrid>
      <w:tblPr>
        <w:tblW w:w="8838" w:type="dxa"/>
        <w:tblBorders/>
      </w:tblPr>
      <w:tr>
        <w:trPr/>
        <w:tc>
          <w:tcPr>
            <w:tcW w:w="1906" w:type="dxa"/>
            <w:tcMar/>
            <w:tcBorders>
              <w:top w:val="single" w:sz="1" w:space="0" w:color="auto"/>
              <w:left w:val="single" w:sz="7" w:space="0" w:color="auto"/>
            </w:tcBorders>
          </w:tcPr>
          <w:p>
            <w:pPr>
              <w:jc w:val="both"/>
            </w:pPr>
            <w:r>
              <w:rPr>
                <w:rFonts w:hAnsi="Arial"/>
                <w:rFonts w:ascii="Arial"/>
                <w:sz w:val="24"/>
                <w:b/>
                <w:color w:val="black"/>
              </w:rPr>
              <w:t xml:space="preserve">Presidente: </w:t>
            </w:r>
          </w:p>
        </w:tc>
        <w:tc>
          <w:tcPr>
            <w:tcW w:w="6932"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Comandante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tc>
      </w:tr>
      <w:tr>
        <w:trPr/>
        <w:tc>
          <w:tcPr>
            <w:tcW w:w="1906" w:type="dxa"/>
            <w:tcMar/>
            <w:tcBorders>
              <w:top w:val="single" w:sz="1" w:space="0" w:color="auto"/>
              <w:left w:val="single" w:sz="7" w:space="0" w:color="auto"/>
            </w:tcBorders>
          </w:tcPr>
          <w:p>
            <w:pPr>
              <w:jc w:val="both"/>
            </w:pPr>
            <w:r>
              <w:rPr>
                <w:rFonts w:hAnsi="Arial"/>
                <w:rFonts w:ascii="Arial"/>
                <w:sz w:val="24"/>
                <w:b/>
                <w:color w:val="black"/>
              </w:rPr>
              <w:t xml:space="preserve">Vicepresidente: </w:t>
            </w:r>
          </w:p>
        </w:tc>
        <w:tc>
          <w:tcPr>
            <w:tcW w:w="6932"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Segundo Comandante y Jefe de Estado Mayor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tc>
      </w:tr>
      <w:tr>
        <w:trPr/>
        <w:tc>
          <w:tcPr>
            <w:tcW w:w="1906" w:type="dxa"/>
            <w:tcMar/>
            <w:tcBorders>
              <w:top w:val="single" w:sz="1" w:space="0" w:color="auto"/>
              <w:left w:val="single" w:sz="7" w:space="0" w:color="auto"/>
            </w:tcBorders>
          </w:tcPr>
          <w:p>
            <w:pPr>
              <w:jc w:val="both"/>
            </w:pPr>
            <w:r>
              <w:rPr>
                <w:rFonts w:hAnsi="Arial"/>
                <w:rFonts w:ascii="Arial"/>
                <w:sz w:val="24"/>
                <w:b/>
                <w:color w:val="black"/>
              </w:rPr>
              <w:t xml:space="preserve">Secretario: </w:t>
            </w:r>
          </w:p>
        </w:tc>
        <w:tc>
          <w:tcPr>
            <w:tcW w:w="6932"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Comandante Comando de Desarrollo Humano </w:t>
            </w:r>
          </w:p>
        </w:tc>
      </w:tr>
      <w:tr>
        <w:trPr/>
        <w:tc>
          <w:tcPr>
            <w:tcW w:w="1906" w:type="dxa"/>
            <w:tcMar/>
            <w:tcBorders>
              <w:top w:val="single" w:sz="1" w:space="0" w:color="auto"/>
              <w:left w:val="single" w:sz="7" w:space="0" w:color="auto"/>
              <w:bottom w:val="single" w:sz="1" w:space="0" w:color="auto"/>
            </w:tcBorders>
          </w:tcPr>
          <w:p>
            <w:pPr>
              <w:jc w:val="both"/>
            </w:pPr>
            <w:r>
              <w:rPr>
                <w:rFonts w:hAnsi="Arial"/>
                <w:rFonts w:ascii="Arial"/>
                <w:sz w:val="24"/>
                <w:b/>
                <w:color w:val="black"/>
              </w:rPr>
              <w:t xml:space="preserve">Vocal: </w:t>
            </w:r>
          </w:p>
        </w:tc>
        <w:tc>
          <w:tcPr>
            <w:tcW w:w="6932" w:type="dxa"/>
            <w:tcMar/>
            <w:tcBorders>
              <w:top w:val="single" w:sz="1" w:space="0" w:color="auto"/>
              <w:left w:val="single" w:sz="1" w:space="0" w:color="auto"/>
              <w:right w:val="single" w:sz="7" w:space="0" w:color="auto"/>
              <w:bottom w:val="single" w:sz="1" w:space="0" w:color="auto"/>
            </w:tcBorders>
          </w:tcPr>
          <w:p>
            <w:pPr>
              <w:jc w:val="both"/>
            </w:pPr>
            <w:r>
              <w:rPr>
                <w:rFonts w:hAnsi="Arial"/>
                <w:rFonts w:ascii="Arial"/>
                <w:sz w:val="24"/>
                <w:color w:val="black"/>
              </w:rPr>
              <w:t xml:space="preserve">Comandante Comando de Operaciones Aéreas y Espaciales. </w:t>
            </w:r>
          </w:p>
        </w:tc>
      </w:tr>
    </w:tbl>
    <w:p>
      <w:pPr>
        <w:jc w:val="both"/>
      </w:pPr>
      <w:rPr>
        <w:color w:val="black"/>
      </w:rPr>
    </w:p>
    <w:p>
      <w:pPr>
        <w:jc w:val="both"/>
      </w:pPr>
      <w:r>
        <w:rPr>
          <w:rFonts w:hAnsi="Arial"/>
          <w:rFonts w:ascii="Arial"/>
          <w:sz w:val="24"/>
          <w:b/>
          <w:vanish/>
          <w:color w:val="black"/>
        </w:rPr>
        <w:t>&amp;$</w:t>
      </w:r>
      <w:bookmarkStart w:id="60958" w:name="2.3.1.3.6.67.4"/>
      <w:r>
        <w:rPr>
          <w:rFonts w:hAnsi="Arial"/>
          <w:rFonts w:ascii="Arial"/>
          <w:sz w:val="24"/>
          <w:color w:val="navy"/>
        </w:rPr>
        <w:t xml:space="preserve">ARTÍCULO 2.3.1.3.6.67.4. REQUISITOS.</w:t>
      </w:r>
      <w:bookmarkEnd w:id="609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1126 de 2023. El nuevo texto es el siguiente:&gt; Además de los requisitos mínimos contemplados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son necesarios los siguientes requisitos para el otorgamiento de la Medalla Militar “Servicios Distinguidos a la Acción Integral”: </w:t>
      </w:r>
    </w:p>
    <w:p>
      <w:pPr>
        <w:jc w:val="both"/>
      </w:pPr>
      <w:rPr>
        <w:sz w:val="24"/>
        <w:b/>
        <w:color w:val="black"/>
      </w:rPr>
    </w:p>
    <w:p>
      <w:pPr>
        <w:jc w:val="both"/>
      </w:pPr>
      <w:r>
        <w:rPr>
          <w:rFonts w:hAnsi="Arial"/>
          <w:rFonts w:ascii="Arial"/>
          <w:sz w:val="24"/>
          <w:color w:val="black"/>
        </w:rPr>
        <w:t xml:space="preserve">1. Que hayan realizado labores de impacto al proceso Acción Integral de la Fuerza Aérea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y en el logro de los objetivos estratégicos institucionales. </w:t>
      </w:r>
    </w:p>
    <w:p>
      <w:pPr>
        <w:jc w:val="both"/>
      </w:pPr>
      <w:rPr>
        <w:sz w:val="24"/>
        <w:b/>
        <w:color w:val="black"/>
      </w:rPr>
    </w:p>
    <w:p>
      <w:pPr>
        <w:jc w:val="both"/>
      </w:pPr>
      <w:r>
        <w:rPr>
          <w:rFonts w:hAnsi="Arial"/>
          <w:rFonts w:ascii="Arial"/>
          <w:sz w:val="24"/>
          <w:color w:val="black"/>
        </w:rPr>
        <w:t xml:space="preserve">2. Haber trabajado en el proceso de Acción Integral como mínimo 3 años, ya sean continuos o discontinuos.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De manera excepcional el Consejo de la Medalla, podrá otorgar la condecoración a Personal de Oficiales, Suboficiales, Profesionales Oficiales de la Reserva, Personal de la Reserva Activa, Unidades Militares, Personal Civil del Sector Defensa, Personal de Entidades Públicas y Privadas, e Instituciones de derecho público, privado y particulares, sin contar con el tiempo establecido. </w:t>
      </w:r>
    </w:p>
    <w:p>
      <w:pPr>
        <w:jc w:val="both"/>
      </w:pPr>
      <w:rPr>
        <w:color w:val="black"/>
      </w:rPr>
    </w:p>
    <w:p>
      <w:pPr>
        <w:jc w:val="both"/>
      </w:pPr>
      <w:r>
        <w:rPr>
          <w:rFonts w:hAnsi="Arial"/>
          <w:rFonts w:ascii="Arial"/>
          <w:sz w:val="24"/>
          <w:b/>
          <w:vanish/>
          <w:color w:val="black"/>
        </w:rPr>
        <w:t>&amp;$</w:t>
      </w:r>
      <w:bookmarkStart w:id="60959" w:name="2.3.1.3.6.67.5"/>
      <w:r>
        <w:rPr>
          <w:rFonts w:hAnsi="Arial"/>
          <w:rFonts w:ascii="Arial"/>
          <w:sz w:val="24"/>
          <w:color w:val="navy"/>
        </w:rPr>
        <w:t xml:space="preserve">ARTÍCULO 2.3.1.3.6.67.5. DIPLOMA.</w:t>
      </w:r>
      <w:bookmarkEnd w:id="609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"http://www.redjurista.com/document.aspx?ajcode=d1126023&amp;arts=1"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1126 de 2023. El nuevo texto es el siguiente:&gt; Deberá ser elaborado en papel pergamino o cartulina blanca, con las suficientes dimensiones: 35 cm de largo por 25 cm de ancho; en su cara principal al lado superior derecho el diseño de la joya y en el lado superior izquierdo el escudo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en el centro la siguiente leyenda: “En reconocimiento a los méritos y excepcionales servicios prestados en beneficio a la Acción Integral de la Fuerza Aérea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center"/>
      </w:pPr>
      <w:r>
        <w:drawing>
          <wp:inline distT="0" distB="0" distL="0" distR="0">
            <wp:extent cx="2876550" cy="2657475"/>
            <wp:docPr id="31" name=""/>
            <a:graphic xmlns:a="http://schemas.openxmlformats.org/drawingml/2006/main">
              <a:graphicData uri="http://schemas.openxmlformats.org/drawingml/2006/picture">
                <pic:pic xmlns:pic="http://schemas.openxmlformats.org/drawingml/2006/picture">
                  <pic:nvPicPr>
                    <pic:cNvPr id="30" name="Picture "/>
                    <pic:cNvPicPr/>
                  </pic:nvPicPr>
                  <pic:blipFill>
                    <a:blip r:embed="id30"/>
                    <a:stretch>
                      <a:fillRect/>
                    </a:stretch>
                  </pic:blipFill>
                  <pic:spPr>
                    <a:xfrm>
                      <a:off x="0" y="0"/>
                      <a:ext cx="2876550" cy="2657475"/>
                    </a:xfrm>
                    <a:prstGeom prst="rect">
                      <a:avLst/>
                    </a:prstGeom>
                  </pic:spPr>
                </pic:pic>
              </a:graphicData>
            </a:graphic>
          </wp:inline>
        </w:drawing>
      </w:r>
    </w:p>
    <w:p>
      <w:pPr>
        <w:jc w:val="both"/>
      </w:pPr>
      <w:rPr>
        <w:color w:val="black"/>
      </w:rPr>
    </w:p>
    <w:p>
      <w:pPr>
        <w:jc w:val="center"/>
      </w:pPr>
      <w:rPr>
        <w:sz w:val="24"/>
        <w:b/>
        <w:color w:val="black"/>
      </w:rPr>
    </w:p>
    <w:p>
      <w:pPr>
        <w:jc w:val="center"/>
      </w:pPr>
      <w:r>
        <w:rPr>
          <w:rFonts w:hAnsi="Arial"/>
          <w:rFonts w:ascii="Arial"/>
          <w:sz w:val="24"/>
          <w:b/>
          <w:vanish/>
          <w:color w:val="black"/>
        </w:rPr>
        <w:t>&amp;$</w:t>
      </w:r>
      <w:bookmarkStart w:id="60960" w:name="SUBSECCIÓN 1.3.1.3.6.68"/>
      <w:r>
        <w:rPr>
          <w:rFonts w:hAnsi="Arial"/>
          <w:rFonts w:ascii="Arial"/>
          <w:sz w:val="24"/>
          <w:color w:val="navy"/>
        </w:rPr>
        <w:t xml:space="preserve">SUBSECCIÓN 68.  </w:t>
      </w:r>
    </w:p>
    <w:p>
      <w:pPr>
        <w:jc w:val="center"/>
      </w:pPr>
      <w:r>
        <w:rPr>
          <w:rFonts w:hAnsi="Arial"/>
          <w:rFonts w:ascii="Arial"/>
          <w:sz w:val="24"/>
          <w:color w:val="navy"/>
        </w:rPr>
        <w:t xml:space="preserve">MEDALLA MILITAR “AL ESPÍRITU DEL BICENTENARIO NAVAL DE LA ARMADA NACIONAL DE LA REPÚBLICA DE COLOMBIA”.</w:t>
      </w:r>
      <w:bookmarkEnd w:id="60960"/>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61" w:name="2.3.1.3.6.68.1"/>
      <w:r>
        <w:rPr>
          <w:rFonts w:hAnsi="Arial"/>
          <w:rFonts w:ascii="Arial"/>
          <w:sz w:val="24"/>
          <w:color w:val="navy"/>
        </w:rPr>
        <w:t xml:space="preserve">ARTÍCULO 2.3.1.3.6.68.1. ORIGEN.</w:t>
      </w:r>
      <w:bookmarkEnd w:id="609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"http://www.redjurista.com/document.aspx?ajcode=d1163023&amp;arts=1"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1163 de 2023. El nuevo texto es el siguiente:&gt; Créase la Medalla Militar “Al Espíritu del Bicentenario Naval de la Armada Nacional de la República de Colombia”, en categoría única para premiar y estimular al personal de Oficiales, Suboficiales, Infantes de Marina Profesional y Servidores Públicos al servicio de la Armada Nacional que a la fecha 24 de julio de 2023, se encuentren en servicio activo; así como, a las diferentes unidades militares de la Fuerza creadas y activadas en la misma fecha, por haber contribuido a los 200 años de historia de una Armada que ha protegido y defendido los intereses estratégicos de la Nación en los mares y ríos, con el propósito de brindar seguridad, tranquilidad y paz en el territorio Nacional. </w:t>
      </w:r>
    </w:p>
    <w:p>
      <w:pPr>
        <w:jc w:val="both"/>
      </w:pPr>
      <w:rPr>
        <w:color w:val="black"/>
      </w:rPr>
    </w:p>
    <w:p>
      <w:pPr>
        <w:jc w:val="both"/>
      </w:pPr>
      <w:r>
        <w:rPr>
          <w:rFonts w:hAnsi="Arial"/>
          <w:rFonts w:ascii="Arial"/>
          <w:sz w:val="24"/>
          <w:b/>
          <w:vanish/>
          <w:color w:val="black"/>
        </w:rPr>
        <w:t>&amp;$</w:t>
      </w:r>
      <w:bookmarkStart w:id="60962" w:name="2.3.1.3.6.68.2"/>
      <w:r>
        <w:rPr>
          <w:rFonts w:hAnsi="Arial"/>
          <w:rFonts w:ascii="Arial"/>
          <w:sz w:val="24"/>
          <w:color w:val="navy"/>
        </w:rPr>
        <w:t xml:space="preserve">ARTÍCULO 2.3.1.3.6.68.2. CARACTERÍSTICAS.</w:t>
      </w:r>
      <w:bookmarkEnd w:id="609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"http://www.redjurista.com/document.aspx?ajcode=d1163023&amp;arts=1"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1163 de 2023. El nuevo texto es el siguiente:&gt; La Joya de la medalla será fabricada en su base en bronce con la técnica de acuñación y será recubierta en dos tonos oro y plata y sus pinturas al horno; la base de la joya será en forma de ancla la cual va en la parte frontal y posterior, en relieve 3D color plateada con una altura de 65mm x 55mm de ancho con un espesor de 3mm y en sus cuatro extremos llevará las direcciones cardinales y en la parte del cepo llevará el número 200; en el centro de la joya cara principal llevará una figura en forma de timón, el cual en el centro llevará la esfinge del Almirante José Padilla López en 5D y lo rodeará una franja azul naval, la cual en su parte superior en semicírculo llevará el texto “BICENTENARIO NAVAL” en color dorado; de igual forma, en la parte inferior de esta franja en semicírculo llevará la frase “MORIR O SER LIBRES” en color dorado y tendrá un diámetro de 42mm; en la cara posterior del timón, en el centro llevará el Escudo Heráldico de la Armada Nacional, este estará rodeado en semicírculo en la parte superior con la frase: “BATALLA DE MARACAIBO” y en su parte inferior la inscripción: “1823-2023”, recordando la fecha de la batalla y la conmemoración de la Armada Nacional. La medalla irá sujeta de una cinta more la cual tendrá un ancho de 40mm, estará dividida en tres partes iguales, en el centro llevará el color azul naval y en sus extremos el color dorado, sobre la cinta en el centro tendrá un sobre puesto metálico (Bergantín) en color dorado; la cinta irá sostenida de una barra de 45mm x 12mm en color dorado la cual en su parte posterior lleva un gancho de sujeción.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miniatura o réplica será similar a la joya de la condecoración, de conformidad con las dimensiones establecidas en el artículo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será metálica esmaltada al fuego: de 40mm de ancho y 10mm de alto, estará dividida en tres partes iguales, en el centro llevará el color azul naval y en sus extremos el color dorado, en el centro de la venera tendrá un sobre puesto metálico (Bergantín) en color dorado. </w:t>
      </w:r>
    </w:p>
    <w:p>
      <w:pPr>
        <w:jc w:val="both"/>
      </w:pPr>
      <w:rPr>
        <w:color w:val="black"/>
      </w:rPr>
    </w:p>
    <w:p>
      <w:pPr>
        <w:jc w:val="both"/>
      </w:pPr>
      <w:r>
        <w:rPr>
          <w:rFonts w:hAnsi="Arial"/>
          <w:rFonts w:ascii="Arial"/>
          <w:sz w:val="24"/>
          <w:b/>
          <w:vanish/>
          <w:color w:val="black"/>
        </w:rPr>
        <w:t>&amp;$</w:t>
      </w:r>
      <w:bookmarkStart w:id="60963" w:name="2.3.1.3.6.68.3"/>
      <w:r>
        <w:rPr>
          <w:rFonts w:hAnsi="Arial"/>
          <w:rFonts w:ascii="Arial"/>
          <w:sz w:val="24"/>
          <w:color w:val="navy"/>
        </w:rPr>
        <w:t xml:space="preserve">ARTÍCULO 2.3.1.3.6.68.3. CONSEJO DE LA MEDALLA.</w:t>
      </w:r>
      <w:bookmarkEnd w:id="60963"/>
      <w:r>
        <w:rPr>
          <w:rFonts w:hAnsi="Arial"/>
          <w:rFonts w:ascii="Arial"/>
          <w:sz w:val="24"/>
          <w:color w:val="black"/>
        </w:rPr>
        <w:t xml:space="preserve"> &lt;Artículo adicionado por el artículo </w:t>
      </w:r>
      <w:r>
        <w:fldChar w:fldCharType="begin"/>
      </w:r>
      <w:r>
        <w:instrText>HYPERLINK "http://www.redjurista.com/document.aspx?ajcode=d1163023&amp;arts=1"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1163 de 2023. El nuevo texto es el siguiente:&gt; El consejo de la Medalla Militar “Al Espíritu del Bicentenario Naval de la Armada Nacional de la República de Colombia” estará integrado así: </w:t>
      </w:r>
    </w:p>
    <w:tbl>
      <w:tblGrid>
        <w:gridCol w:w="1860"/>
        <w:gridCol w:w="6960"/>
      </w:tblGrid>
      <w:tblPr>
        <w:tblW w:w="8838" w:type="dxa"/>
        <w:tblBorders/>
      </w:tblPr>
      <w:tr>
        <w:trPr/>
        <w:tc>
          <w:tcPr>
            <w:tcW w:w="1871" w:type="dxa"/>
            <w:tcMar/>
            <w:tcBorders>
              <w:top w:val="single" w:sz="1" w:space="0" w:color="auto"/>
              <w:left w:val="single" w:sz="7" w:space="0" w:color="auto"/>
            </w:tcBorders>
          </w:tcPr>
          <w:p>
            <w:pPr>
              <w:jc w:val="both"/>
            </w:pPr>
            <w:r>
              <w:rPr>
                <w:rFonts w:hAnsi="Arial"/>
                <w:rFonts w:ascii="Arial"/>
                <w:sz w:val="24"/>
                <w:color w:val="black"/>
              </w:rPr>
              <w:t xml:space="preserve">Presidente: </w:t>
            </w:r>
          </w:p>
        </w:tc>
        <w:tc>
          <w:tcPr>
            <w:tcW w:w="6967"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Comandante de la Armada Nacional </w:t>
            </w:r>
          </w:p>
        </w:tc>
      </w:tr>
      <w:tr>
        <w:trPr/>
        <w:tc>
          <w:tcPr>
            <w:tcW w:w="1871" w:type="dxa"/>
            <w:tcMar/>
            <w:tcBorders>
              <w:top w:val="single" w:sz="1" w:space="0" w:color="auto"/>
              <w:left w:val="single" w:sz="7" w:space="0" w:color="auto"/>
            </w:tcBorders>
          </w:tcPr>
          <w:p>
            <w:pPr>
              <w:jc w:val="both"/>
            </w:pPr>
            <w:r>
              <w:rPr>
                <w:rFonts w:hAnsi="Arial"/>
                <w:rFonts w:ascii="Arial"/>
                <w:sz w:val="24"/>
                <w:color w:val="black"/>
              </w:rPr>
              <w:t xml:space="preserve">Vicepresidente: </w:t>
            </w:r>
          </w:p>
        </w:tc>
        <w:tc>
          <w:tcPr>
            <w:tcW w:w="6967"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Segundo Comandante Armada y Jefe de Estado Mayor Naval </w:t>
            </w:r>
          </w:p>
        </w:tc>
      </w:tr>
      <w:tr>
        <w:trPr/>
        <w:tc>
          <w:tcPr>
            <w:tcW w:w="1871" w:type="dxa"/>
            <w:tcMar/>
            <w:tcBorders>
              <w:top w:val="single" w:sz="1" w:space="0" w:color="auto"/>
              <w:left w:val="single" w:sz="7" w:space="0" w:color="auto"/>
            </w:tcBorders>
          </w:tcPr>
          <w:p>
            <w:pPr>
              <w:jc w:val="both"/>
            </w:pPr>
            <w:r>
              <w:rPr>
                <w:rFonts w:hAnsi="Arial"/>
                <w:rFonts w:ascii="Arial"/>
                <w:sz w:val="24"/>
                <w:color w:val="black"/>
              </w:rPr>
              <w:t xml:space="preserve">Vocales: </w:t>
            </w:r>
          </w:p>
        </w:tc>
        <w:tc>
          <w:tcPr>
            <w:tcW w:w="6967"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Jefe de Estado Mayor Naval de Personal </w:t>
              <w:br w:type="textWrapping"/>
              <w:t>Jefe de Desarrollo Humano Armada Nacional </w:t>
            </w:r>
          </w:p>
        </w:tc>
      </w:tr>
      <w:tr>
        <w:trPr/>
        <w:tc>
          <w:tcPr>
            <w:tcW w:w="1871" w:type="dxa"/>
            <w:tcMar/>
            <w:tcBorders>
              <w:top w:val="single" w:sz="1" w:space="0" w:color="auto"/>
              <w:left w:val="single" w:sz="7" w:space="0" w:color="auto"/>
              <w:bottom w:val="single" w:sz="1" w:space="0" w:color="auto"/>
            </w:tcBorders>
          </w:tcPr>
          <w:p>
            <w:pPr>
              <w:jc w:val="both"/>
            </w:pPr>
            <w:r>
              <w:rPr>
                <w:rFonts w:hAnsi="Arial"/>
                <w:rFonts w:ascii="Arial"/>
                <w:sz w:val="24"/>
                <w:color w:val="black"/>
              </w:rPr>
              <w:t xml:space="preserve">Secretario: </w:t>
            </w:r>
          </w:p>
        </w:tc>
        <w:tc>
          <w:tcPr>
            <w:tcW w:w="6967" w:type="dxa"/>
            <w:tcMar/>
            <w:tcBorders>
              <w:top w:val="single" w:sz="1" w:space="0" w:color="auto"/>
              <w:left w:val="single" w:sz="1" w:space="0" w:color="auto"/>
              <w:right w:val="single" w:sz="7" w:space="0" w:color="auto"/>
              <w:bottom w:val="single" w:sz="1" w:space="0" w:color="auto"/>
            </w:tcBorders>
          </w:tcPr>
          <w:p>
            <w:pPr>
              <w:jc w:val="both"/>
            </w:pPr>
            <w:r>
              <w:rPr>
                <w:rFonts w:hAnsi="Arial"/>
                <w:rFonts w:ascii="Arial"/>
                <w:sz w:val="24"/>
                <w:color w:val="black"/>
              </w:rPr>
              <w:t xml:space="preserve">Director de Personal Armada Nacional </w:t>
            </w:r>
          </w:p>
        </w:tc>
      </w:tr>
    </w:tbl>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Para efectos de las -funciones y atribuciones de los miembros del Consejo se dará aplicación a lo establecido en el artículo </w:t>
      </w:r>
      <w:r>
        <w:fldChar w:fldCharType="begin"/>
      </w:r>
      <w:r>
        <w:instrText>HYPERLINK "http://www.redjurista.com/document.aspx?ajcode=d1070015&amp;arts=2.3.1.3.6.2"</w:instrText>
      </w:r>
      <w:r>
        <w:fldChar w:fldCharType="separate"/>
      </w:r>
      <w:r>
        <w:rPr>
          <w:rFonts w:hAnsi="Arial"/>
          <w:rFonts w:ascii="Arial"/>
          <w:sz w:val="24"/>
          <w:u w:val="single"/>
          <w:color w:val="black"/>
        </w:rPr>
        <w:t>2.3.1.3.6.2</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60964" w:name="2.3.1.3.6.68.4"/>
      <w:r>
        <w:rPr>
          <w:rFonts w:hAnsi="Arial"/>
          <w:rFonts w:ascii="Arial"/>
          <w:sz w:val="24"/>
          <w:color w:val="navy"/>
        </w:rPr>
        <w:t xml:space="preserve">ARTÍCULO 2.3.1.3.6.68.4. REQUISITOS.</w:t>
      </w:r>
      <w:bookmarkEnd w:id="609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"http://www.redjurista.com/document.aspx?ajcode=d1163023&amp;arts=1"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1163 de 2023. El nuevo texto es el siguiente:&gt; Además de los requisitos establecidos en el artículo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decreto, se tendrán en cuenta los siguientes para su otorgamiento: </w:t>
      </w:r>
    </w:p>
    <w:p>
      <w:pPr>
        <w:jc w:val="both"/>
      </w:pPr>
      <w:rPr>
        <w:sz w:val="24"/>
        <w:b/>
        <w:color w:val="black"/>
      </w:rPr>
    </w:p>
    <w:p>
      <w:pPr>
        <w:jc w:val="both"/>
      </w:pPr>
      <w:r>
        <w:rPr>
          <w:rFonts w:hAnsi="Arial"/>
          <w:rFonts w:ascii="Arial"/>
          <w:sz w:val="24"/>
          <w:color w:val="black"/>
        </w:rPr>
        <w:t xml:space="preserve">a) El Oficial, Suboficial, Infante de Marina Profesional o Servidor Público del Ministerio de Defensa Nacional al servicio de la Armada de Colombia, que a fecha 24 de julio de 2023 se encuentren en servicio activo. </w:t>
      </w:r>
    </w:p>
    <w:p>
      <w:pPr>
        <w:jc w:val="both"/>
      </w:pPr>
      <w:rPr>
        <w:sz w:val="24"/>
        <w:b/>
        <w:color w:val="black"/>
      </w:rPr>
    </w:p>
    <w:p>
      <w:pPr>
        <w:jc w:val="both"/>
      </w:pPr>
      <w:r>
        <w:rPr>
          <w:rFonts w:hAnsi="Arial"/>
          <w:rFonts w:ascii="Arial"/>
          <w:sz w:val="24"/>
          <w:color w:val="black"/>
        </w:rPr>
        <w:t xml:space="preserve">b) Unidades militares creadas y activadas a fecha 24 de julio de 2023. </w:t>
      </w:r>
    </w:p>
    <w:p>
      <w:pPr>
        <w:jc w:val="both"/>
      </w:pPr>
      <w:rPr>
        <w:color w:val="black"/>
      </w:rPr>
    </w:p>
    <w:p>
      <w:pPr>
        <w:jc w:val="both"/>
      </w:pPr>
      <w:r>
        <w:rPr>
          <w:rFonts w:hAnsi="Arial"/>
          <w:rFonts w:ascii="Arial"/>
          <w:sz w:val="24"/>
          <w:b/>
          <w:vanish/>
          <w:color w:val="black"/>
        </w:rPr>
        <w:t>&amp;$</w:t>
      </w:r>
      <w:bookmarkStart w:id="60965" w:name="2.3.1.3.6.68.5"/>
      <w:r>
        <w:rPr>
          <w:rFonts w:hAnsi="Arial"/>
          <w:rFonts w:ascii="Arial"/>
          <w:sz w:val="24"/>
          <w:color w:val="navy"/>
        </w:rPr>
        <w:t xml:space="preserve">ARTÍCULO 2.3.1.3.6.68.5. DIPLOMA.</w:t>
      </w:r>
      <w:bookmarkEnd w:id="609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"http://www.redjurista.com/document.aspx?ajcode=d1163023&amp;arts=1"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1163 de 2023. El nuevo texto es el siguiente:&gt; Será elaborado en papel pergamino o cartulina blanca de treinta y cinco (35) centímetros de largo por veinticinco (25) centímetros de ancho, el cual llevará el dibujo en el lado izquierdo superior del anverso de la Medalla Militar “Al Espíritu del Bicentenario Naval de la Armada Nacional de la República de Colombia”, y el lado derecho superior el reverso de la misma Medalla y en el centro llevará la siguiente leyenda, así:</w:t>
      </w:r>
    </w:p>
    <w:p>
      <w:pPr>
        <w:jc w:val="center"/>
      </w:pPr>
      <w:r>
        <w:drawing>
          <wp:inline distT="0" distB="0" distL="0" distR="0">
            <wp:extent cx="5019675" cy="3667125"/>
            <wp:docPr id="32" name=""/>
            <a:graphic xmlns:a="http://schemas.openxmlformats.org/drawingml/2006/main">
              <a:graphicData uri="http://schemas.openxmlformats.org/drawingml/2006/picture">
                <pic:pic xmlns:pic="http://schemas.openxmlformats.org/drawingml/2006/picture">
                  <pic:nvPicPr>
                    <pic:cNvPr id="31" name="Picture "/>
                    <pic:cNvPicPr/>
                  </pic:nvPicPr>
                  <pic:blipFill>
                    <a:blip r:embed="id31"/>
                    <a:stretch>
                      <a:fillRect/>
                    </a:stretch>
                  </pic:blipFill>
                  <pic:spPr>
                    <a:xfrm>
                      <a:off x="0" y="0"/>
                      <a:ext cx="5019675" cy="3667125"/>
                    </a:xfrm>
                    <a:prstGeom prst="rect">
                      <a:avLst/>
                    </a:prstGeom>
                  </pic:spPr>
                </pic:pic>
              </a:graphicData>
            </a:graphic>
          </wp:inline>
        </w:drawing>
      </w:r>
    </w:p>
    <w:p>
      <w:pPr>
        <w:jc w:val="both"/>
      </w:pPr>
      <w:rPr>
        <w:color w:val="black"/>
      </w:rPr>
    </w:p>
    <w:p>
      <w:pPr>
        <w:jc w:val="center"/>
      </w:pPr>
      <w:r>
        <w:rPr>
          <w:rFonts w:hAnsi="Arial"/>
          <w:rFonts w:ascii="Arial"/>
          <w:sz w:val="24"/>
          <w:b/>
          <w:vanish/>
          <w:color w:val="black"/>
        </w:rPr>
        <w:t>&amp;$</w:t>
      </w:r>
      <w:bookmarkStart w:id="60966" w:name="SUBSECCIÓN 2.3.1.3.6.69"/>
      <w:r>
        <w:rPr>
          <w:rFonts w:hAnsi="Arial"/>
          <w:rFonts w:ascii="Arial"/>
          <w:sz w:val="24"/>
          <w:color w:val="navy"/>
        </w:rPr>
        <w:t xml:space="preserve">SUBSECCIÓN 69. </w:t>
      </w:r>
    </w:p>
    <w:p>
      <w:pPr>
        <w:jc w:val="center"/>
      </w:pPr>
      <w:r>
        <w:rPr>
          <w:rFonts w:hAnsi="Arial"/>
          <w:rFonts w:ascii="Arial"/>
          <w:sz w:val="24"/>
          <w:color w:val="navy"/>
        </w:rPr>
        <w:t xml:space="preserve">MEDALLA MILITAR "SERVICIOS DISTINGUIDOS AL BUCEO EN LA ARMADA NACIONAL".</w:t>
      </w:r>
      <w:bookmarkEnd w:id="6096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67" w:name="2.3.1.3.6.69.1"/>
      <w:r>
        <w:rPr>
          <w:rFonts w:hAnsi="Arial"/>
          <w:rFonts w:ascii="Arial"/>
          <w:sz w:val="24"/>
          <w:color w:val="navy"/>
        </w:rPr>
        <w:t xml:space="preserve">ARTÍCULO 2.3.1.3.6.69.1. ORIGEN.</w:t>
      </w:r>
      <w:bookmarkEnd w:id="609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"http://www.redjurista.com/document.aspx?ajcode=d2115023&amp;arts=1"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2115 de 2023. El nuevo texto es el siguiente:&gt; Créase la Medalla Militar “Servicios Distinguidos al Buceo en la Armada Nacional” en categoría única, para premiar y reconocer, por una sola vez, al personal de oficiales, personalidades nacionales y extranjeras, al igual que unidades militares activas, entidades públicas y privadas y a sus funcionarios y/o trabajadores que hayan prestado servicios eminentes en beneficio de la nación, a través del desarrollo de operaciones subacuáticas o por sus aportes al buceo en la Institución que así lo ameriten.</w:t>
      </w:r>
    </w:p>
    <w:p>
      <w:pPr>
        <w:jc w:val="both"/>
      </w:pPr>
      <w:rPr>
        <w:color w:val="black"/>
      </w:rPr>
    </w:p>
    <w:p>
      <w:pPr>
        <w:jc w:val="both"/>
      </w:pPr>
      <w:r>
        <w:rPr>
          <w:rFonts w:hAnsi="Arial"/>
          <w:rFonts w:ascii="Arial"/>
          <w:sz w:val="24"/>
          <w:b/>
          <w:vanish/>
          <w:color w:val="black"/>
        </w:rPr>
        <w:t>&amp;$</w:t>
      </w:r>
      <w:bookmarkStart w:id="60968" w:name="2.3.1.3.6.69.2"/>
      <w:r>
        <w:rPr>
          <w:rFonts w:hAnsi="Arial"/>
          <w:rFonts w:ascii="Arial"/>
          <w:sz w:val="24"/>
          <w:color w:val="navy"/>
        </w:rPr>
        <w:t xml:space="preserve">ARTÍCULO 2.3.1.3.6.69.2. CARACTERÍSTICAS.</w:t>
      </w:r>
      <w:bookmarkEnd w:id="60968"/>
      <w:r>
        <w:rPr>
          <w:rFonts w:hAnsi="Arial"/>
          <w:rFonts w:ascii="Arial"/>
          <w:sz w:val="24"/>
          <w:color w:val="black"/>
        </w:rPr>
        <w:t xml:space="preserve"> &lt;Artículo adicionado por el artículo </w:t>
      </w:r>
      <w:r>
        <w:fldChar w:fldCharType="begin"/>
      </w:r>
      <w:r>
        <w:instrText>HYPERLINK "http://www.redjurista.com/document.aspx?ajcode=d2115023&amp;arts=1"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2115 de 2023. El nuevo texto es el siguiente:&gt; La joya en el anverso está compuesta por la rosa de los vientos en color plata (PMS 877) con un espesor de dos (2) milímetros, contiene ocho puntas en el extremo de color dorado (PMS 872); la joya en conjunto tiene un diámetro de cuarenta y cinco (45) milímetros; en la parte frontal, centrado y sobrepuesto tiene el Distintivo de “Buzo Maestro”, que está conformado por una escafandra en relieve tipo MARK V con un espesor de dos (2) milímetros, estos tienen en la parte superior dos tridentes en posición simétrica opuesta en diagonal, en la parte lateral de la escafandra de cada lado hay un hipocampo en plano sagital con dirección frontal interna en relieve frontal, en color dorado (PMS 872), en la parte interior se encuentra un nudo marinero llano y debajo del nudo la sigla “ARC” el distintivo en su conjunto tiene las dimensiones de diecisiete (17) milímetros de alto y diecinueve punto siete (19,7) milímetros de ancho; en el reverso de la joya tiene una textura que es rugosa al tacto, en el eje vertical centrado y sobre el eje horizontal tiene gravada la expresión “Poder Naval en las Profundidades” en letra tipo “Arial”; la cinta de la medalla es tipo moiré de cincuenta y cinco (55) milímetros de alto por cuarenta (40) milímetros de ancho terminada en forma de “V” la cinta tiene en sus extremos dos (2) franjas negras (COD 8000) de once punto cinco (11,5) milímetros, seguido hacia el interior dos (2) franjas blancas (COD 9000) de uno punto cinco (1,5) milímetros, le siguen internamente dos (2) franjas negras (COD 8000) de dos (2) milímetros, posteriormente dos (2) franjas blancas (COD 9000) internas de dos (2) milímetros y por último una franja central color rojo (COD 3031) de seis (6) milímetros; la barreta es rectangular con una ventana perforada en el centro, el contorno es de cuatro (4) milímetros de grosor y tiene biseles en el borde de un (1) milímetro con acabado martillado metálico color plata (PMS 877) de cuarenta y cinco (45) milímetros de ancho por trece (13) milímetros de alto, en la parte posterior superior tiene un gancho metálico de sujeción y en la parte posterior baja tiene un puente de donde se cuelga la cinta.</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La miniatura o réplica será similar a la joya de la condecoración, de conformidad con las dimensiones establecidas en el artículo </w:t>
      </w:r>
      <w:r>
        <w:fldChar w:fldCharType="begin"/>
      </w:r>
      <w:r>
        <w:instrText>HYPERLINK "http://www.redjurista.com/document.aspx?ajcode=d1070015&amp;arts=2.3.1.3.6.69.2"</w:instrText>
      </w:r>
      <w:r>
        <w:fldChar w:fldCharType="separate"/>
      </w:r>
      <w:r>
        <w:rPr>
          <w:rFonts w:hAnsi="Arial"/>
          <w:rFonts w:ascii="Arial"/>
          <w:sz w:val="24"/>
          <w:u w:val="single"/>
          <w:color w:val="black"/>
        </w:rPr>
        <w:t>2.3.1.3.6.69.2</w:t>
      </w:r>
      <w:r>
        <w:fldChar w:fldCharType="end"/>
      </w:r>
      <w:r>
        <w:rPr>
          <w:rFonts w:hAnsi="Arial"/>
          <w:rFonts w:ascii="Arial"/>
          <w:sz w:val="24"/>
          <w:u w:val="none"/>
          <w:color w:val="black"/>
        </w:rPr>
        <w:t xml:space="preserve"> del presente decreto.</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venera está compuesta por una plaqueta rectangular de diez (10) milímetros de alto por cuarenta (40) milímetros de ancho; con un bisel dorado de un (1) milímetro, en su interior la cinta tiene en sus extremos (2) franjas negras (COD 8000) de diez punto cinco (10,5) milímetros, luego hacia su interior dos (2) franjas blancas (COD 9000) de uno punto cinco (1,5) milímetros, le siguen internamente dos (2) franjas negras (COD 8000) de dos (2) milímetros, posteriormente dos (2) franjas blancas (COD 9000) internas de dos (2) milímetros y por último una franja central color rojo (COD 3031) de seis (6) milímetros; en la parte posterior tiene dos agujas de sujeción de siete (7) milímetros de largo, separados en el eje horizontal equidistantemente del eje vertical simétrico a treinta y dos (32) milímetros de distancia.</w:t>
      </w:r>
    </w:p>
    <w:p>
      <w:pPr>
        <w:jc w:val="both"/>
      </w:pPr>
      <w:rPr>
        <w:color w:val="black"/>
      </w:rPr>
    </w:p>
    <w:p>
      <w:pPr>
        <w:jc w:val="both"/>
      </w:pPr>
      <w:r>
        <w:rPr>
          <w:rFonts w:hAnsi="Arial"/>
          <w:rFonts w:ascii="Arial"/>
          <w:sz w:val="24"/>
          <w:b/>
          <w:vanish/>
          <w:color w:val="black"/>
        </w:rPr>
        <w:t>&amp;$</w:t>
      </w:r>
      <w:bookmarkStart w:id="60969" w:name="2.3.1.3.6.69.3"/>
      <w:r>
        <w:rPr>
          <w:rFonts w:hAnsi="Arial"/>
          <w:rFonts w:ascii="Arial"/>
          <w:sz w:val="24"/>
          <w:color w:val="navy"/>
        </w:rPr>
        <w:t xml:space="preserve">ARTÍCULO 2.3.1.3.6.69.3. CONSEJO DE LA MEDALLA.</w:t>
      </w:r>
      <w:bookmarkEnd w:id="609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"http://www.redjurista.com/document.aspx?ajcode=d2115023&amp;arts=1"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2115 de 2023. El nuevo texto es el siguiente:&gt; El Consejo de la Medalla Militar “Servicios Distinguidos al Buceo en la Armada Nacional, estará integrado así:</w:t>
      </w:r>
    </w:p>
    <w:tbl>
      <w:tblGrid>
        <w:gridCol w:w="1960"/>
        <w:gridCol w:w="6860"/>
      </w:tblGrid>
      <w:tblPr>
        <w:tblInd w:w="5" w:type="dxa"/>
        <w:tblW w:w="8828" w:type="dxa"/>
        <w:tblBorders/>
      </w:tblPr>
      <w:tr>
        <w:trPr/>
        <w:tc>
          <w:tcPr>
            <w:tcW w:w="197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Presidente:</w:t>
            </w:r>
          </w:p>
        </w:tc>
        <w:tc>
          <w:tcPr>
            <w:tcW w:w="685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 Comandante de la Armada Nacional o su delegado.</w:t>
            </w:r>
          </w:p>
        </w:tc>
      </w:tr>
      <w:tr>
        <w:trPr/>
        <w:tc>
          <w:tcPr>
            <w:tcW w:w="197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Vicepresidente:</w:t>
            </w:r>
          </w:p>
        </w:tc>
        <w:tc>
          <w:tcPr>
            <w:tcW w:w="685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 Jefe de la Jefatura Estado Mayor Naval de Apoyo a la Fuerza.</w:t>
            </w:r>
          </w:p>
        </w:tc>
      </w:tr>
      <w:tr>
        <w:trPr/>
        <w:tc>
          <w:tcPr>
            <w:tcW w:w="197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Vocal:</w:t>
            </w:r>
          </w:p>
        </w:tc>
        <w:tc>
          <w:tcPr>
            <w:tcW w:w="685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 Comandante del Comando de Alistamiento de Buceo.</w:t>
            </w:r>
          </w:p>
        </w:tc>
      </w:tr>
      <w:tr>
        <w:trPr/>
        <w:tc>
          <w:tcPr>
            <w:tcW w:w="1973"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Secretario:</w:t>
            </w:r>
          </w:p>
        </w:tc>
        <w:tc>
          <w:tcPr>
            <w:tcW w:w="6855" w:type="dxa"/>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24"/>
                <w:color w:val="black"/>
              </w:rPr>
              <w:t xml:space="preserve"> Director de Personal de la Armada Nacional.</w:t>
            </w:r>
          </w:p>
        </w:tc>
      </w:tr>
    </w:tbl>
    <w:p>
      <w:rPr>
        <w:rFonts w:hAnsi="Times New Roman"/>
        <w:rFonts w:ascii="Times New Roman"/>
        <w:color w:val="black"/>
      </w:rPr>
    </w:p>
    <w:p>
      <w:pPr>
        <w:jc w:val="both"/>
      </w:pPr>
      <w:r>
        <w:rPr>
          <w:rFonts w:hAnsi="Arial"/>
          <w:rFonts w:ascii="Arial"/>
          <w:sz w:val="24"/>
          <w:color w:val="navy"/>
        </w:rPr>
        <w:t>PARΑGRAFO.</w:t>
      </w:r>
      <w:r>
        <w:rPr>
          <w:rFonts w:hAnsi="Arial"/>
          <w:rFonts w:ascii="Arial"/>
          <w:sz w:val="24"/>
          <w:color w:val="black"/>
        </w:rPr>
        <w:t xml:space="preserve"> Para efectos de las funciones y atribuciones de los miembros del Consejo se darα aplicaciσn a lo establecido en el artνculo </w:t>
      </w:r>
      <w:r>
        <w:fldChar w:fldCharType="begin"/>
      </w:r>
      <w:r>
        <w:instrText>HYPERLINK "http://www.redjurista.com/document.aspx?ajcode=d1070015&amp;arts=2.3.1.3.6.2"</w:instrText>
      </w:r>
      <w:r>
        <w:fldChar w:fldCharType="separate"/>
      </w:r>
      <w:r>
        <w:rPr>
          <w:rFonts w:hAnsi="Arial"/>
          <w:rFonts w:ascii="Arial"/>
          <w:sz w:val="24"/>
          <w:u w:val="single"/>
          <w:color w:val="black"/>
        </w:rPr>
        <w:t>2.3.1.3.6.2</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60970" w:name="2.3.1.3.6.69.4"/>
      <w:r>
        <w:rPr>
          <w:rFonts w:hAnsi="Arial"/>
          <w:rFonts w:ascii="Arial"/>
          <w:sz w:val="24"/>
          <w:color w:val="navy"/>
        </w:rPr>
        <w:t xml:space="preserve">ARTΝCULO 2.3.1.3.6.69.4. REQUISITOS.</w:t>
      </w:r>
      <w:bookmarkEnd w:id="6097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"http://www.redjurista.com/document.aspx?ajcode=d2115023&amp;arts=1"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2115 de 2023. El nuevo texto es el siguiente:&gt; Ademαs de los establecidos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decreto, se tendrαn en cuenta los siguientes requisitos para su otorgamiento:</w:t>
      </w:r>
    </w:p>
    <w:p>
      <w:pPr>
        <w:jc w:val="both"/>
      </w:pPr>
      <w:rPr>
        <w:sz w:val="24"/>
        <w:b/>
        <w:color w:val="black"/>
      </w:rPr>
    </w:p>
    <w:p>
      <w:pPr>
        <w:jc w:val="both"/>
      </w:pPr>
      <w:r>
        <w:rPr>
          <w:rFonts w:hAnsi="Arial"/>
          <w:rFonts w:ascii="Arial"/>
          <w:sz w:val="24"/>
          <w:color w:val="black"/>
        </w:rPr>
        <w:t xml:space="preserve">a) Para el personal de oficiales y suboficiales que, hayan prestado sus servicios durante cinco (5) aρos en el desarrollo de operaciones de buceo en alguna de las habilidades establecidas por doctrina o haberse destacado por su aporte al desarrollo y proyecciσn del buceo en la Armada Nacional.</w:t>
      </w:r>
    </w:p>
    <w:p>
      <w:pPr>
        <w:jc w:val="both"/>
      </w:pPr>
      <w:rPr>
        <w:sz w:val="24"/>
        <w:b/>
        <w:color w:val="black"/>
      </w:rPr>
    </w:p>
    <w:p>
      <w:pPr>
        <w:jc w:val="both"/>
      </w:pPr>
      <w:r>
        <w:rPr>
          <w:rFonts w:hAnsi="Arial"/>
          <w:rFonts w:ascii="Arial"/>
          <w:sz w:val="24"/>
          <w:color w:val="black"/>
        </w:rPr>
        <w:t xml:space="preserve">b) Para el personal de infantes de marina, servidores pϊblicos del sector defensa al servicio de la Armada Nacional, personal de la reserva activa, oficiales profesionales de la reserva, personal militar extranjero, personalidades nacionales y extranjeras, unidades militares activas, entidades pϊblicas o privadas y a sus funcionarios. Que hayan prestado sus servicios de forma sobresaliente durante el desarrollo de actividades de buceo en la Armada Nacional o contribuido con el fortalecimiento y desarrollo del Buceo en la Armada Nacional.</w:t>
      </w:r>
    </w:p>
    <w:p>
      <w:pPr>
        <w:jc w:val="both"/>
      </w:pPr>
      <w:rPr>
        <w:color w:val="black"/>
      </w:rPr>
    </w:p>
    <w:p>
      <w:pPr>
        <w:jc w:val="both"/>
      </w:pPr>
      <w:r>
        <w:rPr>
          <w:rFonts w:hAnsi="Arial"/>
          <w:rFonts w:ascii="Arial"/>
          <w:sz w:val="24"/>
          <w:b/>
          <w:vanish/>
          <w:color w:val="black"/>
        </w:rPr>
        <w:t>&amp;$</w:t>
      </w:r>
      <w:bookmarkStart w:id="60971" w:name="2.3.1.3.6.69.5"/>
      <w:r>
        <w:rPr>
          <w:rFonts w:hAnsi="Arial"/>
          <w:rFonts w:ascii="Arial"/>
          <w:sz w:val="24"/>
          <w:color w:val="navy"/>
        </w:rPr>
        <w:t xml:space="preserve">ARTΝCULO 2.3.1.3.6.69.5. DIPLOMA.</w:t>
      </w:r>
      <w:bookmarkEnd w:id="6097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"http://www.redjurista.com/document.aspx?ajcode=d2115023&amp;arts=1"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2115 de 2023. El nuevo texto es el siguiente:&gt; Serα elaborado en papel pergamino con las siguientes dimensiones: treinta y cinco (35) centνmetros de largo por veinticinco (25) centνmetros de ancho, tipo de letra Edwardian Script ITC, excepto las firmas que van en la parte inferior en tipo de letra, Monotipe Cursiva, con el dibujo del anverso de la medalla al lado izquierdo superior y el reverso al lado derecho superior; y en el centro llevarα la siguiente leyenda, asν:</w:t>
      </w:r>
    </w:p>
    <w:p>
      <w:pPr>
        <w:jc w:val="center"/>
      </w:pPr>
      <w:r>
        <w:drawing>
          <wp:inline distT="0" distB="0" distL="0" distR="0">
            <wp:extent cx="4371975" cy="2886075"/>
            <wp:docPr id="33" name=""/>
            <a:graphic xmlns:a="http://schemas.openxmlformats.org/drawingml/2006/main">
              <a:graphicData uri="http://schemas.openxmlformats.org/drawingml/2006/picture">
                <pic:pic xmlns:pic="http://schemas.openxmlformats.org/drawingml/2006/picture">
                  <pic:nvPicPr>
                    <pic:cNvPr id="32" name="Picture "/>
                    <pic:cNvPicPr/>
                  </pic:nvPicPr>
                  <pic:blipFill>
                    <a:blip r:embed="id32"/>
                    <a:stretch>
                      <a:fillRect/>
                    </a:stretch>
                  </pic:blipFill>
                  <pic:spPr>
                    <a:xfrm>
                      <a:off x="0" y="0"/>
                      <a:ext cx="4371975" cy="2886075"/>
                    </a:xfrm>
                    <a:prstGeom prst="rect">
                      <a:avLst/>
                    </a:prstGeom>
                  </pic:spPr>
                </pic:pic>
              </a:graphicData>
            </a:graphic>
          </wp:inline>
        </w:drawing>
      </w:r>
    </w:p>
    <w:p>
      <w:pPr>
        <w:jc w:val="both"/>
      </w:pPr>
      <w:rPr>
        <w:color w:val="black"/>
      </w:rPr>
    </w:p>
    <w:p>
      <w:pPr>
        <w:jc w:val="center"/>
        <w:outlineLvl w:val="1"/>
      </w:pPr>
      <w:rPr>
        <w:sz w:val="24"/>
        <w:b/>
        <w:color w:val="black"/>
      </w:rPr>
    </w:p>
    <w:p>
      <w:pPr>
        <w:jc w:val="center"/>
        <w:outlineLvl w:val="1"/>
      </w:pPr>
      <w:r>
        <w:rPr>
          <w:rFonts w:hAnsi="Arial"/>
          <w:rFonts w:ascii="Arial"/>
          <w:sz w:val="24"/>
          <w:b/>
          <w:vanish/>
          <w:color w:val="black"/>
        </w:rPr>
        <w:t>&amp;$</w:t>
      </w:r>
      <w:bookmarkStart w:id="60972" w:name="SUBSECCIÓN 2.3.1.3.6.70"/>
      <w:r>
        <w:rPr>
          <w:rFonts w:hAnsi="Arial"/>
          <w:rFonts w:ascii="Arial"/>
          <w:sz w:val="24"/>
          <w:color w:val="navy"/>
        </w:rPr>
        <w:t xml:space="preserve">SUBSECCIΣN 70. </w:t>
      </w:r>
    </w:p>
    <w:p>
      <w:pPr>
        <w:jc w:val="center"/>
        <w:outlineLvl w:val="1"/>
      </w:pPr>
      <w:r>
        <w:rPr>
          <w:rFonts w:hAnsi="Arial"/>
          <w:rFonts w:ascii="Arial"/>
          <w:sz w:val="24"/>
          <w:color w:val="navy"/>
        </w:rPr>
        <w:t xml:space="preserve">MEDALLA MILITAR "SERVICIOS DISTINGUIDOS A LA ACCIΣN INTEGRAL NAVAL".</w:t>
      </w:r>
      <w:bookmarkEnd w:id="60972"/>
      <w:r>
        <w:rPr>
          <w:rFonts w:hAnsi="Arial"/>
          <w:rFonts w:ascii="Arial"/>
          <w:sz w:val="24"/>
          <w:b/>
          <w:color w:val="black"/>
        </w:rPr>
        <w:t xml:space="preserve"> </w:t>
      </w:r>
    </w:p>
    <w:p>
      <w:pPr>
        <w:jc w:val="both"/>
        <w:outlineLvl w:val="1"/>
      </w:pPr>
      <w:rPr>
        <w:color w:val="black"/>
      </w:rPr>
    </w:p>
    <w:p>
      <w:pPr>
        <w:jc w:val="both"/>
        <w:outlineLvl w:val="1"/>
      </w:pPr>
      <w:r>
        <w:rPr>
          <w:rFonts w:hAnsi="Arial"/>
          <w:rFonts w:ascii="Arial"/>
          <w:sz w:val="24"/>
          <w:b/>
          <w:vanish/>
          <w:color w:val="black"/>
        </w:rPr>
        <w:t>&amp;$</w:t>
      </w:r>
      <w:bookmarkStart w:id="60973" w:name="2.3.1.3.6.70.1"/>
      <w:r>
        <w:rPr>
          <w:rFonts w:hAnsi="Arial"/>
          <w:rFonts w:ascii="Arial"/>
          <w:sz w:val="24"/>
          <w:color w:val="navy"/>
        </w:rPr>
        <w:t xml:space="preserve">ARTΝCULO 2.3.1.3.6.70.1. ORIGEN.</w:t>
      </w:r>
      <w:bookmarkEnd w:id="609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Crιase la Medalla Militar "Servicios Distinguidos a la Acciσn Integral Naval" en categorνa ϊnica, para premiar y reconocer, por una sola vez, al personal de Oficiales, Suboficiales, Infantes de Marina Profesional, Oficiales de la Reserva, personal de la Reserva Activa, Unidades Militares, personal civil del sector defensa, y sus equivalentes en el Ejιrcito Nacional, la Fuerza Aιrea Colombiana y miembros de la Policνa Nacional, personal extranjero, personal de entidades pϊblicas y privadas e instituciones del sector pϊblico, privado y particulares y a sus funcionarios y/o trabajadores, que hayan prestado servicios eminentes en beneficio de la Naciσn o de la Armada Nacional a travιs del desarrollo de operaciones, estrategias o servicios eminentes en asuntos civiles, cooperaciσn civil militar, operaciones de apoyo a la informaciσn militar y asuntos pϊblicos, todo ello bajo el concepto unificado de acciσn integral naval.</w:t>
      </w:r>
    </w:p>
    <w:p>
      <w:pPr>
        <w:jc w:val="both"/>
        <w:outlineLvl w:val="1"/>
      </w:pPr>
      <w:rPr>
        <w:color w:val="black"/>
      </w:rPr>
    </w:p>
    <w:p>
      <w:pPr>
        <w:jc w:val="both"/>
        <w:outlineLvl w:val="1"/>
      </w:pPr>
      <w:r>
        <w:rPr>
          <w:rFonts w:hAnsi="Arial"/>
          <w:rFonts w:ascii="Arial"/>
          <w:sz w:val="24"/>
          <w:b/>
          <w:vanish/>
          <w:color w:val="black"/>
        </w:rPr>
        <w:t>&amp;$</w:t>
      </w:r>
      <w:bookmarkStart w:id="60974" w:name="2.3.1.3.6.70.2"/>
      <w:r>
        <w:rPr>
          <w:rFonts w:hAnsi="Arial"/>
          <w:rFonts w:ascii="Arial"/>
          <w:sz w:val="24"/>
          <w:color w:val="navy"/>
        </w:rPr>
        <w:t xml:space="preserve">ARTΝCULO 2.3.1.3.6.70.2. CARACTERΝSTICAS.</w:t>
      </w:r>
      <w:bookmarkEnd w:id="609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La joya de la medalla serα fabricada en su base en bronce con la tιcnica de acuρaciσn y serα recubierta en tonos oro y plata y sus pinturas al horno. Tendrα una dimensiσn total de setenta y ocho (78) milνmetros de largo. La joya tendrα en su cϊspide un ancla de color plata de diecisiete (17) milνmetros de ancho y dieciocho (18) milνmetros de alto con un cabo en color oro, el cual estarα enrollado empezando desde el cepo, luego pasa por el ojo de arganeo hasta la caρa, posteriormente pasa por el brazo y da una vuelta a la cruz para pasar nuevamente por la caρa del ancla. El ancla estα suspendida de un aro color dorado de cuatro (4) milνmetros de diαmetro interior con un espesor de uno punto cinco (1.5) milνmetros, el cual pasa por el ojo de arganeo del ancla Este aro estα suspendido de otro aro de color dorado de diez (10) milνmetros de diαmetro interior y un espesor de uno punto cinco (1.5) milνmetros.</w:t>
      </w:r>
    </w:p>
    <w:p>
      <w:pPr>
        <w:jc w:val="both"/>
        <w:outlineLvl w:val="1"/>
      </w:pPr>
      <w:rPr>
        <w:sz w:val="24"/>
        <w:b/>
        <w:color w:val="black"/>
      </w:rPr>
    </w:p>
    <w:p>
      <w:pPr>
        <w:jc w:val="both"/>
        <w:outlineLvl w:val="1"/>
      </w:pPr>
      <w:r>
        <w:rPr>
          <w:rFonts w:hAnsi="Arial"/>
          <w:rFonts w:ascii="Arial"/>
          <w:sz w:val="24"/>
          <w:color w:val="black"/>
        </w:rPr>
        <w:t xml:space="preserve">De esta ancla penderα, como base y cuerpo principal, una rosa de los vientos en acabado oro cuyo centro cuenta con cuatro vιrtices externos de sesenta (60) milνmetros de largo y dos (2) milνmetros de ancho, cada uno de estos vιrtices simbolizan los cuatro puntos cardinales norte, sur, este y oeste, asν mismo, contarα con otras cuatro (4) puntas de cuarenta (40) milνmetros de largo y dos (2) milνmetros de ancho, en acabado oro, seρalando el noreste, el noroccidente, el sureste y el suroccidente. Esta rosa de los vientos estα enmarcada en un ojo de buey de color oro que tendrα de diαmetro cincuenta y cuatro (54) milνmetros y tendrα un espesor de tres (3) milνmetros de ancho, este ojo de buey tendrα dos cornamusas y una bisagra en color oro. Sobre el ojo de buey en la parte trasera va tallado un cabo con giro dextrσgiro, estas figuras van fundidas en una sola pieza constituyendo la base de la joya.</w:t>
      </w:r>
    </w:p>
    <w:p>
      <w:pPr>
        <w:jc w:val="both"/>
        <w:outlineLvl w:val="1"/>
      </w:pPr>
      <w:rPr>
        <w:sz w:val="24"/>
        <w:b/>
        <w:color w:val="black"/>
      </w:rPr>
    </w:p>
    <w:p>
      <w:pPr>
        <w:jc w:val="both"/>
        <w:outlineLvl w:val="1"/>
      </w:pPr>
      <w:r>
        <w:rPr>
          <w:rFonts w:hAnsi="Arial"/>
          <w:rFonts w:ascii="Arial"/>
          <w:sz w:val="24"/>
          <w:color w:val="black"/>
        </w:rPr>
        <w:t xml:space="preserve">Sobre la rosa de los vientos estα sobrepuesto un papiro enrollado de color plata en sentido diagonal, que se origina en la parte inferior izquierda y termina en la parte superior derecha de sesenta y dos (62) milνmetros de largo, cuyo ancho en las puntas mide tres (3) milνmetros y en el centro dos (2) milνmetros. Tambiιn tiene una espada en color plata de sesenta y dos (62) milνmetros de largo y de tres (3) milνmetros de ancho en su hoja, en sentido diagonal que se origina en la parte superior izquierda en donde se encuentra su guarniciσn de siete (7) milνmetros en color oro y la cruceta de la espada de cinco (5) milνmetros, extendiendo su hoja hacia la parte inferior derecha de sesenta y dos (62) milνmetros de largo, logrando que se entrecrucen las dos figuras formando un αngulo de noventa (90) grados, sin cubrir la rosa de los vientos, espada y papiro tienen un espesor de uno punto cinco (1.5) milνmetros. Estas figuras van fundidas en una sola pieza sobre la base de la joya.</w:t>
      </w:r>
    </w:p>
    <w:p>
      <w:pPr>
        <w:jc w:val="both"/>
        <w:outlineLvl w:val="1"/>
      </w:pPr>
      <w:rPr>
        <w:sz w:val="24"/>
        <w:b/>
        <w:color w:val="black"/>
      </w:rPr>
    </w:p>
    <w:p>
      <w:pPr>
        <w:jc w:val="both"/>
        <w:outlineLvl w:val="1"/>
      </w:pPr>
      <w:r>
        <w:rPr>
          <w:rFonts w:hAnsi="Arial"/>
          <w:rFonts w:ascii="Arial"/>
          <w:sz w:val="24"/>
          <w:color w:val="black"/>
        </w:rPr>
        <w:t xml:space="preserve">Sobre la espada y el papiro estα sobrepuesto un pentαgono de treinta y cinco (35) milνmetros de alto, treinta y cinco (35) milνmetros de ancho en la parte superior y treinta (30) milνmetros en la parte inferior, cada lado del pentαgono tendrα veinticinco (25) milνmetros de largo a excepciσn del lado inferior, de fondo azul oscuro con un borde completo de dos (2) milνmetros de ancho en color dorado. El espesor del pentαgono regular es de uno punto cinco (1.5) milνmetros. En el pentαgono estα sobrepuesto un tridente en color plata de treinta y tres (33) milνmetros de ancho en la parte superior y veintiocho (28) milνmetros de ancho en la parte inferior que se ubica en la parte central del pentαgono cuyos brazos laterales miden veintisiete (27) milνmetros de largo y el central treinta y tres (33) milνmetros de largo y ocupan el color azul del mismo, sobre el tridente se encuentra ubicado en el centro un hipocampo mitolσgico griego en color dorado con las siguientes dimensiones: altura veinte (20) milνmetros y ancho de diez (10) milνmetros que se extiende en la parte central del pentαgono. En la base del pentαgono se encuentra un rectαngulo irregular cuyas dimensiones son: el lado superior de quince (15) milνmetros, lado inferior doce (12) milνmetros y altura de cuatro (4) milνmetros, este rectαngulo se encuentra dividido en tres cuadrados de igual dimensiσn en color blanco, color gris y color negro de izquierda a derecha en cuyo interior se encuentran las letras mayϊsculas “A", “I”, “N” en color dorado de dos (2) milνmetros de alto tipo Arial. Estas figuras van fundidas en una sola pieza sobre la espada y el papiro. En la cara posterior y en el centro de la rosa de los vientos, estα sobrepuesto un pentαgono de treinta y cinco (35) milνmetros de alto, treinta y cinco (35) milνmetros de ancho en la parte superior y treinta (30) milνmetros en la parte inferior, cada lado de veinticinco (25) milνmetros a excepciσn del lado inferior, de fondo dorado con un borde completo de dos (2) milνmetros de ancho en color dorado. El espesor del pentαgono regular</w:t>
      </w:r>
      <w:r>
        <w:rPr>
          <w:rFonts w:hAnsi="Arial"/>
          <w:rFonts w:ascii="Arial"/>
          <w:sz w:val="24"/>
          <w:b/>
          <w:color w:val="black"/>
        </w:rPr>
        <w:t xml:space="preserve"> </w:t>
      </w:r>
      <w:r>
        <w:rPr>
          <w:rFonts w:hAnsi="Arial"/>
          <w:rFonts w:ascii="Arial"/>
          <w:sz w:val="24"/>
          <w:color w:val="black"/>
        </w:rPr>
        <w:t xml:space="preserve">es de uno punto cinco (1.5) milνmetros, llevarα las palabras Acciσn Integral y Desarrollo e irαn rodeadas por una corona de laureles.</w:t>
      </w:r>
    </w:p>
    <w:p>
      <w:pPr>
        <w:jc w:val="both"/>
        <w:outlineLvl w:val="1"/>
      </w:pPr>
      <w:rPr>
        <w:sz w:val="24"/>
        <w:b/>
        <w:color w:val="black"/>
      </w:rPr>
    </w:p>
    <w:p>
      <w:pPr>
        <w:jc w:val="both"/>
        <w:outlineLvl w:val="1"/>
      </w:pPr>
      <w:r>
        <w:rPr>
          <w:rFonts w:hAnsi="Arial"/>
          <w:rFonts w:ascii="Arial"/>
          <w:sz w:val="24"/>
          <w:color w:val="black"/>
        </w:rPr>
        <w:t xml:space="preserve">La joya irα sujeta de una cinta more de cuarenta (40) milνmetros de ancho y cincuenta (50) milνmetros de largo, estα dividido en siete franjas una franja azul central de diecisιis (16) milνmetros, y seis (6) franjas de tres (3) milνmetros de ancho de color negro, gris y blanco de afuera hacia adentro, separados por un hilo dorado de un (1) milνmetros de ancho entre ellas; la cinta irα sostenida de una barra de cuarenta y cinco (45) milνmetros de ancho y doce (12) milνmetros de alto en color dorado la cual en su parte posterior lleva un gancho de sujeciσn, el espesor de la barra serα de dos (2) milνmetros.</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Miniatura o rιplica. </w:t>
      </w:r>
      <w:r>
        <w:rPr>
          <w:rFonts w:hAnsi="Arial"/>
          <w:rFonts w:ascii="Arial"/>
          <w:sz w:val="24"/>
          <w:color w:val="black"/>
        </w:rPr>
        <w:t xml:space="preserve">Serα una condecoraciσn similar a la joya descrita anteriormente, pero reducida a escala a quince (15) milνmetros, que estarα suspendida de una cinta con los mismos colores establecidos para la joya, tendrα quince (15) milνmetros de ancho por cuarenta (40) milνmetros de largo.</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Venera. </w:t>
      </w:r>
      <w:r>
        <w:rPr>
          <w:rFonts w:hAnsi="Arial"/>
          <w:rFonts w:ascii="Arial"/>
          <w:sz w:val="24"/>
          <w:color w:val="black"/>
        </w:rPr>
        <w:t xml:space="preserve">Serα metαlica esmaltada al fuego en forma rectangular, sus dimensiones serαn de cuarenta (40) milνmetros de largo y diez (10) milνmetros de alto, los colores serαn los mismos que lleva la cinta de la condecoraciσn, lleva horizontalmente un hipocampo mitolσgico griego.</w:t>
      </w:r>
    </w:p>
    <w:p>
      <w:pPr>
        <w:jc w:val="both"/>
        <w:outlineLvl w:val="1"/>
      </w:pPr>
      <w:rPr>
        <w:color w:val="black"/>
      </w:rPr>
    </w:p>
    <w:p>
      <w:pPr>
        <w:jc w:val="both"/>
        <w:outlineLvl w:val="1"/>
      </w:pPr>
      <w:r>
        <w:rPr>
          <w:rFonts w:hAnsi="Arial"/>
          <w:rFonts w:ascii="Arial"/>
          <w:sz w:val="24"/>
          <w:b/>
          <w:vanish/>
          <w:color w:val="black"/>
        </w:rPr>
        <w:t>&amp;$</w:t>
      </w:r>
      <w:bookmarkStart w:id="60975" w:name="2.3.1.3.6.70.3"/>
      <w:r>
        <w:rPr>
          <w:rFonts w:hAnsi="Arial"/>
          <w:rFonts w:ascii="Arial"/>
          <w:sz w:val="24"/>
          <w:color w:val="navy"/>
        </w:rPr>
        <w:t xml:space="preserve">ARTΝCULO 2.3.1.3.6.70.3. CONSEJO DE LA MEDALLA.</w:t>
      </w:r>
      <w:bookmarkEnd w:id="609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El consejo de la Medalla Militar "Servicios Distinguidos a la Acciσn Integral Naval”, estarα integrado asν:</w:t>
      </w:r>
    </w:p>
    <w:tbl>
      <w:tblGrid>
        <w:gridCol w:w="1900"/>
        <w:gridCol w:w="6920"/>
      </w:tblGrid>
      <w:tblPr>
        <w:tblW w:w="8838" w:type="dxa"/>
        <w:tblBorders/>
      </w:tblPr>
      <w:tr>
        <w:trPr/>
        <w:tc>
          <w:tcPr>
            <w:tcW w:w="1906" w:type="dxa"/>
            <w:tcMar/>
            <w:tcBorders/>
          </w:tcPr>
          <w:p>
            <w:pPr/>
            <w:r>
              <w:rPr>
                <w:rFonts w:hAnsi="Arial"/>
                <w:rFonts w:ascii="Arial"/>
                <w:sz w:val="24"/>
                <w:color w:val="black"/>
              </w:rPr>
              <w:t>Presidente:</w:t>
            </w:r>
          </w:p>
        </w:tc>
        <w:tc>
          <w:tcPr>
            <w:tcW w:w="6932" w:type="dxa"/>
            <w:tcMar/>
            <w:tcBorders/>
          </w:tcPr>
          <w:p>
            <w:pPr/>
            <w:r>
              <w:rPr>
                <w:rFonts w:hAnsi="Arial"/>
                <w:rFonts w:ascii="Arial"/>
                <w:sz w:val="24"/>
                <w:color w:val="black"/>
              </w:rPr>
              <w:t xml:space="preserve">Comandante de la Armada Nacional o su delegado.</w:t>
            </w:r>
          </w:p>
        </w:tc>
      </w:tr>
      <w:tr>
        <w:trPr/>
        <w:tc>
          <w:tcPr>
            <w:tcW w:w="1906" w:type="dxa"/>
            <w:tcMar/>
            <w:tcBorders/>
          </w:tcPr>
          <w:p>
            <w:pPr/>
            <w:r>
              <w:rPr>
                <w:rFonts w:hAnsi="Arial"/>
                <w:rFonts w:ascii="Arial"/>
                <w:sz w:val="24"/>
                <w:color w:val="black"/>
              </w:rPr>
              <w:t>Vicepresidente:</w:t>
            </w:r>
          </w:p>
        </w:tc>
        <w:tc>
          <w:tcPr>
            <w:tcW w:w="6932" w:type="dxa"/>
            <w:tcMar/>
            <w:tcBorders/>
          </w:tcPr>
          <w:p>
            <w:pPr/>
            <w:r>
              <w:rPr>
                <w:rFonts w:hAnsi="Arial"/>
                <w:rFonts w:ascii="Arial"/>
                <w:sz w:val="24"/>
                <w:color w:val="black"/>
              </w:rPr>
              <w:t xml:space="preserve">Segundo Comandante Armada y Jefe de Estado Mayor Naval.</w:t>
            </w:r>
          </w:p>
        </w:tc>
      </w:tr>
      <w:tr>
        <w:trPr/>
        <w:tc>
          <w:tcPr>
            <w:tcW w:w="1906" w:type="dxa"/>
            <w:tcMar/>
            <w:tcBorders/>
          </w:tcPr>
          <w:p>
            <w:pPr/>
            <w:r>
              <w:rPr>
                <w:rFonts w:hAnsi="Arial"/>
                <w:rFonts w:ascii="Arial"/>
                <w:sz w:val="24"/>
                <w:color w:val="black"/>
              </w:rPr>
              <w:t>Vocales:</w:t>
            </w:r>
          </w:p>
        </w:tc>
        <w:tc>
          <w:tcPr>
            <w:tcW w:w="6932" w:type="dxa"/>
            <w:tcMar/>
            <w:tcBorders/>
          </w:tcPr>
          <w:p>
            <w:pPr/>
            <w:r>
              <w:rPr>
                <w:rFonts w:hAnsi="Arial"/>
                <w:rFonts w:ascii="Arial"/>
                <w:sz w:val="24"/>
                <w:color w:val="black"/>
              </w:rPr>
              <w:t xml:space="preserve">Jefe de Estado Mayor Naval de Operaciones.</w:t>
              <w:br w:type="textWrapping"/>
              <w:t>Jefe Jefatura de Acciσn Integral y Desarrollo.</w:t>
              <w:br w:type="textWrapping"/>
              <w:t>Jefe Oficina de Planeaciσn de Acciσn Integral y Desarrollo.</w:t>
            </w:r>
          </w:p>
        </w:tc>
      </w:tr>
      <w:tr>
        <w:trPr/>
        <w:tc>
          <w:tcPr>
            <w:tcW w:w="1906" w:type="dxa"/>
            <w:tcMar/>
            <w:tcBorders/>
          </w:tcPr>
          <w:p>
            <w:pPr/>
            <w:r>
              <w:rPr>
                <w:rFonts w:hAnsi="Arial"/>
                <w:rFonts w:ascii="Arial"/>
                <w:sz w:val="24"/>
                <w:color w:val="black"/>
              </w:rPr>
              <w:t>Secretario:</w:t>
            </w:r>
          </w:p>
        </w:tc>
        <w:tc>
          <w:tcPr>
            <w:tcW w:w="6932" w:type="dxa"/>
            <w:tcMar/>
            <w:tcBorders/>
          </w:tcPr>
          <w:p>
            <w:pPr/>
            <w:r>
              <w:rPr>
                <w:rFonts w:hAnsi="Arial"/>
                <w:rFonts w:ascii="Arial"/>
                <w:sz w:val="24"/>
                <w:color w:val="black"/>
              </w:rPr>
              <w:t xml:space="preserve">Director de Personal Armada Nacional.</w:t>
            </w:r>
          </w:p>
        </w:tc>
      </w:tr>
    </w:tbl>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efectos de las funciones y atribuciones de los miembros del Consejo se aplicarα el artνculo </w:t>
      </w:r>
      <w:r>
        <w:fldChar w:fldCharType="begin"/>
      </w:r>
      <w:r>
        <w:instrText>HYPERLINK "http://www.redjurista.com/document.aspx?ajcode=d1070015&amp;arts=2.3.1.3 6.2"</w:instrText>
      </w:r>
      <w:r>
        <w:fldChar w:fldCharType="separate"/>
      </w:r>
      <w:r>
        <w:rPr>
          <w:rFonts w:hAnsi="Arial"/>
          <w:rFonts w:ascii="Arial"/>
          <w:sz w:val="24"/>
          <w:u w:val="single"/>
          <w:color w:val="black"/>
        </w:rPr>
        <w:t xml:space="preserve">2.3.1.3 6.2</w:t>
      </w:r>
      <w:r>
        <w:fldChar w:fldCharType="end"/>
      </w:r>
      <w:r>
        <w:rPr>
          <w:rFonts w:hAnsi="Arial"/>
          <w:rFonts w:ascii="Arial"/>
          <w:sz w:val="24"/>
          <w:u w:val="none"/>
          <w:color w:val="black"/>
        </w:rPr>
        <w:t xml:space="preserve">. del presente Decreto</w:t>
      </w:r>
    </w:p>
    <w:p>
      <w:pPr>
        <w:jc w:val="both"/>
        <w:outlineLvl w:val="1"/>
      </w:pPr>
      <w:rPr>
        <w:color w:val="black"/>
      </w:rPr>
    </w:p>
    <w:p>
      <w:pPr>
        <w:jc w:val="both"/>
      </w:pPr>
      <w:r>
        <w:rPr>
          <w:rFonts w:hAnsi="Arial"/>
          <w:rFonts w:ascii="Arial"/>
          <w:sz w:val="24"/>
          <w:b/>
          <w:vanish/>
          <w:color w:val="black"/>
        </w:rPr>
        <w:t>&amp;$</w:t>
      </w:r>
      <w:bookmarkStart w:id="60976" w:name="2.3.1.3.6.70.4"/>
      <w:r>
        <w:rPr>
          <w:rFonts w:hAnsi="Arial"/>
          <w:rFonts w:ascii="Arial"/>
          <w:sz w:val="24"/>
          <w:color w:val="navy"/>
        </w:rPr>
        <w:t xml:space="preserve">ARTΝCULO 2.3.1.3.6.70.4. DIPLOMA.</w:t>
      </w:r>
      <w:bookmarkEnd w:id="6097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Serα elaborado en papel pergamino o cartulina blanca de treinta y cinco (35) centνmetros de largo por veinticinco (25) centνmetros de ancho en orientaciσn horizontal, tipo de letra Edwardian Script ITC, excepto las firmas en tipo de letra Monotipe Cursiva, el cual llevarα en el lado izquierdo superior la ilustraciσn del anverso de la Medalla Militar "Servicios Distinguidos a la Acciσn Integral Naval”, y en el lado derecho superior el reverso de la misma Medalla. El diploma estarα enmarcado con los colores azul y gris asν:</w:t>
      </w:r>
    </w:p>
    <w:p>
      <w:pPr>
        <w:jc w:val="center"/>
        <w:outlineLvl w:val="1"/>
      </w:pPr>
      <w:r>
        <w:drawing>
          <wp:inline distT="0" distB="0" distL="0" distR="0">
            <wp:extent cx="5200650" cy="2819400"/>
            <wp:docPr id="34" name=""/>
            <a:graphic xmlns:a="http://schemas.openxmlformats.org/drawingml/2006/main">
              <a:graphicData uri="http://schemas.openxmlformats.org/drawingml/2006/picture">
                <pic:pic xmlns:pic="http://schemas.openxmlformats.org/drawingml/2006/picture">
                  <pic:nvPicPr>
                    <pic:cNvPr id="33" name="Picture "/>
                    <pic:cNvPicPr/>
                  </pic:nvPicPr>
                  <pic:blipFill>
                    <a:blip r:embed="id33"/>
                    <a:stretch>
                      <a:fillRect/>
                    </a:stretch>
                  </pic:blipFill>
                  <pic:spPr>
                    <a:xfrm>
                      <a:off x="0" y="0"/>
                      <a:ext cx="5200650" cy="281940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vanish/>
          <w:color w:val="black"/>
        </w:rPr>
        <w:t>&amp;$</w:t>
      </w:r>
      <w:bookmarkStart w:id="60977" w:name="2.3.1.3.6.70.5"/>
      <w:r>
        <w:rPr>
          <w:rFonts w:hAnsi="Arial"/>
          <w:rFonts w:ascii="Arial"/>
          <w:sz w:val="24"/>
          <w:color w:val="navy"/>
        </w:rPr>
        <w:t xml:space="preserve">ARTΝCULO 2.3.1.3.6.70.5. OTORGAMIENTO.</w:t>
      </w:r>
      <w:bookmarkEnd w:id="6097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La Medalla Militar Servicios Distinguidos a la Acciσn Integral Naval serα conferida una sola vez, previo el cumplimiento de los requisitos establecidos en el artνculo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Decreto nϊmero 1070 de 2015, y que, a consideraciσn del Consejo de la Medalla, se hagan merecedores de esta distinciσn.</w:t>
      </w:r>
    </w:p>
    <w:p>
      <w:pPr>
        <w:jc w:val="both"/>
        <w:outlineLvl w:val="1"/>
      </w:pPr>
      <w:rPr>
        <w:color w:val="black"/>
      </w:rPr>
    </w:p>
    <w:p>
      <w:pPr>
        <w:jc w:val="both"/>
        <w:outlineLvl w:val="1"/>
      </w:pPr>
      <w:r>
        <w:rPr>
          <w:rFonts w:hAnsi="Arial"/>
          <w:rFonts w:ascii="Arial"/>
          <w:sz w:val="24"/>
          <w:b/>
          <w:vanish/>
          <w:color w:val="black"/>
        </w:rPr>
        <w:t>&amp;$</w:t>
      </w:r>
      <w:bookmarkStart w:id="60978" w:name="2.3.1.3.6.70.6"/>
      <w:r>
        <w:rPr>
          <w:rFonts w:hAnsi="Arial"/>
          <w:rFonts w:ascii="Arial"/>
          <w:sz w:val="24"/>
          <w:color w:val="navy"/>
        </w:rPr>
        <w:t xml:space="preserve">ARTΝCULO 2.3.1.3.6.70.6. IMPOSICIΣN.</w:t>
      </w:r>
      <w:bookmarkEnd w:id="6097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"http://www.redjurista.com/document.aspx?ajcode=d0630024&amp;arts=1"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630 de 2024. El nuevo texto es el siguiente:&gt; La imposiciσn de la Medalla Militar "Servicios Distinguidos a la Acciσn Integral Naval” se harα conforme con lo establecido en los artνculos </w:t>
      </w:r>
      <w:r>
        <w:fldChar w:fldCharType="begin"/>
      </w:r>
      <w:r>
        <w:instrText>HYPERLINK "http://www.redjurista.com/document.aspx?ajcode=d1070015&amp;arts=2.3.1.3.1.4"</w:instrText>
      </w:r>
      <w:r>
        <w:fldChar w:fldCharType="separate"/>
      </w:r>
      <w:r>
        <w:rPr>
          <w:rFonts w:hAnsi="Arial"/>
          <w:rFonts w:ascii="Arial"/>
          <w:sz w:val="24"/>
          <w:u w:val="single"/>
          <w:color w:val="black"/>
        </w:rPr>
        <w:t>2.3.1.3.1.4</w:t>
      </w:r>
      <w:r>
        <w:fldChar w:fldCharType="end"/>
      </w:r>
      <w:r>
        <w:rPr>
          <w:rFonts w:hAnsi="Arial"/>
          <w:rFonts w:ascii="Arial"/>
          <w:sz w:val="24"/>
          <w:u w:val="none"/>
          <w:color w:val="black"/>
        </w:rPr>
        <w:t xml:space="preserve"> y </w:t>
      </w:r>
      <w:r>
        <w:fldChar w:fldCharType="begin"/>
      </w:r>
      <w:r>
        <w:instrText>HYPERLINK "http://www.redjurista.com/document.aspx?ajcode=d1070015&amp;arts=2.3.1.3.3.4"</w:instrText>
      </w:r>
      <w:r>
        <w:fldChar w:fldCharType="separate"/>
      </w:r>
      <w:r>
        <w:rPr>
          <w:rFonts w:hAnsi="Arial"/>
          <w:rFonts w:ascii="Arial"/>
          <w:sz w:val="24"/>
          <w:u w:val="single"/>
          <w:color w:val="black"/>
        </w:rPr>
        <w:t>2.3.1.3.3.4</w:t>
      </w:r>
      <w:r>
        <w:fldChar w:fldCharType="end"/>
      </w:r>
      <w:r>
        <w:rPr>
          <w:rFonts w:hAnsi="Arial"/>
          <w:rFonts w:ascii="Arial"/>
          <w:sz w:val="24"/>
          <w:u w:val="none"/>
          <w:color w:val="black"/>
        </w:rPr>
        <w:t xml:space="preserve"> del Decreto nϊmero  1070 del 26 de mayo de 2015, para la ceremonia se conformarαn destacamentos, de acuerdo con el reglamento ceremonial militar y estarα precedida por el oficial de mαs alto rango de la guarniciσn, quien impondrα la condecoraciσn.</w:t>
      </w:r>
    </w:p>
    <w:p>
      <w:pPr>
        <w:jc w:val="center"/>
        <w:outlineLvl w:val="1"/>
      </w:pPr>
      <w:rPr>
        <w:sz w:val="24"/>
        <w:b/>
        <w:color w:val="black"/>
      </w:rPr>
    </w:p>
    <w:p>
      <w:pPr>
        <w:jc w:val="center"/>
        <w:outlineLvl w:val="1"/>
      </w:pPr>
      <w:r>
        <w:rPr>
          <w:rFonts w:hAnsi="Arial"/>
          <w:rFonts w:ascii="Arial"/>
          <w:sz w:val="24"/>
          <w:vanish/>
          <w:color w:val="black"/>
        </w:rPr>
        <w:t>&amp;$</w:t>
      </w:r>
      <w:bookmarkStart w:id="60979" w:name="SUBSECCIÓN 2.3.1.3.6.71"/>
      <w:r>
        <w:rPr>
          <w:rFonts w:hAnsi="Arial"/>
          <w:rFonts w:ascii="Arial"/>
          <w:sz w:val="24"/>
          <w:color w:val="navy"/>
        </w:rPr>
        <w:t xml:space="preserve">SUBSECCIΣN 71. </w:t>
      </w:r>
    </w:p>
    <w:p>
      <w:pPr>
        <w:jc w:val="center"/>
        <w:outlineLvl w:val="1"/>
      </w:pPr>
      <w:r>
        <w:rPr>
          <w:rFonts w:hAnsi="Arial"/>
          <w:rFonts w:ascii="Arial"/>
          <w:sz w:val="24"/>
          <w:color w:val="navy"/>
        </w:rPr>
        <w:t xml:space="preserve">MEDALLA MILITAR "OPERACIONES AEROMΙDICAS ESPECIALES".</w:t>
      </w:r>
      <w:bookmarkEnd w:id="6097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80" w:name="2.3.1.3.6.71.1"/>
      <w:r>
        <w:rPr>
          <w:rFonts w:hAnsi="Arial"/>
          <w:rFonts w:ascii="Arial"/>
          <w:sz w:val="24"/>
          <w:color w:val="navy"/>
        </w:rPr>
        <w:t xml:space="preserve">ARTΝCULO 2.3.1.3.6.71.1. </w:t>
      </w:r>
      <w:r>
        <w:rPr>
          <w:rFonts w:hAnsi="Arial"/>
          <w:rFonts w:ascii="Arial"/>
          <w:sz w:val="24"/>
          <w:i/>
          <w:color w:val="navy"/>
        </w:rPr>
        <w:t>ORIGEN</w:t>
      </w:r>
      <w:r>
        <w:rPr>
          <w:rFonts w:hAnsi="Arial"/>
          <w:rFonts w:ascii="Arial"/>
          <w:sz w:val="24"/>
          <w:color w:val="navy"/>
        </w:rPr>
        <w:t>.</w:t>
      </w:r>
      <w:bookmarkEnd w:id="6098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Crιase la Medalla Militar “Operaciones Aeromιdicas Especiales”, para estimular al personal militar activo de la Fuerza Aιrea Colombiana, oficiales y suboficiales de otras fuerzas, personal civil de las Fuerzas Militares, entidades pϊblicas y privadas, que se hayan desempeρado en forma excepcional en el apoyo, logνstica, operaciones de traslado, evacuaciones aeromιdicas de pacientes con enfermedades infectocontagiosas, emergencias y desastres o atentados terroristas, que requieren utilizaciσn de aeronaves bajo planeaciσn, logνstica e inteligencia mιdica, para traslados masivos de pacientes a bordo de las aeronaves de la Fuerza Aιrea Colombiana. </w:t>
      </w:r>
    </w:p>
    <w:p>
      <w:pPr>
        <w:jc w:val="both"/>
      </w:pPr>
      <w:rPr>
        <w:color w:val="black"/>
      </w:rPr>
    </w:p>
    <w:p>
      <w:pPr>
        <w:jc w:val="both"/>
      </w:pPr>
      <w:r>
        <w:rPr>
          <w:rFonts w:hAnsi="Arial"/>
          <w:rFonts w:ascii="Arial"/>
          <w:sz w:val="24"/>
          <w:b/>
          <w:vanish/>
          <w:color w:val="black"/>
        </w:rPr>
        <w:t>&amp;$</w:t>
      </w:r>
      <w:bookmarkStart w:id="60981" w:name="2.3.1.3.6.71.2"/>
      <w:r>
        <w:rPr>
          <w:rFonts w:hAnsi="Arial"/>
          <w:rFonts w:ascii="Arial"/>
          <w:sz w:val="24"/>
          <w:color w:val="navy"/>
        </w:rPr>
        <w:t xml:space="preserve">ARTΝCULO 2.3.1.3.6.71.2. </w:t>
      </w:r>
      <w:r>
        <w:rPr>
          <w:rFonts w:hAnsi="Arial"/>
          <w:rFonts w:ascii="Arial"/>
          <w:sz w:val="24"/>
          <w:i/>
          <w:color w:val="navy"/>
        </w:rPr>
        <w:t>CARACTERΝSTICAS</w:t>
      </w:r>
      <w:r>
        <w:rPr>
          <w:rFonts w:hAnsi="Arial"/>
          <w:rFonts w:ascii="Arial"/>
          <w:sz w:val="24"/>
          <w:color w:val="navy"/>
        </w:rPr>
        <w:t>.</w:t>
      </w:r>
      <w:bookmarkEnd w:id="609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joya es conformada por tres (3) estrellas, la primera en la parte posterior de diecisιis (16), puntas en esmalte plata con un diαmetro de cuarenta y cinco (45) milνmetros, que representa la fe y obediencia del personal involucrado en este tipo de misiones, en la antigόedad el personal que llevaba consigo este metal se distinguνa por su integridad y firmeza, obteniendo el reconocimiento por amparar a los menos favorecidos. Seguida por una segunda estrella de ocho (8) puntas en esmalte balaje con un diαmetro de treinta y cinco (35) milνmetros, que representa la soberanνa, la uniσn y sinergia para el cumplimiento de misiones de alta complejidad, derivadas de fenσmenos naturales, enfermedades infectocontagiosas, manejo de paciente crνtico en vuelo y emergencias nucleares, quνmicas, biolσgicas, radiolσgicas y por explosivos, en la parte superior una tercera estrella de ocho (08) puntas en esmalte oro con cincuenta y cinco (55) milνmetros de diαmetro, en representaciσn de la rosa de los vientos, ya que la Fuerza Aιrea Colombiana ha desplegado sus capacidades a lo largo y ancho del territorio nacional. Ademαs, representa la nobleza, la constancia y la sabidurνa; quien lo lleve debe su nobleza y servidumbre al pueblo, y ser primero en defender y amparar a quien mαs lo requiera en cualquier lugar del paνs. </w:t>
      </w:r>
    </w:p>
    <w:p>
      <w:pPr>
        <w:jc w:val="both"/>
      </w:pPr>
      <w:rPr>
        <w:sz w:val="24"/>
        <w:b/>
        <w:color w:val="black"/>
      </w:rPr>
    </w:p>
    <w:p>
      <w:pPr>
        <w:jc w:val="both"/>
      </w:pPr>
      <w:r>
        <w:rPr>
          <w:rFonts w:hAnsi="Arial"/>
          <w:rFonts w:ascii="Arial"/>
          <w:sz w:val="24"/>
          <w:color w:val="black"/>
        </w:rPr>
        <w:t xml:space="preserve">En total esta joya la componen treinta y dos (32) puntas que representan los treinta y dos (32) departamentos que conforman la Repϊblica de Colombia. En su centro lleva la estrella de la vida en esmalte azul y bordes plata que representa cada una de las acciones que se deben realizar en las misiones de traslado y evacuaciσn aeromιdica, tales como: detectar, informar, responder, cuidado en la escena, cuidado durante el traslado, derivaciσn al centro de atenciσn adecuado y la imagen de Asclepio en esmalte plata, como representaciσn del escuadrσn de operaciones mιdicas especiales. En el dorso lleva la inscripciσn “en honor a todos aquellos que sacrifican su bienestar, por servir a toda una Naciσn”. La cinta de color azul turquν de cuarenta (40) milνmetros de ancho con franjas grises en forma de cruz de diez (10) milνmetros de ancho.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miniatura o rιplica serα una medalla similar a la joya de la condecoraciσn descrita, pero reducida a un diαmetro de quince (15) milνmetros; la cual estarα suspendida por una cinta similar a la de la joya, de quince (15) milνmetros de ancho por treinta y cinco (35) milνmetros de largo y en el centro ostentarα los distintivos establecidos para la joya.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La venera serα un rectαngulo esmaltado al fuego de cuarenta (40) milνmetros de largo por diez (10) milνmetros de ancho; sus colores y detalles serαn los mismos de la cinta de la medalla, llevarα en el centro la estrella de la vida en esmalte azul y bordes plata y la imagen de Asclepio que representa las Operaciones Aeromιdicas Especiales. </w:t>
      </w:r>
    </w:p>
    <w:p>
      <w:pPr>
        <w:jc w:val="both"/>
      </w:pPr>
      <w:rPr>
        <w:color w:val="black"/>
      </w:rPr>
    </w:p>
    <w:p>
      <w:pPr>
        <w:jc w:val="both"/>
      </w:pPr>
      <w:r>
        <w:rPr>
          <w:rFonts w:hAnsi="Arial"/>
          <w:rFonts w:ascii="Arial"/>
          <w:sz w:val="24"/>
          <w:b/>
          <w:vanish/>
          <w:color w:val="black"/>
        </w:rPr>
        <w:t>&amp;$</w:t>
      </w:r>
      <w:bookmarkStart w:id="60982" w:name="2.3.1.3.6.71.3"/>
      <w:r>
        <w:rPr>
          <w:rFonts w:hAnsi="Arial"/>
          <w:rFonts w:ascii="Arial"/>
          <w:sz w:val="24"/>
          <w:color w:val="navy"/>
        </w:rPr>
        <w:t xml:space="preserve">ARTΝCULO 2.3.1.3.6.71.3. </w:t>
      </w:r>
      <w:r>
        <w:rPr>
          <w:rFonts w:hAnsi="Arial"/>
          <w:rFonts w:ascii="Arial"/>
          <w:sz w:val="24"/>
          <w:i/>
          <w:color w:val="navy"/>
        </w:rPr>
        <w:t>CONSEJO</w:t>
      </w:r>
      <w:r>
        <w:rPr>
          <w:rFonts w:hAnsi="Arial"/>
          <w:rFonts w:ascii="Arial"/>
          <w:sz w:val="24"/>
          <w:color w:val="navy"/>
        </w:rPr>
        <w:t>.</w:t>
      </w:r>
      <w:bookmarkEnd w:id="60982"/>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 Consejo de la Medalla Militar “Operaciones Aeromιdicas Especiales” estarα conformado de la siguiente manera: </w:t>
      </w:r>
    </w:p>
    <w:tbl>
      <w:tblGrid>
        <w:gridCol w:w="1940"/>
        <w:gridCol w:w="6880"/>
      </w:tblGrid>
      <w:tblPr>
        <w:tblW w:w="8838" w:type="dxa"/>
        <w:tblBorders/>
      </w:tblPr>
      <w:tr>
        <w:trPr/>
        <w:tc>
          <w:tcPr>
            <w:tcW w:w="1940" w:type="dxa"/>
            <w:tcMar/>
            <w:tcBorders/>
          </w:tcPr>
          <w:p>
            <w:pPr>
              <w:jc w:val="both"/>
            </w:pPr>
            <w:r>
              <w:rPr>
                <w:rFonts w:hAnsi="Arial"/>
                <w:rFonts w:ascii="Arial"/>
                <w:sz w:val="24"/>
                <w:b/>
                <w:color w:val="black"/>
              </w:rPr>
              <w:t xml:space="preserve">Presidente: </w:t>
            </w:r>
          </w:p>
        </w:tc>
        <w:tc>
          <w:tcPr>
            <w:tcW w:w="6898" w:type="dxa"/>
            <w:tcMar/>
            <w:tcBorders/>
          </w:tcPr>
          <w:p>
            <w:pPr>
              <w:jc w:val="both"/>
            </w:pPr>
            <w:r>
              <w:rPr>
                <w:rFonts w:hAnsi="Arial"/>
                <w:rFonts w:ascii="Arial"/>
                <w:sz w:val="24"/>
                <w:color w:val="black"/>
              </w:rPr>
              <w:t xml:space="preserve">Comandante Fuerza Aιrea Colombiana. </w:t>
            </w:r>
          </w:p>
        </w:tc>
      </w:tr>
      <w:tr>
        <w:trPr/>
        <w:tc>
          <w:tcPr>
            <w:tcW w:w="1940" w:type="dxa"/>
            <w:tcMar/>
            <w:tcBorders/>
          </w:tcPr>
          <w:p>
            <w:pPr>
              <w:jc w:val="both"/>
            </w:pPr>
            <w:r>
              <w:rPr>
                <w:rFonts w:hAnsi="Arial"/>
                <w:rFonts w:ascii="Arial"/>
                <w:sz w:val="24"/>
                <w:b/>
                <w:color w:val="black"/>
              </w:rPr>
              <w:t xml:space="preserve">Vicepresidente: </w:t>
            </w:r>
          </w:p>
        </w:tc>
        <w:tc>
          <w:tcPr>
            <w:tcW w:w="6898" w:type="dxa"/>
            <w:tcMar/>
            <w:tcBorders/>
          </w:tcPr>
          <w:p>
            <w:pPr>
              <w:jc w:val="both"/>
            </w:pPr>
            <w:r>
              <w:rPr>
                <w:rFonts w:hAnsi="Arial"/>
                <w:rFonts w:ascii="Arial"/>
                <w:sz w:val="24"/>
                <w:color w:val="black"/>
              </w:rPr>
              <w:t xml:space="preserve">Segundo Comandante y Jefe de Estado Mayor de la Fuerza Aιrea Colombiana. </w:t>
            </w:r>
          </w:p>
        </w:tc>
      </w:tr>
      <w:tr>
        <w:trPr/>
        <w:tc>
          <w:tcPr>
            <w:tcW w:w="1940" w:type="dxa"/>
            <w:tcMar/>
            <w:tcBorders/>
          </w:tcPr>
          <w:p>
            <w:pPr>
              <w:jc w:val="both"/>
            </w:pPr>
            <w:r>
              <w:rPr>
                <w:rFonts w:hAnsi="Arial"/>
                <w:rFonts w:ascii="Arial"/>
                <w:sz w:val="24"/>
                <w:b/>
                <w:color w:val="black"/>
              </w:rPr>
              <w:t xml:space="preserve">Secretario: </w:t>
            </w:r>
          </w:p>
        </w:tc>
        <w:tc>
          <w:tcPr>
            <w:tcW w:w="6898" w:type="dxa"/>
            <w:tcMar/>
            <w:tcBorders/>
          </w:tcPr>
          <w:p>
            <w:pPr>
              <w:jc w:val="both"/>
            </w:pPr>
            <w:r>
              <w:rPr>
                <w:rFonts w:hAnsi="Arial"/>
                <w:rFonts w:ascii="Arial"/>
                <w:sz w:val="24"/>
                <w:color w:val="black"/>
              </w:rPr>
              <w:t xml:space="preserve">Comandante de Desarrollo Humano de la Fuerza Aιrea Colombiana. </w:t>
            </w:r>
          </w:p>
        </w:tc>
      </w:tr>
      <w:tr>
        <w:trPr/>
        <w:tc>
          <w:tcPr>
            <w:tcW w:w="1940" w:type="dxa"/>
            <w:tcMar/>
            <w:tcBorders/>
          </w:tcPr>
          <w:p>
            <w:pPr>
              <w:jc w:val="both"/>
            </w:pPr>
            <w:r>
              <w:rPr>
                <w:rFonts w:hAnsi="Arial"/>
                <w:rFonts w:ascii="Arial"/>
                <w:sz w:val="24"/>
                <w:b/>
                <w:color w:val="black"/>
              </w:rPr>
              <w:t xml:space="preserve">Vocal: </w:t>
            </w:r>
          </w:p>
        </w:tc>
        <w:tc>
          <w:tcPr>
            <w:tcW w:w="6898" w:type="dxa"/>
            <w:tcMar/>
            <w:tcBorders/>
          </w:tcPr>
          <w:p>
            <w:pPr>
              <w:jc w:val="both"/>
            </w:pPr>
            <w:r>
              <w:rPr>
                <w:rFonts w:hAnsi="Arial"/>
                <w:rFonts w:ascii="Arial"/>
                <w:sz w:val="24"/>
                <w:color w:val="black"/>
              </w:rPr>
              <w:t xml:space="preserve">Jefe Jefatura de Salud de la Fuerza Aιrea Colombiana. </w:t>
            </w:r>
          </w:p>
        </w:tc>
      </w:tr>
    </w:tbl>
    <w:p>
      <w:pPr>
        <w:jc w:val="both"/>
      </w:pPr>
      <w:rPr>
        <w:color w:val="black"/>
      </w:rPr>
    </w:p>
    <w:p>
      <w:pPr>
        <w:jc w:val="both"/>
      </w:pPr>
      <w:r>
        <w:rPr>
          <w:rFonts w:hAnsi="Arial"/>
          <w:rFonts w:ascii="Arial"/>
          <w:sz w:val="24"/>
          <w:b/>
          <w:vanish/>
          <w:color w:val="black"/>
        </w:rPr>
        <w:t>&amp;$</w:t>
      </w:r>
      <w:bookmarkStart w:id="60983" w:name="2.3.1.3.6.71.4"/>
      <w:r>
        <w:rPr>
          <w:rFonts w:hAnsi="Arial"/>
          <w:rFonts w:ascii="Arial"/>
          <w:sz w:val="24"/>
          <w:color w:val="navy"/>
        </w:rPr>
        <w:t xml:space="preserve">ARTΝCULO 2.3.1.3.6.71.4. </w:t>
      </w:r>
      <w:r>
        <w:rPr>
          <w:rFonts w:hAnsi="Arial"/>
          <w:rFonts w:ascii="Arial"/>
          <w:sz w:val="24"/>
          <w:i/>
          <w:color w:val="navy"/>
        </w:rPr>
        <w:t>DIPLOMA</w:t>
      </w:r>
      <w:r>
        <w:rPr>
          <w:rFonts w:hAnsi="Arial"/>
          <w:rFonts w:ascii="Arial"/>
          <w:sz w:val="24"/>
          <w:color w:val="navy"/>
        </w:rPr>
        <w:t>.</w:t>
      </w:r>
      <w:bookmarkEnd w:id="60983"/>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Elaborado en papel pergamino o cartulina blanca, de las siguientes dimensiones: treinta y cinco (35) centνmetros de largo por veinticinco (25) centνmetros de ancho; ostenta la cara principal de la medalla al lado superior izquierdo y en el lado superior derecho el escudo de la Fuerza Aιrea Colombiana, en el centro la siguiente leyenda: </w:t>
      </w:r>
      <w:r>
        <w:rPr>
          <w:rFonts w:hAnsi="Arial"/>
          <w:rFonts w:ascii="Arial"/>
          <w:sz w:val="24"/>
          <w:i/>
          <w:u w:val="none"/>
          <w:color w:val="black"/>
        </w:rPr>
        <w:t xml:space="preserve">“De acuerdo a Acta nϊmero _ suscrita por el personal que la integra, le otorga la Medalla “Operaciones Aeromιdicas Especiales” En honor a todos aquellos que sacrifican su bienestar para el beneficio de toda una Naciσn”. </w:t>
      </w:r>
    </w:p>
    <w:p>
      <w:pPr>
        <w:jc w:val="both"/>
      </w:pPr>
      <w:rPr>
        <w:color w:val="black"/>
      </w:rPr>
    </w:p>
    <w:p>
      <w:pPr>
        <w:jc w:val="both"/>
      </w:pPr>
      <w:r>
        <w:rPr>
          <w:rFonts w:hAnsi="Arial"/>
          <w:rFonts w:ascii="Arial"/>
          <w:sz w:val="24"/>
          <w:b/>
          <w:vanish/>
          <w:color w:val="black"/>
        </w:rPr>
        <w:t>&amp;$</w:t>
      </w:r>
      <w:bookmarkStart w:id="60984" w:name="2.3.1.3.6.71.5"/>
      <w:r>
        <w:rPr>
          <w:rFonts w:hAnsi="Arial"/>
          <w:rFonts w:ascii="Arial"/>
          <w:sz w:val="24"/>
          <w:color w:val="navy"/>
        </w:rPr>
        <w:t xml:space="preserve">ARTΝCULO 2.3.1.3.6.71.5. </w:t>
      </w:r>
      <w:r>
        <w:rPr>
          <w:rFonts w:hAnsi="Arial"/>
          <w:rFonts w:ascii="Arial"/>
          <w:sz w:val="24"/>
          <w:i/>
          <w:color w:val="navy"/>
        </w:rPr>
        <w:t>OTORGAMIENTO</w:t>
      </w:r>
      <w:r>
        <w:rPr>
          <w:rFonts w:hAnsi="Arial"/>
          <w:rFonts w:ascii="Arial"/>
          <w:sz w:val="24"/>
          <w:color w:val="navy"/>
        </w:rPr>
        <w:t>.</w:t>
      </w:r>
      <w:bookmarkEnd w:id="60984"/>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Militar “Operaciones Aeromιdicas Especiales” serα conferida, por ϊnica vez, de acuerdo con los requisitos establecidos para el efecto, a quienes, en consideraciσn del Consejo de la Medalla, sean merecedores de esta distinciσn. </w:t>
      </w:r>
    </w:p>
    <w:p>
      <w:pPr>
        <w:jc w:val="both"/>
      </w:pPr>
      <w:rPr>
        <w:color w:val="black"/>
      </w:rPr>
    </w:p>
    <w:p>
      <w:pPr>
        <w:jc w:val="both"/>
      </w:pPr>
      <w:r>
        <w:rPr>
          <w:rFonts w:hAnsi="Arial"/>
          <w:rFonts w:ascii="Arial"/>
          <w:sz w:val="24"/>
          <w:b/>
          <w:vanish/>
          <w:color w:val="black"/>
        </w:rPr>
        <w:t>&amp;$</w:t>
      </w:r>
      <w:bookmarkStart w:id="60985" w:name="2.3.1.3.6.71.6"/>
      <w:r>
        <w:rPr>
          <w:rFonts w:hAnsi="Arial"/>
          <w:rFonts w:ascii="Arial"/>
          <w:sz w:val="24"/>
          <w:color w:val="navy"/>
        </w:rPr>
        <w:t xml:space="preserve">ARTΝCULO 2.3.1.3.6.71.6. </w:t>
      </w:r>
      <w:r>
        <w:rPr>
          <w:rFonts w:hAnsi="Arial"/>
          <w:rFonts w:ascii="Arial"/>
          <w:sz w:val="24"/>
          <w:i/>
          <w:color w:val="navy"/>
        </w:rPr>
        <w:t>IMPOSICIΣN</w:t>
      </w:r>
      <w:r>
        <w:rPr>
          <w:rFonts w:hAnsi="Arial"/>
          <w:rFonts w:ascii="Arial"/>
          <w:sz w:val="24"/>
          <w:color w:val="navy"/>
        </w:rPr>
        <w:t>.</w:t>
      </w:r>
      <w:bookmarkEnd w:id="6098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serα impuesta en ceremonia especial, de conformidad con el Reglamento de Ceremonial Militar. </w:t>
      </w:r>
    </w:p>
    <w:p>
      <w:pPr>
        <w:jc w:val="center"/>
      </w:pPr>
      <w:r>
        <w:drawing>
          <wp:inline distT="0" distB="0" distL="0" distR="0">
            <wp:extent cx="4076700" cy="2133600"/>
            <wp:docPr id="35" name=""/>
            <a:graphic xmlns:a="http://schemas.openxmlformats.org/drawingml/2006/main">
              <a:graphicData uri="http://schemas.openxmlformats.org/drawingml/2006/picture">
                <pic:pic xmlns:pic="http://schemas.openxmlformats.org/drawingml/2006/picture">
                  <pic:nvPicPr>
                    <pic:cNvPr id="34" name="Picture "/>
                    <pic:cNvPicPr/>
                  </pic:nvPicPr>
                  <pic:blipFill>
                    <a:blip r:embed="id34"/>
                    <a:stretch>
                      <a:fillRect/>
                    </a:stretch>
                  </pic:blipFill>
                  <pic:spPr>
                    <a:xfrm>
                      <a:off x="0" y="0"/>
                      <a:ext cx="4076700" cy="2133600"/>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86" w:name="SUBSECCIÓN 2.3.1.3.6.72"/>
      <w:r>
        <w:rPr>
          <w:rFonts w:hAnsi="Arial"/>
          <w:rFonts w:ascii="Arial"/>
          <w:sz w:val="24"/>
          <w:color w:val="navy"/>
        </w:rPr>
        <w:t xml:space="preserve">SUBSECCIΣN 72. </w:t>
      </w:r>
    </w:p>
    <w:p>
      <w:pPr>
        <w:jc w:val="center"/>
      </w:pPr>
      <w:r>
        <w:rPr>
          <w:rFonts w:hAnsi="Arial"/>
          <w:rFonts w:ascii="Arial"/>
          <w:sz w:val="24"/>
          <w:color w:val="navy"/>
        </w:rPr>
        <w:t xml:space="preserve">MEDALLA MILITAR "SERVICIOS DISTINGUIDOS A LA CONTRAINTELIGENCIA AΙREA".</w:t>
      </w:r>
      <w:bookmarkEnd w:id="6098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87" w:name="2.3.1.3.6.72.1"/>
      <w:r>
        <w:rPr>
          <w:rFonts w:hAnsi="Arial"/>
          <w:rFonts w:ascii="Arial"/>
          <w:sz w:val="24"/>
          <w:color w:val="navy"/>
        </w:rPr>
        <w:t xml:space="preserve">ARTΝCULO 2.3.1.3.6.72.1. </w:t>
      </w:r>
      <w:r>
        <w:rPr>
          <w:rFonts w:hAnsi="Arial"/>
          <w:rFonts w:ascii="Arial"/>
          <w:sz w:val="24"/>
          <w:i/>
          <w:color w:val="navy"/>
        </w:rPr>
        <w:t>ORIGEN</w:t>
      </w:r>
      <w:r>
        <w:rPr>
          <w:rFonts w:hAnsi="Arial"/>
          <w:rFonts w:ascii="Arial"/>
          <w:sz w:val="24"/>
          <w:color w:val="navy"/>
        </w:rPr>
        <w:t>.</w:t>
      </w:r>
      <w:bookmarkEnd w:id="60987"/>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Crιase la Medalla Militar “Servicios Distinguidos a la Contrainteligencia Aιrea” para estimular al personal de oficiales, suboficiales, soldados profesionales, infantes de marina profesional de las Fuerzas Militares, patrulleros y nivel ejecutivo de la Policνa Nacional, personal civil del Sector Defensa, personal de entidades pϊblicas y privadas, oficiales profesionales de la reserva, personal militar y civil extranjero, quienes se haya distinguido por su intrepidez, sagacidad y desempeρo en la ejecuciσn de operaciones especializadas de contrainteligencia aιrea. </w:t>
      </w:r>
    </w:p>
    <w:p>
      <w:pPr>
        <w:jc w:val="both"/>
      </w:pPr>
      <w:rPr>
        <w:color w:val="black"/>
      </w:rPr>
    </w:p>
    <w:p>
      <w:pPr>
        <w:jc w:val="both"/>
      </w:pPr>
      <w:r>
        <w:rPr>
          <w:rFonts w:hAnsi="Arial"/>
          <w:rFonts w:ascii="Arial"/>
          <w:sz w:val="24"/>
          <w:b/>
          <w:vanish/>
          <w:color w:val="black"/>
        </w:rPr>
        <w:t>&amp;$</w:t>
      </w:r>
      <w:bookmarkStart w:id="60988" w:name="2.3.1.3.6.72.2"/>
      <w:r>
        <w:rPr>
          <w:rFonts w:hAnsi="Arial"/>
          <w:rFonts w:ascii="Arial"/>
          <w:sz w:val="24"/>
          <w:color w:val="navy"/>
        </w:rPr>
        <w:t xml:space="preserve">ARTΝCULO 2.3.1.3.6.72.2. </w:t>
      </w:r>
      <w:r>
        <w:rPr>
          <w:rFonts w:hAnsi="Arial"/>
          <w:rFonts w:ascii="Arial"/>
          <w:sz w:val="24"/>
          <w:i/>
          <w:color w:val="navy"/>
        </w:rPr>
        <w:t>CARACTERΝSTICAS</w:t>
      </w:r>
      <w:r>
        <w:rPr>
          <w:rFonts w:hAnsi="Arial"/>
          <w:rFonts w:ascii="Arial"/>
          <w:sz w:val="24"/>
          <w:color w:val="navy"/>
        </w:rPr>
        <w:t>.</w:t>
      </w:r>
      <w:bookmarkEnd w:id="60988"/>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joya tiene como base la cruz teutona, que se instaura como sνmbolo del compromiso y valor de los hombres y mujeres de contrainteligencia, los cuales han preservado con honor e integridad la imagen institucional y salvaguardando los intereses de la Naciσn. </w:t>
      </w:r>
    </w:p>
    <w:p>
      <w:pPr>
        <w:jc w:val="both"/>
      </w:pPr>
      <w:rPr>
        <w:sz w:val="24"/>
        <w:b/>
        <w:color w:val="black"/>
      </w:rPr>
    </w:p>
    <w:p>
      <w:pPr>
        <w:jc w:val="both"/>
      </w:pPr>
      <w:r>
        <w:rPr>
          <w:rFonts w:hAnsi="Arial"/>
          <w:rFonts w:ascii="Arial"/>
          <w:sz w:val="24"/>
          <w:color w:val="black"/>
        </w:rPr>
        <w:t xml:space="preserve">Asν mismo, tiene un acabado en color plata y azul oscuro, los cuales representan los actos de valor y virtudes militares que se distinguen en el ejercicio de actividades y operaciones de contrainteligencia aιrea, y la precisiσn, rectitud y serenidad con la que actϊan los hombres y mujeres de la especialidad. En el centro se encuentra la rosa de tudor, insignia que, desde la antigόedad, ha representado el camino del silencio y la disciplina del secreto, virtud invaluable entre los hombres y mujeres que forman parte de la especialidad de contrainteligencia, la cual estα sobrepuesta en un fondo de color gules (rojo), cuyo significado es la fortaleza, el sacrificio y la entrega de los hombres y mujeres de contrainteligencia en pro del cumplimiento de la misiσn. </w:t>
      </w:r>
    </w:p>
    <w:p>
      <w:pPr>
        <w:jc w:val="both"/>
      </w:pPr>
      <w:rPr>
        <w:sz w:val="24"/>
        <w:b/>
        <w:color w:val="black"/>
      </w:rPr>
    </w:p>
    <w:p>
      <w:pPr>
        <w:jc w:val="both"/>
      </w:pPr>
      <w:r>
        <w:rPr>
          <w:rFonts w:hAnsi="Arial"/>
          <w:rFonts w:ascii="Arial"/>
          <w:sz w:val="24"/>
          <w:color w:val="black"/>
        </w:rPr>
        <w:t xml:space="preserve">La cruz y la rosa estarαn sujetadas por un bϊho alado, que representa la sabidurνa y el conocimiento, valores esenciales de la especialidad, y se encuentra en posiciσn de ataque con sus alas extendidas y la prolongaciσn de sus garras, haciendo alusiσn a la fortaleza de los hombres y mujeres de contrainteligencia aιrea. El riel con sujetador es metαlico, en color plata brillante con su respectivo gancho, que debe ser troquelado para que asν se pueda ver el interior de la bandera o venera. La cinta se compone por tres (3) franjas de color azul, azul oscuro, gris plomo y en sus bordes se vislumbra la bandera de Colombia. </w:t>
      </w:r>
    </w:p>
    <w:p>
      <w:pPr>
        <w:jc w:val="both"/>
      </w:pPr>
      <w:rPr>
        <w:sz w:val="24"/>
        <w:b/>
        <w:color w:val="black"/>
      </w:rPr>
    </w:p>
    <w:p>
      <w:pPr>
        <w:jc w:val="both"/>
      </w:pPr>
      <w:r>
        <w:rPr>
          <w:rFonts w:hAnsi="Arial"/>
          <w:rFonts w:ascii="Arial"/>
          <w:sz w:val="24"/>
          <w:color w:val="black"/>
        </w:rPr>
        <w:t xml:space="preserve">Para la segunda entrega, la joya tendrα las mismas caracterνsticas anteriormente descritas, diferenciαndose de la primera con dos deltas sobrepuestas sobre la cinta que simbolizan la flota aιrea de la Fuerza Aιrea Colombiana, elemento esencial y primordial en el desarrollo de operaciones que protegen el espacio aιreo y garantizan la soberanνa; en la parte posterior se adornarα con un laurel en color plata el cual es sνmbolo de victoria. </w:t>
      </w:r>
    </w:p>
    <w:p>
      <w:pPr>
        <w:jc w:val="both"/>
      </w:pPr>
      <w:rPr>
        <w:sz w:val="24"/>
        <w:b/>
        <w:color w:val="black"/>
      </w:rPr>
    </w:p>
    <w:p>
      <w:pPr>
        <w:jc w:val="both"/>
      </w:pPr>
      <w:r>
        <w:rPr>
          <w:rFonts w:hAnsi="Arial"/>
          <w:rFonts w:ascii="Arial"/>
          <w:sz w:val="24"/>
          <w:color w:val="black"/>
        </w:rPr>
        <w:t xml:space="preserve">Para la tercera y ϊltima entrega, la joya mantendrα las caracterνsticas de la joya por segunda vez; sin embargo, se agregarαn tres deltas sobre la cinta y los colores plata se modificarαn a dorado, sνmbolo de excelencia y alta distinciσn entre los hombres y mujeres de contrainteligencia.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 miniatura o rιplica es una medalla similar a la joya de la condecoraciσn descrita en sus diferentes otorgamientos, pero reducida a un diαmetro de quince (15) milνmetros, la cual estarα suspendida por una cinta similar a la joya, de quince (15) milνmetros de ancho por treinta y cinco (35) milνmetros de largo; en el centro ostentarα los distintivos establecidos para la joya en sus diferentes otorgamientos.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venera serα un rectαngulo de cuarenta (40) milνmetros de largo por diez (10) milνmetros de ancho, compuesta por tres (3) franjas de color azul, azul oscuro, gris plomo y en sus bordes se vislumbra la bandera de Colombia. Como la condecoraciσn se podrα otorgar hasta tres veces, la venera tendrα las siguientes modificaciones en cada otorgamiento: por primera vez, estα compuesta por tres (3) franjas de color azul, azul oscuro, gris plomo, en su centro una rosa de tudor y en sus bordes se vislumbra la bandera de Colombia. Por segunda vez, mantendrα las caracterνsticas de la venera principal, modificando la rosa de tudor por dos deltas en color plata al centro de la venera. Para la tercera vez, la venera mantendrα las caracterνsticas de la venera por segunda vez, modificando el borde de color plata a color dorado y agregando tres deltas al centro de la venera del mismo color. </w:t>
      </w:r>
    </w:p>
    <w:p>
      <w:pPr>
        <w:jc w:val="both"/>
      </w:pPr>
      <w:rPr>
        <w:color w:val="black"/>
      </w:rPr>
    </w:p>
    <w:p>
      <w:pPr>
        <w:jc w:val="both"/>
      </w:pPr>
      <w:r>
        <w:rPr>
          <w:rFonts w:hAnsi="Arial"/>
          <w:rFonts w:ascii="Arial"/>
          <w:sz w:val="24"/>
          <w:b/>
          <w:vanish/>
          <w:color w:val="black"/>
        </w:rPr>
        <w:t>&amp;$</w:t>
      </w:r>
      <w:bookmarkStart w:id="60989" w:name="2.3.1.3.6.72.3"/>
      <w:r>
        <w:rPr>
          <w:rFonts w:hAnsi="Arial"/>
          <w:rFonts w:ascii="Arial"/>
          <w:sz w:val="24"/>
          <w:color w:val="navy"/>
        </w:rPr>
        <w:t xml:space="preserve">ARTΝCULO 2.3.1.3.6.72.3. </w:t>
      </w:r>
      <w:r>
        <w:rPr>
          <w:rFonts w:hAnsi="Arial"/>
          <w:rFonts w:ascii="Arial"/>
          <w:sz w:val="24"/>
          <w:i/>
          <w:color w:val="navy"/>
        </w:rPr>
        <w:t>CONSEJO</w:t>
      </w:r>
      <w:r>
        <w:rPr>
          <w:rFonts w:hAnsi="Arial"/>
          <w:rFonts w:ascii="Arial"/>
          <w:sz w:val="24"/>
          <w:color w:val="navy"/>
        </w:rPr>
        <w:t>.</w:t>
      </w:r>
      <w:bookmarkEnd w:id="60989"/>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 Consejo de la Medalla Militar “Servicios Distinguidos a la Contrainteligencia Aιrea” estarα conformado de la siguiente manera: </w:t>
      </w:r>
    </w:p>
    <w:tbl>
      <w:tblGrid>
        <w:gridCol w:w="1860"/>
        <w:gridCol w:w="6960"/>
      </w:tblGrid>
      <w:tblPr>
        <w:tblW w:w="8838" w:type="dxa"/>
        <w:tblBorders/>
      </w:tblPr>
      <w:tr>
        <w:trPr/>
        <w:tc>
          <w:tcPr>
            <w:tcW w:w="1871" w:type="dxa"/>
            <w:tcMar/>
            <w:tcBorders/>
          </w:tcPr>
          <w:p>
            <w:pPr>
              <w:jc w:val="both"/>
            </w:pPr>
            <w:r>
              <w:rPr>
                <w:rFonts w:hAnsi="Arial"/>
                <w:rFonts w:ascii="Arial"/>
                <w:sz w:val="24"/>
                <w:b/>
                <w:color w:val="black"/>
              </w:rPr>
              <w:t xml:space="preserve">Presidente: </w:t>
            </w:r>
          </w:p>
        </w:tc>
        <w:tc>
          <w:tcPr>
            <w:tcW w:w="6967" w:type="dxa"/>
            <w:tcMar/>
            <w:tcBorders/>
          </w:tcPr>
          <w:p>
            <w:pPr>
              <w:jc w:val="both"/>
            </w:pPr>
            <w:r>
              <w:rPr>
                <w:rFonts w:hAnsi="Arial"/>
                <w:rFonts w:ascii="Arial"/>
                <w:sz w:val="24"/>
                <w:color w:val="black"/>
              </w:rPr>
              <w:t xml:space="preserve">Comandante Fuerza Aιrea Colombiana. </w:t>
            </w:r>
          </w:p>
        </w:tc>
      </w:tr>
      <w:tr>
        <w:trPr/>
        <w:tc>
          <w:tcPr>
            <w:tcW w:w="1871" w:type="dxa"/>
            <w:tcMar/>
            <w:tcBorders/>
          </w:tcPr>
          <w:p>
            <w:pPr>
              <w:jc w:val="both"/>
            </w:pPr>
            <w:r>
              <w:rPr>
                <w:rFonts w:hAnsi="Arial"/>
                <w:rFonts w:ascii="Arial"/>
                <w:sz w:val="24"/>
                <w:b/>
                <w:color w:val="black"/>
              </w:rPr>
              <w:t xml:space="preserve">Vicepresidente: </w:t>
            </w:r>
          </w:p>
        </w:tc>
        <w:tc>
          <w:tcPr>
            <w:tcW w:w="6967" w:type="dxa"/>
            <w:tcMar/>
            <w:tcBorders/>
          </w:tcPr>
          <w:p>
            <w:pPr>
              <w:jc w:val="both"/>
            </w:pPr>
            <w:r>
              <w:rPr>
                <w:rFonts w:hAnsi="Arial"/>
                <w:rFonts w:ascii="Arial"/>
                <w:sz w:val="24"/>
                <w:color w:val="black"/>
              </w:rPr>
              <w:t xml:space="preserve">Segundo Comandante y Jefe de Estado Mayor de la Fuerza Aιrea Colombiana. </w:t>
            </w:r>
          </w:p>
        </w:tc>
      </w:tr>
      <w:tr>
        <w:trPr/>
        <w:tc>
          <w:tcPr>
            <w:tcW w:w="1871" w:type="dxa"/>
            <w:tcMar/>
            <w:tcBorders/>
          </w:tcPr>
          <w:p>
            <w:pPr>
              <w:jc w:val="both"/>
            </w:pPr>
            <w:r>
              <w:rPr>
                <w:rFonts w:hAnsi="Arial"/>
                <w:rFonts w:ascii="Arial"/>
                <w:sz w:val="24"/>
                <w:b/>
                <w:color w:val="black"/>
              </w:rPr>
              <w:t xml:space="preserve">Secretario: </w:t>
            </w:r>
          </w:p>
        </w:tc>
        <w:tc>
          <w:tcPr>
            <w:tcW w:w="6967" w:type="dxa"/>
            <w:tcMar/>
            <w:tcBorders/>
          </w:tcPr>
          <w:p>
            <w:pPr>
              <w:jc w:val="both"/>
            </w:pPr>
            <w:r>
              <w:rPr>
                <w:rFonts w:hAnsi="Arial"/>
                <w:rFonts w:ascii="Arial"/>
                <w:sz w:val="24"/>
                <w:color w:val="black"/>
              </w:rPr>
              <w:t xml:space="preserve">Comandante de Desarrollo Humano de la Fuerza Aιrea Colombiana. </w:t>
            </w:r>
          </w:p>
        </w:tc>
      </w:tr>
      <w:tr>
        <w:trPr/>
        <w:tc>
          <w:tcPr>
            <w:tcW w:w="1871" w:type="dxa"/>
            <w:tcMar/>
            <w:tcBorders/>
          </w:tcPr>
          <w:p>
            <w:pPr>
              <w:jc w:val="both"/>
            </w:pPr>
            <w:r>
              <w:rPr>
                <w:rFonts w:hAnsi="Arial"/>
                <w:rFonts w:ascii="Arial"/>
                <w:sz w:val="24"/>
                <w:b/>
                <w:color w:val="black"/>
              </w:rPr>
              <w:t xml:space="preserve">Vocal: </w:t>
            </w:r>
          </w:p>
        </w:tc>
        <w:tc>
          <w:tcPr>
            <w:tcW w:w="6967" w:type="dxa"/>
            <w:tcMar/>
            <w:tcBorders/>
          </w:tcPr>
          <w:p>
            <w:pPr>
              <w:jc w:val="both"/>
            </w:pPr>
            <w:r>
              <w:rPr>
                <w:rFonts w:hAnsi="Arial"/>
                <w:rFonts w:ascii="Arial"/>
                <w:sz w:val="24"/>
                <w:color w:val="black"/>
              </w:rPr>
              <w:t xml:space="preserve">Jefe Jefatura Inteligencia Aιrea Espacial y Ciberespacial de la Fuerza Aιrea Colombiana. </w:t>
            </w:r>
          </w:p>
        </w:tc>
      </w:tr>
    </w:tbl>
    <w:p>
      <w:pPr>
        <w:jc w:val="both"/>
      </w:pPr>
      <w:rPr>
        <w:color w:val="black"/>
      </w:rPr>
    </w:p>
    <w:p>
      <w:pPr>
        <w:jc w:val="both"/>
      </w:pPr>
      <w:r>
        <w:rPr>
          <w:rFonts w:hAnsi="Arial"/>
          <w:rFonts w:ascii="Arial"/>
          <w:sz w:val="24"/>
          <w:b/>
          <w:vanish/>
          <w:color w:val="black"/>
        </w:rPr>
        <w:t>&amp;$</w:t>
      </w:r>
      <w:bookmarkStart w:id="60990" w:name="2.3.1.3.6.72.4"/>
      <w:r>
        <w:rPr>
          <w:rFonts w:hAnsi="Arial"/>
          <w:rFonts w:ascii="Arial"/>
          <w:sz w:val="24"/>
          <w:color w:val="navy"/>
        </w:rPr>
        <w:t xml:space="preserve">ARTΝCULO 2.3.1.3.6.72.4. </w:t>
      </w:r>
      <w:r>
        <w:rPr>
          <w:rFonts w:hAnsi="Arial"/>
          <w:rFonts w:ascii="Arial"/>
          <w:sz w:val="24"/>
          <w:i/>
          <w:color w:val="navy"/>
        </w:rPr>
        <w:t>DIPLOMA</w:t>
      </w:r>
      <w:r>
        <w:rPr>
          <w:rFonts w:hAnsi="Arial"/>
          <w:rFonts w:ascii="Arial"/>
          <w:sz w:val="24"/>
          <w:color w:val="navy"/>
        </w:rPr>
        <w:t>.</w:t>
      </w:r>
      <w:bookmarkEnd w:id="6099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Elaborado en papel pergamino o cartulina blanca, de las siguientes dimensiones: treinta y cinco (35) centνmetros de largo por veinticinco (25) centνmetros de ancho; ostenta la cara principal de la medalla en ambos costados y en el fondo una marca de agua correspondiente al escudo de la Fuerza Aιrea Colombiana, con la siguiente leyenda: </w:t>
      </w:r>
      <w:r>
        <w:rPr>
          <w:rFonts w:hAnsi="Arial"/>
          <w:rFonts w:ascii="Arial"/>
          <w:sz w:val="24"/>
          <w:i/>
          <w:u w:val="none"/>
          <w:color w:val="black"/>
        </w:rPr>
        <w:t xml:space="preserve">“Por:_ vez en virtud a los servicios distinguidos prestados a la Contrainteligencia Aιrea”. </w:t>
      </w:r>
    </w:p>
    <w:p>
      <w:pPr>
        <w:jc w:val="both"/>
      </w:pPr>
      <w:rPr>
        <w:color w:val="black"/>
      </w:rPr>
    </w:p>
    <w:p>
      <w:pPr>
        <w:jc w:val="both"/>
      </w:pPr>
      <w:r>
        <w:rPr>
          <w:rFonts w:hAnsi="Arial"/>
          <w:rFonts w:ascii="Arial"/>
          <w:sz w:val="24"/>
          <w:b/>
          <w:vanish/>
          <w:color w:val="black"/>
        </w:rPr>
        <w:t>&amp;$</w:t>
      </w:r>
      <w:bookmarkStart w:id="60991" w:name="2.3.1.3.6.72.5"/>
      <w:r>
        <w:rPr>
          <w:rFonts w:hAnsi="Arial"/>
          <w:rFonts w:ascii="Arial"/>
          <w:sz w:val="24"/>
          <w:color w:val="navy"/>
        </w:rPr>
        <w:t xml:space="preserve">ARTΝCULO 2.3.1.3.6.72.5. </w:t>
      </w:r>
      <w:r>
        <w:rPr>
          <w:rFonts w:hAnsi="Arial"/>
          <w:rFonts w:ascii="Arial"/>
          <w:sz w:val="24"/>
          <w:i/>
          <w:color w:val="navy"/>
        </w:rPr>
        <w:t>REQUISITOS</w:t>
      </w:r>
      <w:r>
        <w:rPr>
          <w:rFonts w:hAnsi="Arial"/>
          <w:rFonts w:ascii="Arial"/>
          <w:sz w:val="24"/>
          <w:color w:val="navy"/>
        </w:rPr>
        <w:t>.</w:t>
      </w:r>
      <w:bookmarkEnd w:id="60991"/>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Ademαs de los requisitos establecidos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Decreto nϊmero 1070 de 2015, para su otorgamiento se tendrαn en cuenta los siguientes: </w:t>
      </w:r>
    </w:p>
    <w:p>
      <w:pPr>
        <w:jc w:val="both"/>
      </w:pPr>
      <w:rPr>
        <w:sz w:val="24"/>
        <w:b/>
        <w:color w:val="black"/>
      </w:rPr>
    </w:p>
    <w:p>
      <w:pPr>
        <w:jc w:val="both"/>
      </w:pPr>
      <w:r>
        <w:rPr>
          <w:rFonts w:hAnsi="Arial"/>
          <w:rFonts w:ascii="Arial"/>
          <w:sz w:val="24"/>
          <w:color w:val="black"/>
        </w:rPr>
        <w:t xml:space="preserve">- Pertenecer o haber pertenecido de manera destacada a una dependencia de Contrainteligencia Aιrea. </w:t>
      </w:r>
    </w:p>
    <w:p>
      <w:pPr>
        <w:jc w:val="both"/>
      </w:pPr>
      <w:rPr>
        <w:sz w:val="24"/>
        <w:b/>
        <w:color w:val="black"/>
      </w:rPr>
    </w:p>
    <w:p>
      <w:pPr>
        <w:jc w:val="both"/>
      </w:pPr>
      <w:r>
        <w:rPr>
          <w:rFonts w:hAnsi="Arial"/>
          <w:rFonts w:ascii="Arial"/>
          <w:sz w:val="24"/>
          <w:color w:val="black"/>
        </w:rPr>
        <w:t xml:space="preserve">- Cumplir de manera sobresaliente en el desarrollo de labores propias de la funciσn de Contrainteligencia Aιrea. </w:t>
      </w:r>
    </w:p>
    <w:p>
      <w:pPr>
        <w:jc w:val="both"/>
      </w:pPr>
      <w:rPr>
        <w:sz w:val="24"/>
        <w:b/>
        <w:color w:val="black"/>
      </w:rPr>
    </w:p>
    <w:p>
      <w:pPr>
        <w:jc w:val="both"/>
      </w:pPr>
      <w:r>
        <w:rPr>
          <w:rFonts w:hAnsi="Arial"/>
          <w:rFonts w:ascii="Arial"/>
          <w:sz w:val="24"/>
          <w:color w:val="black"/>
        </w:rPr>
        <w:t xml:space="preserve">- De manera excepcional se podrα conferir sin pertenecer a alguna dependencia de Contrainteligencia Aιrea, por haber participado activamente en la realizaciσn de procedimientos especializados de Contrainteligencia Aιrea, o que hayan permitido neutralizar una amenaza para la integridad, supervivencia de la fuerza o cumplimiento de la misiσn institucional. </w:t>
      </w:r>
    </w:p>
    <w:p>
      <w:pPr>
        <w:jc w:val="both"/>
      </w:pPr>
      <w:rPr>
        <w:color w:val="black"/>
      </w:rPr>
    </w:p>
    <w:p>
      <w:pPr>
        <w:jc w:val="both"/>
      </w:pPr>
      <w:r>
        <w:rPr>
          <w:rFonts w:hAnsi="Arial"/>
          <w:rFonts w:ascii="Arial"/>
          <w:sz w:val="24"/>
          <w:b/>
          <w:vanish/>
          <w:color w:val="black"/>
        </w:rPr>
        <w:t>&amp;$</w:t>
      </w:r>
      <w:bookmarkStart w:id="60992" w:name="2.3.1.3.6.72.6"/>
      <w:r>
        <w:rPr>
          <w:rFonts w:hAnsi="Arial"/>
          <w:rFonts w:ascii="Arial"/>
          <w:sz w:val="24"/>
          <w:color w:val="navy"/>
        </w:rPr>
        <w:t xml:space="preserve">ARTΝCULO 2.3.1.3.6.72.6. </w:t>
      </w:r>
      <w:r>
        <w:rPr>
          <w:rFonts w:hAnsi="Arial"/>
          <w:rFonts w:ascii="Arial"/>
          <w:sz w:val="24"/>
          <w:i/>
          <w:color w:val="navy"/>
        </w:rPr>
        <w:t>OTORGAMIENTO</w:t>
      </w:r>
      <w:r>
        <w:rPr>
          <w:rFonts w:hAnsi="Arial"/>
          <w:rFonts w:ascii="Arial"/>
          <w:sz w:val="24"/>
          <w:color w:val="navy"/>
        </w:rPr>
        <w:t>.</w:t>
      </w:r>
      <w:bookmarkEnd w:id="60992"/>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Militar “Servicios Distinguidos a la Contrainteligencia Aιrea” serα conferida, hasta por tres veces, de acuerdo con los requisitos establecidos para el efecto, a quienes, en consideraciσn del Consejo de la Medalla, sean merecedores de esta distinciσn. </w:t>
      </w:r>
    </w:p>
    <w:p>
      <w:pPr>
        <w:jc w:val="both"/>
      </w:pPr>
      <w:rPr>
        <w:color w:val="black"/>
      </w:rPr>
    </w:p>
    <w:p>
      <w:pPr>
        <w:jc w:val="both"/>
      </w:pPr>
      <w:r>
        <w:rPr>
          <w:rFonts w:hAnsi="Arial"/>
          <w:rFonts w:ascii="Arial"/>
          <w:sz w:val="24"/>
          <w:b/>
          <w:vanish/>
          <w:color w:val="black"/>
        </w:rPr>
        <w:t>&amp;$</w:t>
      </w:r>
      <w:bookmarkStart w:id="60993" w:name="2.3.1.3.6.72.7"/>
      <w:r>
        <w:rPr>
          <w:rFonts w:hAnsi="Arial"/>
          <w:rFonts w:ascii="Arial"/>
          <w:sz w:val="24"/>
          <w:color w:val="navy"/>
        </w:rPr>
        <w:t xml:space="preserve">ARTΝCULO 2.3.1.3.6.72.7. </w:t>
      </w:r>
      <w:r>
        <w:rPr>
          <w:rFonts w:hAnsi="Arial"/>
          <w:rFonts w:ascii="Arial"/>
          <w:sz w:val="24"/>
          <w:i/>
          <w:color w:val="navy"/>
        </w:rPr>
        <w:t>IMPOSICIΣN</w:t>
      </w:r>
      <w:r>
        <w:rPr>
          <w:rFonts w:hAnsi="Arial"/>
          <w:rFonts w:ascii="Arial"/>
          <w:sz w:val="24"/>
          <w:color w:val="navy"/>
        </w:rPr>
        <w:t>.</w:t>
      </w:r>
      <w:bookmarkEnd w:id="6099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serα impuesta en ceremonia especial, de conformidad con lo dispuesto en el Reglamento de Ceremonial Militar. </w:t>
      </w:r>
    </w:p>
    <w:p>
      <w:pPr>
        <w:jc w:val="center"/>
      </w:pPr>
      <w:r>
        <w:drawing>
          <wp:inline distT="0" distB="0" distL="0" distR="0">
            <wp:extent cx="4333875" cy="2286000"/>
            <wp:docPr id="36" name=""/>
            <a:graphic xmlns:a="http://schemas.openxmlformats.org/drawingml/2006/main">
              <a:graphicData uri="http://schemas.openxmlformats.org/drawingml/2006/picture">
                <pic:pic xmlns:pic="http://schemas.openxmlformats.org/drawingml/2006/picture">
                  <pic:nvPicPr>
                    <pic:cNvPr id="35" name="Picture "/>
                    <pic:cNvPicPr/>
                  </pic:nvPicPr>
                  <pic:blipFill>
                    <a:blip r:embed="id35"/>
                    <a:stretch>
                      <a:fillRect/>
                    </a:stretch>
                  </pic:blipFill>
                  <pic:spPr>
                    <a:xfrm>
                      <a:off x="0" y="0"/>
                      <a:ext cx="4333875" cy="2286000"/>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0994" w:name="SUBSECCIÓN 2.3.1.3.6.73"/>
      <w:r>
        <w:rPr>
          <w:rFonts w:hAnsi="Arial"/>
          <w:rFonts w:ascii="Arial"/>
          <w:sz w:val="24"/>
          <w:color w:val="navy"/>
        </w:rPr>
        <w:t xml:space="preserve">SUBSECCIΣN 73. </w:t>
      </w:r>
    </w:p>
    <w:p>
      <w:pPr>
        <w:jc w:val="center"/>
      </w:pPr>
      <w:r>
        <w:rPr>
          <w:rFonts w:hAnsi="Arial"/>
          <w:rFonts w:ascii="Arial"/>
          <w:sz w:val="24"/>
          <w:color w:val="navy"/>
        </w:rPr>
        <w:t xml:space="preserve">MEDALLA "AUTORIDAD AERONΑUTICA AVIACIΣN DE ESTADO".          </w:t>
      </w:r>
      <w:bookmarkEnd w:id="60994"/>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0995" w:name="2.3.1.3.6.73.1"/>
      <w:r>
        <w:rPr>
          <w:rFonts w:hAnsi="Arial"/>
          <w:rFonts w:ascii="Arial"/>
          <w:sz w:val="24"/>
          <w:color w:val="navy"/>
        </w:rPr>
        <w:t xml:space="preserve">ARTΝCULO 2.3.1.3.6.73.1. </w:t>
      </w:r>
      <w:r>
        <w:rPr>
          <w:rFonts w:hAnsi="Arial"/>
          <w:rFonts w:ascii="Arial"/>
          <w:sz w:val="24"/>
          <w:i/>
          <w:color w:val="navy"/>
        </w:rPr>
        <w:t>ORIGEN</w:t>
      </w:r>
      <w:r>
        <w:rPr>
          <w:rFonts w:hAnsi="Arial"/>
          <w:rFonts w:ascii="Arial"/>
          <w:sz w:val="24"/>
          <w:color w:val="navy"/>
        </w:rPr>
        <w:t>.</w:t>
      </w:r>
      <w:bookmarkEnd w:id="6099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Crιase la “Medalla Militar Autoridad Aeronαutica Aviaciσn de Estado”, para premiar y exaltar la labor del personal de oficiales, suboficiales, soldados profesionales, infantes de marina profesional de las Fuerzas Militares, patrulleros de policνa y nivel ejecutivo de la Policνa Nacional, personal civil del Sector Defensa, personal de entidades pϊblicas y privadas, oficiales profesionales de la reserva, personal militar y civil extranjero, que se destaquen y contribuyan a la materializaciσn de mιtodos y procedimientos, encaminados a la estandarizaciσn de las actividades de la Autoridad Aeronαutica Aviaciσn de Estado, la seguridad pϊblica y la defensa nacional. Del mismo modo, para exaltar al personal que haya prestado servicios con aplicaciσn directa a la generaciσn de doctrina, fortalecimiento del entrenamiento de tierra y vuelo, supervisiσn de los estαndares adoptados en la doctrina, coordinaciσn de operaciones militares y policiales de la aviaciσn de Estado, seguridad operacional, prevenciσn e investigaciσn de accidentes y el diseρo e investigaciones tecnolσgicas, proyectando y manteniendo los mejores estαndares de calidad, en beneficio de la sociedad civil, unidades militares y policiales, entidades pϊblicas o privadas, que presten sus servicios meritorios, o realicen hechos extraordinarios en apoyo a la Autoridad Aeronαutica de Aviaciσn de Estado. </w:t>
      </w:r>
    </w:p>
    <w:p>
      <w:pPr>
        <w:jc w:val="both"/>
      </w:pPr>
      <w:rPr>
        <w:color w:val="black"/>
      </w:rPr>
    </w:p>
    <w:p>
      <w:pPr>
        <w:jc w:val="both"/>
      </w:pPr>
      <w:r>
        <w:rPr>
          <w:rFonts w:hAnsi="Arial"/>
          <w:rFonts w:ascii="Arial"/>
          <w:sz w:val="24"/>
          <w:b/>
          <w:vanish/>
          <w:color w:val="black"/>
        </w:rPr>
        <w:t>&amp;$</w:t>
      </w:r>
      <w:bookmarkStart w:id="60996" w:name="2.3.1.3.6.73.2"/>
      <w:r>
        <w:rPr>
          <w:rFonts w:hAnsi="Arial"/>
          <w:rFonts w:ascii="Arial"/>
          <w:sz w:val="24"/>
          <w:color w:val="navy"/>
        </w:rPr>
        <w:t xml:space="preserve">ARTΝCULO 2.3.1.3.6.73.2. </w:t>
      </w:r>
      <w:r>
        <w:rPr>
          <w:rFonts w:hAnsi="Arial"/>
          <w:rFonts w:ascii="Arial"/>
          <w:sz w:val="24"/>
          <w:i/>
          <w:color w:val="navy"/>
        </w:rPr>
        <w:t>CARACTERΝSTICAS</w:t>
      </w:r>
      <w:r>
        <w:rPr>
          <w:rFonts w:hAnsi="Arial"/>
          <w:rFonts w:ascii="Arial"/>
          <w:sz w:val="24"/>
          <w:color w:val="navy"/>
        </w:rPr>
        <w:t>.</w:t>
      </w:r>
      <w:bookmarkEnd w:id="60996"/>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joya consiste en una cruz forjada de color plata con cuarenta y seis punto dos (46,2) milνmetros de alto y cuarenta y un (41) milνmetros de ancho, en la cual se encuentra el escudo de la Autoridad Aeronαutica de Aviaciσn de Estado, sus cuatro (04) puntas representan los entes de aviaciσn de Estado, los cuales regula. </w:t>
      </w:r>
    </w:p>
    <w:p>
      <w:pPr>
        <w:jc w:val="both"/>
      </w:pPr>
      <w:rPr>
        <w:sz w:val="24"/>
        <w:color w:val="black"/>
      </w:rPr>
    </w:p>
    <w:p>
      <w:pPr>
        <w:jc w:val="both"/>
      </w:pPr>
      <w:r>
        <w:rPr>
          <w:rFonts w:hAnsi="Arial"/>
          <w:rFonts w:ascii="Arial"/>
          <w:sz w:val="24"/>
          <w:b/>
          <w:color w:val="black"/>
        </w:rPr>
        <w:t>Anverso</w:t>
      </w:r>
      <w:r>
        <w:rPr>
          <w:rFonts w:hAnsi="Arial"/>
          <w:rFonts w:ascii="Arial"/>
          <w:sz w:val="24"/>
          <w:color w:val="black"/>
        </w:rPr>
        <w:t xml:space="preserve">: En el centro de la cruz estarα incrustado un sobrepuesto sublimado y resinado del escudo de la Autoridad Aeronαutica de Aviaciσn del Estado; en su parte inferior llevarα una inscripciσn en letras negras que dice “AAAES”, que corresponde a Autoridad Aeronαutica de Aviaciσn del Estado. La cruz colgarα de una cinta de cuarenta y cinco (45) milνmetros de largo y cuarenta (40) milνmetros de ancho, que intercalarα los siguientes colores en un diαmetro de ocho (8) milνmetros para cada color. La secuencia de colores serα la siguiente: la primera franja serα roja, representando al Ejιrcito Nacional; la segunda franja serα negra, simbolizando la Armada Nacional; la tercera franja serα pϊrpura, que representa la integraciσn de los colores de las Fuerzas Militares que conforman la Autoridad Aeronαutica de Aviaciσn del Estado; la cuarta franja serα azul turquesa, en representaciσn de la Fuerza Aιrea Colombiana, y finalmente, la quinta franja serα verde, simbolizando a la Policνa Nacional. </w:t>
      </w:r>
    </w:p>
    <w:p>
      <w:pPr>
        <w:jc w:val="both"/>
      </w:pPr>
      <w:rPr>
        <w:sz w:val="24"/>
        <w:color w:val="black"/>
      </w:rPr>
    </w:p>
    <w:p>
      <w:pPr>
        <w:jc w:val="both"/>
      </w:pPr>
      <w:r>
        <w:rPr>
          <w:rFonts w:hAnsi="Arial"/>
          <w:rFonts w:ascii="Arial"/>
          <w:sz w:val="24"/>
          <w:b/>
          <w:color w:val="black"/>
        </w:rPr>
        <w:t>Reverso</w:t>
      </w:r>
      <w:r>
        <w:rPr>
          <w:rFonts w:hAnsi="Arial"/>
          <w:rFonts w:ascii="Arial"/>
          <w:sz w:val="24"/>
          <w:color w:val="black"/>
        </w:rPr>
        <w:t xml:space="preserve">: Estarα plasmado el escudo de la Repϊblica de Colombia en la parte central de la cruz. En la parte superior, el escudo de la Fuerza Aιrea Colombiana significa, el ente veedor la Oficina Autoridad Aeronαutica Aviaciσn de Estado, en la parte derecha el escudo del Ejιrcito Nacional, en la parte izquierda el escudo de la Armada Nacional y en la parte inferior el escudo de la Policνa Nacional.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miniatura o rιplica serα similar a la joya de la condecoraciσn, pero reducida a un diαmetro de 15 milνmetros, suspendida por una cinta similar a la de la joya de quince (15) milνmetros de ancho por treinta y cinco (35) milνmetros de largo, segϊn lo contemplado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Decreto nϊmero 1070 de 2015.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venera serα un rectαngulo metαlico esmaltado de cuarenta (40) milνmetros de largo por diez (10) milνmetros de ancho, con los colores dispuestos en el mismo orden de la cinta y en la tercera franja o franja central, de color pϊrpura. Llevarα sobrepuesto el escudo de la Autoridad Aeronαutica de Aviaciσn de Estado, con un diαmetro de setenta y un (7.1) milνmetros. La franja central de color pϊrpura serα mαs ancha que las otras franjas, como se observa en las ilustraciones de la venera. </w:t>
      </w:r>
    </w:p>
    <w:p>
      <w:pPr>
        <w:jc w:val="both"/>
      </w:pPr>
      <w:rPr>
        <w:color w:val="black"/>
      </w:rPr>
    </w:p>
    <w:p>
      <w:pPr>
        <w:jc w:val="both"/>
      </w:pPr>
      <w:r>
        <w:rPr>
          <w:rFonts w:hAnsi="Arial"/>
          <w:rFonts w:ascii="Arial"/>
          <w:sz w:val="24"/>
          <w:b/>
          <w:vanish/>
          <w:color w:val="black"/>
        </w:rPr>
        <w:t>&amp;$</w:t>
      </w:r>
      <w:bookmarkStart w:id="60997" w:name="2.3.1.3.6.73.3"/>
      <w:r>
        <w:rPr>
          <w:rFonts w:hAnsi="Arial"/>
          <w:rFonts w:ascii="Arial"/>
          <w:sz w:val="24"/>
          <w:color w:val="navy"/>
        </w:rPr>
        <w:t xml:space="preserve">ARTΝCULO 2.3.1.3.6.73.3. </w:t>
      </w:r>
      <w:r>
        <w:rPr>
          <w:rFonts w:hAnsi="Arial"/>
          <w:rFonts w:ascii="Arial"/>
          <w:sz w:val="24"/>
          <w:i/>
          <w:color w:val="navy"/>
        </w:rPr>
        <w:t>CONSEJO</w:t>
      </w:r>
      <w:r>
        <w:rPr>
          <w:rFonts w:hAnsi="Arial"/>
          <w:rFonts w:ascii="Arial"/>
          <w:sz w:val="24"/>
          <w:color w:val="navy"/>
        </w:rPr>
        <w:t>.</w:t>
      </w:r>
      <w:bookmarkEnd w:id="6099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 Consejo de la Medalla Militar “Autoridad Aeronαutica Aviaciσn de Estado”, estarα conformado por: </w:t>
      </w:r>
    </w:p>
    <w:tbl>
      <w:tblGrid>
        <w:gridCol w:w="1860"/>
        <w:gridCol w:w="6960"/>
      </w:tblGrid>
      <w:tblPr>
        <w:tblW w:w="8838" w:type="dxa"/>
        <w:tblBorders/>
      </w:tblPr>
      <w:tr>
        <w:trPr/>
        <w:tc>
          <w:tcPr>
            <w:tcW w:w="1871" w:type="dxa"/>
            <w:tcMar/>
            <w:tcBorders/>
          </w:tcPr>
          <w:p>
            <w:pPr>
              <w:jc w:val="both"/>
            </w:pPr>
            <w:r>
              <w:rPr>
                <w:rFonts w:hAnsi="Arial"/>
                <w:rFonts w:ascii="Arial"/>
                <w:sz w:val="24"/>
                <w:b/>
                <w:color w:val="black"/>
              </w:rPr>
              <w:t xml:space="preserve">Presidente: </w:t>
            </w:r>
          </w:p>
        </w:tc>
        <w:tc>
          <w:tcPr>
            <w:tcW w:w="6967" w:type="dxa"/>
            <w:tcMar/>
            <w:tcBorders/>
          </w:tcPr>
          <w:p>
            <w:pPr>
              <w:jc w:val="both"/>
            </w:pPr>
            <w:r>
              <w:rPr>
                <w:rFonts w:hAnsi="Arial"/>
                <w:rFonts w:ascii="Arial"/>
                <w:sz w:val="24"/>
                <w:color w:val="black"/>
              </w:rPr>
              <w:t xml:space="preserve">Comandante Fuerza Aιrea Colombiana. </w:t>
            </w:r>
          </w:p>
        </w:tc>
      </w:tr>
      <w:tr>
        <w:trPr/>
        <w:tc>
          <w:tcPr>
            <w:tcW w:w="1871" w:type="dxa"/>
            <w:tcMar/>
            <w:tcBorders/>
          </w:tcPr>
          <w:p>
            <w:pPr>
              <w:jc w:val="both"/>
            </w:pPr>
            <w:r>
              <w:rPr>
                <w:rFonts w:hAnsi="Arial"/>
                <w:rFonts w:ascii="Arial"/>
                <w:sz w:val="24"/>
                <w:b/>
                <w:color w:val="black"/>
              </w:rPr>
              <w:t xml:space="preserve">Vicepresidente: </w:t>
            </w:r>
          </w:p>
        </w:tc>
        <w:tc>
          <w:tcPr>
            <w:tcW w:w="6967" w:type="dxa"/>
            <w:tcMar/>
            <w:tcBorders/>
          </w:tcPr>
          <w:p>
            <w:pPr>
              <w:jc w:val="both"/>
            </w:pPr>
            <w:r>
              <w:rPr>
                <w:rFonts w:hAnsi="Arial"/>
                <w:rFonts w:ascii="Arial"/>
                <w:sz w:val="24"/>
                <w:color w:val="black"/>
              </w:rPr>
              <w:t xml:space="preserve">Segundo Comandante y Jefe de Estado Mayor Fuerza Aιrea Colombiana. </w:t>
            </w:r>
          </w:p>
        </w:tc>
      </w:tr>
      <w:tr>
        <w:trPr/>
        <w:tc>
          <w:tcPr>
            <w:tcW w:w="1871" w:type="dxa"/>
            <w:tcMar/>
            <w:tcBorders/>
          </w:tcPr>
          <w:p>
            <w:pPr>
              <w:jc w:val="both"/>
            </w:pPr>
            <w:r>
              <w:rPr>
                <w:rFonts w:hAnsi="Arial"/>
                <w:rFonts w:ascii="Arial"/>
                <w:sz w:val="24"/>
                <w:b/>
                <w:color w:val="black"/>
              </w:rPr>
              <w:t xml:space="preserve">Secretario: </w:t>
            </w:r>
          </w:p>
        </w:tc>
        <w:tc>
          <w:tcPr>
            <w:tcW w:w="6967" w:type="dxa"/>
            <w:tcMar/>
            <w:tcBorders/>
          </w:tcPr>
          <w:p>
            <w:pPr>
              <w:jc w:val="both"/>
            </w:pPr>
            <w:r>
              <w:rPr>
                <w:rFonts w:hAnsi="Arial"/>
                <w:rFonts w:ascii="Arial"/>
                <w:sz w:val="24"/>
                <w:color w:val="black"/>
              </w:rPr>
              <w:t xml:space="preserve">Comandante de Desarrollo Humano Fuerza Aιrea Colombiana. </w:t>
            </w:r>
          </w:p>
        </w:tc>
      </w:tr>
      <w:tr>
        <w:trPr/>
        <w:tc>
          <w:tcPr>
            <w:tcW w:w="1871" w:type="dxa"/>
            <w:tcMar/>
            <w:tcBorders/>
          </w:tcPr>
          <w:p>
            <w:pPr>
              <w:jc w:val="both"/>
            </w:pPr>
            <w:r>
              <w:rPr>
                <w:rFonts w:hAnsi="Arial"/>
                <w:rFonts w:ascii="Arial"/>
                <w:sz w:val="24"/>
                <w:b/>
                <w:color w:val="black"/>
              </w:rPr>
              <w:t xml:space="preserve">Vocal: </w:t>
            </w:r>
          </w:p>
        </w:tc>
        <w:tc>
          <w:tcPr>
            <w:tcW w:w="6967" w:type="dxa"/>
            <w:tcMar/>
            <w:tcBorders/>
          </w:tcPr>
          <w:p>
            <w:pPr>
              <w:jc w:val="both"/>
            </w:pPr>
            <w:r>
              <w:rPr>
                <w:rFonts w:hAnsi="Arial"/>
                <w:rFonts w:ascii="Arial"/>
                <w:sz w:val="24"/>
                <w:color w:val="black"/>
              </w:rPr>
              <w:t xml:space="preserve">Jefe Autoridad Aeronαutica Aviaciσn de Estado Fuerza Aιrea Colombiana. </w:t>
            </w:r>
          </w:p>
        </w:tc>
      </w:tr>
    </w:tbl>
    <w:p>
      <w:pPr>
        <w:jc w:val="both"/>
      </w:pPr>
      <w:rPr>
        <w:color w:val="black"/>
      </w:rPr>
    </w:p>
    <w:p>
      <w:pPr>
        <w:jc w:val="both"/>
      </w:pPr>
      <w:r>
        <w:rPr>
          <w:rFonts w:hAnsi="Arial"/>
          <w:rFonts w:ascii="Arial"/>
          <w:sz w:val="24"/>
          <w:b/>
          <w:vanish/>
          <w:color w:val="black"/>
        </w:rPr>
        <w:t>&amp;$</w:t>
      </w:r>
      <w:bookmarkStart w:id="60998" w:name="2.3.1.3.6.73.4"/>
      <w:r>
        <w:rPr>
          <w:rFonts w:hAnsi="Arial"/>
          <w:rFonts w:ascii="Arial"/>
          <w:sz w:val="24"/>
          <w:color w:val="navy"/>
        </w:rPr>
        <w:t xml:space="preserve">ARTΝCULO 2.3.1.3.6.73.4. </w:t>
      </w:r>
      <w:r>
        <w:rPr>
          <w:rFonts w:hAnsi="Arial"/>
          <w:rFonts w:ascii="Arial"/>
          <w:sz w:val="24"/>
          <w:i/>
          <w:color w:val="navy"/>
        </w:rPr>
        <w:t>DIPLOMA</w:t>
      </w:r>
      <w:r>
        <w:rPr>
          <w:rFonts w:hAnsi="Arial"/>
          <w:rFonts w:ascii="Arial"/>
          <w:sz w:val="24"/>
          <w:color w:val="navy"/>
        </w:rPr>
        <w:t>.</w:t>
      </w:r>
      <w:bookmarkEnd w:id="6099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 diploma de la Medalla Militar “Autoridad Aeronαutica Aviaciσn de Estado” se elabora en papel pergamino con las medidas de treinta y cinco (35) centνmetros de ancho por veinticinco (25) centνmetros de alto. En la parte superior derecha, se encuentra la imagen de la medalla militar. En el centro del diploma, destaca el escudo de la Autoridad Aeronαutica Aviaciσn de Estado. En la parte superior izquierda, se encuentran las alas de la Fuerza Aιrea Colombiana como ente supervisor de la Aviaciσn de Estado en Colombia. En la parte inferior, se incluyen las firmas del presidente y del vocal del Consejo de la Medalla. </w:t>
      </w:r>
    </w:p>
    <w:p>
      <w:pPr>
        <w:jc w:val="both"/>
      </w:pPr>
      <w:rPr>
        <w:color w:val="black"/>
      </w:rPr>
    </w:p>
    <w:p>
      <w:pPr>
        <w:jc w:val="both"/>
      </w:pPr>
      <w:r>
        <w:rPr>
          <w:rFonts w:hAnsi="Arial"/>
          <w:rFonts w:ascii="Arial"/>
          <w:sz w:val="24"/>
          <w:b/>
          <w:vanish/>
          <w:color w:val="black"/>
        </w:rPr>
        <w:t>&amp;$</w:t>
      </w:r>
      <w:bookmarkStart w:id="60999" w:name="2.3.1.3.6.73.5"/>
      <w:r>
        <w:rPr>
          <w:rFonts w:hAnsi="Arial"/>
          <w:rFonts w:ascii="Arial"/>
          <w:sz w:val="24"/>
          <w:color w:val="navy"/>
        </w:rPr>
        <w:t xml:space="preserve">ARTΝCULO 2.3.1.3.6.73.5. </w:t>
      </w:r>
      <w:r>
        <w:rPr>
          <w:rFonts w:hAnsi="Arial"/>
          <w:rFonts w:ascii="Arial"/>
          <w:sz w:val="24"/>
          <w:i/>
          <w:color w:val="navy"/>
        </w:rPr>
        <w:t>OTORGAMIENTO</w:t>
      </w:r>
      <w:r>
        <w:rPr>
          <w:rFonts w:hAnsi="Arial"/>
          <w:rFonts w:ascii="Arial"/>
          <w:sz w:val="24"/>
          <w:color w:val="navy"/>
        </w:rPr>
        <w:t>.</w:t>
      </w:r>
      <w:bookmarkEnd w:id="60999"/>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Militar “Autoridad Aeronαutica Aviaciσn de Estado” serα conferida, por ϊnica vez, de acuerdo con los requisitos establecidos para el efecto, a quienes, en consideraciσn del Consejo de la Medalla, sean merecedores de esta distinciσn. </w:t>
      </w:r>
    </w:p>
    <w:p>
      <w:pPr>
        <w:jc w:val="both"/>
      </w:pPr>
      <w:rPr>
        <w:color w:val="black"/>
      </w:rPr>
    </w:p>
    <w:p>
      <w:pPr>
        <w:jc w:val="both"/>
      </w:pPr>
      <w:r>
        <w:rPr>
          <w:rFonts w:hAnsi="Arial"/>
          <w:rFonts w:ascii="Arial"/>
          <w:sz w:val="24"/>
          <w:b/>
          <w:vanish/>
          <w:color w:val="black"/>
        </w:rPr>
        <w:t>&amp;$</w:t>
      </w:r>
      <w:bookmarkStart w:id="61000" w:name="2.3.1.3.6.73.6"/>
      <w:r>
        <w:rPr>
          <w:rFonts w:hAnsi="Arial"/>
          <w:rFonts w:ascii="Arial"/>
          <w:sz w:val="24"/>
          <w:color w:val="navy"/>
        </w:rPr>
        <w:t xml:space="preserve">ARTΝCULO 2.3.1.3.6.73.6. </w:t>
      </w:r>
      <w:r>
        <w:rPr>
          <w:rFonts w:hAnsi="Arial"/>
          <w:rFonts w:ascii="Arial"/>
          <w:sz w:val="24"/>
          <w:i/>
          <w:color w:val="navy"/>
        </w:rPr>
        <w:t>REQUISITOS</w:t>
      </w:r>
      <w:r>
        <w:rPr>
          <w:rFonts w:hAnsi="Arial"/>
          <w:rFonts w:ascii="Arial"/>
          <w:sz w:val="24"/>
          <w:color w:val="navy"/>
        </w:rPr>
        <w:t>.</w:t>
      </w:r>
      <w:bookmarkEnd w:id="6100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Ademαs de los requisitos establecidos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Decreto nϊmero 1070 de 2015, para su otorgamiento: </w:t>
      </w:r>
    </w:p>
    <w:p>
      <w:pPr>
        <w:jc w:val="both"/>
      </w:pPr>
      <w:rPr>
        <w:sz w:val="24"/>
        <w:b/>
        <w:color w:val="black"/>
      </w:rPr>
    </w:p>
    <w:p>
      <w:pPr>
        <w:jc w:val="both"/>
      </w:pPr>
      <w:r>
        <w:rPr>
          <w:rFonts w:hAnsi="Arial"/>
          <w:rFonts w:ascii="Arial"/>
          <w:sz w:val="24"/>
          <w:color w:val="black"/>
        </w:rPr>
        <w:t xml:space="preserve">a) El personal de oficiales, suboficiales, soldados profesionales, infantes de marina profesionales de las Fuerzas Militares, patrulleros de la policνa y nivel ejecutivo de la Policνa Nacional, personal civil del Sector Defensa, personal de entidades pϊblicas y privadas, oficiales profesionales de la reserva, personal militar y civil extranjero que se haya desempeρado como miembros de la Autoridad Aeronαutica de Aviaciσn de Estado, y haya participado en tareas de reglamentaciσn, certificaciσn, vigilancia y correcciσn de situaciones, que afectan el correcto desarrollo de las misiones que cumple la Autoridad Aeronαutica de Aviaciσn de Estado. </w:t>
      </w:r>
    </w:p>
    <w:p>
      <w:pPr>
        <w:jc w:val="both"/>
        <w:outlineLvl w:val="1"/>
      </w:pPr>
      <w:rPr>
        <w:sz w:val="24"/>
        <w:b/>
        <w:color w:val="black"/>
      </w:rPr>
    </w:p>
    <w:p>
      <w:pPr>
        <w:jc w:val="both"/>
        <w:outlineLvl w:val="1"/>
      </w:pPr>
      <w:r>
        <w:rPr>
          <w:rFonts w:hAnsi="Arial"/>
          <w:rFonts w:ascii="Arial"/>
          <w:sz w:val="24"/>
          <w:color w:val="black"/>
        </w:rPr>
        <w:t xml:space="preserve">b) Destacarse y contribuir a la materializaciσn de mιtodos y procedimientos encaminados a la estandarizaciσn de las actividades de la Autoridad Aeronαutica Aviaciσn de Estado, la seguridad pϊblica y la defensa nacional. Asν mismo, para exaltar al personal que haya prestado servicios con aplicaciσn directa a la generaciσn de doctrina, fortalecimiento del entrenamiento de tierra y vuelo, supervisiσn de los estαndares adoptados en la doctrina, coordinaciσn de operaciones militares y policiales de la Aviaciσn de Estado, seguridad operacional, prevenciσn e investigaciσn de accidentes y el diseρo e investigaciones tecnolσgicas, proyectando y manteniendo los mejores estαndares de calidad, en beneficio de la sociedad civil, unidades militares y policiales, entidades pϊblicas o privadas, que presten sus servicios meritorios, o realicen hechos extraordinarios en apoyo a la Autoridad Aeronαutica Aviaciσn de Estado. </w:t>
      </w:r>
    </w:p>
    <w:p>
      <w:pPr>
        <w:jc w:val="both"/>
      </w:pPr>
      <w:rPr>
        <w:color w:val="black"/>
      </w:rPr>
    </w:p>
    <w:p>
      <w:pPr>
        <w:jc w:val="both"/>
      </w:pPr>
      <w:r>
        <w:rPr>
          <w:rFonts w:hAnsi="Arial"/>
          <w:rFonts w:ascii="Arial"/>
          <w:sz w:val="24"/>
          <w:b/>
          <w:vanish/>
          <w:color w:val="black"/>
        </w:rPr>
        <w:t>&amp;$</w:t>
      </w:r>
      <w:bookmarkStart w:id="61001" w:name="2.3.1.3.6.73.7"/>
      <w:r>
        <w:rPr>
          <w:rFonts w:hAnsi="Arial"/>
          <w:rFonts w:ascii="Arial"/>
          <w:sz w:val="24"/>
          <w:color w:val="navy"/>
        </w:rPr>
        <w:t xml:space="preserve">ARTΝCULO 2.3.1.3.6.73.7. </w:t>
      </w:r>
      <w:r>
        <w:rPr>
          <w:rFonts w:hAnsi="Arial"/>
          <w:rFonts w:ascii="Arial"/>
          <w:sz w:val="24"/>
          <w:i/>
          <w:color w:val="navy"/>
        </w:rPr>
        <w:t>IMPOSICIΣN</w:t>
      </w:r>
      <w:r>
        <w:rPr>
          <w:rFonts w:hAnsi="Arial"/>
          <w:rFonts w:ascii="Arial"/>
          <w:sz w:val="24"/>
          <w:color w:val="navy"/>
        </w:rPr>
        <w:t>.</w:t>
      </w:r>
      <w:bookmarkEnd w:id="6100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serα impuesta en ceremonia especial, de conformidad con lo dispuesto en el Reglamento de Ceremonial Militar. </w:t>
      </w:r>
    </w:p>
    <w:p>
      <w:pPr>
        <w:jc w:val="center"/>
      </w:pPr>
      <w:r>
        <w:drawing>
          <wp:inline distT="0" distB="0" distL="0" distR="0">
            <wp:extent cx="3990975" cy="2390775"/>
            <wp:docPr id="37" name=""/>
            <a:graphic xmlns:a="http://schemas.openxmlformats.org/drawingml/2006/main">
              <a:graphicData uri="http://schemas.openxmlformats.org/drawingml/2006/picture">
                <pic:pic xmlns:pic="http://schemas.openxmlformats.org/drawingml/2006/picture">
                  <pic:nvPicPr>
                    <pic:cNvPr id="36" name="Picture "/>
                    <pic:cNvPicPr/>
                  </pic:nvPicPr>
                  <pic:blipFill>
                    <a:blip r:embed="id36"/>
                    <a:stretch>
                      <a:fillRect/>
                    </a:stretch>
                  </pic:blipFill>
                  <pic:spPr>
                    <a:xfrm>
                      <a:off x="0" y="0"/>
                      <a:ext cx="3990975" cy="2390775"/>
                    </a:xfrm>
                    <a:prstGeom prst="rect">
                      <a:avLst/>
                    </a:prstGeom>
                  </pic:spPr>
                </pic:pic>
              </a:graphicData>
            </a:graphic>
          </wp:inline>
        </w:drawing>
      </w:r>
    </w:p>
    <w:p>
      <w:pPr>
        <w:jc w:val="center"/>
      </w:pPr>
      <w:rPr>
        <w:sz w:val="24"/>
        <w:b/>
        <w:color w:val="black"/>
      </w:rPr>
    </w:p>
    <w:p>
      <w:pPr>
        <w:jc w:val="center"/>
      </w:pPr>
      <w:r>
        <w:rPr>
          <w:rFonts w:hAnsi="Arial"/>
          <w:rFonts w:ascii="Arial"/>
          <w:sz w:val="24"/>
          <w:b/>
          <w:vanish/>
          <w:color w:val="black"/>
        </w:rPr>
        <w:t>&amp;$</w:t>
      </w:r>
      <w:bookmarkStart w:id="61002" w:name="SUBSECCIÓN 2.3.1.3.6.74"/>
      <w:r>
        <w:rPr>
          <w:rFonts w:hAnsi="Arial"/>
          <w:rFonts w:ascii="Arial"/>
          <w:sz w:val="24"/>
          <w:color w:val="navy"/>
        </w:rPr>
        <w:t xml:space="preserve">SUBSECCIΣN 74. </w:t>
      </w:r>
    </w:p>
    <w:p>
      <w:pPr>
        <w:jc w:val="center"/>
      </w:pPr>
      <w:r>
        <w:rPr>
          <w:rFonts w:hAnsi="Arial"/>
          <w:rFonts w:ascii="Arial"/>
          <w:sz w:val="24"/>
          <w:color w:val="navy"/>
        </w:rPr>
        <w:t xml:space="preserve">MEDALLA MILITAR "SERVICIOS DISTINGUIDOS AL COMANDO DESARROLLO HUMANO".</w:t>
      </w:r>
      <w:bookmarkEnd w:id="6100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003" w:name="2.3.1.3.6.74.1"/>
      <w:r>
        <w:rPr>
          <w:rFonts w:hAnsi="Arial"/>
          <w:rFonts w:ascii="Arial"/>
          <w:sz w:val="24"/>
          <w:color w:val="navy"/>
        </w:rPr>
        <w:t xml:space="preserve">ARTΝCULO 2.3.1.3.6.74.1. </w:t>
      </w:r>
      <w:r>
        <w:rPr>
          <w:rFonts w:hAnsi="Arial"/>
          <w:rFonts w:ascii="Arial"/>
          <w:sz w:val="24"/>
          <w:i/>
          <w:color w:val="navy"/>
        </w:rPr>
        <w:t>ORIGEN</w:t>
      </w:r>
      <w:r>
        <w:rPr>
          <w:rFonts w:hAnsi="Arial"/>
          <w:rFonts w:ascii="Arial"/>
          <w:sz w:val="24"/>
          <w:color w:val="navy"/>
        </w:rPr>
        <w:t>.</w:t>
      </w:r>
      <w:bookmarkEnd w:id="61003"/>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Crιase la Medalla Militar “Servicios Distinguidos al Comando Desarrollo Humano”, para estimular al personal de oficiales, suboficiales, soldados profesionales de las Fuerzas Militares, patrulleros de la policνa y nivel ejecutivo de la Policνa Nacional, oficiales profesionales de la reserva, personal de la reserva activa, unidades militares, personal civil del Sector Defensa, personal de entidades pϊblicas y privadas nacionales e internacionales, por su desempeρo o aportes en el desarrollo de proyectos en beneficio de la Fuerza Aιrea Colombiana y del Comando de Desarrollo Humano; asν como el reconocimiento por sus virtudes en favor del pueblo colombiano. </w:t>
      </w:r>
    </w:p>
    <w:p>
      <w:pPr>
        <w:jc w:val="both"/>
      </w:pPr>
      <w:rPr>
        <w:color w:val="black"/>
      </w:rPr>
    </w:p>
    <w:p>
      <w:pPr>
        <w:jc w:val="both"/>
      </w:pPr>
      <w:r>
        <w:rPr>
          <w:rFonts w:hAnsi="Arial"/>
          <w:rFonts w:ascii="Arial"/>
          <w:sz w:val="24"/>
          <w:b/>
          <w:vanish/>
          <w:color w:val="black"/>
        </w:rPr>
        <w:t>&amp;$</w:t>
      </w:r>
      <w:bookmarkStart w:id="61004" w:name="2.3.1.3.6.74.2"/>
      <w:r>
        <w:rPr>
          <w:rFonts w:hAnsi="Arial"/>
          <w:rFonts w:ascii="Arial"/>
          <w:sz w:val="24"/>
          <w:color w:val="navy"/>
        </w:rPr>
        <w:t xml:space="preserve">ARTΝCULO 2.3.1.3.6.74.2. </w:t>
      </w:r>
      <w:r>
        <w:rPr>
          <w:rFonts w:hAnsi="Arial"/>
          <w:rFonts w:ascii="Arial"/>
          <w:sz w:val="24"/>
          <w:i/>
          <w:color w:val="navy"/>
        </w:rPr>
        <w:t>CARACTERΝSTICAS</w:t>
      </w:r>
      <w:r>
        <w:rPr>
          <w:rFonts w:hAnsi="Arial"/>
          <w:rFonts w:ascii="Arial"/>
          <w:sz w:val="24"/>
          <w:color w:val="navy"/>
        </w:rPr>
        <w:t>.</w:t>
      </w:r>
      <w:bookmarkEnd w:id="6100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joya en su anverso estα conformada por una circunferencia que representa la uniσn de la solidaridad, voluntad de servicio, sinergia operacional y acciσn unificada; bordeada por 17 deltas troqueladas de color azul noche, que representa las unidades de la Fuerza Aιrea Colombiana. </w:t>
      </w:r>
    </w:p>
    <w:p>
      <w:pPr>
        <w:jc w:val="both"/>
      </w:pPr>
      <w:rPr>
        <w:sz w:val="24"/>
        <w:b/>
        <w:color w:val="black"/>
      </w:rPr>
    </w:p>
    <w:p>
      <w:pPr>
        <w:jc w:val="both"/>
      </w:pPr>
      <w:r>
        <w:rPr>
          <w:rFonts w:hAnsi="Arial"/>
          <w:rFonts w:ascii="Arial"/>
          <w:sz w:val="24"/>
          <w:color w:val="black"/>
        </w:rPr>
        <w:t xml:space="preserve">En el centro de la circunferencia ostenta una delta troquelada en relieve de color plata brillante, que simboliza la formaciσn y las aeronaves emblema de la aviaciσn militar, posee una imagen interna en alto relieve, dentro de la delta un universo y un αngel arpνa, que representan las capacidades de los hombres y mujeres de Talento Humano, y, en la parte inferior de la delta en sus dos lados la frase </w:t>
      </w:r>
      <w:r>
        <w:rPr>
          <w:rFonts w:hAnsi="Arial"/>
          <w:rFonts w:ascii="Arial"/>
          <w:sz w:val="24"/>
          <w:b/>
          <w:color w:val="black"/>
        </w:rPr>
        <w:t xml:space="preserve">“PARA VENCER”</w:t>
      </w:r>
      <w:r>
        <w:rPr>
          <w:rFonts w:hAnsi="Arial"/>
          <w:rFonts w:ascii="Arial"/>
          <w:sz w:val="24"/>
          <w:color w:val="black"/>
        </w:rPr>
        <w:t xml:space="preserve">. De igual manera, lleva una estrella troquelada, y en relieve grabado en color dorado brillante. </w:t>
      </w:r>
    </w:p>
    <w:p>
      <w:pPr>
        <w:jc w:val="both"/>
      </w:pPr>
      <w:rPr>
        <w:sz w:val="24"/>
        <w:b/>
        <w:color w:val="black"/>
      </w:rPr>
    </w:p>
    <w:p>
      <w:pPr>
        <w:jc w:val="both"/>
      </w:pPr>
      <w:r>
        <w:rPr>
          <w:rFonts w:hAnsi="Arial"/>
          <w:rFonts w:ascii="Arial"/>
          <w:sz w:val="24"/>
          <w:color w:val="black"/>
        </w:rPr>
        <w:t xml:space="preserve">Asν mismo, en el reverso de la joya, dentro de la circunferencia, tiene un troquelado profundo, en color negro la frase “Servicios Distinguidos al Comando Desarrollo Humano”, y, el logo de la Fuerza Aιrea Colombiana, en alto relieve en color plata, de acuerdo con el color de la joya. </w:t>
      </w:r>
    </w:p>
    <w:p>
      <w:pPr>
        <w:jc w:val="both"/>
      </w:pPr>
      <w:rPr>
        <w:sz w:val="24"/>
        <w:b/>
        <w:color w:val="black"/>
      </w:rPr>
    </w:p>
    <w:p>
      <w:pPr>
        <w:jc w:val="both"/>
      </w:pPr>
      <w:r>
        <w:rPr>
          <w:rFonts w:hAnsi="Arial"/>
          <w:rFonts w:ascii="Arial"/>
          <w:sz w:val="24"/>
          <w:b/>
          <w:color w:val="black"/>
        </w:rPr>
        <w:t xml:space="preserve">Riel y cinta: </w:t>
      </w:r>
      <w:r>
        <w:rPr>
          <w:rFonts w:hAnsi="Arial"/>
          <w:rFonts w:ascii="Arial"/>
          <w:sz w:val="24"/>
          <w:color w:val="black"/>
        </w:rPr>
        <w:t xml:space="preserve">El riel con sujetador es metαlico en color plata brillante con su respectivo gancho, debe ser troquelado para que se pueda ver la cinta. </w:t>
      </w:r>
    </w:p>
    <w:p>
      <w:pPr>
        <w:jc w:val="both"/>
      </w:pPr>
      <w:rPr>
        <w:sz w:val="24"/>
        <w:b/>
        <w:color w:val="black"/>
      </w:rPr>
    </w:p>
    <w:p>
      <w:pPr>
        <w:jc w:val="both"/>
      </w:pPr>
      <w:r>
        <w:rPr>
          <w:rFonts w:hAnsi="Arial"/>
          <w:rFonts w:ascii="Arial"/>
          <w:sz w:val="24"/>
          <w:color w:val="black"/>
        </w:rPr>
        <w:t xml:space="preserve">La cinta tiene tres (3) franjas, de las cuales dos (2) son azules noches y una (1) gris, esta ϊltima se encuentra en medio de las dos (2) franjas azules noches, y, se vislumbra una estrella troquelada dorada brillante en el centro de la cinta.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La miniatura o rιplica serα una medalla similar a la joya, pero reducida a un diαmetro de quince (15) milνmetros, suspendida por una cinta similar de la joya, de quince (15) milνmetros de ancho por treinta y cinco (35) milνmetros de largo, segϊn lo previsto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Decreto nϊmero 1070 de 2015.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venera estarα compuesta por dos (2) franjas de tono azul noche, significan identidad y orgullo de pertenecer a la Fuerza Aιrea Colombiana, y, un tono gris que significa gestiσn humana en alusiσn a las cualidades propias del personal que integra la instituciσn; ademαs, en relieve, un diseρo de la joya en el centro de la venera, en referencia al distintivo de la aviaciσn militar, dicha pieza tendrα las siguientes dimensiones: alto: cuarenta (40) milνmetros, ancho: diez (10) milνmetros y espesor de dos (2) milνmetros. </w:t>
      </w:r>
    </w:p>
    <w:p>
      <w:pPr>
        <w:jc w:val="both"/>
      </w:pPr>
      <w:rPr>
        <w:color w:val="black"/>
      </w:rPr>
    </w:p>
    <w:p>
      <w:pPr>
        <w:jc w:val="both"/>
      </w:pPr>
      <w:r>
        <w:rPr>
          <w:rFonts w:hAnsi="Arial"/>
          <w:rFonts w:ascii="Arial"/>
          <w:sz w:val="24"/>
          <w:b/>
          <w:vanish/>
          <w:color w:val="black"/>
        </w:rPr>
        <w:t>&amp;$</w:t>
      </w:r>
      <w:bookmarkStart w:id="61005" w:name="2.3.1.3.6.74.3"/>
      <w:r>
        <w:rPr>
          <w:rFonts w:hAnsi="Arial"/>
          <w:rFonts w:ascii="Arial"/>
          <w:sz w:val="24"/>
          <w:color w:val="navy"/>
        </w:rPr>
        <w:t xml:space="preserve">ARTΝCULO 2.3.1.3.6.74.3. </w:t>
      </w:r>
      <w:r>
        <w:rPr>
          <w:rFonts w:hAnsi="Arial"/>
          <w:rFonts w:ascii="Arial"/>
          <w:sz w:val="24"/>
          <w:i/>
          <w:color w:val="navy"/>
        </w:rPr>
        <w:t>CONSEJO</w:t>
      </w:r>
      <w:r>
        <w:rPr>
          <w:rFonts w:hAnsi="Arial"/>
          <w:rFonts w:ascii="Arial"/>
          <w:sz w:val="24"/>
          <w:color w:val="navy"/>
        </w:rPr>
        <w:t>.</w:t>
      </w:r>
      <w:bookmarkEnd w:id="61005"/>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 Consejo de la Medalla Militar “Servicios Distinguidos al Comando Desarrollo Humano” estarα conformado por: </w:t>
      </w:r>
    </w:p>
    <w:tbl>
      <w:tblGrid>
        <w:gridCol w:w="1900"/>
        <w:gridCol w:w="6920"/>
      </w:tblGrid>
      <w:tblPr>
        <w:tblW w:w="8838" w:type="dxa"/>
        <w:tblBorders/>
      </w:tblPr>
      <w:tr>
        <w:trPr/>
        <w:tc>
          <w:tcPr>
            <w:tcW w:w="1906" w:type="dxa"/>
            <w:tcMar/>
            <w:tcBorders/>
          </w:tcPr>
          <w:p>
            <w:pPr>
              <w:jc w:val="both"/>
            </w:pPr>
            <w:r>
              <w:rPr>
                <w:rFonts w:hAnsi="Arial"/>
                <w:rFonts w:ascii="Arial"/>
                <w:sz w:val="24"/>
                <w:b/>
                <w:color w:val="black"/>
              </w:rPr>
              <w:t xml:space="preserve">Presidente: </w:t>
            </w:r>
          </w:p>
        </w:tc>
        <w:tc>
          <w:tcPr>
            <w:tcW w:w="6932" w:type="dxa"/>
            <w:tcMar/>
            <w:tcBorders/>
          </w:tcPr>
          <w:p>
            <w:pPr>
              <w:jc w:val="both"/>
            </w:pPr>
            <w:r>
              <w:rPr>
                <w:rFonts w:hAnsi="Arial"/>
                <w:rFonts w:ascii="Arial"/>
                <w:sz w:val="24"/>
                <w:color w:val="black"/>
              </w:rPr>
              <w:t xml:space="preserve">Comandante Fuerza Aιrea Colombiana. </w:t>
            </w:r>
          </w:p>
        </w:tc>
      </w:tr>
      <w:tr>
        <w:trPr/>
        <w:tc>
          <w:tcPr>
            <w:tcW w:w="1906" w:type="dxa"/>
            <w:tcMar/>
            <w:tcBorders/>
          </w:tcPr>
          <w:p>
            <w:pPr>
              <w:jc w:val="both"/>
            </w:pPr>
            <w:r>
              <w:rPr>
                <w:rFonts w:hAnsi="Arial"/>
                <w:rFonts w:ascii="Arial"/>
                <w:sz w:val="24"/>
                <w:b/>
                <w:color w:val="black"/>
              </w:rPr>
              <w:t xml:space="preserve">Vicepresidente: </w:t>
            </w:r>
          </w:p>
        </w:tc>
        <w:tc>
          <w:tcPr>
            <w:tcW w:w="6932" w:type="dxa"/>
            <w:tcMar/>
            <w:tcBorders/>
          </w:tcPr>
          <w:p>
            <w:pPr>
              <w:jc w:val="both"/>
            </w:pPr>
            <w:r>
              <w:rPr>
                <w:rFonts w:hAnsi="Arial"/>
                <w:rFonts w:ascii="Arial"/>
                <w:sz w:val="24"/>
                <w:color w:val="black"/>
              </w:rPr>
              <w:t xml:space="preserve">Segundo Comandante y Jefe de Estado Mayor de la Fuerza Aιrea Colombiana. </w:t>
            </w:r>
          </w:p>
        </w:tc>
      </w:tr>
      <w:tr>
        <w:trPr/>
        <w:tc>
          <w:tcPr>
            <w:tcW w:w="1906" w:type="dxa"/>
            <w:tcMar/>
            <w:tcBorders/>
          </w:tcPr>
          <w:p>
            <w:pPr>
              <w:jc w:val="both"/>
            </w:pPr>
            <w:r>
              <w:rPr>
                <w:rFonts w:hAnsi="Arial"/>
                <w:rFonts w:ascii="Arial"/>
                <w:sz w:val="24"/>
                <w:b/>
                <w:color w:val="black"/>
              </w:rPr>
              <w:t xml:space="preserve">Secretario: </w:t>
            </w:r>
          </w:p>
        </w:tc>
        <w:tc>
          <w:tcPr>
            <w:tcW w:w="6932" w:type="dxa"/>
            <w:tcMar/>
            <w:tcBorders/>
          </w:tcPr>
          <w:p>
            <w:pPr>
              <w:jc w:val="both"/>
            </w:pPr>
            <w:r>
              <w:rPr>
                <w:rFonts w:hAnsi="Arial"/>
                <w:rFonts w:ascii="Arial"/>
                <w:sz w:val="24"/>
                <w:color w:val="black"/>
              </w:rPr>
              <w:t xml:space="preserve">Comandante de Desarrollo Humano de la Fuerza Aιrea Colombiana. </w:t>
            </w:r>
          </w:p>
        </w:tc>
      </w:tr>
      <w:tr>
        <w:trPr/>
        <w:tc>
          <w:tcPr>
            <w:tcW w:w="1906" w:type="dxa"/>
            <w:tcMar/>
            <w:tcBorders/>
          </w:tcPr>
          <w:p>
            <w:pPr>
              <w:jc w:val="both"/>
            </w:pPr>
            <w:r>
              <w:rPr>
                <w:rFonts w:hAnsi="Arial"/>
                <w:rFonts w:ascii="Arial"/>
                <w:sz w:val="24"/>
                <w:b/>
                <w:color w:val="black"/>
              </w:rPr>
              <w:t xml:space="preserve">Vocal: </w:t>
            </w:r>
          </w:p>
        </w:tc>
        <w:tc>
          <w:tcPr>
            <w:tcW w:w="6932" w:type="dxa"/>
            <w:tcMar/>
            <w:tcBorders/>
          </w:tcPr>
          <w:p>
            <w:pPr>
              <w:jc w:val="both"/>
            </w:pPr>
            <w:r>
              <w:rPr>
                <w:rFonts w:hAnsi="Arial"/>
                <w:rFonts w:ascii="Arial"/>
                <w:sz w:val="24"/>
                <w:color w:val="black"/>
              </w:rPr>
              <w:t xml:space="preserve">Comandante de Desarrollo Humano de la Fuerza Aιrea Colombiana. </w:t>
            </w:r>
          </w:p>
        </w:tc>
      </w:tr>
    </w:tbl>
    <w:p>
      <w:pPr>
        <w:jc w:val="both"/>
      </w:pPr>
      <w:rPr>
        <w:color w:val="black"/>
      </w:rPr>
    </w:p>
    <w:p>
      <w:pPr>
        <w:jc w:val="both"/>
      </w:pPr>
      <w:r>
        <w:rPr>
          <w:rFonts w:hAnsi="Arial"/>
          <w:rFonts w:ascii="Arial"/>
          <w:sz w:val="24"/>
          <w:b/>
          <w:vanish/>
          <w:color w:val="black"/>
        </w:rPr>
        <w:t>&amp;$</w:t>
      </w:r>
      <w:bookmarkStart w:id="61006" w:name="2.3.1.3.6.74.4"/>
      <w:r>
        <w:rPr>
          <w:rFonts w:hAnsi="Arial"/>
          <w:rFonts w:ascii="Arial"/>
          <w:sz w:val="24"/>
          <w:color w:val="navy"/>
        </w:rPr>
        <w:t xml:space="preserve">ARTΝCULO 2.3.1.3.6.74.4. </w:t>
      </w:r>
      <w:r>
        <w:rPr>
          <w:rFonts w:hAnsi="Arial"/>
          <w:rFonts w:ascii="Arial"/>
          <w:sz w:val="24"/>
          <w:i/>
          <w:color w:val="navy"/>
        </w:rPr>
        <w:t>DIPLOMA</w:t>
      </w:r>
      <w:r>
        <w:rPr>
          <w:rFonts w:hAnsi="Arial"/>
          <w:rFonts w:ascii="Arial"/>
          <w:sz w:val="24"/>
          <w:color w:val="navy"/>
        </w:rPr>
        <w:t>.</w:t>
      </w:r>
      <w:bookmarkEnd w:id="610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Elaborado en papel pergamino o cartulina blanca, de las siguientes dimensiones: Alto: Treinta y cinco (35) centνmetros y Ancho: veinticinco (25) centνmetros; ostenta la cara principal de la medalla al lado superior derecho y en el lado superior izquierdo el escudo de la Fuerza Aιrea Colombiana, en el centro la siguiente leyenda: </w:t>
      </w:r>
      <w:r>
        <w:rPr>
          <w:rFonts w:hAnsi="Arial"/>
          <w:rFonts w:ascii="Arial"/>
          <w:sz w:val="24"/>
          <w:i/>
          <w:u w:val="none"/>
          <w:color w:val="black"/>
        </w:rPr>
        <w:t xml:space="preserve">“En reconocimiento a los mιritos y excepcionales servicios prestados en beneficio del Comando de Desarrollo Humano de la Fuerza Aιrea Colombiana”. </w:t>
      </w:r>
    </w:p>
    <w:p>
      <w:pPr>
        <w:jc w:val="both"/>
      </w:pPr>
      <w:rPr>
        <w:color w:val="black"/>
      </w:rPr>
    </w:p>
    <w:p>
      <w:pPr>
        <w:jc w:val="both"/>
      </w:pPr>
      <w:r>
        <w:rPr>
          <w:rFonts w:hAnsi="Arial"/>
          <w:rFonts w:ascii="Arial"/>
          <w:sz w:val="24"/>
          <w:b/>
          <w:vanish/>
          <w:color w:val="black"/>
        </w:rPr>
        <w:t>&amp;$</w:t>
      </w:r>
      <w:bookmarkStart w:id="61007" w:name="2.3.1.3.6.74.5"/>
      <w:r>
        <w:rPr>
          <w:rFonts w:hAnsi="Arial"/>
          <w:rFonts w:ascii="Arial"/>
          <w:sz w:val="24"/>
          <w:color w:val="navy"/>
        </w:rPr>
        <w:t xml:space="preserve">ARTΝCULO 2.3.1.3.6.74.5. </w:t>
      </w:r>
      <w:r>
        <w:rPr>
          <w:rFonts w:hAnsi="Arial"/>
          <w:rFonts w:ascii="Arial"/>
          <w:sz w:val="24"/>
          <w:i/>
          <w:color w:val="navy"/>
        </w:rPr>
        <w:t>OTORGAMIENTO</w:t>
      </w:r>
      <w:r>
        <w:rPr>
          <w:rFonts w:hAnsi="Arial"/>
          <w:rFonts w:ascii="Arial"/>
          <w:sz w:val="24"/>
          <w:color w:val="navy"/>
        </w:rPr>
        <w:t>.</w:t>
      </w:r>
      <w:bookmarkEnd w:id="61007"/>
      <w:r>
        <w:rPr>
          <w:rFonts w:hAnsi="Arial"/>
          <w:rFonts w:ascii="Arial"/>
          <w:sz w:val="24"/>
          <w:color w:val="black"/>
        </w:rPr>
        <w:t xml:space="preserve"> &lt;Artνculo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Militar “Servicios Distinguidos al Comando Desarrollo Humano” serα conferida, por ϊnica vez, de acuerdo con los requisitos establecidos para el efecto, a quienes, en consideraciσn del Consejo de la Medalla, sean merecedores de esta distinciσn. </w:t>
      </w:r>
    </w:p>
    <w:p>
      <w:pPr>
        <w:jc w:val="both"/>
      </w:pPr>
      <w:rPr>
        <w:color w:val="black"/>
      </w:rPr>
    </w:p>
    <w:p>
      <w:pPr>
        <w:jc w:val="both"/>
      </w:pPr>
      <w:r>
        <w:rPr>
          <w:rFonts w:hAnsi="Arial"/>
          <w:rFonts w:ascii="Arial"/>
          <w:sz w:val="24"/>
          <w:b/>
          <w:vanish/>
          <w:color w:val="black"/>
        </w:rPr>
        <w:t>&amp;$</w:t>
      </w:r>
      <w:bookmarkStart w:id="61008" w:name="2.3.1.3.6.74.6"/>
      <w:r>
        <w:rPr>
          <w:rFonts w:hAnsi="Arial"/>
          <w:rFonts w:ascii="Arial"/>
          <w:sz w:val="24"/>
          <w:color w:val="navy"/>
        </w:rPr>
        <w:t xml:space="preserve">ARTΝCULO 2.3.1.3.6.74.6. </w:t>
      </w:r>
      <w:r>
        <w:rPr>
          <w:rFonts w:hAnsi="Arial"/>
          <w:rFonts w:ascii="Arial"/>
          <w:sz w:val="24"/>
          <w:i/>
          <w:color w:val="navy"/>
        </w:rPr>
        <w:t>IMPOSICIΣN</w:t>
      </w:r>
      <w:r>
        <w:rPr>
          <w:rFonts w:hAnsi="Arial"/>
          <w:rFonts w:ascii="Arial"/>
          <w:sz w:val="24"/>
          <w:color w:val="navy"/>
        </w:rPr>
        <w:t>.</w:t>
      </w:r>
      <w:bookmarkEnd w:id="6100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1333 de 2024. El nuevo texto es el siguiente:&gt; La Medalla serα impuesta en ceremonia especial, de conformidad con lo dispuesto en el Reglamento de Ceremonial Militar. </w:t>
      </w:r>
    </w:p>
    <w:p>
      <w:pPr>
        <w:jc w:val="center"/>
      </w:pPr>
      <w:r>
        <w:drawing>
          <wp:inline distT="0" distB="0" distL="0" distR="0">
            <wp:extent cx="4648200" cy="2600325"/>
            <wp:docPr id="38" name=""/>
            <a:graphic xmlns:a="http://schemas.openxmlformats.org/drawingml/2006/main">
              <a:graphicData uri="http://schemas.openxmlformats.org/drawingml/2006/picture">
                <pic:pic xmlns:pic="http://schemas.openxmlformats.org/drawingml/2006/picture">
                  <pic:nvPicPr>
                    <pic:cNvPr id="37" name="Picture "/>
                    <pic:cNvPicPr/>
                  </pic:nvPicPr>
                  <pic:blipFill>
                    <a:blip r:embed="id37"/>
                    <a:stretch>
                      <a:fillRect/>
                    </a:stretch>
                  </pic:blipFill>
                  <pic:spPr>
                    <a:xfrm>
                      <a:off x="0" y="0"/>
                      <a:ext cx="4648200" cy="2600325"/>
                    </a:xfrm>
                    <a:prstGeom prst="rect">
                      <a:avLst/>
                    </a:prstGeom>
                  </pic:spPr>
                </pic:pic>
              </a:graphicData>
            </a:graphic>
          </wp:inline>
        </w:drawing>
      </w:r>
    </w:p>
    <w:p>
      <w:pPr>
        <w:jc w:val="both"/>
      </w:pPr>
      <w:rPr>
        <w:color w:val="black"/>
      </w:rPr>
    </w:p>
    <w:p>
      <w:pPr>
        <w:jc w:val="center"/>
      </w:pPr>
      <w:rPr>
        <w:sz w:val="24"/>
        <w:b/>
        <w:color w:val="black"/>
      </w:rPr>
    </w:p>
    <w:p>
      <w:pPr>
        <w:jc w:val="center"/>
      </w:pPr>
      <w:r>
        <w:rPr>
          <w:rFonts w:hAnsi="Arial"/>
          <w:rFonts w:ascii="Arial"/>
          <w:sz w:val="24"/>
          <w:b/>
          <w:vanish/>
          <w:color w:val="black"/>
        </w:rPr>
        <w:t>&amp;$</w:t>
      </w:r>
      <w:bookmarkStart w:id="61009" w:name="SUBSECCIÓN 2.3.1.3.6.75"/>
      <w:r>
        <w:rPr>
          <w:rFonts w:hAnsi="Arial"/>
          <w:rFonts w:ascii="Arial"/>
          <w:sz w:val="24"/>
          <w:color w:val="navy"/>
        </w:rPr>
        <w:t xml:space="preserve">SUBSECCIΣN 75. </w:t>
      </w:r>
    </w:p>
    <w:p>
      <w:pPr>
        <w:jc w:val="center"/>
        <w:outlineLvl w:val="1"/>
      </w:pPr>
      <w:r>
        <w:rPr>
          <w:rFonts w:hAnsi="Arial"/>
          <w:rFonts w:ascii="Arial"/>
          <w:sz w:val="24"/>
          <w:color w:val="navy"/>
        </w:rPr>
        <w:t xml:space="preserve">MEDALLA MILITAR SERVICIOS DISTINGUIDOS "BICENTENARIO BATALLA DE AYACUCHO".</w:t>
      </w:r>
      <w:bookmarkEnd w:id="6100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010" w:name="2.3.1.3.6.75.1"/>
      <w:r>
        <w:rPr>
          <w:rFonts w:hAnsi="Arial"/>
          <w:rFonts w:ascii="Arial"/>
          <w:sz w:val="24"/>
          <w:color w:val="navy"/>
        </w:rPr>
        <w:t xml:space="preserve">ARTΝCULO 2.3.1.3.6.75.1. </w:t>
      </w:r>
      <w:r>
        <w:rPr>
          <w:rFonts w:hAnsi="Arial"/>
          <w:rFonts w:ascii="Arial"/>
          <w:sz w:val="24"/>
          <w:i/>
          <w:color w:val="navy"/>
        </w:rPr>
        <w:t>ORIGEN</w:t>
      </w:r>
      <w:r>
        <w:rPr>
          <w:rFonts w:hAnsi="Arial"/>
          <w:rFonts w:ascii="Arial"/>
          <w:sz w:val="24"/>
          <w:color w:val="navy"/>
        </w:rPr>
        <w:t>.</w:t>
      </w:r>
      <w:bookmarkEnd w:id="6101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Crιase la Medalla Militar “Servicios Distinguidos Bicentenario Batalla de Ayacucho”, en categorνa ϊnica para premiar y estimular por una sola vez, al personal de oficiales y suboficiales del arma de Infanterνa; soldados profesionales y servidores pϊblicos del Ejιrcito Nacional orgαnicos de los batallones de infanterνa, que se encuentren en servicio activo, a fecha 9 de diciembre de 2024; asν como a las unidades militares del arma de infanterνa y el personal de la reserva activa que pertenezcan al arma de Infanterνa. </w:t>
      </w:r>
    </w:p>
    <w:p>
      <w:pPr>
        <w:jc w:val="both"/>
      </w:pPr>
      <w:rPr>
        <w:color w:val="black"/>
      </w:rPr>
    </w:p>
    <w:p>
      <w:pPr>
        <w:jc w:val="both"/>
      </w:pPr>
      <w:r>
        <w:rPr>
          <w:rFonts w:hAnsi="Arial"/>
          <w:rFonts w:ascii="Arial"/>
          <w:sz w:val="24"/>
          <w:b/>
          <w:vanish/>
          <w:color w:val="black"/>
        </w:rPr>
        <w:t>&amp;$</w:t>
      </w:r>
      <w:bookmarkStart w:id="61011" w:name="2.3.1.3.6.75.2"/>
      <w:r>
        <w:rPr>
          <w:rFonts w:hAnsi="Arial"/>
          <w:rFonts w:ascii="Arial"/>
          <w:sz w:val="24"/>
          <w:color w:val="navy"/>
        </w:rPr>
        <w:t xml:space="preserve">ARTΝCULO 2.3.1.3.6.75.2. </w:t>
      </w:r>
      <w:r>
        <w:rPr>
          <w:rFonts w:hAnsi="Arial"/>
          <w:rFonts w:ascii="Arial"/>
          <w:sz w:val="24"/>
          <w:i/>
          <w:color w:val="navy"/>
        </w:rPr>
        <w:t>CARACTERΝSTICAS</w:t>
      </w:r>
      <w:r>
        <w:rPr>
          <w:rFonts w:hAnsi="Arial"/>
          <w:rFonts w:ascii="Arial"/>
          <w:sz w:val="24"/>
          <w:color w:val="navy"/>
        </w:rPr>
        <w:t>.</w:t>
      </w:r>
      <w:bookmarkEnd w:id="61011"/>
      <w:r>
        <w:rPr>
          <w:rFonts w:hAnsi="Arial"/>
          <w:rFonts w:ascii="Arial"/>
          <w:sz w:val="24"/>
          <w:color w:val="black"/>
        </w:rPr>
        <w:t xml:space="preserve"> &lt;Artνculo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La joya es de forma cruciforme, tipo malta con terminaciones en V de ocho puntas de color rojo y borde plateado 62 mm de ancho por 62 mm de alto, la cual se encuentra sobre una placa dorada destellada con el mismo nϊmero de puntas (8), de 70 mm de ancho por 70 mm de alto. Al interior de la cruz se encontrarα una circunferencia de color rojo rodeada por una corona de laurel dorada de 33 mm de ancho por 28 mm de alto, en el interior de la circunferencia se ubicarαn dos fusiles dorados cruzados. La joya penderα de una cinta de 40 mm de ancho por 55 mm de alto la cual estarα terciado en palo, con los colores rojos, blanco y rojo. En el reverso de la joya estarα la imagen del GENERAL JOSΙ MARΝA CΣRDOVA, en la parte superior se encontrarα el nϊmero 1824 y el apellido “CΣRDOVA”, en la parte inferior el lema de la infanterνa “PASO DE VENCEDORES” y el nϊmero 2024.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La venera </w:t>
      </w:r>
      <w:r>
        <w:rPr>
          <w:rFonts w:hAnsi="Arial"/>
          <w:rFonts w:ascii="Arial"/>
          <w:sz w:val="24"/>
          <w:color w:val="black"/>
        </w:rPr>
        <w:t xml:space="preserve">serα un rectαngulo metαlico esmaltado de 40 mm de ancho por 10 mm de alto, con los colores dispuestos de la misma cinta de la condecoraciσn, y en el centro, un leσn rampante sosteniendo una espada apuntando hacia arriba, ambos de color dorado de 5,4 mm de ancho por 7,6 mm de alto.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La miniatura o rιplica </w:t>
      </w:r>
      <w:r>
        <w:rPr>
          <w:rFonts w:hAnsi="Arial"/>
          <w:rFonts w:ascii="Arial"/>
          <w:sz w:val="24"/>
          <w:color w:val="black"/>
        </w:rPr>
        <w:t xml:space="preserve">serα similar a la joya de la condecoraciσn, pero reducida a un ancho de 24 mm y alto 24 mm suspendida por una cinta similar de la joya, de 15 mm de ancho por 35 mm de alto. </w:t>
      </w:r>
    </w:p>
    <w:p>
      <w:pPr>
        <w:jc w:val="both"/>
      </w:pPr>
      <w:rPr>
        <w:color w:val="black"/>
      </w:rPr>
    </w:p>
    <w:p>
      <w:pPr>
        <w:jc w:val="both"/>
      </w:pPr>
      <w:r>
        <w:rPr>
          <w:rFonts w:hAnsi="Arial"/>
          <w:rFonts w:ascii="Arial"/>
          <w:sz w:val="24"/>
          <w:b/>
          <w:vanish/>
          <w:color w:val="black"/>
        </w:rPr>
        <w:t>&amp;$</w:t>
      </w:r>
      <w:bookmarkStart w:id="61012" w:name="2.3.1.3.6.75.3"/>
      <w:r>
        <w:rPr>
          <w:rFonts w:hAnsi="Arial"/>
          <w:rFonts w:ascii="Arial"/>
          <w:sz w:val="24"/>
          <w:color w:val="navy"/>
        </w:rPr>
        <w:t xml:space="preserve">ARTΝCULO 2.3.1.3.6.75.3. CONSEJO DE LA MEDALLA.</w:t>
      </w:r>
      <w:bookmarkEnd w:id="6101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El Consejo de la Medalla Militar “Servicios Distinguidos Bicentenario Batalla de Ayacucho” estarα integrado asν: </w:t>
      </w:r>
    </w:p>
    <w:tbl>
      <w:tblGrid>
        <w:gridCol w:w="1740"/>
        <w:gridCol w:w="6980"/>
      </w:tblGrid>
      <w:tblPr>
        <w:tblW w:w="8722" w:type="dxa"/>
        <w:tblBorders/>
      </w:tblPr>
      <w:tr>
        <w:trPr/>
        <w:tc>
          <w:tcPr>
            <w:tcW w:w="1744" w:type="dxa"/>
            <w:tcMar/>
            <w:tcBorders/>
          </w:tcPr>
          <w:p>
            <w:pPr>
              <w:jc w:val="both"/>
            </w:pPr>
            <w:r>
              <w:rPr>
                <w:rFonts w:hAnsi="Arial"/>
                <w:rFonts w:ascii="Arial"/>
                <w:sz w:val="24"/>
                <w:color w:val="black"/>
              </w:rPr>
              <w:t xml:space="preserve">Presidente: </w:t>
            </w:r>
          </w:p>
        </w:tc>
        <w:tc>
          <w:tcPr>
            <w:tcW w:w="6978" w:type="dxa"/>
            <w:tcMar/>
            <w:tcBorders/>
          </w:tcPr>
          <w:p>
            <w:pPr>
              <w:jc w:val="both"/>
            </w:pPr>
            <w:r>
              <w:rPr>
                <w:rFonts w:hAnsi="Arial"/>
                <w:rFonts w:ascii="Arial"/>
                <w:sz w:val="24"/>
                <w:color w:val="black"/>
              </w:rPr>
              <w:t xml:space="preserve">Comandante del Ejιrcito Nacional. </w:t>
            </w:r>
          </w:p>
        </w:tc>
      </w:tr>
      <w:tr>
        <w:trPr/>
        <w:tc>
          <w:tcPr>
            <w:tcW w:w="1744" w:type="dxa"/>
            <w:tcMar/>
            <w:tcBorders/>
          </w:tcPr>
          <w:p>
            <w:pPr>
              <w:jc w:val="both"/>
            </w:pPr>
            <w:r>
              <w:rPr>
                <w:rFonts w:hAnsi="Arial"/>
                <w:rFonts w:ascii="Arial"/>
                <w:sz w:val="24"/>
                <w:color w:val="black"/>
              </w:rPr>
              <w:t xml:space="preserve">Vicepresidente: </w:t>
            </w:r>
          </w:p>
        </w:tc>
        <w:tc>
          <w:tcPr>
            <w:tcW w:w="6978" w:type="dxa"/>
            <w:tcMar/>
            <w:tcBorders/>
          </w:tcPr>
          <w:p>
            <w:pPr>
              <w:jc w:val="both"/>
            </w:pPr>
            <w:r>
              <w:rPr>
                <w:rFonts w:hAnsi="Arial"/>
                <w:rFonts w:ascii="Arial"/>
                <w:sz w:val="24"/>
                <w:color w:val="black"/>
              </w:rPr>
              <w:t xml:space="preserve">Oficial de arma mαs antiguo presente en la guarniciσn de Bogotα. </w:t>
            </w:r>
          </w:p>
        </w:tc>
      </w:tr>
      <w:tr>
        <w:trPr/>
        <w:tc>
          <w:tcPr>
            <w:tcW w:w="1744" w:type="dxa"/>
            <w:tcMar/>
            <w:tcBorders/>
          </w:tcPr>
          <w:p>
            <w:pPr>
              <w:jc w:val="both"/>
            </w:pPr>
            <w:r>
              <w:rPr>
                <w:rFonts w:hAnsi="Arial"/>
                <w:rFonts w:ascii="Arial"/>
                <w:sz w:val="24"/>
                <w:color w:val="black"/>
              </w:rPr>
              <w:t xml:space="preserve">Vocal: </w:t>
            </w:r>
          </w:p>
        </w:tc>
        <w:tc>
          <w:tcPr>
            <w:tcW w:w="6978" w:type="dxa"/>
            <w:tcMar/>
            <w:tcBorders/>
          </w:tcPr>
          <w:p>
            <w:pPr>
              <w:jc w:val="both"/>
            </w:pPr>
            <w:r>
              <w:rPr>
                <w:rFonts w:hAnsi="Arial"/>
                <w:rFonts w:ascii="Arial"/>
                <w:sz w:val="24"/>
                <w:color w:val="black"/>
              </w:rPr>
              <w:t xml:space="preserve">Director Escuela de Infanterνa del Ejιrcito Nacional. </w:t>
            </w:r>
          </w:p>
        </w:tc>
      </w:tr>
      <w:tr>
        <w:trPr/>
        <w:tc>
          <w:tcPr>
            <w:tcW w:w="1744" w:type="dxa"/>
            <w:tcMar/>
            <w:tcBorders/>
          </w:tcPr>
          <w:p>
            <w:pPr>
              <w:jc w:val="both"/>
            </w:pPr>
            <w:r>
              <w:rPr>
                <w:rFonts w:hAnsi="Arial"/>
                <w:rFonts w:ascii="Arial"/>
                <w:sz w:val="24"/>
                <w:color w:val="black"/>
              </w:rPr>
              <w:t xml:space="preserve">Secretario: </w:t>
            </w:r>
          </w:p>
        </w:tc>
        <w:tc>
          <w:tcPr>
            <w:tcW w:w="6978" w:type="dxa"/>
            <w:tcMar/>
            <w:tcBorders/>
          </w:tcPr>
          <w:p>
            <w:pPr>
              <w:jc w:val="both"/>
            </w:pPr>
            <w:r>
              <w:rPr>
                <w:rFonts w:hAnsi="Arial"/>
                <w:rFonts w:ascii="Arial"/>
                <w:sz w:val="24"/>
                <w:color w:val="black"/>
              </w:rPr>
              <w:t xml:space="preserve">Ayudante de comando Escuela de Infanterνa del Ejιrcito Nacional. </w:t>
            </w:r>
          </w:p>
        </w:tc>
      </w:tr>
    </w:tbl>
    <w:p>
      <w:pPr>
        <w:jc w:val="both"/>
      </w:pPr>
      <w:rPr>
        <w:color w:val="black"/>
      </w:rPr>
    </w:p>
    <w:p>
      <w:pPr>
        <w:jc w:val="both"/>
      </w:pPr>
      <w:r>
        <w:rPr>
          <w:rFonts w:hAnsi="Arial"/>
          <w:rFonts w:ascii="Arial"/>
          <w:sz w:val="24"/>
          <w:b/>
          <w:vanish/>
          <w:color w:val="black"/>
        </w:rPr>
        <w:t>&amp;$</w:t>
      </w:r>
      <w:bookmarkStart w:id="61013" w:name="2.3.1.3.6.75.4"/>
      <w:r>
        <w:rPr>
          <w:rFonts w:hAnsi="Arial"/>
          <w:rFonts w:ascii="Arial"/>
          <w:sz w:val="24"/>
          <w:color w:val="navy"/>
        </w:rPr>
        <w:t xml:space="preserve">ARTΝCULO 2.3.1.3.6.75.4. </w:t>
      </w:r>
      <w:r>
        <w:rPr>
          <w:rFonts w:hAnsi="Arial"/>
          <w:rFonts w:ascii="Arial"/>
          <w:sz w:val="24"/>
          <w:i/>
          <w:color w:val="navy"/>
        </w:rPr>
        <w:t>REQUISITOS</w:t>
      </w:r>
      <w:r>
        <w:rPr>
          <w:rFonts w:hAnsi="Arial"/>
          <w:rFonts w:ascii="Arial"/>
          <w:sz w:val="24"/>
          <w:color w:val="navy"/>
        </w:rPr>
        <w:t>.</w:t>
      </w:r>
      <w:bookmarkEnd w:id="61013"/>
      <w:r>
        <w:rPr>
          <w:rFonts w:hAnsi="Arial"/>
          <w:rFonts w:ascii="Arial"/>
          <w:sz w:val="24"/>
          <w:color w:val="black"/>
        </w:rPr>
        <w:t xml:space="preserve"> &lt;Artνculo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Ademαs de los requisitos establecidos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Decreto nϊmero 1070 de 2015, para su otorgamiento se tendrαn en cuenta los siguientes: </w:t>
      </w:r>
    </w:p>
    <w:p>
      <w:pPr>
        <w:jc w:val="both"/>
        <w:outlineLvl w:val="1"/>
      </w:pPr>
      <w:rPr>
        <w:sz w:val="24"/>
        <w:b/>
        <w:color w:val="black"/>
      </w:rPr>
    </w:p>
    <w:p>
      <w:pPr>
        <w:jc w:val="both"/>
        <w:outlineLvl w:val="1"/>
      </w:pPr>
      <w:r>
        <w:rPr>
          <w:rFonts w:hAnsi="Arial"/>
          <w:rFonts w:ascii="Arial"/>
          <w:sz w:val="24"/>
          <w:color w:val="black"/>
        </w:rPr>
        <w:t xml:space="preserve">a) Para personal militar </w:t>
      </w:r>
    </w:p>
    <w:p>
      <w:pPr>
        <w:jc w:val="both"/>
        <w:outlineLvl w:val="1"/>
      </w:pPr>
      <w:rPr>
        <w:sz w:val="24"/>
        <w:b/>
        <w:color w:val="black"/>
      </w:rPr>
    </w:p>
    <w:p>
      <w:pPr>
        <w:jc w:val="both"/>
        <w:outlineLvl w:val="1"/>
      </w:pPr>
      <w:r>
        <w:rPr>
          <w:rFonts w:hAnsi="Arial"/>
          <w:rFonts w:ascii="Arial"/>
          <w:sz w:val="24"/>
          <w:color w:val="black"/>
        </w:rPr>
        <w:t xml:space="preserve">1. Ser oficial, suboficial del arma de infanterνa; soldado profesional del Ejιrcito Nacional orgαnico de los batallones de infanterνa, que a fecha 9 de octubre de 2024 se encuentren en servicio activo. </w:t>
      </w:r>
    </w:p>
    <w:p>
      <w:pPr>
        <w:jc w:val="both"/>
        <w:outlineLvl w:val="1"/>
      </w:pPr>
      <w:rPr>
        <w:sz w:val="24"/>
        <w:b/>
        <w:color w:val="black"/>
      </w:rPr>
    </w:p>
    <w:p>
      <w:pPr>
        <w:jc w:val="both"/>
        <w:outlineLvl w:val="1"/>
      </w:pPr>
      <w:r>
        <w:rPr>
          <w:rFonts w:hAnsi="Arial"/>
          <w:rFonts w:ascii="Arial"/>
          <w:sz w:val="24"/>
          <w:color w:val="black"/>
        </w:rPr>
        <w:t xml:space="preserve">2. Que, durante los ϊltimos tres aρos, el personal no haya sido suspendido en el ejercicio de funciones y atribuciones. </w:t>
      </w:r>
    </w:p>
    <w:p>
      <w:pPr>
        <w:jc w:val="both"/>
        <w:outlineLvl w:val="1"/>
      </w:pPr>
      <w:rPr>
        <w:sz w:val="24"/>
        <w:b/>
        <w:color w:val="black"/>
      </w:rPr>
    </w:p>
    <w:p>
      <w:pPr>
        <w:jc w:val="both"/>
        <w:outlineLvl w:val="1"/>
      </w:pPr>
      <w:r>
        <w:rPr>
          <w:rFonts w:hAnsi="Arial"/>
          <w:rFonts w:ascii="Arial"/>
          <w:sz w:val="24"/>
          <w:color w:val="black"/>
        </w:rPr>
        <w:t xml:space="preserve">3. Que, durante los ϊltimos tres aρos, el personal no tenga sanciones por autoridad disciplinaria. </w:t>
      </w:r>
    </w:p>
    <w:p>
      <w:pPr>
        <w:jc w:val="both"/>
        <w:outlineLvl w:val="1"/>
      </w:pPr>
      <w:rPr>
        <w:sz w:val="24"/>
        <w:b/>
        <w:color w:val="black"/>
      </w:rPr>
    </w:p>
    <w:p>
      <w:pPr>
        <w:jc w:val="both"/>
        <w:outlineLvl w:val="1"/>
      </w:pPr>
      <w:r>
        <w:rPr>
          <w:rFonts w:hAnsi="Arial"/>
          <w:rFonts w:ascii="Arial"/>
          <w:sz w:val="24"/>
          <w:color w:val="black"/>
        </w:rPr>
        <w:t xml:space="preserve">4. Que, durante los ϊltimos tres aρos, el personal no haya sido objeto de condenas por la justicia penal militar o la ordinaria. </w:t>
      </w:r>
    </w:p>
    <w:p>
      <w:pPr>
        <w:jc w:val="both"/>
        <w:outlineLvl w:val="1"/>
      </w:pPr>
      <w:rPr>
        <w:sz w:val="24"/>
        <w:b/>
        <w:color w:val="black"/>
      </w:rPr>
    </w:p>
    <w:p>
      <w:pPr>
        <w:jc w:val="both"/>
        <w:outlineLvl w:val="1"/>
      </w:pPr>
      <w:r>
        <w:rPr>
          <w:rFonts w:hAnsi="Arial"/>
          <w:rFonts w:ascii="Arial"/>
          <w:sz w:val="24"/>
          <w:color w:val="black"/>
        </w:rPr>
        <w:t xml:space="preserve">b) Para los servidores pϊblicos </w:t>
      </w:r>
    </w:p>
    <w:p>
      <w:pPr>
        <w:jc w:val="both"/>
        <w:outlineLvl w:val="1"/>
      </w:pPr>
      <w:rPr>
        <w:sz w:val="24"/>
        <w:b/>
        <w:color w:val="black"/>
      </w:rPr>
    </w:p>
    <w:p>
      <w:pPr>
        <w:jc w:val="both"/>
        <w:outlineLvl w:val="1"/>
      </w:pPr>
      <w:r>
        <w:rPr>
          <w:rFonts w:hAnsi="Arial"/>
          <w:rFonts w:ascii="Arial"/>
          <w:sz w:val="24"/>
          <w:color w:val="black"/>
        </w:rPr>
        <w:t xml:space="preserve">1. Que el personal de servidores pϊblicos del Ejιrcito Nacional estι prestando su servicio en unidades de infanterνa. </w:t>
      </w:r>
    </w:p>
    <w:p>
      <w:pPr>
        <w:jc w:val="both"/>
        <w:outlineLvl w:val="1"/>
      </w:pPr>
      <w:rPr>
        <w:sz w:val="24"/>
        <w:b/>
        <w:color w:val="black"/>
      </w:rPr>
    </w:p>
    <w:p>
      <w:pPr>
        <w:jc w:val="both"/>
        <w:outlineLvl w:val="1"/>
      </w:pPr>
      <w:r>
        <w:rPr>
          <w:rFonts w:hAnsi="Arial"/>
          <w:rFonts w:ascii="Arial"/>
          <w:sz w:val="24"/>
          <w:color w:val="black"/>
        </w:rPr>
        <w:t xml:space="preserve">2. Que, durante los ϊltimos tres aρos, el personal no haya sido suspendido en el ejercicio de funciones y atribuciones. </w:t>
      </w:r>
    </w:p>
    <w:p>
      <w:pPr>
        <w:jc w:val="both"/>
        <w:outlineLvl w:val="1"/>
      </w:pPr>
      <w:rPr>
        <w:sz w:val="24"/>
        <w:b/>
        <w:color w:val="black"/>
      </w:rPr>
    </w:p>
    <w:p>
      <w:pPr>
        <w:jc w:val="both"/>
        <w:outlineLvl w:val="1"/>
      </w:pPr>
      <w:r>
        <w:rPr>
          <w:rFonts w:hAnsi="Arial"/>
          <w:rFonts w:ascii="Arial"/>
          <w:sz w:val="24"/>
          <w:color w:val="black"/>
        </w:rPr>
        <w:t xml:space="preserve">3. Que, durante los ϊltimos tres aρos, el personal no tenga sanciones por autoridad disciplinaria. </w:t>
      </w:r>
    </w:p>
    <w:p>
      <w:pPr>
        <w:jc w:val="both"/>
        <w:outlineLvl w:val="1"/>
      </w:pPr>
      <w:rPr>
        <w:sz w:val="24"/>
        <w:b/>
        <w:color w:val="black"/>
      </w:rPr>
    </w:p>
    <w:p>
      <w:pPr>
        <w:jc w:val="both"/>
        <w:outlineLvl w:val="1"/>
      </w:pPr>
      <w:r>
        <w:rPr>
          <w:rFonts w:hAnsi="Arial"/>
          <w:rFonts w:ascii="Arial"/>
          <w:sz w:val="24"/>
          <w:color w:val="black"/>
        </w:rPr>
        <w:t xml:space="preserve">4. Que, durante los ϊltimos tres aρos, el personal no haya sido objeto de condenas penales. </w:t>
      </w:r>
    </w:p>
    <w:p>
      <w:pPr>
        <w:jc w:val="both"/>
        <w:outlineLvl w:val="1"/>
      </w:pPr>
      <w:rPr>
        <w:sz w:val="24"/>
        <w:b/>
        <w:color w:val="black"/>
      </w:rPr>
    </w:p>
    <w:p>
      <w:pPr>
        <w:jc w:val="both"/>
        <w:outlineLvl w:val="1"/>
      </w:pPr>
      <w:r>
        <w:rPr>
          <w:rFonts w:hAnsi="Arial"/>
          <w:rFonts w:ascii="Arial"/>
          <w:sz w:val="24"/>
          <w:color w:val="black"/>
        </w:rPr>
        <w:t xml:space="preserve">c) Para el personal de oficiales y suboficiales en uso de buen retiro</w:t>
      </w:r>
    </w:p>
    <w:p>
      <w:pPr>
        <w:jc w:val="both"/>
        <w:outlineLvl w:val="1"/>
      </w:pPr>
      <w:rPr>
        <w:sz w:val="24"/>
        <w:b/>
        <w:color w:val="black"/>
      </w:rPr>
    </w:p>
    <w:p>
      <w:pPr>
        <w:jc w:val="both"/>
        <w:outlineLvl w:val="1"/>
      </w:pPr>
      <w:r>
        <w:rPr>
          <w:rFonts w:hAnsi="Arial"/>
          <w:rFonts w:ascii="Arial"/>
          <w:sz w:val="24"/>
          <w:color w:val="black"/>
        </w:rPr>
        <w:t xml:space="preserve">1. Que haya sido del arma de infanterνa. </w:t>
      </w:r>
    </w:p>
    <w:p>
      <w:pPr>
        <w:jc w:val="both"/>
        <w:outlineLvl w:val="1"/>
      </w:pPr>
      <w:rPr>
        <w:sz w:val="24"/>
        <w:b/>
        <w:color w:val="black"/>
      </w:rPr>
    </w:p>
    <w:p>
      <w:pPr>
        <w:jc w:val="both"/>
        <w:outlineLvl w:val="1"/>
      </w:pPr>
      <w:r>
        <w:rPr>
          <w:rFonts w:hAnsi="Arial"/>
          <w:rFonts w:ascii="Arial"/>
          <w:sz w:val="24"/>
          <w:color w:val="black"/>
        </w:rPr>
        <w:t xml:space="preserve">2. Que, durante los ϊltimos tres aρos, el personal no tenga sanciones por autoridad disciplinaria. </w:t>
      </w:r>
    </w:p>
    <w:p>
      <w:pPr>
        <w:jc w:val="both"/>
        <w:outlineLvl w:val="1"/>
      </w:pPr>
      <w:rPr>
        <w:sz w:val="24"/>
        <w:b/>
        <w:color w:val="black"/>
      </w:rPr>
    </w:p>
    <w:p>
      <w:pPr>
        <w:jc w:val="both"/>
        <w:outlineLvl w:val="1"/>
      </w:pPr>
      <w:r>
        <w:rPr>
          <w:rFonts w:hAnsi="Arial"/>
          <w:rFonts w:ascii="Arial"/>
          <w:sz w:val="24"/>
          <w:color w:val="black"/>
        </w:rPr>
        <w:t xml:space="preserve">3. Que, durante los ϊltimos tres aρos, el personal no haya sido objeto de condenas por la justicia penal militar o la ordinaria. </w:t>
      </w:r>
    </w:p>
    <w:p>
      <w:pPr>
        <w:jc w:val="both"/>
        <w:outlineLvl w:val="1"/>
      </w:pPr>
      <w:rPr>
        <w:sz w:val="24"/>
        <w:b/>
        <w:color w:val="black"/>
      </w:rPr>
    </w:p>
    <w:p>
      <w:pPr>
        <w:jc w:val="both"/>
        <w:outlineLvl w:val="1"/>
      </w:pPr>
      <w:r>
        <w:rPr>
          <w:rFonts w:hAnsi="Arial"/>
          <w:rFonts w:ascii="Arial"/>
          <w:sz w:val="24"/>
          <w:color w:val="black"/>
        </w:rPr>
        <w:t xml:space="preserve">d) Unidades militares del arma de Infanterνa </w:t>
      </w:r>
    </w:p>
    <w:p>
      <w:pPr>
        <w:jc w:val="both"/>
        <w:outlineLvl w:val="1"/>
      </w:pPr>
      <w:rPr>
        <w:sz w:val="24"/>
        <w:b/>
        <w:color w:val="black"/>
      </w:rPr>
    </w:p>
    <w:p>
      <w:pPr>
        <w:jc w:val="both"/>
        <w:outlineLvl w:val="1"/>
      </w:pPr>
      <w:r>
        <w:rPr>
          <w:rFonts w:hAnsi="Arial"/>
          <w:rFonts w:ascii="Arial"/>
          <w:sz w:val="24"/>
          <w:color w:val="black"/>
        </w:rPr>
        <w:t xml:space="preserve">1. Que, a la fecha de expediciσn del presente decreto se encuentren activas. </w:t>
      </w:r>
    </w:p>
    <w:p>
      <w:pPr>
        <w:jc w:val="both"/>
      </w:pPr>
      <w:rPr>
        <w:color w:val="black"/>
      </w:rPr>
    </w:p>
    <w:p>
      <w:pPr>
        <w:jc w:val="both"/>
      </w:pPr>
      <w:r>
        <w:rPr>
          <w:rFonts w:hAnsi="Arial"/>
          <w:rFonts w:ascii="Arial"/>
          <w:sz w:val="24"/>
          <w:b/>
          <w:vanish/>
          <w:color w:val="black"/>
        </w:rPr>
        <w:t>&amp;$</w:t>
      </w:r>
      <w:bookmarkStart w:id="61014" w:name="2.3.1.3.6.75.5"/>
      <w:r>
        <w:rPr>
          <w:rFonts w:hAnsi="Arial"/>
          <w:rFonts w:ascii="Arial"/>
          <w:sz w:val="24"/>
          <w:color w:val="navy"/>
        </w:rPr>
        <w:t xml:space="preserve">ARTΝCULO 2.3.1.3.6.75.5 </w:t>
      </w:r>
      <w:r>
        <w:rPr>
          <w:rFonts w:hAnsi="Arial"/>
          <w:rFonts w:ascii="Arial"/>
          <w:sz w:val="24"/>
          <w:i/>
          <w:color w:val="navy"/>
        </w:rPr>
        <w:t>DIPLOMA</w:t>
      </w:r>
      <w:r>
        <w:rPr>
          <w:rFonts w:hAnsi="Arial"/>
          <w:rFonts w:ascii="Arial"/>
          <w:sz w:val="24"/>
          <w:color w:val="navy"/>
        </w:rPr>
        <w:t>.</w:t>
      </w:r>
      <w:bookmarkEnd w:id="6101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Elaborado en papel Reemp Kimberly Tradit Marfil con las siguientes dimensiones: treinta y cinco (35) centνmetros de largo por veinticinco (25) centνmetros de ancho, tipo de letra Old English Text MT. Tνtulo a 31 puntos, texto a quien se otorga y resoluciσn a 18 puntos, nombre medalla a 28 puntos, texto del porquι se otorga el diploma a 18 puntos, firmas a 18 puntos, ciudad y fecha a 15 puntos. </w:t>
      </w:r>
    </w:p>
    <w:p>
      <w:pPr>
        <w:jc w:val="center"/>
        <w:outlineLvl w:val="1"/>
      </w:pPr>
      <w:r>
        <w:drawing>
          <wp:inline distT="0" distB="0" distL="0" distR="0">
            <wp:extent cx="3810000" cy="2019300"/>
            <wp:docPr id="39" name=""/>
            <a:graphic xmlns:a="http://schemas.openxmlformats.org/drawingml/2006/main">
              <a:graphicData uri="http://schemas.openxmlformats.org/drawingml/2006/picture">
                <pic:pic xmlns:pic="http://schemas.openxmlformats.org/drawingml/2006/picture">
                  <pic:nvPicPr>
                    <pic:cNvPr id="38" name="Picture "/>
                    <pic:cNvPicPr/>
                  </pic:nvPicPr>
                  <pic:blipFill>
                    <a:blip r:embed="id38"/>
                    <a:stretch>
                      <a:fillRect/>
                    </a:stretch>
                  </pic:blipFill>
                  <pic:spPr>
                    <a:xfrm>
                      <a:off x="0" y="0"/>
                      <a:ext cx="3810000" cy="2019300"/>
                    </a:xfrm>
                    <a:prstGeom prst="rect">
                      <a:avLst/>
                    </a:prstGeom>
                  </pic:spPr>
                </pic:pic>
              </a:graphicData>
            </a:graphic>
          </wp:inline>
        </w:drawing>
      </w:r>
    </w:p>
    <w:p>
      <w:pPr>
        <w:jc w:val="both"/>
        <w:outlineLvl w:val="1"/>
      </w:pPr>
      <w:rPr>
        <w:sz w:val="24"/>
        <w:b/>
        <w:color w:val="black"/>
      </w:rPr>
    </w:p>
    <w:p>
      <w:pPr>
        <w:jc w:val="both"/>
        <w:outlineLvl w:val="1"/>
      </w:pPr>
      <w:r>
        <w:rPr>
          <w:rFonts w:hAnsi="Arial"/>
          <w:rFonts w:ascii="Arial"/>
          <w:sz w:val="24"/>
          <w:b/>
          <w:vanish/>
          <w:color w:val="black"/>
        </w:rPr>
        <w:t>&amp;$</w:t>
      </w:r>
      <w:bookmarkStart w:id="61015" w:name="2.3.1.3.6.75.6"/>
      <w:r>
        <w:rPr>
          <w:rFonts w:hAnsi="Arial"/>
          <w:rFonts w:ascii="Arial"/>
          <w:sz w:val="24"/>
          <w:color w:val="navy"/>
        </w:rPr>
        <w:t xml:space="preserve">ARTΝCULO 2.3.1.3.6.75.6. </w:t>
      </w:r>
      <w:r>
        <w:rPr>
          <w:rFonts w:hAnsi="Arial"/>
          <w:rFonts w:ascii="Arial"/>
          <w:sz w:val="24"/>
          <w:i/>
          <w:color w:val="navy"/>
        </w:rPr>
        <w:t>OTORGAMIENTO</w:t>
      </w:r>
      <w:r>
        <w:rPr>
          <w:rFonts w:hAnsi="Arial"/>
          <w:rFonts w:ascii="Arial"/>
          <w:sz w:val="24"/>
          <w:color w:val="navy"/>
        </w:rPr>
        <w:t>.</w:t>
      </w:r>
      <w:bookmarkEnd w:id="6101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La Medalla Militar “Servicios Distinguidos Bicentenario Batalla de Ayacucho” serα por conferida, por una sola vez, previo el cumplimiento de los requisitos establecidos en el artνculo </w:t>
      </w:r>
      <w:r>
        <w:fldChar w:fldCharType="begin"/>
      </w:r>
      <w:r>
        <w:instrText>HYPERLINK "http://www.redjurista.com/document.aspx?ajcode=d1070015&amp;arts=2.3.1.3.6.3"</w:instrText>
      </w:r>
      <w:r>
        <w:fldChar w:fldCharType="separate"/>
      </w:r>
      <w:r>
        <w:rPr>
          <w:rFonts w:hAnsi="Arial"/>
          <w:rFonts w:ascii="Arial"/>
          <w:sz w:val="24"/>
          <w:u w:val="single"/>
          <w:color w:val="black"/>
        </w:rPr>
        <w:t>2.3.1.3.6.3</w:t>
      </w:r>
      <w:r>
        <w:fldChar w:fldCharType="end"/>
      </w:r>
      <w:r>
        <w:rPr>
          <w:rFonts w:hAnsi="Arial"/>
          <w:rFonts w:ascii="Arial"/>
          <w:sz w:val="24"/>
          <w:u w:val="none"/>
          <w:color w:val="black"/>
        </w:rPr>
        <w:t xml:space="preserve"> del Decreto nϊmero 1070 de 2015, a quienes, en consideraciσn del Consejo de la Medalla, se hagan merecedores de esta distinciσn. </w:t>
      </w:r>
    </w:p>
    <w:p>
      <w:pPr>
        <w:jc w:val="both"/>
      </w:pPr>
      <w:rPr>
        <w:color w:val="black"/>
      </w:rPr>
    </w:p>
    <w:p>
      <w:pPr>
        <w:jc w:val="both"/>
      </w:pPr>
      <w:r>
        <w:rPr>
          <w:rFonts w:hAnsi="Arial"/>
          <w:rFonts w:ascii="Arial"/>
          <w:sz w:val="24"/>
          <w:b/>
          <w:vanish/>
          <w:color w:val="black"/>
        </w:rPr>
        <w:t>&amp;$</w:t>
      </w:r>
      <w:bookmarkStart w:id="61016" w:name="2.3.1.3.6.75.7"/>
      <w:r>
        <w:rPr>
          <w:rFonts w:hAnsi="Arial"/>
          <w:rFonts w:ascii="Arial"/>
          <w:sz w:val="24"/>
          <w:color w:val="navy"/>
        </w:rPr>
        <w:t xml:space="preserve">ARTΝCULO 2.3.1.3.6.75.7. </w:t>
      </w:r>
      <w:r>
        <w:rPr>
          <w:rFonts w:hAnsi="Arial"/>
          <w:rFonts w:ascii="Arial"/>
          <w:sz w:val="24"/>
          <w:i/>
          <w:color w:val="navy"/>
        </w:rPr>
        <w:t>IMPOSICIΣN</w:t>
      </w:r>
      <w:r>
        <w:rPr>
          <w:rFonts w:hAnsi="Arial"/>
          <w:rFonts w:ascii="Arial"/>
          <w:sz w:val="24"/>
          <w:color w:val="navy"/>
        </w:rPr>
        <w:t>.</w:t>
      </w:r>
      <w:bookmarkEnd w:id="6101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1334 de 2024. El nuevo texto es el siguiente:&gt; La Medalla Militar “Servicios Distinguidos Bicentenario Batalla de Ayacucho” serα impuesta en ceremonia especial, se conformarαn destacamentos de acuerdo con el reglamento de ceremonial militar y estarα precedida por el oficial de mαs alto rango de la guarniciσn, quien impondrα la condecoraciσn. </w:t>
      </w:r>
    </w:p>
    <w:p>
      <w:pPr>
        <w:jc w:val="both"/>
      </w:pPr>
      <w:rPr>
        <w:color w:val="black"/>
      </w:rPr>
    </w:p>
    <w:p>
      <w:pPr>
        <w:jc w:val="center"/>
      </w:pPr>
      <w:bookmarkStart w:id="61017" w:name="SECCIÓN 2.3.1.3.7"/>
      <w:r>
        <w:rPr>
          <w:rFonts w:hAnsi="Arial"/>
          <w:rFonts w:ascii="Arial"/>
          <w:sz w:val="24"/>
          <w:color w:val="navy"/>
        </w:rPr>
        <w:t xml:space="preserve">SECCIΣN 7. </w:t>
      </w:r>
    </w:p>
    <w:p>
      <w:pPr>
        <w:jc w:val="center"/>
      </w:pPr>
      <w:r>
        <w:rPr>
          <w:rFonts w:hAnsi="Arial"/>
          <w:rFonts w:ascii="Arial"/>
          <w:sz w:val="24"/>
          <w:color w:val="navy"/>
        </w:rPr>
        <w:t xml:space="preserve">ORIGEN, CATEGORΝAS Y CARACTERΝSTICAS ESPECIALES DE LAS CONDECORACIONES POR TIEMPO DE SERVICIO.</w:t>
      </w:r>
      <w:bookmarkEnd w:id="6101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18" w:name="2.3.1.3.7.1"/>
      <w:r>
        <w:rPr>
          <w:rFonts w:hAnsi="Arial"/>
          <w:rFonts w:ascii="Arial"/>
          <w:sz w:val="24"/>
          <w:color w:val="navy"/>
        </w:rPr>
        <w:t xml:space="preserve">ARTΝCULO 2.3.1.3.7.1. </w:t>
      </w:r>
      <w:r>
        <w:rPr>
          <w:rFonts w:hAnsi="Arial"/>
          <w:rFonts w:ascii="Arial"/>
          <w:sz w:val="24"/>
          <w:i/>
          <w:color w:val="navy"/>
        </w:rPr>
        <w:t xml:space="preserve">ORIGEN Y CATEGORΝAS.</w:t>
      </w:r>
      <w:bookmarkEnd w:id="61018"/>
      <w:r>
        <w:rPr>
          <w:rFonts w:hAnsi="Arial"/>
          <w:rFonts w:ascii="Arial"/>
          <w:sz w:val="24"/>
          <w:b/>
          <w:i/>
          <w:color w:val="black"/>
        </w:rPr>
        <w:t xml:space="preserve"> </w:t>
      </w:r>
      <w:r>
        <w:rPr>
          <w:rFonts w:hAnsi="Arial"/>
          <w:rFonts w:ascii="Arial"/>
          <w:sz w:val="24"/>
          <w:color w:val="black"/>
        </w:rPr>
        <w:t xml:space="preserve">La Medalla por Tiempo de Servicio creada mediante Decreto </w:t>
      </w:r>
      <w:r>
        <w:fldChar w:fldCharType="begin"/>
      </w:r>
      <w:r>
        <w:instrText>HYPERLINK "http://www.redjurista.com/document.aspx?ajcode=d1040_29&amp;arts=INICIO"</w:instrText>
      </w:r>
      <w:r>
        <w:fldChar w:fldCharType="separate"/>
      </w:r>
      <w:r>
        <w:rPr>
          <w:rFonts w:hAnsi="Arial"/>
          <w:rFonts w:ascii="Arial"/>
          <w:sz w:val="24"/>
          <w:u w:val="single"/>
          <w:color w:val="black"/>
        </w:rPr>
        <w:t>1040</w:t>
      </w:r>
      <w:r>
        <w:fldChar w:fldCharType="end"/>
      </w:r>
      <w:r>
        <w:rPr>
          <w:rFonts w:hAnsi="Arial"/>
          <w:rFonts w:ascii="Arial"/>
          <w:sz w:val="24"/>
          <w:u w:val="none"/>
          <w:color w:val="black"/>
        </w:rPr>
        <w:t xml:space="preserve"> de 1929 y reglamentada por los Decretos nϊmeros </w:t>
      </w:r>
      <w:r>
        <w:fldChar w:fldCharType="begin"/>
      </w:r>
      <w:r>
        <w:instrText>HYPERLINK "http://www.redjurista.com/document.aspx?ajcode=d1898_49&amp;arts=INICIO"</w:instrText>
      </w:r>
      <w:r>
        <w:fldChar w:fldCharType="separate"/>
      </w:r>
      <w:r>
        <w:rPr>
          <w:rFonts w:hAnsi="Arial"/>
          <w:rFonts w:ascii="Arial"/>
          <w:sz w:val="24"/>
          <w:u w:val="single"/>
          <w:color w:val="black"/>
        </w:rPr>
        <w:t>1898</w:t>
      </w:r>
      <w:r>
        <w:fldChar w:fldCharType="end"/>
      </w:r>
      <w:r>
        <w:rPr>
          <w:rFonts w:hAnsi="Arial"/>
          <w:rFonts w:ascii="Arial"/>
          <w:sz w:val="24"/>
          <w:u w:val="none"/>
          <w:color w:val="black"/>
        </w:rPr>
        <w:t xml:space="preserve"> de 1949, </w:t>
      </w:r>
      <w:r>
        <w:fldChar w:fldCharType="begin"/>
      </w:r>
      <w:r>
        <w:instrText>HYPERLINK "http://www.redjurista.com/document.aspx?ajcode=d0805_52&amp;arts=INICIO"</w:instrText>
      </w:r>
      <w:r>
        <w:fldChar w:fldCharType="separate"/>
      </w:r>
      <w:r>
        <w:rPr>
          <w:rFonts w:hAnsi="Arial"/>
          <w:rFonts w:ascii="Arial"/>
          <w:sz w:val="24"/>
          <w:u w:val="single"/>
          <w:color w:val="black"/>
        </w:rPr>
        <w:t>805</w:t>
      </w:r>
      <w:r>
        <w:fldChar w:fldCharType="end"/>
      </w:r>
      <w:r>
        <w:rPr>
          <w:rFonts w:hAnsi="Arial"/>
          <w:rFonts w:ascii="Arial"/>
          <w:sz w:val="24"/>
          <w:u w:val="none"/>
          <w:color w:val="black"/>
        </w:rPr>
        <w:t xml:space="preserve"> de 1952, </w:t>
      </w:r>
      <w:r>
        <w:fldChar w:fldCharType="begin"/>
      </w:r>
      <w:r>
        <w:instrText>HYPERLINK "http://www.redjurista.com/document.aspx?ajcode=d1925_69&amp;arts=INICIO"</w:instrText>
      </w:r>
      <w:r>
        <w:fldChar w:fldCharType="separate"/>
      </w:r>
      <w:r>
        <w:rPr>
          <w:rFonts w:hAnsi="Arial"/>
          <w:rFonts w:ascii="Arial"/>
          <w:sz w:val="24"/>
          <w:u w:val="single"/>
          <w:color w:val="black"/>
        </w:rPr>
        <w:t>1925</w:t>
      </w:r>
      <w:r>
        <w:fldChar w:fldCharType="end"/>
      </w:r>
      <w:r>
        <w:rPr>
          <w:rFonts w:hAnsi="Arial"/>
          <w:rFonts w:ascii="Arial"/>
          <w:sz w:val="24"/>
          <w:u w:val="none"/>
          <w:color w:val="black"/>
        </w:rPr>
        <w:t xml:space="preserve"> de 1969,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y </w:t>
      </w:r>
      <w:r>
        <w:fldChar w:fldCharType="begin"/>
      </w:r>
      <w:r>
        <w:instrText>HYPERLINK "http://www.redjurista.com/document.aspx?ajcode=d1396_89&amp;arts=INICIO"</w:instrText>
      </w:r>
      <w:r>
        <w:fldChar w:fldCharType="separate"/>
      </w:r>
      <w:r>
        <w:rPr>
          <w:rFonts w:hAnsi="Arial"/>
          <w:rFonts w:ascii="Arial"/>
          <w:sz w:val="24"/>
          <w:u w:val="single"/>
          <w:color w:val="black"/>
        </w:rPr>
        <w:t>1396</w:t>
      </w:r>
      <w:r>
        <w:fldChar w:fldCharType="end"/>
      </w:r>
      <w:r>
        <w:rPr>
          <w:rFonts w:hAnsi="Arial"/>
          <w:rFonts w:ascii="Arial"/>
          <w:sz w:val="24"/>
          <w:u w:val="none"/>
          <w:color w:val="black"/>
        </w:rPr>
        <w:t xml:space="preserve"> de 1989; como reconocimiento al tiempo de servicio continuo o discontinuo como Oficial, Suboficial, Soldado o Infante de Marina Profesional de las Fuerzas Militares. Ostenta las siguientes categorνas:</w:t>
      </w:r>
    </w:p>
    <w:p>
      <w:pPr>
        <w:jc w:val="both"/>
      </w:pPr>
      <w:rPr>
        <w:sz w:val="24"/>
        <w:color w:val="black"/>
      </w:rPr>
    </w:p>
    <w:p>
      <w:pPr>
        <w:jc w:val="both"/>
      </w:pPr>
      <w:r>
        <w:rPr>
          <w:rFonts w:hAnsi="Arial"/>
          <w:rFonts w:ascii="Arial"/>
          <w:sz w:val="24"/>
          <w:color w:val="black"/>
        </w:rPr>
        <w:t xml:space="preserve">1. Medalla de Quince (15) aρos de servicio.</w:t>
      </w:r>
    </w:p>
    <w:p>
      <w:pPr>
        <w:jc w:val="both"/>
      </w:pPr>
      <w:rPr>
        <w:sz w:val="24"/>
        <w:color w:val="black"/>
      </w:rPr>
    </w:p>
    <w:p>
      <w:pPr>
        <w:jc w:val="both"/>
      </w:pPr>
      <w:r>
        <w:rPr>
          <w:rFonts w:hAnsi="Arial"/>
          <w:rFonts w:ascii="Arial"/>
          <w:sz w:val="24"/>
          <w:color w:val="black"/>
        </w:rPr>
        <w:t xml:space="preserve">2. Medalla de Veinte (20) aρos de servicio.</w:t>
      </w:r>
    </w:p>
    <w:p>
      <w:pPr>
        <w:jc w:val="both"/>
      </w:pPr>
      <w:rPr>
        <w:sz w:val="24"/>
        <w:color w:val="black"/>
      </w:rPr>
    </w:p>
    <w:p>
      <w:pPr>
        <w:jc w:val="both"/>
      </w:pPr>
      <w:r>
        <w:rPr>
          <w:rFonts w:hAnsi="Arial"/>
          <w:rFonts w:ascii="Arial"/>
          <w:sz w:val="24"/>
          <w:color w:val="black"/>
        </w:rPr>
        <w:t xml:space="preserve">3. Medalla de Veinticinco (25) aρos de servicio,</w:t>
      </w:r>
    </w:p>
    <w:p>
      <w:pPr>
        <w:jc w:val="both"/>
      </w:pPr>
      <w:rPr>
        <w:sz w:val="24"/>
        <w:color w:val="black"/>
      </w:rPr>
    </w:p>
    <w:p>
      <w:pPr>
        <w:jc w:val="both"/>
      </w:pPr>
      <w:r>
        <w:rPr>
          <w:rFonts w:hAnsi="Arial"/>
          <w:rFonts w:ascii="Arial"/>
          <w:sz w:val="24"/>
          <w:color w:val="black"/>
        </w:rPr>
        <w:t xml:space="preserve">4. Medalla de Treinta (30) aρos de servicio.</w:t>
      </w:r>
    </w:p>
    <w:p>
      <w:pPr>
        <w:jc w:val="both"/>
      </w:pPr>
      <w:rPr>
        <w:sz w:val="24"/>
        <w:color w:val="black"/>
      </w:rPr>
    </w:p>
    <w:p>
      <w:pPr>
        <w:jc w:val="both"/>
      </w:pPr>
      <w:r>
        <w:rPr>
          <w:rFonts w:hAnsi="Arial"/>
          <w:rFonts w:ascii="Arial"/>
          <w:sz w:val="24"/>
          <w:color w:val="black"/>
        </w:rPr>
        <w:t xml:space="preserve">5. Medalla de Treinta y Cinco (35) aρos de servicio.</w:t>
      </w:r>
    </w:p>
    <w:p>
      <w:pPr>
        <w:jc w:val="both"/>
      </w:pPr>
      <w:rPr>
        <w:sz w:val="24"/>
        <w:color w:val="black"/>
      </w:rPr>
    </w:p>
    <w:p>
      <w:pPr>
        <w:jc w:val="both"/>
      </w:pPr>
      <w:r>
        <w:rPr>
          <w:rFonts w:hAnsi="Arial"/>
          <w:rFonts w:ascii="Arial"/>
          <w:sz w:val="24"/>
          <w:color w:val="black"/>
        </w:rPr>
        <w:t xml:space="preserve">6. Medalla de Cuarenta (40) aρos de Servicio.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"http://www.redjurista.com/document.aspx?ajcode=d4444010&amp;arts=190"</w:instrText>
      </w:r>
      <w:r>
        <w:fldChar w:fldCharType="separate"/>
      </w:r>
      <w:r>
        <w:rPr>
          <w:rFonts w:hAnsi="Arial"/>
          <w:rFonts w:ascii="Arial"/>
          <w:sz w:val="24"/>
          <w:i/>
          <w:u w:val="single"/>
          <w:color w:val="black"/>
        </w:rPr>
        <w:t>190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19" w:name="2.3.1.3.7.2"/>
      <w:r>
        <w:rPr>
          <w:rFonts w:hAnsi="Arial"/>
          <w:rFonts w:ascii="Arial"/>
          <w:sz w:val="24"/>
          <w:color w:val="navy"/>
        </w:rPr>
        <w:t xml:space="preserve">ARTΝCULO 2.3.1.3.7.2. </w:t>
      </w:r>
      <w:r>
        <w:rPr>
          <w:rFonts w:hAnsi="Arial"/>
          <w:rFonts w:ascii="Arial"/>
          <w:sz w:val="24"/>
          <w:i/>
          <w:color w:val="navy"/>
        </w:rPr>
        <w:t>OTORGAMIENTO.</w:t>
      </w:r>
      <w:bookmarkEnd w:id="61019"/>
      <w:r>
        <w:rPr>
          <w:rFonts w:hAnsi="Arial"/>
          <w:rFonts w:ascii="Arial"/>
          <w:sz w:val="24"/>
          <w:b/>
          <w:i/>
          <w:color w:val="black"/>
        </w:rPr>
        <w:t xml:space="preserve"> </w:t>
      </w:r>
      <w:r>
        <w:rPr>
          <w:rFonts w:hAnsi="Arial"/>
          <w:rFonts w:ascii="Arial"/>
          <w:sz w:val="24"/>
          <w:color w:val="black"/>
        </w:rPr>
        <w:t xml:space="preserve">Las Medallas por tiempo de servicio se confieren asν:</w:t>
      </w:r>
    </w:p>
    <w:p>
      <w:pPr>
        <w:jc w:val="both"/>
      </w:pPr>
      <w:rPr>
        <w:sz w:val="24"/>
        <w:color w:val="black"/>
      </w:rPr>
    </w:p>
    <w:p>
      <w:pPr>
        <w:jc w:val="both"/>
      </w:pPr>
      <w:r>
        <w:rPr>
          <w:rFonts w:hAnsi="Arial"/>
          <w:rFonts w:ascii="Arial"/>
          <w:sz w:val="24"/>
          <w:color w:val="black"/>
        </w:rPr>
        <w:t xml:space="preserve">a) Para Oficiales Las Medallas de Cuarenta (40) y treinta y Cinco (35) aρos de Servicio, por resoluciσn del Ministerio de Defensa Nacional. La Medalla de Treinta (30) aρos de Servicio, por disposiciσn del Comando General de las Fuerzas Militares. Las Medallas de Veinticinco (25), Veinte (20) y Quince (15) aρos de Servicio, por disposiciσn del Comando de la respectiva fuerza.</w:t>
      </w:r>
    </w:p>
    <w:p>
      <w:pPr>
        <w:jc w:val="both"/>
      </w:pPr>
      <w:rPr>
        <w:sz w:val="24"/>
        <w:color w:val="black"/>
      </w:rPr>
    </w:p>
    <w:p>
      <w:pPr>
        <w:jc w:val="both"/>
      </w:pPr>
      <w:r>
        <w:rPr>
          <w:rFonts w:hAnsi="Arial"/>
          <w:rFonts w:ascii="Arial"/>
          <w:sz w:val="24"/>
          <w:color w:val="black"/>
        </w:rPr>
        <w:t xml:space="preserve">b) Para Suboficiales Las Medallas de Treinta y Cinco (35) y treinta (30) aρos de servicio, por Disposiciσn del Comando General de las Fuerzas Militares, y las Medallas de veinticinco (25), veinte (20) y quince (15) aρos de servicio, por disposiciσn del Comando de la respectiva Fuerza.</w:t>
      </w:r>
    </w:p>
    <w:p>
      <w:pPr>
        <w:jc w:val="both"/>
      </w:pPr>
      <w:rPr>
        <w:sz w:val="24"/>
        <w:color w:val="black"/>
      </w:rPr>
    </w:p>
    <w:p>
      <w:pPr>
        <w:jc w:val="both"/>
      </w:pPr>
      <w:r>
        <w:rPr>
          <w:rFonts w:hAnsi="Arial"/>
          <w:rFonts w:ascii="Arial"/>
          <w:sz w:val="24"/>
          <w:color w:val="black"/>
        </w:rPr>
        <w:t xml:space="preserve">c) Para Soldados e Infantes de Marina Profesionales.</w:t>
      </w:r>
    </w:p>
    <w:p>
      <w:pPr>
        <w:jc w:val="both"/>
      </w:pPr>
      <w:rPr>
        <w:sz w:val="24"/>
        <w:color w:val="black"/>
      </w:rPr>
    </w:p>
    <w:p>
      <w:pPr>
        <w:jc w:val="both"/>
      </w:pPr>
      <w:r>
        <w:rPr>
          <w:rFonts w:hAnsi="Arial"/>
          <w:rFonts w:ascii="Arial"/>
          <w:sz w:val="24"/>
          <w:color w:val="black"/>
        </w:rPr>
        <w:t xml:space="preserve">Las Medallas de Veinte (20) y Quince (15) aρos de Servicio, por disposiciσn del Comando de la respectiva Fuerza.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"http://www.redjurista.com/document.aspx?ajcode=d4444010&amp;arts=191"</w:instrText>
      </w:r>
      <w:r>
        <w:fldChar w:fldCharType="separate"/>
      </w:r>
      <w:r>
        <w:rPr>
          <w:rFonts w:hAnsi="Arial"/>
          <w:rFonts w:ascii="Arial"/>
          <w:sz w:val="24"/>
          <w:i/>
          <w:u w:val="single"/>
          <w:color w:val="black"/>
        </w:rPr>
        <w:t>191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20" w:name="2.3.1.3.7.3"/>
      <w:r>
        <w:rPr>
          <w:rFonts w:hAnsi="Arial"/>
          <w:rFonts w:ascii="Arial"/>
          <w:sz w:val="24"/>
          <w:color w:val="navy"/>
        </w:rPr>
        <w:t xml:space="preserve">ARTΝCULO 2.3.1.3.7.3. </w:t>
      </w:r>
      <w:r>
        <w:rPr>
          <w:rFonts w:hAnsi="Arial"/>
          <w:rFonts w:ascii="Arial"/>
          <w:sz w:val="24"/>
          <w:i/>
          <w:color w:val="navy"/>
        </w:rPr>
        <w:t>CARACTERΝSTICAS.</w:t>
      </w:r>
      <w:bookmarkEnd w:id="61020"/>
      <w:r>
        <w:rPr>
          <w:rFonts w:hAnsi="Arial"/>
          <w:rFonts w:ascii="Arial"/>
          <w:sz w:val="24"/>
          <w:b/>
          <w:i/>
          <w:color w:val="black"/>
        </w:rPr>
        <w:t xml:space="preserve"> </w:t>
      </w:r>
      <w:r>
        <w:rPr>
          <w:rFonts w:hAnsi="Arial"/>
          <w:rFonts w:ascii="Arial"/>
          <w:sz w:val="24"/>
          <w:color w:val="black"/>
        </w:rPr>
        <w:t xml:space="preserve">La joya es una estrella radiada de cincuenta y cinco (55) milνmetros de diαmetro, con ocho (8) puntas rematadas en sendas esferas equidistantes quince (15) milνmetros. Por el anverso en el centro sobre un cνrculo realzado de veinte (20) milνmetros de diαmetro esmaltado en azul ostenta en alto relieve el Escudo Nacional y en la parte inferior en semicνrculo la inscripciσn 15-20-25-30-35-40 aρos de servicio segϊn sea el caso. En el reverso sobre un cνrculo realzado de veinte (20) milνmetros de diαmetro lleva grabada, en la periferia y en la parte superior la leyenda "Fuerzas Militares de Colombia" y en la parte inferior (15-20-25-30-35-40 aρos), segϊn sea el caso; en el centro "Servicio Activo" en forma horizontal una palabra debajo de la otra.</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color w:val="black"/>
        </w:rPr>
        <w:t xml:space="preserve">En las diferentes categorνas, presenta las siguientes caracterνsticas particulares asν:</w:t>
      </w:r>
    </w:p>
    <w:p>
      <w:pPr>
        <w:jc w:val="both"/>
      </w:pPr>
      <w:rPr>
        <w:sz w:val="24"/>
        <w:color w:val="black"/>
      </w:rPr>
    </w:p>
    <w:p>
      <w:pPr>
        <w:jc w:val="both"/>
      </w:pPr>
      <w:r>
        <w:rPr>
          <w:rFonts w:hAnsi="Arial"/>
          <w:rFonts w:ascii="Arial"/>
          <w:sz w:val="24"/>
          <w:color w:val="black"/>
        </w:rPr>
        <w:t xml:space="preserve">a) Para Oficiales:</w:t>
      </w:r>
    </w:p>
    <w:p>
      <w:pPr>
        <w:jc w:val="both"/>
      </w:pPr>
      <w:rPr>
        <w:sz w:val="24"/>
        <w:color w:val="black"/>
      </w:rPr>
    </w:p>
    <w:p>
      <w:pPr>
        <w:jc w:val="both"/>
      </w:pPr>
      <w:r>
        <w:rPr>
          <w:rFonts w:hAnsi="Arial"/>
          <w:rFonts w:ascii="Arial"/>
          <w:sz w:val="24"/>
          <w:color w:val="black"/>
        </w:rPr>
        <w:t xml:space="preserve">1. De quince aρos de servicio:</w:t>
      </w:r>
    </w:p>
    <w:p>
      <w:pPr>
        <w:jc w:val="both"/>
      </w:pPr>
      <w:rPr>
        <w:sz w:val="24"/>
        <w:color w:val="black"/>
      </w:rPr>
    </w:p>
    <w:p>
      <w:pPr>
        <w:jc w:val="both"/>
      </w:pPr>
      <w:r>
        <w:rPr>
          <w:rFonts w:hAnsi="Arial"/>
          <w:rFonts w:ascii="Arial"/>
          <w:sz w:val="24"/>
          <w:color w:val="black"/>
        </w:rPr>
        <w:t xml:space="preserve">La medalla de quince(15) aρos es de bronce, suspendida de una cinta de cuarenta (40) milνmetros de ancho, la que tiene dos (2) franjas de color azul y una (1) franja de color amarillo quemado, alternadas; las franjas azules son de diez (10) milνmetros de ancho y la amarilla de veinte (20) milνmetros.</w:t>
      </w:r>
    </w:p>
    <w:p>
      <w:pPr>
        <w:jc w:val="both"/>
      </w:pPr>
      <w:rPr>
        <w:sz w:val="24"/>
        <w:color w:val="black"/>
      </w:rPr>
    </w:p>
    <w:p>
      <w:pPr>
        <w:jc w:val="both"/>
      </w:pPr>
      <w:r>
        <w:rPr>
          <w:rFonts w:hAnsi="Arial"/>
          <w:rFonts w:ascii="Arial"/>
          <w:sz w:val="24"/>
          <w:color w:val="black"/>
        </w:rPr>
        <w:t xml:space="preserve">2. De veinte aρos de servicio:</w:t>
      </w:r>
    </w:p>
    <w:p>
      <w:pPr>
        <w:jc w:val="both"/>
      </w:pPr>
      <w:rPr>
        <w:sz w:val="24"/>
        <w:color w:val="black"/>
      </w:rPr>
    </w:p>
    <w:p>
      <w:pPr>
        <w:jc w:val="both"/>
      </w:pPr>
      <w:r>
        <w:rPr>
          <w:rFonts w:hAnsi="Arial"/>
          <w:rFonts w:ascii="Arial"/>
          <w:sz w:val="24"/>
          <w:color w:val="black"/>
        </w:rPr>
        <w:t xml:space="preserve">La medalla de veinte (20) aρos es de color plata quemada, suspendida de una cinta de cuarenta (40) milνmetros de ancho y sesenta centνmetro de longitud, la que tiene tres (3) franjas de color azul oscuro y dos (2) franjas de color amarillo quemado, alteradas; las franjas azules son de diez (10) milνmetros de ancho las de los extremos y de dos (2) milνmetros la del centro y las amarillas de nueve (9) milνmetros de ancho. Se lleva suspendida en el cuello.</w:t>
      </w:r>
    </w:p>
    <w:p>
      <w:pPr>
        <w:jc w:val="both"/>
      </w:pPr>
      <w:rPr>
        <w:sz w:val="24"/>
        <w:color w:val="black"/>
      </w:rPr>
    </w:p>
    <w:p>
      <w:pPr>
        <w:jc w:val="both"/>
      </w:pPr>
      <w:r>
        <w:rPr>
          <w:rFonts w:hAnsi="Arial"/>
          <w:rFonts w:ascii="Arial"/>
          <w:sz w:val="24"/>
          <w:color w:val="black"/>
        </w:rPr>
        <w:t xml:space="preserve">3. De veinticinco aρos de servicio:</w:t>
      </w:r>
    </w:p>
    <w:p>
      <w:pPr>
        <w:jc w:val="both"/>
      </w:pPr>
      <w:rPr>
        <w:sz w:val="24"/>
        <w:color w:val="black"/>
      </w:rPr>
    </w:p>
    <w:p>
      <w:pPr>
        <w:jc w:val="both"/>
      </w:pPr>
      <w:r>
        <w:rPr>
          <w:rFonts w:hAnsi="Arial"/>
          <w:rFonts w:ascii="Arial"/>
          <w:sz w:val="24"/>
          <w:color w:val="black"/>
        </w:rPr>
        <w:t xml:space="preserve">La medalla de veinticinco (25) aρos es de color oro brillante, suspendida de una cinta de cuarenta (40) milνmetros de ancho y sesenta centνmetros de longitud, la que tiene cuatro (4) franjas de color azul oscuro y tres (3) franjas de color amarillo quemado, alternadas; las franjas azules son de nueve (9) milνmetros de ancho las de los extremos y de dos (2) milνmetros las del centro y las amarillas de seis (6) milνmetros de ancho. Se lleva suspendida en el cuello.</w:t>
      </w:r>
    </w:p>
    <w:p>
      <w:pPr>
        <w:jc w:val="both"/>
      </w:pPr>
      <w:rPr>
        <w:sz w:val="24"/>
        <w:color w:val="black"/>
      </w:rPr>
    </w:p>
    <w:p>
      <w:pPr>
        <w:jc w:val="both"/>
      </w:pPr>
      <w:r>
        <w:rPr>
          <w:rFonts w:hAnsi="Arial"/>
          <w:rFonts w:ascii="Arial"/>
          <w:sz w:val="24"/>
          <w:color w:val="black"/>
        </w:rPr>
        <w:t xml:space="preserve">4. De treinta aρos de Servicio:</w:t>
      </w:r>
    </w:p>
    <w:p>
      <w:pPr>
        <w:jc w:val="both"/>
      </w:pPr>
      <w:rPr>
        <w:sz w:val="24"/>
        <w:color w:val="black"/>
      </w:rPr>
    </w:p>
    <w:p>
      <w:pPr>
        <w:jc w:val="both"/>
      </w:pPr>
      <w:r>
        <w:rPr>
          <w:rFonts w:hAnsi="Arial"/>
          <w:rFonts w:ascii="Arial"/>
          <w:sz w:val="24"/>
          <w:color w:val="black"/>
        </w:rPr>
        <w:t xml:space="preserve">La medalla es de color plata quemada, va sobrepuesta en una base cucarda de cincuenta y cinco (55) milνmetros de diαmetro, con rayos bifurcados en acabado color oro brillante; lleva en su reverso en semicνrculo las inscripciones "Fuerzas Militares de Colombia", en la parte superior, "treinta aρos de servicio", en la parte inferior, y en el centro "Servicio Activo", una palabra debajo de la otra.</w:t>
      </w:r>
    </w:p>
    <w:p>
      <w:pPr>
        <w:jc w:val="both"/>
      </w:pPr>
      <w:rPr>
        <w:sz w:val="24"/>
        <w:color w:val="black"/>
      </w:rPr>
    </w:p>
    <w:p>
      <w:pPr>
        <w:jc w:val="both"/>
      </w:pPr>
      <w:r>
        <w:rPr>
          <w:rFonts w:hAnsi="Arial"/>
          <w:rFonts w:ascii="Arial"/>
          <w:sz w:val="24"/>
          <w:color w:val="black"/>
        </w:rPr>
        <w:t xml:space="preserve">5. De treinta y cinco aρos de servicio:</w:t>
      </w:r>
    </w:p>
    <w:p>
      <w:pPr>
        <w:jc w:val="both"/>
      </w:pPr>
      <w:rPr>
        <w:sz w:val="24"/>
        <w:color w:val="black"/>
      </w:rPr>
    </w:p>
    <w:p>
      <w:pPr>
        <w:jc w:val="both"/>
      </w:pPr>
      <w:r>
        <w:rPr>
          <w:rFonts w:hAnsi="Arial"/>
          <w:rFonts w:ascii="Arial"/>
          <w:sz w:val="24"/>
          <w:color w:val="black"/>
        </w:rPr>
        <w:t xml:space="preserve">Consta de una medalla de color oro quemado, sobrepuesta en una base cucarda de cincuenta y cinco (55) milνmetros de diαmetro, con rayos bifurcados en acabado color plata brillante, la cual lleva en su reverso en semicνrculo las inscripciones "Fuerzas Militares de Colombia", en la parte superior, "treinta aρos de servicio", en la parte inferior, y en el centro "Servicio Activo", una palabra debajo de la otra. Una banda de cien (100) milνmetros de ancho, la cual tiene seis (6) franjas de color azul oscuro y cinco (5) de color amarillo quemado, alternadas; las dos (2) franjas azules de los extremos son de veintidσs punto cinco (22.5) milνmetros, las cuatro (4) azules del centro de cinco (5) milνmetros y las cinco (5) amarillo quemado son de siete (7) milνmetros. La banda lleva un lazo especial en el extremo, del cual pende una joya similar a la que va sobrepuesta en la base cucarda con la inscripciσn "treinta y cinco aρos de servicio" en su reverso. Esta banda se lleva terciada del hombro derecho al costado izquierdo.</w:t>
      </w:r>
    </w:p>
    <w:p>
      <w:pPr>
        <w:jc w:val="both"/>
      </w:pPr>
      <w:rPr>
        <w:sz w:val="24"/>
        <w:color w:val="black"/>
      </w:rPr>
    </w:p>
    <w:p>
      <w:pPr>
        <w:jc w:val="both"/>
      </w:pPr>
      <w:r>
        <w:rPr>
          <w:rFonts w:hAnsi="Arial"/>
          <w:rFonts w:ascii="Arial"/>
          <w:sz w:val="24"/>
          <w:color w:val="black"/>
        </w:rPr>
        <w:t xml:space="preserve">6. De cuarenta aρos de servicio:</w:t>
      </w:r>
    </w:p>
    <w:p>
      <w:pPr>
        <w:jc w:val="both"/>
      </w:pPr>
      <w:rPr>
        <w:sz w:val="24"/>
        <w:color w:val="black"/>
      </w:rPr>
    </w:p>
    <w:p>
      <w:pPr>
        <w:jc w:val="both"/>
      </w:pPr>
      <w:r>
        <w:rPr>
          <w:rFonts w:hAnsi="Arial"/>
          <w:rFonts w:ascii="Arial"/>
          <w:sz w:val="24"/>
          <w:color w:val="black"/>
        </w:rPr>
        <w:t xml:space="preserve">Consta de una medalla de color oro quemado, sobrepuesta en una base cucarda de cincuenta y cinco (55) milνmetros de diαmetro, con rayos bifurcados en acabado color oro brillante, la cual lleva en su reverso en semicνrculo las inscripciones "Fuerzas Militares de Colombia", en la parte superior, "cuarenta aρos de servicio", en la parte inferior, y en el centro "Servicio Activo", una palabra debajo de la otra. Una banda de cien (100) milνmetros de ancho, la cual tiene siete (7) franjas de color azul oscuro y seis (6) de color amarillo quemado, alternadas; las dos (2) franjas azules de los extremos son de diecisιis punto cinco (16.5) milνmetros, las cinco (5) azules del centro de cinco (5) milνmetros y las seis (6) amarillo quemado son de siete (7) milνmetros. La banda lleva un lazo especial en el extremo, del cual pende una joya similar a la que va sobrepuesta en la base cucarda con la inscripciσn "cuarenta aρos de servicio" en su reverso. Esta banda se lleva terciada del hombro derecho al costado izquierdo.</w:t>
      </w:r>
    </w:p>
    <w:p>
      <w:pPr>
        <w:jc w:val="both"/>
      </w:pPr>
      <w:rPr>
        <w:sz w:val="24"/>
        <w:color w:val="black"/>
      </w:rPr>
    </w:p>
    <w:p>
      <w:pPr>
        <w:jc w:val="both"/>
      </w:pPr>
      <w:r>
        <w:rPr>
          <w:rFonts w:hAnsi="Arial"/>
          <w:rFonts w:ascii="Arial"/>
          <w:sz w:val="24"/>
          <w:color w:val="black"/>
        </w:rPr>
        <w:t xml:space="preserve">b) Para Suboficiales y Soldados o Infantes de Marina Profesionales</w:t>
      </w:r>
    </w:p>
    <w:p>
      <w:pPr>
        <w:jc w:val="both"/>
      </w:pPr>
      <w:rPr>
        <w:sz w:val="24"/>
        <w:color w:val="black"/>
      </w:rPr>
    </w:p>
    <w:p>
      <w:pPr>
        <w:jc w:val="both"/>
      </w:pPr>
      <w:r>
        <w:rPr>
          <w:rFonts w:hAnsi="Arial"/>
          <w:rFonts w:ascii="Arial"/>
          <w:sz w:val="24"/>
          <w:color w:val="black"/>
        </w:rPr>
        <w:t xml:space="preserve">1. De quince aρos de servicio:</w:t>
      </w:r>
    </w:p>
    <w:p>
      <w:pPr>
        <w:jc w:val="both"/>
      </w:pPr>
      <w:rPr>
        <w:sz w:val="24"/>
        <w:color w:val="black"/>
      </w:rPr>
    </w:p>
    <w:p>
      <w:pPr>
        <w:jc w:val="both"/>
      </w:pPr>
      <w:r>
        <w:rPr>
          <w:rFonts w:hAnsi="Arial"/>
          <w:rFonts w:ascii="Arial"/>
          <w:sz w:val="24"/>
          <w:color w:val="black"/>
        </w:rPr>
        <w:t xml:space="preserve">La misma otorgada al personal de oficiales.</w:t>
      </w:r>
    </w:p>
    <w:p>
      <w:pPr>
        <w:jc w:val="both"/>
      </w:pPr>
      <w:rPr>
        <w:sz w:val="24"/>
        <w:color w:val="black"/>
      </w:rPr>
    </w:p>
    <w:p>
      <w:pPr>
        <w:jc w:val="both"/>
      </w:pPr>
      <w:r>
        <w:rPr>
          <w:rFonts w:hAnsi="Arial"/>
          <w:rFonts w:ascii="Arial"/>
          <w:sz w:val="24"/>
          <w:color w:val="black"/>
        </w:rPr>
        <w:t xml:space="preserve">2. De veinte aρos de servicio:</w:t>
      </w:r>
    </w:p>
    <w:p>
      <w:pPr>
        <w:jc w:val="both"/>
      </w:pPr>
      <w:rPr>
        <w:sz w:val="24"/>
        <w:color w:val="black"/>
      </w:rPr>
    </w:p>
    <w:p>
      <w:pPr>
        <w:jc w:val="both"/>
      </w:pPr>
      <w:r>
        <w:rPr>
          <w:rFonts w:hAnsi="Arial"/>
          <w:rFonts w:ascii="Arial"/>
          <w:sz w:val="24"/>
          <w:color w:val="black"/>
        </w:rPr>
        <w:t xml:space="preserve">La medalla de veinte (20) aρos es de color plata quemada, suspendida de una cinta de cuarenta (40) milνmetros de ancho, la que tiene tres (3) franjas de color azul oscuro y dos (2) franjas de color amarillo quemado, alternadas; las franjas azules son de diez (10) milνmetros de ancho las de los extremos y de dos (2) milνmetros la del centro, y las amarillas de nueve (9) milνmetros.</w:t>
      </w:r>
    </w:p>
    <w:p>
      <w:pPr>
        <w:jc w:val="both"/>
      </w:pPr>
      <w:rPr>
        <w:sz w:val="24"/>
        <w:color w:val="black"/>
      </w:rPr>
    </w:p>
    <w:p>
      <w:pPr>
        <w:jc w:val="both"/>
      </w:pPr>
      <w:r>
        <w:rPr>
          <w:rFonts w:hAnsi="Arial"/>
          <w:rFonts w:ascii="Arial"/>
          <w:sz w:val="24"/>
          <w:color w:val="black"/>
        </w:rPr>
        <w:t xml:space="preserve">3. De veinticinco aρos de servicio:</w:t>
      </w:r>
    </w:p>
    <w:p>
      <w:pPr>
        <w:jc w:val="both"/>
      </w:pPr>
      <w:rPr>
        <w:sz w:val="24"/>
        <w:color w:val="black"/>
      </w:rPr>
    </w:p>
    <w:p>
      <w:pPr>
        <w:jc w:val="both"/>
      </w:pPr>
      <w:r>
        <w:rPr>
          <w:rFonts w:hAnsi="Arial"/>
          <w:rFonts w:ascii="Arial"/>
          <w:sz w:val="24"/>
          <w:color w:val="black"/>
        </w:rPr>
        <w:t xml:space="preserve">Es de color plata brillante, suspendida de una cinta de cuarenta (40) milνmetros de ancho, la que tiene cuatro (4) franjas de color azul oscuro y tres (3) franjas de color amarillo quemado, alternadas; las franjas azules de los extremos de diez (10) milνmetros de ancho, dos y medio (2,5) milνmetros las del centro y las amarillas de cinco (5) milνmetros.</w:t>
      </w:r>
    </w:p>
    <w:p>
      <w:pPr>
        <w:jc w:val="both"/>
      </w:pPr>
      <w:rPr>
        <w:sz w:val="24"/>
        <w:color w:val="black"/>
      </w:rPr>
    </w:p>
    <w:p>
      <w:pPr>
        <w:jc w:val="both"/>
      </w:pPr>
      <w:r>
        <w:rPr>
          <w:rFonts w:hAnsi="Arial"/>
          <w:rFonts w:ascii="Arial"/>
          <w:sz w:val="24"/>
          <w:color w:val="black"/>
        </w:rPr>
        <w:t xml:space="preserve">4. De treinta aρos de servicio:</w:t>
      </w:r>
    </w:p>
    <w:p>
      <w:pPr>
        <w:jc w:val="both"/>
      </w:pPr>
      <w:rPr>
        <w:sz w:val="24"/>
        <w:color w:val="black"/>
      </w:rPr>
    </w:p>
    <w:p>
      <w:pPr>
        <w:jc w:val="both"/>
      </w:pPr>
      <w:r>
        <w:rPr>
          <w:rFonts w:hAnsi="Arial"/>
          <w:rFonts w:ascii="Arial"/>
          <w:sz w:val="24"/>
          <w:color w:val="black"/>
        </w:rPr>
        <w:t xml:space="preserve">La medalla es color oro brillante, suspendida de una cinta de cuarenta (40) milνmetros de ancho, la que tiene cinco (5) franjas de color azul oscuro y cuatro (4) franjas de color amarillo quemado, alternadas; las franjas azules de los extremos son de diez (10) milνmetros, las del centro de dos (2) milνmetros y las amarillas de tres y medio (3.5) milνmetros.</w:t>
      </w:r>
    </w:p>
    <w:p>
      <w:pPr>
        <w:jc w:val="both"/>
      </w:pPr>
      <w:rPr>
        <w:sz w:val="24"/>
        <w:color w:val="black"/>
      </w:rPr>
    </w:p>
    <w:p>
      <w:pPr>
        <w:jc w:val="both"/>
      </w:pPr>
      <w:r>
        <w:rPr>
          <w:rFonts w:hAnsi="Arial"/>
          <w:rFonts w:ascii="Arial"/>
          <w:sz w:val="24"/>
          <w:color w:val="black"/>
        </w:rPr>
        <w:t xml:space="preserve">5. De treinta y cinco aρos de servicio:</w:t>
      </w:r>
    </w:p>
    <w:p>
      <w:pPr>
        <w:jc w:val="both"/>
      </w:pPr>
      <w:rPr>
        <w:sz w:val="24"/>
        <w:color w:val="black"/>
      </w:rPr>
    </w:p>
    <w:p>
      <w:pPr>
        <w:jc w:val="both"/>
      </w:pPr>
      <w:r>
        <w:rPr>
          <w:rFonts w:hAnsi="Arial"/>
          <w:rFonts w:ascii="Arial"/>
          <w:sz w:val="24"/>
          <w:color w:val="black"/>
        </w:rPr>
        <w:t xml:space="preserve">La medalla es de color oro brillante, suspendida de una cinta de cuarenta (40) milνmetros de ancho y sesenta (60) centνmetros de longitud, la que tiene cinco (5) franjas de color azul oscuro y cuatro (4) franjas de color amarillo quemado, alternadas; las franjas azules de los extremos son de diez (10) milνmetros, las del centro de dos (2) milνmetros y las amarillas de tres y medio (3.5) milνmetros. Se lleva suspendida al cuello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"http://www.redjurista.com/document.aspx?ajcode=d4444010&amp;arts=192"</w:instrText>
      </w:r>
      <w:r>
        <w:fldChar w:fldCharType="separate"/>
      </w:r>
      <w:r>
        <w:rPr>
          <w:rFonts w:hAnsi="Arial"/>
          <w:rFonts w:ascii="Arial"/>
          <w:sz w:val="24"/>
          <w:i/>
          <w:u w:val="single"/>
          <w:color w:val="black"/>
        </w:rPr>
        <w:t>192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21" w:name="2.3.1.3.7.4"/>
      <w:r>
        <w:rPr>
          <w:rFonts w:hAnsi="Arial"/>
          <w:rFonts w:ascii="Arial"/>
          <w:sz w:val="24"/>
          <w:color w:val="navy"/>
        </w:rPr>
        <w:t xml:space="preserve">ARTΝCULO 2.3.1.3.7.4. </w:t>
      </w:r>
      <w:r>
        <w:rPr>
          <w:rFonts w:hAnsi="Arial"/>
          <w:rFonts w:ascii="Arial"/>
          <w:sz w:val="24"/>
          <w:i/>
          <w:color w:val="navy"/>
        </w:rPr>
        <w:t>DIPLOMA.</w:t>
      </w:r>
      <w:bookmarkEnd w:id="61021"/>
      <w:r>
        <w:rPr>
          <w:rFonts w:hAnsi="Arial"/>
          <w:rFonts w:ascii="Arial"/>
          <w:sz w:val="24"/>
          <w:b/>
          <w:i/>
          <w:color w:val="black"/>
        </w:rPr>
        <w:t xml:space="preserve"> </w:t>
      </w:r>
      <w:r>
        <w:rPr>
          <w:rFonts w:hAnsi="Arial"/>
          <w:rFonts w:ascii="Arial"/>
          <w:sz w:val="24"/>
          <w:color w:val="black"/>
        </w:rPr>
        <w:t xml:space="preserve">Debe ser elaborado en papel cartulina o pergamino blanco, de treinta y cinco (35) por veinticinco (25) centνmetros de lado, con el Escudo Nacional a colores, en la parte superior y con la siguiente leyenda:</w:t>
      </w:r>
    </w:p>
    <w:p>
      <w:pPr>
        <w:jc w:val="center"/>
      </w:pPr>
      <w:r>
        <w:drawing>
          <wp:inline distT="0" distB="0" distL="0" distR="0">
            <wp:extent cx="3596640" cy="2171700"/>
            <wp:docPr id="40" name=""/>
            <a:graphic xmlns:a="http://schemas.openxmlformats.org/drawingml/2006/main">
              <a:graphicData uri="http://schemas.openxmlformats.org/drawingml/2006/picture">
                <pic:pic xmlns:pic="http://schemas.openxmlformats.org/drawingml/2006/picture">
                  <pic:nvPicPr>
                    <pic:cNvPr id="39" name="Picture "/>
                    <pic:cNvPicPr/>
                  </pic:nvPicPr>
                  <pic:blipFill>
                    <a:blip r:embed="id39"/>
                    <a:stretch>
                      <a:fillRect/>
                    </a:stretch>
                  </pic:blipFill>
                  <pic:spPr>
                    <a:xfrm>
                      <a:off x="0" y="0"/>
                      <a:ext cx="3596640" cy="217170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"http://www.redjurista.com/document.aspx?ajcode=d4444010&amp;arts=192"</w:instrText>
      </w:r>
      <w:r>
        <w:fldChar w:fldCharType="separate"/>
      </w:r>
      <w:r>
        <w:rPr>
          <w:rFonts w:hAnsi="Arial"/>
          <w:rFonts w:ascii="Arial"/>
          <w:sz w:val="24"/>
          <w:i/>
          <w:u w:val="single"/>
          <w:color w:val="black"/>
        </w:rPr>
        <w:t>192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22" w:name="SECCIÓN 2.3.1.3.8"/>
      <w:r>
        <w:rPr>
          <w:rFonts w:hAnsi="Arial"/>
          <w:rFonts w:ascii="Arial"/>
          <w:sz w:val="24"/>
          <w:color w:val="navy"/>
        </w:rPr>
        <w:t xml:space="preserve">SECCIΣN 8. </w:t>
      </w:r>
    </w:p>
    <w:p>
      <w:pPr>
        <w:jc w:val="center"/>
      </w:pPr>
      <w:r>
        <w:rPr>
          <w:rFonts w:hAnsi="Arial"/>
          <w:rFonts w:ascii="Arial"/>
          <w:sz w:val="24"/>
          <w:color w:val="navy"/>
        </w:rPr>
        <w:t xml:space="preserve">ORIGEN, CATEGORΝAS Y CARACTERΝSTICAS ESPECIALES DE LAS MEDALLAS POR MΙRITO ACADΙMICO.</w:t>
      </w:r>
      <w:bookmarkEnd w:id="6102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23" w:name="2.3.1.3.8.1"/>
      <w:r>
        <w:rPr>
          <w:rFonts w:hAnsi="Arial"/>
          <w:rFonts w:ascii="Arial"/>
          <w:sz w:val="24"/>
          <w:color w:val="navy"/>
        </w:rPr>
        <w:t xml:space="preserve">ARTΝCULO 2.3.1.3.8.1. </w:t>
      </w:r>
      <w:r>
        <w:rPr>
          <w:rFonts w:hAnsi="Arial"/>
          <w:rFonts w:ascii="Arial"/>
          <w:sz w:val="24"/>
          <w:i/>
          <w:color w:val="navy"/>
        </w:rPr>
        <w:t xml:space="preserve">MEDALLAS POR MΙRITO ACADΙMICO.</w:t>
      </w:r>
      <w:bookmarkEnd w:id="61023"/>
      <w:r>
        <w:rPr>
          <w:rFonts w:hAnsi="Arial"/>
          <w:rFonts w:ascii="Arial"/>
          <w:sz w:val="24"/>
          <w:b/>
          <w:i/>
          <w:color w:val="black"/>
        </w:rPr>
        <w:t xml:space="preserve"> </w:t>
      </w:r>
      <w:r>
        <w:rPr>
          <w:rFonts w:hAnsi="Arial"/>
          <w:rFonts w:ascii="Arial"/>
          <w:sz w:val="24"/>
          <w:color w:val="black"/>
        </w:rPr>
        <w:t xml:space="preserve">Son medallas militares por mιrito acadιmico, las siguientes:</w:t>
      </w:r>
    </w:p>
    <w:p>
      <w:pPr>
        <w:jc w:val="both"/>
      </w:pPr>
      <w:rPr>
        <w:sz w:val="24"/>
        <w:color w:val="black"/>
      </w:rPr>
    </w:p>
    <w:p>
      <w:pPr>
        <w:jc w:val="both"/>
      </w:pPr>
      <w:r>
        <w:rPr>
          <w:rFonts w:hAnsi="Arial"/>
          <w:rFonts w:ascii="Arial"/>
          <w:sz w:val="24"/>
          <w:color w:val="black"/>
        </w:rPr>
        <w:t xml:space="preserve">Medalla Militar "Francisco Josι de Caldas"</w:t>
      </w:r>
    </w:p>
    <w:p>
      <w:pPr>
        <w:jc w:val="both"/>
      </w:pPr>
      <w:rPr>
        <w:sz w:val="24"/>
        <w:color w:val="black"/>
      </w:rPr>
    </w:p>
    <w:p>
      <w:pPr>
        <w:jc w:val="both"/>
      </w:pPr>
      <w:r>
        <w:rPr>
          <w:rFonts w:hAnsi="Arial"/>
          <w:rFonts w:ascii="Arial"/>
          <w:sz w:val="24"/>
          <w:color w:val="black"/>
        </w:rPr>
        <w:t xml:space="preserve">Medalla "Cadete Josι Marνa Rosillo"</w:t>
      </w:r>
    </w:p>
    <w:p>
      <w:pPr>
        <w:jc w:val="both"/>
      </w:pPr>
      <w:rPr>
        <w:sz w:val="24"/>
        <w:color w:val="black"/>
      </w:rPr>
    </w:p>
    <w:p>
      <w:pPr>
        <w:jc w:val="both"/>
      </w:pPr>
      <w:r>
        <w:rPr>
          <w:rFonts w:hAnsi="Arial"/>
          <w:rFonts w:ascii="Arial"/>
          <w:sz w:val="24"/>
          <w:color w:val="black"/>
        </w:rPr>
        <w:t xml:space="preserve">Medalla "Alumno Distinguido"</w:t>
      </w:r>
    </w:p>
    <w:p>
      <w:pPr>
        <w:jc w:val="both"/>
      </w:pPr>
      <w:rPr>
        <w:sz w:val="24"/>
        <w:color w:val="black"/>
      </w:rPr>
    </w:p>
    <w:p>
      <w:pPr>
        <w:jc w:val="both"/>
      </w:pPr>
      <w:r>
        <w:rPr>
          <w:rFonts w:hAnsi="Arial"/>
          <w:rFonts w:ascii="Arial"/>
          <w:sz w:val="24"/>
          <w:color w:val="black"/>
        </w:rPr>
        <w:t xml:space="preserve">Medalla Alumno Distinguido de la "Escuela Naval de Suboficiales"</w:t>
      </w:r>
    </w:p>
    <w:p>
      <w:pPr>
        <w:jc w:val="both"/>
      </w:pPr>
      <w:rPr>
        <w:sz w:val="24"/>
        <w:color w:val="black"/>
      </w:rPr>
    </w:p>
    <w:p>
      <w:pPr>
        <w:jc w:val="both"/>
      </w:pPr>
      <w:r>
        <w:rPr>
          <w:rFonts w:hAnsi="Arial"/>
          <w:rFonts w:ascii="Arial"/>
          <w:sz w:val="24"/>
          <w:color w:val="black"/>
        </w:rPr>
        <w:t xml:space="preserve">Medalla "Alumno Distinguido de la Escuela de Formaciσn de Infanterνa de Marina"</w:t>
      </w:r>
    </w:p>
    <w:p>
      <w:pPr>
        <w:jc w:val="both"/>
      </w:pPr>
      <w:rPr>
        <w:sz w:val="24"/>
        <w:color w:val="black"/>
      </w:rPr>
    </w:p>
    <w:p>
      <w:pPr>
        <w:jc w:val="both"/>
      </w:pPr>
      <w:r>
        <w:rPr>
          <w:rFonts w:hAnsi="Arial"/>
          <w:rFonts w:ascii="Arial"/>
          <w:sz w:val="24"/>
          <w:color w:val="black"/>
        </w:rPr>
        <w:t xml:space="preserve">Medalla a la Virtud "Capitαn Josι Edmundo Sandoval"</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024" w:name="SUBSECCIÓN 2.3.1.3.8.1"/>
      <w:r>
        <w:rPr>
          <w:rFonts w:hAnsi="Arial"/>
          <w:rFonts w:ascii="Arial"/>
          <w:sz w:val="24"/>
          <w:color w:val="navy"/>
        </w:rPr>
        <w:t xml:space="preserve">SUBSECCIΣN 1. </w:t>
      </w:r>
    </w:p>
    <w:p>
      <w:pPr>
        <w:jc w:val="center"/>
      </w:pPr>
      <w:r>
        <w:rPr>
          <w:rFonts w:hAnsi="Arial"/>
          <w:rFonts w:ascii="Arial"/>
          <w:sz w:val="24"/>
          <w:color w:val="navy"/>
        </w:rPr>
        <w:t xml:space="preserve">MEDALLA MILITAR "FRANCISCO JOSΙ DE CALDAS".</w:t>
      </w:r>
      <w:bookmarkEnd w:id="6102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25" w:name="2.3.1.3.8.1.1"/>
      <w:r>
        <w:rPr>
          <w:rFonts w:hAnsi="Arial"/>
          <w:rFonts w:ascii="Arial"/>
          <w:sz w:val="24"/>
          <w:color w:val="navy"/>
        </w:rPr>
        <w:t xml:space="preserve">ARTΝCULO 2.3.1.3.8.1.1. </w:t>
      </w:r>
      <w:r>
        <w:rPr>
          <w:rFonts w:hAnsi="Arial"/>
          <w:rFonts w:ascii="Arial"/>
          <w:sz w:val="24"/>
          <w:i/>
          <w:color w:val="navy"/>
        </w:rPr>
        <w:t>ORIGEN.</w:t>
      </w:r>
      <w:bookmarkEnd w:id="61025"/>
      <w:r>
        <w:rPr>
          <w:rFonts w:hAnsi="Arial"/>
          <w:rFonts w:ascii="Arial"/>
          <w:sz w:val="24"/>
          <w:b/>
          <w:i/>
          <w:color w:val="black"/>
        </w:rPr>
        <w:t xml:space="preserve"> </w:t>
      </w:r>
      <w:r>
        <w:rPr>
          <w:rFonts w:hAnsi="Arial"/>
          <w:rFonts w:ascii="Arial"/>
          <w:sz w:val="24"/>
          <w:color w:val="black"/>
        </w:rPr>
        <w:t xml:space="preserve">Creada mediante Decreto nϊmero </w:t>
      </w:r>
      <w:r>
        <w:fldChar w:fldCharType="begin"/>
      </w:r>
      <w:r>
        <w:instrText>HYPERLINK "http://www.redjurista.com/document.aspx?ajcode=d3404_50&amp;arts=INICIO"</w:instrText>
      </w:r>
      <w:r>
        <w:fldChar w:fldCharType="separate"/>
      </w:r>
      <w:r>
        <w:rPr>
          <w:rFonts w:hAnsi="Arial"/>
          <w:rFonts w:ascii="Arial"/>
          <w:sz w:val="24"/>
          <w:u w:val="single"/>
          <w:color w:val="black"/>
        </w:rPr>
        <w:t>3404</w:t>
      </w:r>
      <w:r>
        <w:fldChar w:fldCharType="end"/>
      </w:r>
      <w:r>
        <w:rPr>
          <w:rFonts w:hAnsi="Arial"/>
          <w:rFonts w:ascii="Arial"/>
          <w:sz w:val="24"/>
          <w:u w:val="none"/>
          <w:color w:val="black"/>
        </w:rPr>
        <w:t xml:space="preserve"> de 1950 y modificada por los Decretos </w:t>
      </w:r>
      <w:r>
        <w:fldChar w:fldCharType="begin"/>
      </w:r>
      <w:r>
        <w:instrText>HYPERLINK "http://www.redjurista.com/document.aspx?ajcode=d0150_52&amp;arts=INICIO"</w:instrText>
      </w:r>
      <w:r>
        <w:fldChar w:fldCharType="separate"/>
      </w:r>
      <w:r>
        <w:rPr>
          <w:rFonts w:hAnsi="Arial"/>
          <w:rFonts w:ascii="Arial"/>
          <w:sz w:val="24"/>
          <w:u w:val="single"/>
          <w:color w:val="black"/>
        </w:rPr>
        <w:t>150</w:t>
      </w:r>
      <w:r>
        <w:fldChar w:fldCharType="end"/>
      </w:r>
      <w:r>
        <w:rPr>
          <w:rFonts w:hAnsi="Arial"/>
          <w:rFonts w:ascii="Arial"/>
          <w:sz w:val="24"/>
          <w:u w:val="none"/>
          <w:color w:val="black"/>
        </w:rPr>
        <w:t xml:space="preserve"> y </w:t>
      </w:r>
      <w:r>
        <w:fldChar w:fldCharType="begin"/>
      </w:r>
      <w:r>
        <w:instrText>HYPERLINK "http://www.redjurista.com/document.aspx?ajcode=d0804_52&amp;arts=INICIO"</w:instrText>
      </w:r>
      <w:r>
        <w:fldChar w:fldCharType="separate"/>
      </w:r>
      <w:r>
        <w:rPr>
          <w:rFonts w:hAnsi="Arial"/>
          <w:rFonts w:ascii="Arial"/>
          <w:sz w:val="24"/>
          <w:u w:val="single"/>
          <w:color w:val="black"/>
        </w:rPr>
        <w:t>804</w:t>
      </w:r>
      <w:r>
        <w:fldChar w:fldCharType="end"/>
      </w:r>
      <w:r>
        <w:rPr>
          <w:rFonts w:hAnsi="Arial"/>
          <w:rFonts w:ascii="Arial"/>
          <w:sz w:val="24"/>
          <w:u w:val="none"/>
          <w:color w:val="black"/>
        </w:rPr>
        <w:t xml:space="preserve"> de 1952, </w:t>
      </w:r>
      <w:r>
        <w:fldChar w:fldCharType="begin"/>
      </w:r>
      <w:r>
        <w:instrText>HYPERLINK "http://www.redjurista.com/document.aspx?ajcode=d2862_56&amp;arts=INICIO"</w:instrText>
      </w:r>
      <w:r>
        <w:fldChar w:fldCharType="separate"/>
      </w:r>
      <w:r>
        <w:rPr>
          <w:rFonts w:hAnsi="Arial"/>
          <w:rFonts w:ascii="Arial"/>
          <w:sz w:val="24"/>
          <w:u w:val="single"/>
          <w:color w:val="black"/>
        </w:rPr>
        <w:t>2862</w:t>
      </w:r>
      <w:r>
        <w:fldChar w:fldCharType="end"/>
      </w:r>
      <w:r>
        <w:rPr>
          <w:rFonts w:hAnsi="Arial"/>
          <w:rFonts w:ascii="Arial"/>
          <w:sz w:val="24"/>
          <w:u w:val="none"/>
          <w:color w:val="black"/>
        </w:rPr>
        <w:t xml:space="preserve"> de 1956 y </w:t>
      </w:r>
      <w:r>
        <w:fldChar w:fldCharType="begin"/>
      </w:r>
      <w:r>
        <w:instrText>HYPERLINK "http://www.redjurista.com/document.aspx?ajcode=d0581_75&amp;arts=INICIO"</w:instrText>
      </w:r>
      <w:r>
        <w:fldChar w:fldCharType="separate"/>
      </w:r>
      <w:r>
        <w:rPr>
          <w:rFonts w:hAnsi="Arial"/>
          <w:rFonts w:ascii="Arial"/>
          <w:sz w:val="24"/>
          <w:u w:val="single"/>
          <w:color w:val="black"/>
        </w:rPr>
        <w:t>581</w:t>
      </w:r>
      <w:r>
        <w:fldChar w:fldCharType="end"/>
      </w:r>
      <w:r>
        <w:rPr>
          <w:rFonts w:hAnsi="Arial"/>
          <w:rFonts w:ascii="Arial"/>
          <w:sz w:val="24"/>
          <w:u w:val="none"/>
          <w:color w:val="black"/>
        </w:rPr>
        <w:t xml:space="preserve"> de 1975; y contemplada en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su propσsito es el de estimular y premiar a los miembros de las Fuerzas Militares y servidores pϊblicos del Sector Defensa que por su consagraciσn al estudio hayan sobresalido, ocupando el primer puesto en las escuelas de formaciσn, en cursos de capacitaciσn y a quienes obtengan el tνtulo de profesor militar de primera categorνa.</w:t>
      </w:r>
    </w:p>
    <w:p>
      <w:pPr>
        <w:jc w:val="both"/>
      </w:pPr>
      <w:rPr>
        <w:sz w:val="24"/>
        <w:color w:val="black"/>
      </w:rPr>
    </w:p>
    <w:p>
      <w:pPr>
        <w:jc w:val="both"/>
      </w:pPr>
      <w:r>
        <w:rPr>
          <w:rFonts w:hAnsi="Arial"/>
          <w:rFonts w:ascii="Arial"/>
          <w:sz w:val="24"/>
          <w:color w:val="black"/>
        </w:rPr>
        <w:t xml:space="preserve">Ostenta las siguientes categorνas:</w:t>
      </w:r>
    </w:p>
    <w:p>
      <w:pPr>
        <w:jc w:val="both"/>
      </w:pPr>
      <w:rPr>
        <w:sz w:val="24"/>
        <w:color w:val="black"/>
      </w:rPr>
    </w:p>
    <w:p>
      <w:pPr>
        <w:jc w:val="both"/>
      </w:pPr>
      <w:r>
        <w:rPr>
          <w:rFonts w:hAnsi="Arial"/>
          <w:rFonts w:ascii="Arial"/>
          <w:sz w:val="24"/>
          <w:color w:val="black"/>
        </w:rPr>
        <w:t xml:space="preserve">a) Profesor.</w:t>
      </w:r>
    </w:p>
    <w:p>
      <w:pPr>
        <w:jc w:val="both"/>
      </w:pPr>
      <w:rPr>
        <w:sz w:val="24"/>
        <w:color w:val="black"/>
      </w:rPr>
    </w:p>
    <w:p>
      <w:pPr>
        <w:jc w:val="both"/>
      </w:pPr>
      <w:r>
        <w:rPr>
          <w:rFonts w:hAnsi="Arial"/>
          <w:rFonts w:ascii="Arial"/>
          <w:sz w:val="24"/>
          <w:color w:val="black"/>
        </w:rPr>
        <w:t xml:space="preserve">b) Al Mιrito.</w:t>
      </w:r>
    </w:p>
    <w:p>
      <w:pPr>
        <w:jc w:val="both"/>
      </w:pPr>
      <w:rPr>
        <w:sz w:val="24"/>
        <w:color w:val="black"/>
      </w:rPr>
    </w:p>
    <w:p>
      <w:pPr>
        <w:jc w:val="both"/>
      </w:pPr>
      <w:r>
        <w:rPr>
          <w:rFonts w:hAnsi="Arial"/>
          <w:rFonts w:ascii="Arial"/>
          <w:sz w:val="24"/>
          <w:color w:val="black"/>
        </w:rPr>
        <w:t xml:space="preserve">c) A la Consagraciσn.</w:t>
      </w:r>
    </w:p>
    <w:p>
      <w:pPr>
        <w:jc w:val="both"/>
      </w:pPr>
      <w:rPr>
        <w:sz w:val="24"/>
        <w:color w:val="black"/>
      </w:rPr>
    </w:p>
    <w:p>
      <w:pPr>
        <w:jc w:val="both"/>
      </w:pPr>
      <w:r>
        <w:rPr>
          <w:rFonts w:hAnsi="Arial"/>
          <w:rFonts w:ascii="Arial"/>
          <w:sz w:val="24"/>
          <w:color w:val="black"/>
        </w:rPr>
        <w:t xml:space="preserve">d) Al Esfuerzo.</w:t>
      </w:r>
    </w:p>
    <w:p>
      <w:pPr>
        <w:jc w:val="both"/>
      </w:pPr>
      <w:rPr>
        <w:sz w:val="24"/>
        <w:color w:val="black"/>
      </w:rPr>
    </w:p>
    <w:p>
      <w:pPr>
        <w:jc w:val="both"/>
      </w:pPr>
      <w:r>
        <w:rPr>
          <w:rFonts w:hAnsi="Arial"/>
          <w:rFonts w:ascii="Arial"/>
          <w:sz w:val="24"/>
          <w:color w:val="black"/>
        </w:rPr>
        <w:t xml:space="preserve">e) A la Aplicaciσn.</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"http://www.redjurista.com/document.aspx?ajcode=d4444010&amp;arts=193"</w:instrText>
      </w:r>
      <w:r>
        <w:fldChar w:fldCharType="separate"/>
      </w:r>
      <w:r>
        <w:rPr>
          <w:rFonts w:hAnsi="Arial"/>
          <w:rFonts w:ascii="Arial"/>
          <w:sz w:val="24"/>
          <w:i/>
          <w:u w:val="single"/>
          <w:color w:val="black"/>
        </w:rPr>
        <w:t>193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26" w:name="2.3.1.3.8.1.2"/>
      <w:r>
        <w:rPr>
          <w:rFonts w:hAnsi="Arial"/>
          <w:rFonts w:ascii="Arial"/>
          <w:sz w:val="24"/>
          <w:color w:val="navy"/>
        </w:rPr>
        <w:t xml:space="preserve">ARTΝCULO 2.3.1.3.8.1.2. </w:t>
      </w:r>
      <w:r>
        <w:rPr>
          <w:rFonts w:hAnsi="Arial"/>
          <w:rFonts w:ascii="Arial"/>
          <w:sz w:val="24"/>
          <w:i/>
          <w:color w:val="navy"/>
        </w:rPr>
        <w:t>OTORGAMIENTO.</w:t>
      </w:r>
      <w:bookmarkEnd w:id="61026"/>
      <w:r>
        <w:rPr>
          <w:rFonts w:hAnsi="Arial"/>
          <w:rFonts w:ascii="Arial"/>
          <w:sz w:val="24"/>
          <w:i/>
          <w:color w:val="black"/>
        </w:rPr>
        <w:t xml:space="preserve"> </w:t>
      </w:r>
      <w:r>
        <w:rPr>
          <w:rFonts w:hAnsi="Arial"/>
          <w:rFonts w:ascii="Arial"/>
          <w:sz w:val="24"/>
          <w:color w:val="black"/>
        </w:rPr>
        <w:t xml:space="preserve">Se otorga en cada categorνa de acuerdo con las siguientes normas:</w:t>
      </w:r>
    </w:p>
    <w:p>
      <w:pPr>
        <w:jc w:val="both"/>
      </w:pPr>
      <w:rPr>
        <w:sz w:val="24"/>
        <w:color w:val="black"/>
      </w:rPr>
    </w:p>
    <w:p>
      <w:pPr>
        <w:jc w:val="both"/>
      </w:pPr>
      <w:r>
        <w:rPr>
          <w:rFonts w:hAnsi="Arial"/>
          <w:rFonts w:ascii="Arial"/>
          <w:sz w:val="24"/>
          <w:color w:val="black"/>
        </w:rPr>
        <w:t xml:space="preserve">a) En la categorνa "Profesor", se confiere a los oficiales y suboficiales en servicio activo o retiro, que obtengan el tνtulo de profesor militar de primera categorνa; a los servidores pϊblicos del Sector Defensa que obtengan el mismo tνtulo y tengan un tiempo mνnimo de tres (3) aρos de servicio como profesores de tiempo completo, o cinco (5) aρos como profesores de tiempo incompleto, en centros de formaciσn o capacitaciσn de las Fuerzas Militares. Deben ser propuestos para el efecto por el respectivo rector o comandante del instituto o centro de formaciσn o capacitaciσn donde presten sus servicios.</w:t>
      </w:r>
    </w:p>
    <w:p>
      <w:pPr>
        <w:jc w:val="both"/>
      </w:pPr>
      <w:rPr>
        <w:sz w:val="24"/>
        <w:color w:val="black"/>
      </w:rPr>
    </w:p>
    <w:p>
      <w:pPr>
        <w:jc w:val="both"/>
      </w:pPr>
      <w:r>
        <w:rPr>
          <w:rFonts w:hAnsi="Arial"/>
          <w:rFonts w:ascii="Arial"/>
          <w:sz w:val="24"/>
          <w:color w:val="black"/>
        </w:rPr>
        <w:t xml:space="preserve">b) En la categorνa "Al Mιrito", se confiere al oficial de cada Fuerza que ocupe el primer puesto en el Curso de Estado Mayor y al primer puesto del Curso de Informaciσn Militar, en la Escuela Superior de Guerra.</w:t>
      </w:r>
    </w:p>
    <w:p>
      <w:pPr>
        <w:jc w:val="both"/>
      </w:pPr>
      <w:rPr>
        <w:sz w:val="24"/>
        <w:color w:val="black"/>
      </w:rPr>
    </w:p>
    <w:p>
      <w:pPr>
        <w:jc w:val="both"/>
      </w:pPr>
      <w:r>
        <w:rPr>
          <w:rFonts w:hAnsi="Arial"/>
          <w:rFonts w:ascii="Arial"/>
          <w:sz w:val="24"/>
          <w:color w:val="black"/>
        </w:rPr>
        <w:t xml:space="preserve">c) En la categorνa "A la Consagraciσn", se confiere a los Capitanes o Tenientes de Navνo que ocupen el primer puesto en el curso de comando para ascenso a mayor o Capitαn de Corbeta y a los Sargentos Segundos, Suboficiales Segundos y Suboficiales Tιcnicos Segundos que ocupen el primer puesto en el curso de capacitaciσn para ascenso a Sargento Viceprimero, Suboficial Primero y Tιcnico Primero.</w:t>
      </w:r>
    </w:p>
    <w:p>
      <w:pPr>
        <w:jc w:val="both"/>
      </w:pPr>
      <w:rPr>
        <w:sz w:val="24"/>
        <w:color w:val="black"/>
      </w:rPr>
    </w:p>
    <w:p>
      <w:pPr>
        <w:jc w:val="both"/>
      </w:pPr>
      <w:r>
        <w:rPr>
          <w:rFonts w:hAnsi="Arial"/>
          <w:rFonts w:ascii="Arial"/>
          <w:sz w:val="24"/>
          <w:color w:val="black"/>
        </w:rPr>
        <w:t xml:space="preserve">d) En la categorνa "Al Esfuerzo", se confiere a los Subtenientes o Tenientes de Corbeta, que ocupen el primer puesto en el curso de capacitaciσn para ascenso a Teniente o Teniente de Fragata, como tambiιn a los Tenientes o Tenientes de Fragata que ocupen el primer puesto en el curso de capacitaciσn para ascenso a Capitαn o Teniente de Navνo y a los Cabos Segundos, Marineros Primeros y Tιcnicos Cuartos que ocupen el primer puesto en el curso de capacitaciσn para ascenso a Cabo Primero, Suboficial Tercero o Tιcnico Tercero, respectivamente y a los Cabos Primeros, Suboficiales Terceros o Suboficiales Tιcnicos Terceros que ocupen el primer puesto en el curso de ascenso a Sargento Segundo, Suboficial Segundo o Tιcnico Segundo.</w:t>
      </w:r>
    </w:p>
    <w:p>
      <w:pPr>
        <w:jc w:val="both"/>
      </w:pPr>
      <w:rPr>
        <w:sz w:val="24"/>
        <w:color w:val="black"/>
      </w:rPr>
    </w:p>
    <w:p>
      <w:pPr>
        <w:jc w:val="both"/>
      </w:pPr>
      <w:r>
        <w:rPr>
          <w:rFonts w:hAnsi="Arial"/>
          <w:rFonts w:ascii="Arial"/>
          <w:sz w:val="24"/>
          <w:color w:val="black"/>
        </w:rPr>
        <w:t xml:space="preserve">e) En la categorνa "A la aplicaciσn", se confiere a los Alfιreces y Guardiamarinas que ocupen el primer puesto en los cursos de las escuelas de formaciσn de oficiales para obtener el grado de Subteniente y/o Teniente de Corbeta y a los dragoneantes o alumnos de las Escuelas de Formaciσn de Suboficiales que ocupen el primer puesto en la promociσn para ascenso a Cabos Terceros, Marinero Segundo y Aerotιcnicos. Tambiιn podrα conferirse, ϊnicamente al primer puesto del curso del personal que realiza el curso de orientaciσn militar para ingreso al Escalafσn de Oficiales o Suboficiales del Cuerpo Administrativo.</w:t>
      </w:r>
    </w:p>
    <w:p>
      <w:pPr>
        <w:jc w:val="both"/>
      </w:pPr>
      <w:rPr>
        <w:sz w:val="24"/>
        <w:color w:val="black"/>
      </w:rPr>
    </w:p>
    <w:p>
      <w:pPr>
        <w:jc w:val="both"/>
      </w:pPr>
      <w:r>
        <w:rPr>
          <w:rFonts w:hAnsi="Arial"/>
          <w:rFonts w:ascii="Arial"/>
          <w:sz w:val="24"/>
          <w:color w:val="black"/>
        </w:rPr>
        <w:t xml:space="preserve">Ademαs de lo establecido anteriormente, puede otorgarse en los siguientes casos y categorνas:</w:t>
      </w:r>
    </w:p>
    <w:p>
      <w:pPr>
        <w:jc w:val="both"/>
      </w:pPr>
      <w:rPr>
        <w:sz w:val="24"/>
        <w:color w:val="black"/>
      </w:rPr>
    </w:p>
    <w:p>
      <w:pPr>
        <w:jc w:val="both"/>
      </w:pPr>
      <w:r>
        <w:rPr>
          <w:rFonts w:hAnsi="Arial"/>
          <w:rFonts w:ascii="Arial"/>
          <w:sz w:val="24"/>
          <w:color w:val="black"/>
        </w:rPr>
        <w:t xml:space="preserve">a) En la categorνa "A la Consagraciσn", a los oficiales, suboficiales y servidores pϊblicos del Sector Defensa en servicio activo que, debidamente autorizados, adelanten estudios superiores en cualquier universidad del paνs y que al culminarlos obtengan el primer puesto en su promociσn.</w:t>
      </w:r>
    </w:p>
    <w:p>
      <w:pPr>
        <w:jc w:val="both"/>
      </w:pPr>
      <w:rPr>
        <w:sz w:val="24"/>
        <w:color w:val="black"/>
      </w:rPr>
    </w:p>
    <w:p>
      <w:pPr>
        <w:jc w:val="both"/>
      </w:pPr>
      <w:r>
        <w:rPr>
          <w:rFonts w:hAnsi="Arial"/>
          <w:rFonts w:ascii="Arial"/>
          <w:sz w:val="24"/>
          <w:color w:val="black"/>
        </w:rPr>
        <w:t xml:space="preserve">b) En las diferentes categorνas, a militares y civiles de paνses con los que se mantienen relaciones diplomαticas o que el Ministerio de Defensa Nacional o el Comando General determine o a aquellos que estando en el paνs reϊnan los requisitos exigidos.</w:t>
      </w:r>
    </w:p>
    <w:p>
      <w:pPr>
        <w:jc w:val="both"/>
      </w:pPr>
      <w:rPr>
        <w:sz w:val="24"/>
        <w:color w:val="black"/>
      </w:rPr>
    </w:p>
    <w:p>
      <w:pPr>
        <w:jc w:val="both"/>
      </w:pPr>
      <w:r>
        <w:rPr>
          <w:rFonts w:hAnsi="Arial"/>
          <w:rFonts w:ascii="Arial"/>
          <w:sz w:val="24"/>
          <w:color w:val="black"/>
        </w:rPr>
        <w:t xml:space="preserve">El Otorgamiento se efectuarα mediante resoluciσn ministerial debidamente motivada por las autoridades que proponen los candidatos.</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"http://www.redjurista.com/document.aspx?ajcode=d4444010&amp;arts=194"</w:instrText>
      </w:r>
      <w:r>
        <w:fldChar w:fldCharType="separate"/>
      </w:r>
      <w:r>
        <w:rPr>
          <w:rFonts w:hAnsi="Arial"/>
          <w:rFonts w:ascii="Arial"/>
          <w:sz w:val="24"/>
          <w:i/>
          <w:u w:val="single"/>
          <w:color w:val="black"/>
        </w:rPr>
        <w:t>194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27" w:name="2.3.1.3.8.1.3"/>
      <w:r>
        <w:rPr>
          <w:rFonts w:hAnsi="Arial"/>
          <w:rFonts w:ascii="Arial"/>
          <w:sz w:val="24"/>
          <w:color w:val="navy"/>
        </w:rPr>
        <w:t xml:space="preserve">ARTΝCULO 2.3.1.3.8.1.3. </w:t>
      </w:r>
      <w:r>
        <w:rPr>
          <w:rFonts w:hAnsi="Arial"/>
          <w:rFonts w:ascii="Arial"/>
          <w:sz w:val="24"/>
          <w:i/>
          <w:color w:val="navy"/>
        </w:rPr>
        <w:t>CARACTERΝSTICAS.</w:t>
      </w:r>
      <w:bookmarkEnd w:id="61027"/>
      <w:r>
        <w:rPr>
          <w:rFonts w:hAnsi="Arial"/>
          <w:rFonts w:ascii="Arial"/>
          <w:sz w:val="24"/>
          <w:b/>
          <w:i/>
          <w:color w:val="black"/>
        </w:rPr>
        <w:t xml:space="preserve"> </w:t>
      </w:r>
      <w:r>
        <w:rPr>
          <w:rFonts w:hAnsi="Arial"/>
          <w:rFonts w:ascii="Arial"/>
          <w:sz w:val="24"/>
          <w:color w:val="black"/>
        </w:rPr>
        <w:t xml:space="preserve">La Medalla "Francisco Josι de Caldas" tiene las siguientes caracterνsticas:</w:t>
      </w:r>
    </w:p>
    <w:p>
      <w:pPr>
        <w:jc w:val="both"/>
      </w:pPr>
      <w:rPr>
        <w:sz w:val="24"/>
        <w:color w:val="black"/>
      </w:rPr>
    </w:p>
    <w:p>
      <w:pPr>
        <w:jc w:val="both"/>
      </w:pPr>
      <w:r>
        <w:rPr>
          <w:rFonts w:hAnsi="Arial"/>
          <w:rFonts w:ascii="Arial"/>
          <w:sz w:val="24"/>
          <w:color w:val="black"/>
        </w:rPr>
        <w:t xml:space="preserve">a) A la Aplicaciσn. Es una cruz gamada con un diαmetro exterior de cuarenta y cinco (45) milνmetros, con esferas en los extremos y orlada por ramos de laurel y roble que simbolizan la victoria y la fortaleza o esfuerzo.</w:t>
      </w:r>
    </w:p>
    <w:p>
      <w:pPr>
        <w:jc w:val="both"/>
      </w:pPr>
      <w:rPr>
        <w:sz w:val="24"/>
        <w:color w:val="black"/>
      </w:rPr>
    </w:p>
    <w:p>
      <w:pPr>
        <w:jc w:val="both"/>
      </w:pPr>
      <w:r>
        <w:rPr>
          <w:rFonts w:hAnsi="Arial"/>
          <w:rFonts w:ascii="Arial"/>
          <w:sz w:val="24"/>
          <w:color w:val="black"/>
        </w:rPr>
        <w:t xml:space="preserve">Sus brazos son esmaltados en color verde claro; en el centro va un medallσn de veinte (20) milνmetros de diαmetro, con la efigie del prσcer en alto relieve. En el reverso tiene realzado el siguiente lema: "La gloria militar es la recompensa a la virtud".</w:t>
      </w:r>
    </w:p>
    <w:p>
      <w:pPr>
        <w:jc w:val="both"/>
      </w:pPr>
      <w:rPr>
        <w:sz w:val="24"/>
        <w:color w:val="black"/>
      </w:rPr>
    </w:p>
    <w:p>
      <w:pPr>
        <w:jc w:val="both"/>
      </w:pPr>
      <w:r>
        <w:rPr>
          <w:rFonts w:hAnsi="Arial"/>
          <w:rFonts w:ascii="Arial"/>
          <w:sz w:val="24"/>
          <w:color w:val="black"/>
        </w:rPr>
        <w:t xml:space="preserve">Esta medalla es de hierro, suspendida por una cinta verde claro de cuarenta (40) milνmetros de ancho, en cuyos bordes van los tres (3) colores de la Bandera Nacional, de cinco (5) milνmetros de ancho y lleva una estrella de hierro en el centro.</w:t>
      </w:r>
    </w:p>
    <w:p>
      <w:pPr>
        <w:jc w:val="both"/>
      </w:pPr>
      <w:rPr>
        <w:sz w:val="24"/>
        <w:color w:val="black"/>
      </w:rPr>
    </w:p>
    <w:p>
      <w:pPr>
        <w:jc w:val="both"/>
      </w:pPr>
      <w:r>
        <w:rPr>
          <w:rFonts w:hAnsi="Arial"/>
          <w:rFonts w:ascii="Arial"/>
          <w:sz w:val="24"/>
          <w:color w:val="black"/>
        </w:rPr>
        <w:t xml:space="preserve">b) Al Esfuerzo. Es de bronce suspendida por una cinta igual a la anterior y lleva una estrella de bronce.</w:t>
      </w:r>
    </w:p>
    <w:p>
      <w:pPr>
        <w:jc w:val="both"/>
      </w:pPr>
      <w:rPr>
        <w:sz w:val="24"/>
        <w:color w:val="black"/>
      </w:rPr>
    </w:p>
    <w:p>
      <w:pPr>
        <w:jc w:val="both"/>
      </w:pPr>
      <w:r>
        <w:rPr>
          <w:rFonts w:hAnsi="Arial"/>
          <w:rFonts w:ascii="Arial"/>
          <w:sz w:val="24"/>
          <w:color w:val="black"/>
        </w:rPr>
        <w:t xml:space="preserve">c) A la Consagraciσn. Es de plateado brillante, suspendida por una cinta igual a la anterior y lleva una estrella plateada brillante.</w:t>
      </w:r>
    </w:p>
    <w:p>
      <w:pPr>
        <w:jc w:val="both"/>
      </w:pPr>
      <w:rPr>
        <w:sz w:val="24"/>
        <w:color w:val="black"/>
      </w:rPr>
    </w:p>
    <w:p>
      <w:pPr>
        <w:jc w:val="both"/>
      </w:pPr>
      <w:r>
        <w:rPr>
          <w:rFonts w:hAnsi="Arial"/>
          <w:rFonts w:ascii="Arial"/>
          <w:sz w:val="24"/>
          <w:color w:val="black"/>
        </w:rPr>
        <w:t xml:space="preserve">d) Al mιrito. Es de plata dorada, suspendida por una cinta igual a la anterior y lleva una estrella dorada.</w:t>
      </w:r>
    </w:p>
    <w:p>
      <w:pPr>
        <w:jc w:val="both"/>
      </w:pPr>
      <w:rPr>
        <w:sz w:val="24"/>
        <w:color w:val="black"/>
      </w:rPr>
    </w:p>
    <w:p>
      <w:pPr>
        <w:jc w:val="both"/>
      </w:pPr>
      <w:r>
        <w:rPr>
          <w:rFonts w:hAnsi="Arial"/>
          <w:rFonts w:ascii="Arial"/>
          <w:sz w:val="24"/>
          <w:color w:val="black"/>
        </w:rPr>
        <w:t xml:space="preserve">e) Profesor. Es igual a la anterior, pero en lugar de estrella lleva un sol dorado sobre la cinta, de ocho (8) milνmetros de diαmetro.</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"http://www.redjurista.com/document.aspx?ajcode=d4444010&amp;arts=195"</w:instrText>
      </w:r>
      <w:r>
        <w:fldChar w:fldCharType="separate"/>
      </w:r>
      <w:r>
        <w:rPr>
          <w:rFonts w:hAnsi="Arial"/>
          <w:rFonts w:ascii="Arial"/>
          <w:sz w:val="24"/>
          <w:i/>
          <w:u w:val="single"/>
          <w:color w:val="black"/>
        </w:rPr>
        <w:t>195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28" w:name="2.3.1.3.8.1.4"/>
      <w:r>
        <w:rPr>
          <w:rFonts w:hAnsi="Arial"/>
          <w:rFonts w:ascii="Arial"/>
          <w:sz w:val="24"/>
          <w:color w:val="navy"/>
        </w:rPr>
        <w:t xml:space="preserve">ARTΝCULO 2.3.1.3.8.1.4. </w:t>
      </w:r>
      <w:r>
        <w:rPr>
          <w:rFonts w:hAnsi="Arial"/>
          <w:rFonts w:ascii="Arial"/>
          <w:sz w:val="24"/>
          <w:i/>
          <w:color w:val="navy"/>
        </w:rPr>
        <w:t>DIPLOMA.</w:t>
      </w:r>
      <w:bookmarkEnd w:id="61028"/>
      <w:r>
        <w:rPr>
          <w:rFonts w:hAnsi="Arial"/>
          <w:rFonts w:ascii="Arial"/>
          <w:sz w:val="24"/>
          <w:b/>
          <w:i/>
          <w:color w:val="black"/>
        </w:rPr>
        <w:t xml:space="preserve"> </w:t>
      </w:r>
      <w:r>
        <w:rPr>
          <w:rFonts w:hAnsi="Arial"/>
          <w:rFonts w:ascii="Arial"/>
          <w:sz w:val="24"/>
          <w:color w:val="black"/>
        </w:rPr>
        <w:t xml:space="preserve">El Diploma lleva en su parte superior la figura del prσcer. Serα elaborado en papel cartulina o pergamino blanco de cuarenta (40) por treinta (30) centνmetros de lado, con la siguiente leyenda:</w:t>
      </w:r>
    </w:p>
    <w:p>
      <w:pPr>
        <w:jc w:val="center"/>
      </w:pPr>
      <w:r>
        <w:drawing>
          <wp:inline distT="0" distB="0" distL="0" distR="0">
            <wp:extent cx="3535680" cy="1897380"/>
            <wp:docPr id="41" name=""/>
            <a:graphic xmlns:a="http://schemas.openxmlformats.org/drawingml/2006/main">
              <a:graphicData uri="http://schemas.openxmlformats.org/drawingml/2006/picture">
                <pic:pic xmlns:pic="http://schemas.openxmlformats.org/drawingml/2006/picture">
                  <pic:nvPicPr>
                    <pic:cNvPr id="40" name="Picture "/>
                    <pic:cNvPicPr/>
                  </pic:nvPicPr>
                  <pic:blipFill>
                    <a:blip r:embed="id40"/>
                    <a:stretch>
                      <a:fillRect/>
                    </a:stretch>
                  </pic:blipFill>
                  <pic:spPr>
                    <a:xfrm>
                      <a:off x="0" y="0"/>
                      <a:ext cx="3535680" cy="1897380"/>
                    </a:xfrm>
                    <a:prstGeom prst="rect">
                      <a:avLst/>
                    </a:prstGeom>
                  </pic:spPr>
                </pic:pic>
              </a:graphicData>
            </a:graphic>
          </wp:inline>
        </w:drawing>
      </w:r>
    </w:p>
    <w:p>
      <w:pPr>
        <w:jc w:val="both"/>
      </w:pPr>
      <w:rPr>
        <w:sz w:val="24"/>
        <w:color w:val="black"/>
      </w:rPr>
    </w:p>
    <w:p>
      <w:pPr>
        <w:jc w:val="both"/>
      </w:pPr>
      <w:r>
        <w:rPr>
          <w:rFonts w:hAnsi="Arial"/>
          <w:rFonts w:ascii="Arial"/>
          <w:sz w:val="24"/>
          <w:color w:val="black"/>
        </w:rPr>
        <w:t xml:space="preserve">Todos los diplomas son refrendados por el Jefe de Desarrollo Humano de la respectiva Fuerza. Llevan la firma del Comandante General de las Fuerzas Militares y del Comandante de la Fuerza a la cual pertenezca el agraciado.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"http://www.redjurista.com/document.aspx?ajcode=d4444010&amp;arts=195"</w:instrText>
      </w:r>
      <w:r>
        <w:fldChar w:fldCharType="separate"/>
      </w:r>
      <w:r>
        <w:rPr>
          <w:rFonts w:hAnsi="Arial"/>
          <w:rFonts w:ascii="Arial"/>
          <w:sz w:val="24"/>
          <w:i/>
          <w:u w:val="single"/>
          <w:color w:val="black"/>
        </w:rPr>
        <w:t>195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29" w:name="SUBSECCIÓN 2.3.1.3.8.2"/>
      <w:r>
        <w:rPr>
          <w:rFonts w:hAnsi="Arial"/>
          <w:rFonts w:ascii="Arial"/>
          <w:sz w:val="24"/>
          <w:color w:val="navy"/>
        </w:rPr>
        <w:t xml:space="preserve">SUBSECCIΣN 2. </w:t>
      </w:r>
    </w:p>
    <w:p>
      <w:pPr>
        <w:jc w:val="center"/>
      </w:pPr>
      <w:r>
        <w:rPr>
          <w:rFonts w:hAnsi="Arial"/>
          <w:rFonts w:ascii="Arial"/>
          <w:sz w:val="24"/>
          <w:color w:val="navy"/>
        </w:rPr>
        <w:t xml:space="preserve">MEDALLA "CADETE JOSΙ MARΝA ROSILLO".</w:t>
      </w:r>
      <w:bookmarkEnd w:id="610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30" w:name="2.3.1.3.8.2.1"/>
      <w:r>
        <w:rPr>
          <w:rFonts w:hAnsi="Arial"/>
          <w:rFonts w:ascii="Arial"/>
          <w:sz w:val="24"/>
          <w:color w:val="navy"/>
        </w:rPr>
        <w:t xml:space="preserve">ARTΝCULO 2.3.1.3.8.2.1. </w:t>
      </w:r>
      <w:r>
        <w:rPr>
          <w:rFonts w:hAnsi="Arial"/>
          <w:rFonts w:ascii="Arial"/>
          <w:sz w:val="24"/>
          <w:i/>
          <w:color w:val="navy"/>
        </w:rPr>
        <w:t>ORIGEN.</w:t>
      </w:r>
      <w:bookmarkEnd w:id="61030"/>
      <w:r>
        <w:rPr>
          <w:rFonts w:hAnsi="Arial"/>
          <w:rFonts w:ascii="Arial"/>
          <w:sz w:val="24"/>
          <w:b/>
          <w:i/>
          <w:color w:val="black"/>
        </w:rPr>
        <w:t xml:space="preserve"> </w:t>
      </w:r>
      <w:r>
        <w:rPr>
          <w:rFonts w:hAnsi="Arial"/>
          <w:rFonts w:ascii="Arial"/>
          <w:sz w:val="24"/>
          <w:color w:val="black"/>
        </w:rPr>
        <w:t xml:space="preserve">Creada mediante el artνculo </w:t>
      </w:r>
      <w:r>
        <w:fldChar w:fldCharType="begin"/>
      </w:r>
      <w:r>
        <w:instrText>HYPERLINK "http://www.redjurista.com/document.aspx?ajcode=d1880_88&amp;arts=107"</w:instrText>
      </w:r>
      <w:r>
        <w:fldChar w:fldCharType="separate"/>
      </w:r>
      <w:r>
        <w:rPr>
          <w:rFonts w:hAnsi="Arial"/>
          <w:rFonts w:ascii="Arial"/>
          <w:sz w:val="24"/>
          <w:u w:val="single"/>
          <w:color w:val="black"/>
        </w:rPr>
        <w:t>107</w:t>
      </w:r>
      <w:r>
        <w:fldChar w:fldCharType="end"/>
      </w:r>
      <w:r>
        <w:rPr>
          <w:rFonts w:hAnsi="Arial"/>
          <w:rFonts w:ascii="Arial"/>
          <w:sz w:val="24"/>
          <w:u w:val="none"/>
          <w:color w:val="black"/>
        </w:rPr>
        <w:t xml:space="preserve"> del Decreto 1880 de 1988 en concordancia con el artνculo </w:t>
      </w:r>
      <w:r>
        <w:fldChar w:fldCharType="begin"/>
      </w:r>
      <w:r>
        <w:instrText>HYPERLINK "http://www.redjurista.com/document.aspx?ajcode=d1776_79&amp;arts=47"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1776 de 1979, Reglamento Rιgimen Disciplinario para las Fuerzas Militares, de esa ιpoca, como mιrito acadιmico para estimular a los Alumnos de la Escuela Militar de Cadetes "General Josι Marνa Cσrdova" que se destaquen por su excelente rendimiento acadιmico, conducta, iniciativa e interιs por el servicio.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"http://www.redjurista.com/document.aspx?ajcode=d4444010&amp;arts=196"</w:instrText>
      </w:r>
      <w:r>
        <w:fldChar w:fldCharType="separate"/>
      </w:r>
      <w:r>
        <w:rPr>
          <w:rFonts w:hAnsi="Arial"/>
          <w:rFonts w:ascii="Arial"/>
          <w:sz w:val="24"/>
          <w:i/>
          <w:u w:val="single"/>
          <w:color w:val="black"/>
        </w:rPr>
        <w:t>196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1" w:name="2.3.1.3.8.2.2"/>
      <w:r>
        <w:rPr>
          <w:rFonts w:hAnsi="Arial"/>
          <w:rFonts w:ascii="Arial"/>
          <w:sz w:val="24"/>
          <w:color w:val="navy"/>
        </w:rPr>
        <w:t xml:space="preserve">ARTΝCULO 2.3.1.3.8.2.2. </w:t>
      </w:r>
      <w:r>
        <w:rPr>
          <w:rFonts w:hAnsi="Arial"/>
          <w:rFonts w:ascii="Arial"/>
          <w:sz w:val="24"/>
          <w:i/>
          <w:color w:val="navy"/>
        </w:rPr>
        <w:t>OTORGAMIENTO.</w:t>
      </w:r>
      <w:bookmarkEnd w:id="61031"/>
      <w:r>
        <w:rPr>
          <w:rFonts w:hAnsi="Arial"/>
          <w:rFonts w:ascii="Arial"/>
          <w:sz w:val="24"/>
          <w:b/>
          <w:i/>
          <w:color w:val="black"/>
        </w:rPr>
        <w:t xml:space="preserve"> </w:t>
      </w:r>
      <w:r>
        <w:rPr>
          <w:rFonts w:hAnsi="Arial"/>
          <w:rFonts w:ascii="Arial"/>
          <w:sz w:val="24"/>
          <w:color w:val="black"/>
        </w:rPr>
        <w:t xml:space="preserve">Es concedido por el Director de la Escuela Militar de Cadetes "General Josι Marνa Cσrdova", a los Cadetes de la Escuela que durante los cursos de formaciσn, se destacaren por su excelente rendimiento acadιmico, conducta, iniciativa e interιs por el servicio. Su Otorgamiento se publicarα por la orden del dνa y se impondrα en ceremonia especial al finalizar el perνodo lectivo de cada promociσn.</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"http://www.redjurista.com/document.aspx?ajcode=d4444010&amp;arts=197"</w:instrText>
      </w:r>
      <w:r>
        <w:fldChar w:fldCharType="separate"/>
      </w:r>
      <w:r>
        <w:rPr>
          <w:rFonts w:hAnsi="Arial"/>
          <w:rFonts w:ascii="Arial"/>
          <w:sz w:val="24"/>
          <w:i/>
          <w:u w:val="single"/>
          <w:color w:val="black"/>
        </w:rPr>
        <w:t>197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2" w:name="2.3.1.3.8.2.3"/>
      <w:r>
        <w:rPr>
          <w:rFonts w:hAnsi="Arial"/>
          <w:rFonts w:ascii="Arial"/>
          <w:sz w:val="24"/>
          <w:color w:val="navy"/>
        </w:rPr>
        <w:t xml:space="preserve">ARTΝCULO 2.3.1.3.8.2.3. </w:t>
      </w:r>
      <w:r>
        <w:rPr>
          <w:rFonts w:hAnsi="Arial"/>
          <w:rFonts w:ascii="Arial"/>
          <w:sz w:val="24"/>
          <w:i/>
          <w:color w:val="navy"/>
        </w:rPr>
        <w:t>CARACTERΝSTICAS.</w:t>
      </w:r>
      <w:bookmarkEnd w:id="61032"/>
      <w:r>
        <w:rPr>
          <w:rFonts w:hAnsi="Arial"/>
          <w:rFonts w:ascii="Arial"/>
          <w:sz w:val="24"/>
          <w:b/>
          <w:i/>
          <w:color w:val="black"/>
        </w:rPr>
        <w:t xml:space="preserve"> </w:t>
      </w:r>
      <w:r>
        <w:rPr>
          <w:rFonts w:hAnsi="Arial"/>
          <w:rFonts w:ascii="Arial"/>
          <w:sz w:val="24"/>
          <w:color w:val="black"/>
        </w:rPr>
        <w:t xml:space="preserve">La joya es una medalla plateada de cuarenta (40) milνmetros de diαmetro. Por el anverso lleva el Escudo de Colombia encerrado por una corona de laurel. Al reverso lleva el nombre del Instituto, el del agraciado, la fecha y la leyenda "Cadete Josι Marνa Rosillo", pende por una argolla de una cinta de cuarenta (40) milνmetros de largo por cuarenta (40) milνmetros de ancho, con los colores de la Bandera Nacional en fajas verticales.</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"http://www.redjurista.com/document.aspx?ajcode=d4444010&amp;arts=198"</w:instrText>
      </w:r>
      <w:r>
        <w:fldChar w:fldCharType="separate"/>
      </w:r>
      <w:r>
        <w:rPr>
          <w:rFonts w:hAnsi="Arial"/>
          <w:rFonts w:ascii="Arial"/>
          <w:sz w:val="24"/>
          <w:i/>
          <w:u w:val="single"/>
          <w:color w:val="black"/>
        </w:rPr>
        <w:t>198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3" w:name="2.3.1.3.8.2.4"/>
      <w:r>
        <w:rPr>
          <w:rFonts w:hAnsi="Arial"/>
          <w:rFonts w:ascii="Arial"/>
          <w:sz w:val="24"/>
          <w:color w:val="navy"/>
        </w:rPr>
        <w:t xml:space="preserve">ARTΝCULO 2.3.1.3.8.2.4. </w:t>
      </w:r>
      <w:r>
        <w:rPr>
          <w:rFonts w:hAnsi="Arial"/>
          <w:rFonts w:ascii="Arial"/>
          <w:sz w:val="24"/>
          <w:i/>
          <w:color w:val="navy"/>
        </w:rPr>
        <w:t>DIPLOMA.</w:t>
      </w:r>
      <w:bookmarkEnd w:id="61033"/>
      <w:r>
        <w:rPr>
          <w:rFonts w:hAnsi="Arial"/>
          <w:rFonts w:ascii="Arial"/>
          <w:sz w:val="24"/>
          <w:b/>
          <w:i/>
          <w:color w:val="black"/>
        </w:rPr>
        <w:t xml:space="preserve"> </w:t>
      </w:r>
      <w:r>
        <w:rPr>
          <w:rFonts w:hAnsi="Arial"/>
          <w:rFonts w:ascii="Arial"/>
          <w:sz w:val="24"/>
          <w:color w:val="black"/>
        </w:rPr>
        <w:t xml:space="preserve">La medalla se acredita con un diploma elaborado en papel pergamino o cartulina blanca de treinta y cinco (35) centνmetros de largo por veinticinco (25) centνmetros de ancho con el dibujo del anverso de la medalla al lado izquierdo superior y el del reverso al lado derecho y la siguiente leyenda:</w:t>
      </w:r>
    </w:p>
    <w:p>
      <w:pPr>
        <w:jc w:val="center"/>
      </w:pPr>
      <w:r>
        <w:drawing>
          <wp:inline distT="0" distB="0" distL="0" distR="0">
            <wp:extent cx="3589020" cy="1653540"/>
            <wp:docPr id="42" name=""/>
            <a:graphic xmlns:a="http://schemas.openxmlformats.org/drawingml/2006/main">
              <a:graphicData uri="http://schemas.openxmlformats.org/drawingml/2006/picture">
                <pic:pic xmlns:pic="http://schemas.openxmlformats.org/drawingml/2006/picture">
                  <pic:nvPicPr>
                    <pic:cNvPr id="41" name="Picture "/>
                    <pic:cNvPicPr/>
                  </pic:nvPicPr>
                  <pic:blipFill>
                    <a:blip r:embed="id41"/>
                    <a:stretch>
                      <a:fillRect/>
                    </a:stretch>
                  </pic:blipFill>
                  <pic:spPr>
                    <a:xfrm>
                      <a:off x="0" y="0"/>
                      <a:ext cx="3589020" cy="1653540"/>
                    </a:xfrm>
                    <a:prstGeom prst="rect">
                      <a:avLst/>
                    </a:prstGeom>
                  </pic:spPr>
                </pic:pic>
              </a:graphicData>
            </a:graphic>
          </wp:inline>
        </w:drawing>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"http://www.redjurista.com/document.aspx?ajcode=d4444010&amp;arts=199"</w:instrText>
      </w:r>
      <w:r>
        <w:fldChar w:fldCharType="separate"/>
      </w:r>
      <w:r>
        <w:rPr>
          <w:rFonts w:hAnsi="Arial"/>
          <w:rFonts w:ascii="Arial"/>
          <w:sz w:val="24"/>
          <w:i/>
          <w:u w:val="single"/>
          <w:color w:val="black"/>
        </w:rPr>
        <w:t>199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34" w:name="SUBSECCIÓN 2.3.1.3.8.3"/>
      <w:r>
        <w:rPr>
          <w:rFonts w:hAnsi="Arial"/>
          <w:rFonts w:ascii="Arial"/>
          <w:sz w:val="24"/>
          <w:color w:val="navy"/>
        </w:rPr>
        <w:t xml:space="preserve">SUBSECCIΣN 3. </w:t>
      </w:r>
    </w:p>
    <w:p>
      <w:pPr>
        <w:jc w:val="center"/>
      </w:pPr>
      <w:r>
        <w:rPr>
          <w:rFonts w:hAnsi="Arial"/>
          <w:rFonts w:ascii="Arial"/>
          <w:sz w:val="24"/>
          <w:color w:val="navy"/>
        </w:rPr>
        <w:t xml:space="preserve">MEDALLA "ALUMNO DISTINGUIDO".</w:t>
      </w:r>
      <w:bookmarkEnd w:id="6103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35" w:name="2.3.1.3.8.3.1"/>
      <w:r>
        <w:rPr>
          <w:rFonts w:hAnsi="Arial"/>
          <w:rFonts w:ascii="Arial"/>
          <w:sz w:val="24"/>
          <w:color w:val="navy"/>
        </w:rPr>
        <w:t xml:space="preserve">ARTΝCULO 2.3.1.3.8.3.1. </w:t>
      </w:r>
      <w:r>
        <w:rPr>
          <w:rFonts w:hAnsi="Arial"/>
          <w:rFonts w:ascii="Arial"/>
          <w:sz w:val="24"/>
          <w:i/>
          <w:color w:val="navy"/>
        </w:rPr>
        <w:t>ORIGEN.</w:t>
      </w:r>
      <w:bookmarkEnd w:id="61035"/>
      <w:r>
        <w:rPr>
          <w:rFonts w:hAnsi="Arial"/>
          <w:rFonts w:ascii="Arial"/>
          <w:sz w:val="24"/>
          <w:b/>
          <w:i/>
          <w:color w:val="black"/>
        </w:rPr>
        <w:t xml:space="preserve"> </w:t>
      </w:r>
      <w:r>
        <w:rPr>
          <w:rFonts w:hAnsi="Arial"/>
          <w:rFonts w:ascii="Arial"/>
          <w:sz w:val="24"/>
          <w:color w:val="black"/>
        </w:rPr>
        <w:t xml:space="preserve">Creada por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del 12 de septiembre de 1988, con el propσsito de estimular a los alumnos de la Escuela Naval de Cadetes "Almirante Padilla" que se destaquen por su conducta, estudios y condiciones militares</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"http://www.redjurista.com/document.aspx?ajcode=d4444010&amp;arts=200"</w:instrText>
      </w:r>
      <w:r>
        <w:fldChar w:fldCharType="separate"/>
      </w:r>
      <w:r>
        <w:rPr>
          <w:rFonts w:hAnsi="Arial"/>
          <w:rFonts w:ascii="Arial"/>
          <w:sz w:val="24"/>
          <w:i/>
          <w:u w:val="single"/>
          <w:color w:val="black"/>
        </w:rPr>
        <w:t>200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6" w:name="2.3.1.3.8.3.2"/>
      <w:r>
        <w:rPr>
          <w:rFonts w:hAnsi="Arial"/>
          <w:rFonts w:ascii="Arial"/>
          <w:sz w:val="24"/>
          <w:color w:val="navy"/>
        </w:rPr>
        <w:t xml:space="preserve">ARTΝCULO 2.3.1.3.8.3.2. </w:t>
      </w:r>
      <w:r>
        <w:rPr>
          <w:rFonts w:hAnsi="Arial"/>
          <w:rFonts w:ascii="Arial"/>
          <w:sz w:val="24"/>
          <w:i/>
          <w:color w:val="navy"/>
        </w:rPr>
        <w:t>OTORGAMIENTO.</w:t>
      </w:r>
      <w:bookmarkEnd w:id="61036"/>
      <w:r>
        <w:rPr>
          <w:rFonts w:hAnsi="Arial"/>
          <w:rFonts w:ascii="Arial"/>
          <w:sz w:val="24"/>
          <w:b/>
          <w:i/>
          <w:color w:val="black"/>
        </w:rPr>
        <w:t xml:space="preserve"> </w:t>
      </w:r>
      <w:r>
        <w:rPr>
          <w:rFonts w:hAnsi="Arial"/>
          <w:rFonts w:ascii="Arial"/>
          <w:sz w:val="24"/>
          <w:color w:val="black"/>
        </w:rPr>
        <w:t xml:space="preserve">La medalla se otorgarα a juicio del Concejo de la medalla, constituido por el Director de la Escuela como presidente, el subdirector como vicepresidente, los jefes de Departamento como vocales y el Ayudante del Director como secretario.</w:t>
      </w:r>
    </w:p>
    <w:p>
      <w:pPr>
        <w:jc w:val="both"/>
      </w:pPr>
      <w:rPr>
        <w:sz w:val="24"/>
        <w:color w:val="black"/>
      </w:rPr>
    </w:p>
    <w:p>
      <w:pPr>
        <w:jc w:val="both"/>
      </w:pPr>
      <w:r>
        <w:rPr>
          <w:rFonts w:hAnsi="Arial"/>
          <w:rFonts w:ascii="Arial"/>
          <w:sz w:val="24"/>
          <w:color w:val="black"/>
        </w:rPr>
        <w:t xml:space="preserve">Las atribuciones y funciones de los integrantes del Consejo serαn iguales a las estipuladas en el artνculo </w:t>
      </w:r>
      <w:r>
        <w:fldChar w:fldCharType="begin"/>
      </w:r>
      <w:r>
        <w:instrText>HYPERLINK "http://www.redjurista.com/document.aspx?ajcode=d1070015&amp;arts=2.3.1.3.5.3"</w:instrText>
      </w:r>
      <w:r>
        <w:fldChar w:fldCharType="separate"/>
      </w:r>
      <w:r>
        <w:rPr>
          <w:rFonts w:hAnsi="Arial"/>
          <w:rFonts w:ascii="Arial"/>
          <w:sz w:val="24"/>
          <w:u w:val="single"/>
          <w:color w:val="black"/>
        </w:rPr>
        <w:t>2.3.1.3.5.3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color w:val="black"/>
        </w:rPr>
        <w:t xml:space="preserve">Los alumnos propuestos como candidatos a la medalla deben llenar los siguientes requisitos:</w:t>
      </w:r>
    </w:p>
    <w:p>
      <w:pPr>
        <w:jc w:val="both"/>
      </w:pPr>
      <w:rPr>
        <w:sz w:val="24"/>
        <w:color w:val="black"/>
      </w:rPr>
    </w:p>
    <w:p>
      <w:pPr>
        <w:jc w:val="both"/>
      </w:pPr>
      <w:r>
        <w:rPr>
          <w:rFonts w:hAnsi="Arial"/>
          <w:rFonts w:ascii="Arial"/>
          <w:sz w:val="24"/>
          <w:color w:val="black"/>
        </w:rPr>
        <w:t xml:space="preserve">Promedio de calificaciones asν:</w:t>
      </w:r>
    </w:p>
    <w:p>
      <w:pPr>
        <w:jc w:val="both"/>
      </w:pPr>
      <w:rPr>
        <w:sz w:val="24"/>
        <w:color w:val="black"/>
      </w:rPr>
    </w:p>
    <w:p>
      <w:pPr>
        <w:jc w:val="both"/>
      </w:pPr>
      <w:r>
        <w:rPr>
          <w:rFonts w:hAnsi="Arial"/>
          <w:rFonts w:ascii="Arial"/>
          <w:sz w:val="24"/>
          <w:color w:val="black"/>
        </w:rPr>
        <w:t xml:space="preserve">1. Conducta 10/10.</w:t>
      </w:r>
    </w:p>
    <w:p>
      <w:pPr>
        <w:jc w:val="both"/>
      </w:pPr>
      <w:rPr>
        <w:sz w:val="24"/>
        <w:color w:val="black"/>
      </w:rPr>
    </w:p>
    <w:p>
      <w:pPr>
        <w:jc w:val="both"/>
      </w:pPr>
      <w:r>
        <w:rPr>
          <w:rFonts w:hAnsi="Arial"/>
          <w:rFonts w:ascii="Arial"/>
          <w:sz w:val="24"/>
          <w:color w:val="black"/>
        </w:rPr>
        <w:t xml:space="preserve">2. Aptitud Naval 9/10. Ninguna nota, de los conceptos que la integran inferior a 8.5/10.</w:t>
      </w:r>
    </w:p>
    <w:p>
      <w:pPr>
        <w:jc w:val="both"/>
      </w:pPr>
      <w:rPr>
        <w:sz w:val="24"/>
        <w:color w:val="black"/>
      </w:rPr>
    </w:p>
    <w:p>
      <w:pPr>
        <w:jc w:val="both"/>
      </w:pPr>
      <w:r>
        <w:rPr>
          <w:rFonts w:hAnsi="Arial"/>
          <w:rFonts w:ascii="Arial"/>
          <w:sz w:val="24"/>
          <w:color w:val="black"/>
        </w:rPr>
        <w:t xml:space="preserve">3. Acadιmico ponderado 8.5/10</w:t>
      </w:r>
    </w:p>
    <w:p>
      <w:pPr>
        <w:jc w:val="both"/>
      </w:pPr>
      <w:rPr>
        <w:sz w:val="24"/>
        <w:color w:val="black"/>
      </w:rPr>
    </w:p>
    <w:p>
      <w:pPr>
        <w:jc w:val="both"/>
      </w:pPr>
      <w:r>
        <w:rPr>
          <w:rFonts w:hAnsi="Arial"/>
          <w:rFonts w:ascii="Arial"/>
          <w:sz w:val="24"/>
          <w:color w:val="black"/>
        </w:rPr>
        <w:t xml:space="preserve">4. Ninguna materia al finalizar el tιrmino acadιmico con la nota inferior a 7.5/10.</w:t>
      </w:r>
    </w:p>
    <w:p>
      <w:pPr>
        <w:jc w:val="both"/>
      </w:pPr>
      <w:rPr>
        <w:sz w:val="24"/>
        <w:color w:val="black"/>
      </w:rPr>
    </w:p>
    <w:p>
      <w:pPr>
        <w:jc w:val="both"/>
      </w:pPr>
      <w:r>
        <w:rPr>
          <w:rFonts w:hAnsi="Arial"/>
          <w:rFonts w:ascii="Arial"/>
          <w:sz w:val="24"/>
          <w:color w:val="black"/>
        </w:rPr>
        <w:t xml:space="preserve">El Otorgamiento de la medalla deberα publicarse por la orden del dνa de la Unidad.</w:t>
      </w:r>
    </w:p>
    <w:p>
      <w:pPr>
        <w:jc w:val="both"/>
      </w:pPr>
      <w:rPr>
        <w:sz w:val="24"/>
        <w:color w:val="black"/>
      </w:rPr>
    </w:p>
    <w:p>
      <w:pPr>
        <w:jc w:val="both"/>
      </w:pPr>
      <w:r>
        <w:rPr>
          <w:rFonts w:hAnsi="Arial"/>
          <w:rFonts w:ascii="Arial"/>
          <w:sz w:val="24"/>
          <w:color w:val="black"/>
        </w:rPr>
        <w:t xml:space="preserve">La Medalla se puede conferir cuantas veces el alumno se haga acreedor a ella, y para efectos del uso, en la venera, se agregarα una estrella plateada de cinco (5) puntas por cada dos veces consecutivas que le sea otorgada, hasta un mαximo de cuatro estrellas. Se impondrα en ceremonial militar en la Escuela "Almirante Padilla" conforme al Reglamento de Protocolo Militar. La Medalla podrα ser otorgada en forma pσstuma.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"http://www.redjurista.com/document.aspx?ajcode=d4444010&amp;arts=201"</w:instrText>
      </w:r>
      <w:r>
        <w:fldChar w:fldCharType="separate"/>
      </w:r>
      <w:r>
        <w:rPr>
          <w:rFonts w:hAnsi="Arial"/>
          <w:rFonts w:ascii="Arial"/>
          <w:sz w:val="24"/>
          <w:i/>
          <w:u w:val="single"/>
          <w:color w:val="black"/>
        </w:rPr>
        <w:t>201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7" w:name="2.3.1.3.8.3.3"/>
      <w:r>
        <w:rPr>
          <w:rFonts w:hAnsi="Arial"/>
          <w:rFonts w:ascii="Arial"/>
          <w:sz w:val="24"/>
          <w:color w:val="navy"/>
        </w:rPr>
        <w:t xml:space="preserve">ARTΝCULO 2.3.1.3.8.3.3. </w:t>
      </w:r>
      <w:r>
        <w:rPr>
          <w:rFonts w:hAnsi="Arial"/>
          <w:rFonts w:ascii="Arial"/>
          <w:sz w:val="24"/>
          <w:i/>
          <w:color w:val="navy"/>
        </w:rPr>
        <w:t>CARACTERΝSTICAS.</w:t>
      </w:r>
      <w:bookmarkEnd w:id="61037"/>
      <w:r>
        <w:rPr>
          <w:rFonts w:hAnsi="Arial"/>
          <w:rFonts w:ascii="Arial"/>
          <w:sz w:val="24"/>
          <w:b/>
          <w:i/>
          <w:color w:val="black"/>
        </w:rPr>
        <w:t xml:space="preserve"> </w:t>
      </w:r>
      <w:r>
        <w:rPr>
          <w:rFonts w:hAnsi="Arial"/>
          <w:rFonts w:ascii="Arial"/>
          <w:sz w:val="24"/>
          <w:color w:val="black"/>
        </w:rPr>
        <w:t xml:space="preserve">La joya es una medalla dorada de cuarenta (40) milνmetros de diαmetro. En su anverso lleva en relieve el Escudo de la Escuela "Almirante Padilla", en la mitad superior en forma semicircular el letrero "Fuerzas Militares de Colombia" y en la mitad inferior el letrero Armada Nacional". En el reverso lleva en la mitad superior en forma semicircular el nombre "Escuela Naval Almirante Padilla" en el centro "Alumno Distinguido" y debajo el nombre del agraciado. Va sujeta por una argolla a una cinta de cuarenta (40) milνmetros de ancho, con los colores del escudo de la Escuela en franjas de las siguientes dimensiones de derecha a izquierda: azul marino veinte (20) milνmetros, amarillo diez (10) milνmetros y azul marino diez (10) milνmetros.</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"http://www.redjurista.com/document.aspx?ajcode=d4444010&amp;arts=202"</w:instrText>
      </w:r>
      <w:r>
        <w:fldChar w:fldCharType="separate"/>
      </w:r>
      <w:r>
        <w:rPr>
          <w:rFonts w:hAnsi="Arial"/>
          <w:rFonts w:ascii="Arial"/>
          <w:sz w:val="24"/>
          <w:i/>
          <w:u w:val="single"/>
          <w:color w:val="black"/>
        </w:rPr>
        <w:t>202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38" w:name="2.3.1.3.8.3.4"/>
      <w:r>
        <w:rPr>
          <w:rFonts w:hAnsi="Arial"/>
          <w:rFonts w:ascii="Arial"/>
          <w:sz w:val="24"/>
          <w:color w:val="navy"/>
        </w:rPr>
        <w:t xml:space="preserve">ARTΝCULO 2.3.1.3.8.3.4. </w:t>
      </w:r>
      <w:r>
        <w:rPr>
          <w:rFonts w:hAnsi="Arial"/>
          <w:rFonts w:ascii="Arial"/>
          <w:sz w:val="24"/>
          <w:i/>
          <w:color w:val="navy"/>
        </w:rPr>
        <w:t>DIPLOMA</w:t>
      </w:r>
      <w:r>
        <w:rPr>
          <w:rFonts w:hAnsi="Arial"/>
          <w:rFonts w:ascii="Arial"/>
          <w:sz w:val="24"/>
          <w:color w:val="navy"/>
        </w:rPr>
        <w:t>.</w:t>
      </w:r>
      <w:bookmarkEnd w:id="61038"/>
      <w:r>
        <w:rPr>
          <w:rFonts w:hAnsi="Arial"/>
          <w:rFonts w:ascii="Arial"/>
          <w:sz w:val="24"/>
          <w:b/>
          <w:color w:val="black"/>
        </w:rPr>
        <w:t xml:space="preserve"> </w:t>
      </w:r>
      <w:r>
        <w:rPr>
          <w:rFonts w:hAnsi="Arial"/>
          <w:rFonts w:ascii="Arial"/>
          <w:sz w:val="24"/>
          <w:color w:val="black"/>
        </w:rPr>
        <w:t xml:space="preserve">La Medalla se acredita con un diploma elaborado en papel pergamino o cartulina blanca de treinta y cinco (35) centνmetros de largo por veinticinco (25) centνmetros de ancho, con el dibujo del anverso de la medalla al lado izquierdo superior y el del reverso al lado derecho superior y la siguiente leyenda:</w:t>
      </w:r>
    </w:p>
    <w:p>
      <w:pPr>
        <w:jc w:val="center"/>
      </w:pPr>
      <w:r>
        <w:drawing>
          <wp:inline distT="0" distB="0" distL="0" distR="0">
            <wp:extent cx="3787140" cy="1737360"/>
            <wp:docPr id="43" name=""/>
            <a:graphic xmlns:a="http://schemas.openxmlformats.org/drawingml/2006/main">
              <a:graphicData uri="http://schemas.openxmlformats.org/drawingml/2006/picture">
                <pic:pic xmlns:pic="http://schemas.openxmlformats.org/drawingml/2006/picture">
                  <pic:nvPicPr>
                    <pic:cNvPr id="42" name="Picture "/>
                    <pic:cNvPicPr/>
                  </pic:nvPicPr>
                  <pic:blipFill>
                    <a:blip r:embed="id42"/>
                    <a:stretch>
                      <a:fillRect/>
                    </a:stretch>
                  </pic:blipFill>
                  <pic:spPr>
                    <a:xfrm>
                      <a:off x="0" y="0"/>
                      <a:ext cx="3787140" cy="173736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"http://www.redjurista.com/document.aspx?ajcode=d4444010&amp;arts=203"</w:instrText>
      </w:r>
      <w:r>
        <w:fldChar w:fldCharType="separate"/>
      </w:r>
      <w:r>
        <w:rPr>
          <w:rFonts w:hAnsi="Arial"/>
          <w:rFonts w:ascii="Arial"/>
          <w:sz w:val="24"/>
          <w:i/>
          <w:u w:val="single"/>
          <w:color w:val="black"/>
        </w:rPr>
        <w:t>203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39" w:name="SUBSECCIÓN 2.3.1.3.8.4"/>
      <w:r>
        <w:rPr>
          <w:rFonts w:hAnsi="Arial"/>
          <w:rFonts w:ascii="Arial"/>
          <w:sz w:val="24"/>
          <w:color w:val="navy"/>
        </w:rPr>
        <w:t xml:space="preserve">SUBSECCIΣN 4. </w:t>
      </w:r>
    </w:p>
    <w:p>
      <w:pPr>
        <w:jc w:val="center"/>
      </w:pPr>
      <w:r>
        <w:rPr>
          <w:rFonts w:hAnsi="Arial"/>
          <w:rFonts w:ascii="Arial"/>
          <w:sz w:val="24"/>
          <w:color w:val="navy"/>
        </w:rPr>
        <w:t xml:space="preserve">MEDALLA "ALUMNO DISTINGUIDO DE LA ESCUELA NAVAL DE SUBOFICIALES ARC - BARRANQUILLA".</w:t>
      </w:r>
      <w:bookmarkEnd w:id="6103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40" w:name="2.3.1.3.8.4.1"/>
      <w:r>
        <w:rPr>
          <w:rFonts w:hAnsi="Arial"/>
          <w:rFonts w:ascii="Arial"/>
          <w:sz w:val="24"/>
          <w:color w:val="navy"/>
        </w:rPr>
        <w:t xml:space="preserve">ARTΝCULO 2.3.1.3.8.4.1. </w:t>
      </w:r>
      <w:r>
        <w:rPr>
          <w:rFonts w:hAnsi="Arial"/>
          <w:rFonts w:ascii="Arial"/>
          <w:sz w:val="24"/>
          <w:i/>
          <w:color w:val="navy"/>
        </w:rPr>
        <w:t>ORIGEN.</w:t>
      </w:r>
      <w:bookmarkEnd w:id="61040"/>
      <w:r>
        <w:rPr>
          <w:rFonts w:hAnsi="Arial"/>
          <w:rFonts w:ascii="Arial"/>
          <w:sz w:val="24"/>
          <w:b/>
          <w:i/>
          <w:color w:val="black"/>
        </w:rPr>
        <w:t xml:space="preserve"> </w:t>
      </w:r>
      <w:r>
        <w:rPr>
          <w:rFonts w:hAnsi="Arial"/>
          <w:rFonts w:ascii="Arial"/>
          <w:sz w:val="24"/>
          <w:color w:val="black"/>
        </w:rPr>
        <w:t xml:space="preserve">La Medalla Militar "Alumno Distinguido de la Escuela Naval de Suboficiales" fue creada en el artνculo </w:t>
      </w:r>
      <w:r>
        <w:fldChar w:fldCharType="begin"/>
      </w:r>
      <w:r>
        <w:instrText>HYPERLINK "http://www.redjurista.com/document.aspx?ajcode=d1816007&amp;arts=187"</w:instrText>
      </w:r>
      <w:r>
        <w:fldChar w:fldCharType="separate"/>
      </w:r>
      <w:r>
        <w:rPr>
          <w:rFonts w:hAnsi="Arial"/>
          <w:rFonts w:ascii="Arial"/>
          <w:sz w:val="24"/>
          <w:u w:val="single"/>
          <w:color w:val="black"/>
        </w:rPr>
        <w:t>187</w:t>
      </w:r>
      <w:r>
        <w:fldChar w:fldCharType="end"/>
      </w:r>
      <w:r>
        <w:rPr>
          <w:rFonts w:hAnsi="Arial"/>
          <w:rFonts w:ascii="Arial"/>
          <w:sz w:val="24"/>
          <w:u w:val="none"/>
          <w:color w:val="black"/>
        </w:rPr>
        <w:t xml:space="preserve"> del Decreto 1816 de 2007, para estimular y premiar al personal que haya sobresalido por sus mιritos acadιmicos, conducta y aptitud naval en su desempeρo como alumnos de la Escuela Naval de Suboficiales.</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"http://www.redjurista.com/document.aspx?ajcode=d4444010&amp;arts=204"</w:instrText>
      </w:r>
      <w:r>
        <w:fldChar w:fldCharType="separate"/>
      </w:r>
      <w:r>
        <w:rPr>
          <w:rFonts w:hAnsi="Arial"/>
          <w:rFonts w:ascii="Arial"/>
          <w:sz w:val="24"/>
          <w:i/>
          <w:u w:val="single"/>
          <w:color w:val="black"/>
        </w:rPr>
        <w:t>204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41" w:name="2.3.1.3.8.4.2"/>
      <w:r>
        <w:rPr>
          <w:rFonts w:hAnsi="Arial"/>
          <w:rFonts w:ascii="Arial"/>
          <w:sz w:val="24"/>
          <w:color w:val="navy"/>
        </w:rPr>
        <w:t xml:space="preserve">ARTΝCULO 2.3.1.3.8.4.2. </w:t>
      </w:r>
      <w:r>
        <w:rPr>
          <w:rFonts w:hAnsi="Arial"/>
          <w:rFonts w:ascii="Arial"/>
          <w:sz w:val="24"/>
          <w:i/>
          <w:color w:val="navy"/>
        </w:rPr>
        <w:t xml:space="preserve">OTORGAMIENTO E IMPOSICIΣN.</w:t>
      </w:r>
      <w:bookmarkEnd w:id="61041"/>
      <w:r>
        <w:rPr>
          <w:rFonts w:hAnsi="Arial"/>
          <w:rFonts w:ascii="Arial"/>
          <w:sz w:val="24"/>
          <w:b/>
          <w:i/>
          <w:color w:val="black"/>
        </w:rPr>
        <w:t xml:space="preserve"> </w:t>
      </w:r>
      <w:r>
        <w:rPr>
          <w:rFonts w:hAnsi="Arial"/>
          <w:rFonts w:ascii="Arial"/>
          <w:sz w:val="24"/>
          <w:color w:val="black"/>
        </w:rPr>
        <w:t xml:space="preserve">La medalla se otorgarα a juicio del Consejo de la Medalla, constituido por el Director de la Escuela como Presidente, el Subdirector como Vicepresidente, el Decano Acadιmico y el Comandante del Batallσn Naval como vocales y el Secretario Acadιmico como secretario. Las atribuciones y funciones de los integrantes del Consejo serαn iguales a las estipuladas en el artνculo </w:t>
      </w:r>
      <w:r>
        <w:fldChar w:fldCharType="begin"/>
      </w:r>
      <w:r>
        <w:instrText>HYPERLINK "http://www.redjurista.com/document.aspx?ajcode=d1070015&amp;arts=2.3.1.3.5.3"</w:instrText>
      </w:r>
      <w:r>
        <w:fldChar w:fldCharType="separate"/>
      </w:r>
      <w:r>
        <w:rPr>
          <w:rFonts w:hAnsi="Arial"/>
          <w:rFonts w:ascii="Arial"/>
          <w:sz w:val="24"/>
          <w:u w:val="single"/>
          <w:color w:val="black"/>
        </w:rPr>
        <w:t>2.3.1.3.5.3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Los alumnos propuestos como candidatos a la medalla deben llenar los siguientes requisitos sobre el promedio de sus calificaciones, asν:</w:t>
      </w:r>
    </w:p>
    <w:p>
      <w:pPr>
        <w:jc w:val="both"/>
      </w:pPr>
      <w:rPr>
        <w:sz w:val="24"/>
        <w:color w:val="black"/>
      </w:rPr>
    </w:p>
    <w:p>
      <w:pPr>
        <w:jc w:val="both"/>
      </w:pPr>
      <w:r>
        <w:rPr>
          <w:rFonts w:hAnsi="Arial"/>
          <w:rFonts w:ascii="Arial"/>
          <w:sz w:val="24"/>
          <w:color w:val="black"/>
        </w:rPr>
        <w:t xml:space="preserve">1. Conducta 10/10.</w:t>
      </w:r>
    </w:p>
    <w:p>
      <w:pPr>
        <w:jc w:val="both"/>
      </w:pPr>
      <w:rPr>
        <w:sz w:val="24"/>
        <w:color w:val="black"/>
      </w:rPr>
    </w:p>
    <w:p>
      <w:pPr>
        <w:jc w:val="both"/>
      </w:pPr>
      <w:r>
        <w:rPr>
          <w:rFonts w:hAnsi="Arial"/>
          <w:rFonts w:ascii="Arial"/>
          <w:sz w:val="24"/>
          <w:color w:val="black"/>
        </w:rPr>
        <w:t xml:space="preserve">2. Aptitud Naval 9/10. Ninguna nota, de los conceptos que la integran inferior a 8.5/10.</w:t>
      </w:r>
    </w:p>
    <w:p>
      <w:pPr>
        <w:jc w:val="both"/>
      </w:pPr>
      <w:rPr>
        <w:sz w:val="24"/>
        <w:color w:val="black"/>
      </w:rPr>
    </w:p>
    <w:p>
      <w:pPr>
        <w:jc w:val="both"/>
      </w:pPr>
      <w:r>
        <w:rPr>
          <w:rFonts w:hAnsi="Arial"/>
          <w:rFonts w:ascii="Arial"/>
          <w:sz w:val="24"/>
          <w:color w:val="black"/>
        </w:rPr>
        <w:t xml:space="preserve">3. Acadιmico ponderado 9.0/10.</w:t>
      </w:r>
    </w:p>
    <w:p>
      <w:pPr>
        <w:jc w:val="both"/>
      </w:pPr>
      <w:rPr>
        <w:sz w:val="24"/>
        <w:color w:val="black"/>
      </w:rPr>
    </w:p>
    <w:p>
      <w:pPr>
        <w:jc w:val="both"/>
      </w:pPr>
      <w:r>
        <w:rPr>
          <w:rFonts w:hAnsi="Arial"/>
          <w:rFonts w:ascii="Arial"/>
          <w:sz w:val="24"/>
          <w:color w:val="black"/>
        </w:rPr>
        <w:t xml:space="preserve">4. Ninguna materia al finalizar el tιrmino acadιmico con nota inferior a 8.5/10.</w:t>
      </w:r>
    </w:p>
    <w:p>
      <w:pPr>
        <w:jc w:val="both"/>
      </w:pPr>
      <w:rPr>
        <w:sz w:val="24"/>
        <w:color w:val="black"/>
      </w:rPr>
    </w:p>
    <w:p>
      <w:pPr>
        <w:jc w:val="both"/>
      </w:pPr>
      <w:r>
        <w:rPr>
          <w:rFonts w:hAnsi="Arial"/>
          <w:rFonts w:ascii="Arial"/>
          <w:sz w:val="24"/>
          <w:color w:val="black"/>
        </w:rPr>
        <w:t xml:space="preserve">El otorgamiento de la medalla deberα publicarse por la orden del dνa de la Unidad.</w:t>
      </w:r>
    </w:p>
    <w:p>
      <w:pPr>
        <w:jc w:val="both"/>
      </w:pPr>
      <w:rPr>
        <w:sz w:val="24"/>
        <w:color w:val="black"/>
      </w:rPr>
    </w:p>
    <w:p>
      <w:pPr>
        <w:jc w:val="both"/>
      </w:pPr>
      <w:r>
        <w:rPr>
          <w:rFonts w:hAnsi="Arial"/>
          <w:rFonts w:ascii="Arial"/>
          <w:sz w:val="24"/>
          <w:color w:val="black"/>
        </w:rPr>
        <w:t xml:space="preserve">La Medalla se puede conferir cuantas veces el alumno se haga acreedor a ella, y para efectos del uso, en la venera, se agregarα una estrella plateada de cinco (5) puntas por cada dos veces consecutivas que le sea otorgada, hasta un mαximo de tres (3) estrellas. Se impondrα en ceremonia militar en la Escuela Naval de Suboficiales A.R.C. "Barranquilla", conforme al Reglamento de Protocolo Militar. La Medalla podrα ser otorgada en forma pσstuma.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"http://www.redjurista.com/document.aspx?ajcode=d4444010&amp;arts=205"</w:instrText>
      </w:r>
      <w:r>
        <w:fldChar w:fldCharType="separate"/>
      </w:r>
      <w:r>
        <w:rPr>
          <w:rFonts w:hAnsi="Arial"/>
          <w:rFonts w:ascii="Arial"/>
          <w:sz w:val="24"/>
          <w:i/>
          <w:u w:val="single"/>
          <w:color w:val="black"/>
        </w:rPr>
        <w:t>205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42" w:name="2.3.1.3.8.4.3"/>
      <w:r>
        <w:rPr>
          <w:rFonts w:hAnsi="Arial"/>
          <w:rFonts w:ascii="Arial"/>
          <w:sz w:val="24"/>
          <w:color w:val="navy"/>
        </w:rPr>
        <w:t xml:space="preserve">ARTΝCULO 2.3.1.3.8.4.3. </w:t>
      </w:r>
      <w:r>
        <w:rPr>
          <w:rFonts w:hAnsi="Arial"/>
          <w:rFonts w:ascii="Arial"/>
          <w:sz w:val="24"/>
          <w:i/>
          <w:color w:val="navy"/>
        </w:rPr>
        <w:t>CARACTERΝSTICAS.</w:t>
      </w:r>
      <w:bookmarkEnd w:id="61042"/>
      <w:r>
        <w:rPr>
          <w:rFonts w:hAnsi="Arial"/>
          <w:rFonts w:ascii="Arial"/>
          <w:sz w:val="24"/>
          <w:b/>
          <w:i/>
          <w:color w:val="black"/>
        </w:rPr>
        <w:t xml:space="preserve"> </w:t>
      </w:r>
      <w:r>
        <w:rPr>
          <w:rFonts w:hAnsi="Arial"/>
          <w:rFonts w:ascii="Arial"/>
          <w:sz w:val="24"/>
          <w:color w:val="black"/>
        </w:rPr>
        <w:t xml:space="preserve">La joya consiste en una medalla dorada de 40 milνmetros de diαmetro. En su anverso lleva en relieve el Escudo de la Escuela Naval de Suboficiales A.R.C. "Barranquilla", en la mitad superior en forma semicircular el letrero "Fuerzas Militares de Colombia" y en la mitad inferior el letrero "Armada Nacional". En el reverso lleva en la mitad superior en forma semicircular el nombre "Escuela Naval de Suboficiales A.R.C. Barranquilla" en el centro "Alumno Distinguido". Va sujeta por una argolla a una cinta de 40 milνmetros de ancho con los colores del escudo de la Escuela en franjas de las siguientes dimensiones de derecha a izquierda, azul marino 20 milνmetros, blanco 10 milνmetros y azul marino 10 milνmetros.</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"http://www.redjurista.com/document.aspx?ajcode=d4444010&amp;arts=206"</w:instrText>
      </w:r>
      <w:r>
        <w:fldChar w:fldCharType="separate"/>
      </w:r>
      <w:r>
        <w:rPr>
          <w:rFonts w:hAnsi="Arial"/>
          <w:rFonts w:ascii="Arial"/>
          <w:sz w:val="24"/>
          <w:i/>
          <w:u w:val="single"/>
          <w:color w:val="black"/>
        </w:rPr>
        <w:t>206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43" w:name="2.3.1.3.8.4.4"/>
      <w:r>
        <w:rPr>
          <w:rFonts w:hAnsi="Arial"/>
          <w:rFonts w:ascii="Arial"/>
          <w:sz w:val="24"/>
          <w:color w:val="navy"/>
        </w:rPr>
        <w:t xml:space="preserve">ARTΝCULO 2.3.1.3.8.4.4. </w:t>
      </w:r>
      <w:r>
        <w:rPr>
          <w:rFonts w:hAnsi="Arial"/>
          <w:rFonts w:ascii="Arial"/>
          <w:sz w:val="24"/>
          <w:i/>
          <w:color w:val="navy"/>
        </w:rPr>
        <w:t>DIPLOMA</w:t>
      </w:r>
      <w:r>
        <w:rPr>
          <w:rFonts w:hAnsi="Arial"/>
          <w:rFonts w:ascii="Arial"/>
          <w:sz w:val="24"/>
          <w:color w:val="navy"/>
        </w:rPr>
        <w:t>.</w:t>
      </w:r>
      <w:bookmarkEnd w:id="61043"/>
      <w:r>
        <w:rPr>
          <w:rFonts w:hAnsi="Arial"/>
          <w:rFonts w:ascii="Arial"/>
          <w:sz w:val="24"/>
          <w:b/>
          <w:color w:val="black"/>
        </w:rPr>
        <w:t xml:space="preserve"> </w:t>
      </w:r>
      <w:r>
        <w:rPr>
          <w:rFonts w:hAnsi="Arial"/>
          <w:rFonts w:ascii="Arial"/>
          <w:sz w:val="24"/>
          <w:color w:val="black"/>
        </w:rPr>
        <w:t xml:space="preserve">La Medalla se acredita con un diploma elaborado en papel pergamino o cartulina blanca de treinta y cinco (35) centνmetros de largo por veinticinco (25) centνmetros de ancho, con el dibujo del anverso de la medalla al lado izquierdo superior y el del reverso al lado derecho superior y la siguiente leyenda:</w:t>
      </w:r>
    </w:p>
    <w:p>
      <w:pPr>
        <w:jc w:val="center"/>
      </w:pPr>
      <w:r>
        <w:drawing>
          <wp:inline distT="0" distB="0" distL="0" distR="0">
            <wp:extent cx="3589020" cy="1623060"/>
            <wp:docPr id="44" name=""/>
            <a:graphic xmlns:a="http://schemas.openxmlformats.org/drawingml/2006/main">
              <a:graphicData uri="http://schemas.openxmlformats.org/drawingml/2006/picture">
                <pic:pic xmlns:pic="http://schemas.openxmlformats.org/drawingml/2006/picture">
                  <pic:nvPicPr>
                    <pic:cNvPr id="43" name="Picture "/>
                    <pic:cNvPicPr/>
                  </pic:nvPicPr>
                  <pic:blipFill>
                    <a:blip r:embed="id43"/>
                    <a:stretch>
                      <a:fillRect/>
                    </a:stretch>
                  </pic:blipFill>
                  <pic:spPr>
                    <a:xfrm>
                      <a:off x="0" y="0"/>
                      <a:ext cx="3589020" cy="162306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"http://www.redjurista.com/document.aspx?ajcode=d4444010&amp;arts=207"</w:instrText>
      </w:r>
      <w:r>
        <w:fldChar w:fldCharType="separate"/>
      </w:r>
      <w:r>
        <w:rPr>
          <w:rFonts w:hAnsi="Arial"/>
          <w:rFonts w:ascii="Arial"/>
          <w:sz w:val="24"/>
          <w:i/>
          <w:u w:val="single"/>
          <w:color w:val="black"/>
        </w:rPr>
        <w:t>207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44" w:name="SUBSECCIÓN 2.3.1.3.8.5"/>
      <w:r>
        <w:rPr>
          <w:rFonts w:hAnsi="Arial"/>
          <w:rFonts w:ascii="Arial"/>
          <w:sz w:val="24"/>
          <w:color w:val="navy"/>
        </w:rPr>
        <w:t xml:space="preserve">SUBSECCIΣN 5. </w:t>
      </w:r>
    </w:p>
    <w:p>
      <w:pPr>
        <w:jc w:val="center"/>
      </w:pPr>
      <w:r>
        <w:rPr>
          <w:rFonts w:hAnsi="Arial"/>
          <w:rFonts w:ascii="Arial"/>
          <w:sz w:val="24"/>
          <w:color w:val="navy"/>
        </w:rPr>
        <w:t xml:space="preserve">MEDALLA MILITAR "ALUMNO DISTINGUIDO DE LA ESCUELA DE FORMACIΣN DE INFANTERΝA DE MARINA".</w:t>
      </w:r>
      <w:bookmarkEnd w:id="6104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45" w:name="2.3.1.3.8.5.1"/>
      <w:r>
        <w:rPr>
          <w:rFonts w:hAnsi="Arial"/>
          <w:rFonts w:ascii="Arial"/>
          <w:sz w:val="24"/>
          <w:color w:val="navy"/>
        </w:rPr>
        <w:t xml:space="preserve">ARTΝCULO 2.3.1.3.8.5.1. </w:t>
      </w:r>
      <w:r>
        <w:rPr>
          <w:rFonts w:hAnsi="Arial"/>
          <w:rFonts w:ascii="Arial"/>
          <w:sz w:val="24"/>
          <w:i/>
          <w:color w:val="navy"/>
        </w:rPr>
        <w:t>ORIGEN.</w:t>
      </w:r>
      <w:bookmarkEnd w:id="61045"/>
      <w:r>
        <w:rPr>
          <w:rFonts w:hAnsi="Arial"/>
          <w:rFonts w:ascii="Arial"/>
          <w:sz w:val="24"/>
          <w:b/>
          <w:i/>
          <w:color w:val="black"/>
        </w:rPr>
        <w:t xml:space="preserve"> </w:t>
      </w:r>
      <w:r>
        <w:rPr>
          <w:rFonts w:hAnsi="Arial"/>
          <w:rFonts w:ascii="Arial"/>
          <w:sz w:val="24"/>
          <w:color w:val="black"/>
        </w:rPr>
        <w:t xml:space="preserve">Creada mediante decreto nϊmero </w:t>
      </w:r>
      <w:r>
        <w:fldChar w:fldCharType="begin"/>
      </w:r>
      <w:r>
        <w:instrText>HYPERLINK "http://www.redjurista.com/document.aspx?ajcode=d0151014&amp;arts=INICIO"</w:instrText>
      </w:r>
      <w:r>
        <w:fldChar w:fldCharType="separate"/>
      </w:r>
      <w:r>
        <w:rPr>
          <w:rFonts w:hAnsi="Arial"/>
          <w:rFonts w:ascii="Arial"/>
          <w:sz w:val="24"/>
          <w:u w:val="single"/>
          <w:color w:val="black"/>
        </w:rPr>
        <w:t>151</w:t>
      </w:r>
      <w:r>
        <w:fldChar w:fldCharType="end"/>
      </w:r>
      <w:r>
        <w:rPr>
          <w:rFonts w:hAnsi="Arial"/>
          <w:rFonts w:ascii="Arial"/>
          <w:sz w:val="24"/>
          <w:u w:val="none"/>
          <w:color w:val="black"/>
        </w:rPr>
        <w:t xml:space="preserve"> del 5 de febrero de 2014, para estimular y premiar al personal que haya sobresalido por sus mιritos Crιase la Medalla Militar "Alumno Distinguido de la Escuela de Formaciσn de Infanterνa de Marina", que serα impuesta al alumno que ademαs de los requisitos establecidos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Capνtulo, cumpla con los siguientes requisitos para su otorgamiento, asν:</w:t>
      </w:r>
    </w:p>
    <w:p>
      <w:pPr>
        <w:jc w:val="both"/>
      </w:pPr>
      <w:rPr>
        <w:sz w:val="24"/>
        <w:color w:val="black"/>
      </w:rPr>
    </w:p>
    <w:p>
      <w:pPr>
        <w:jc w:val="both"/>
      </w:pPr>
      <w:r>
        <w:rPr>
          <w:rFonts w:hAnsi="Arial"/>
          <w:rFonts w:ascii="Arial"/>
          <w:sz w:val="24"/>
          <w:color w:val="black"/>
        </w:rPr>
        <w:t xml:space="preserve">1. Obtener un promedio de calificaciones de 10/10 en conducta.</w:t>
      </w:r>
    </w:p>
    <w:p>
      <w:pPr>
        <w:jc w:val="both"/>
      </w:pPr>
      <w:rPr>
        <w:sz w:val="24"/>
        <w:color w:val="black"/>
      </w:rPr>
    </w:p>
    <w:p>
      <w:pPr>
        <w:jc w:val="both"/>
      </w:pPr>
      <w:r>
        <w:rPr>
          <w:rFonts w:hAnsi="Arial"/>
          <w:rFonts w:ascii="Arial"/>
          <w:sz w:val="24"/>
          <w:color w:val="black"/>
        </w:rPr>
        <w:t xml:space="preserve">2. Aptitud Militar 9/10, Ninguna nota, de los conceptos que la integran puede ser inferior a 8.5/10.</w:t>
      </w:r>
    </w:p>
    <w:p>
      <w:pPr>
        <w:jc w:val="both"/>
      </w:pPr>
      <w:rPr>
        <w:sz w:val="24"/>
        <w:color w:val="black"/>
      </w:rPr>
    </w:p>
    <w:p>
      <w:pPr>
        <w:jc w:val="both"/>
      </w:pPr>
      <w:r>
        <w:rPr>
          <w:rFonts w:hAnsi="Arial"/>
          <w:rFonts w:ascii="Arial"/>
          <w:sz w:val="24"/>
          <w:color w:val="black"/>
        </w:rPr>
        <w:t xml:space="preserve">3. Acadιmico ponderado 9.0/10.</w:t>
      </w:r>
    </w:p>
    <w:p>
      <w:pPr>
        <w:jc w:val="both"/>
      </w:pPr>
      <w:rPr>
        <w:sz w:val="24"/>
        <w:color w:val="black"/>
      </w:rPr>
    </w:p>
    <w:p>
      <w:pPr>
        <w:jc w:val="both"/>
      </w:pPr>
      <w:r>
        <w:rPr>
          <w:rFonts w:hAnsi="Arial"/>
          <w:rFonts w:ascii="Arial"/>
          <w:sz w:val="24"/>
          <w:color w:val="black"/>
        </w:rPr>
        <w:t xml:space="preserve">4. Ninguna materia al finalizar el perνodo acadιmico puede tener nota inferior a 8.5/10.</w:t>
      </w:r>
    </w:p>
    <w:p>
      <w:pPr>
        <w:jc w:val="both"/>
      </w:pPr>
      <w:rPr>
        <w:sz w:val="24"/>
        <w:color w:val="black"/>
      </w:rPr>
    </w:p>
    <w:p>
      <w:pPr>
        <w:jc w:val="both"/>
      </w:pPr>
      <w:r>
        <w:rPr>
          <w:rFonts w:hAnsi="Arial"/>
          <w:rFonts w:ascii="Arial"/>
          <w:sz w:val="24"/>
          <w:i/>
          <w:color w:val="black"/>
        </w:rPr>
        <w:t xml:space="preserve">(Decreto 0151 de 2014 artνculo </w:t>
      </w:r>
      <w:r>
        <w:fldChar w:fldCharType="begin"/>
      </w:r>
      <w:r>
        <w:instrText>HYPERLINK "http://www.redjurista.com/document.aspx?ajcode=d0151014&amp;arts=1"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046" w:name="2.3.1.3.8.5.2"/>
      <w:r>
        <w:rPr>
          <w:rFonts w:hAnsi="Arial"/>
          <w:rFonts w:ascii="Arial"/>
          <w:sz w:val="24"/>
          <w:color w:val="navy"/>
        </w:rPr>
        <w:t xml:space="preserve">ARTΝCULO 2.3.1.3.8.5.2. </w:t>
      </w:r>
      <w:r>
        <w:rPr>
          <w:rFonts w:hAnsi="Arial"/>
          <w:rFonts w:ascii="Arial"/>
          <w:sz w:val="24"/>
          <w:i/>
          <w:color w:val="navy"/>
        </w:rPr>
        <w:t>CARACTERΝSTICAS.</w:t>
      </w:r>
      <w:bookmarkEnd w:id="61046"/>
      <w:r>
        <w:rPr>
          <w:rFonts w:hAnsi="Arial"/>
          <w:rFonts w:ascii="Arial"/>
          <w:sz w:val="24"/>
          <w:b/>
          <w:i/>
          <w:color w:val="black"/>
        </w:rPr>
        <w:t xml:space="preserve"> </w:t>
      </w:r>
      <w:r>
        <w:rPr>
          <w:rFonts w:hAnsi="Arial"/>
          <w:rFonts w:ascii="Arial"/>
          <w:sz w:val="24"/>
          <w:color w:val="black"/>
        </w:rPr>
        <w:t xml:space="preserve">La Joya de la Medalla Militar "Alumno Distinguido de la Escuela de Formaciσn de Infanterνa de Marina", consiste en una Medalla dorada de 50 milνmetros de diαmetro. En su anverso lleva en relieve el escudo de la Escuela de Formaciσn de Infanterνa de Marina, en la mitad superior en forma semicircular el letrero: "FUERZAS MILITARES DE COLOMBIA" y en la mitad inferior el letrero "ARMADA NACIONAL".</w:t>
      </w:r>
    </w:p>
    <w:p>
      <w:pPr>
        <w:jc w:val="both"/>
      </w:pPr>
      <w:rPr>
        <w:sz w:val="24"/>
        <w:color w:val="black"/>
      </w:rPr>
    </w:p>
    <w:p>
      <w:pPr>
        <w:jc w:val="both"/>
      </w:pPr>
      <w:r>
        <w:rPr>
          <w:rFonts w:hAnsi="Arial"/>
          <w:rFonts w:ascii="Arial"/>
          <w:sz w:val="24"/>
          <w:color w:val="black"/>
        </w:rPr>
        <w:t xml:space="preserve">En el reverso lleva en la mitad superior en forma semicircular la leyenda "ESCUELA DE FORMACIΣN DE INFANTERΝA DE MARINA", en la mitad inferior "DISCIPLINA Y TRABAJO" y en el centro en un primer renglσn "ALUMNO DISTINGUIDO". Va sujeta por una argolla a una cinta de 55 milνmetros de larga, 50 milνmetros de ancho con los colores del escudo de la Escuela de Formaciσn de Infanterνa de Marina en franjas de las siguientes dimensiones de derecha a izquierda: Azul marino 20 milνmetros (propio del pendσn de la Armada Nacional), rojo 10 milνmetros (Propio por centurias de los ejιrcitos que combaten a pie), y azul marino 10 milνmetros.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miniatura o rιplica serα una Medalla similar a la joya de la condecoraciσn, de quince (15) milνmetros de diαmetro y suspendida de una cinta semejante a la de aquella, pero de quince (15) milνmetros de ancho por treinta y cinco (35) milνmetros de largo.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venera serα metαlica, esmaltada al fuego, de cuarenta (40) milνmetros de largo por diez (10) milνmetros de ancho. Sus colores y detalles serαn los mismos de la cinta de la joya.</w:t>
      </w:r>
    </w:p>
    <w:p>
      <w:pPr>
        <w:jc w:val="both"/>
      </w:pPr>
      <w:rPr>
        <w:sz w:val="24"/>
        <w:color w:val="black"/>
      </w:rPr>
    </w:p>
    <w:p>
      <w:pPr>
        <w:jc w:val="both"/>
      </w:pPr>
      <w:r>
        <w:rPr>
          <w:rFonts w:hAnsi="Arial"/>
          <w:rFonts w:ascii="Arial"/>
          <w:sz w:val="24"/>
          <w:i/>
          <w:color w:val="black"/>
        </w:rPr>
        <w:t xml:space="preserve">(Decreto 0151 de 2014 artνculo </w:t>
      </w:r>
      <w:r>
        <w:fldChar w:fldCharType="begin"/>
      </w:r>
      <w:r>
        <w:instrText>HYPERLINK "http://www.redjurista.com/document.aspx?ajcode=d0151014&amp;arts=2"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047" w:name="2.3.1.3.8.5.3"/>
      <w:r>
        <w:rPr>
          <w:rFonts w:hAnsi="Arial"/>
          <w:rFonts w:ascii="Arial"/>
          <w:sz w:val="24"/>
          <w:color w:val="navy"/>
        </w:rPr>
        <w:t xml:space="preserve">ARTΝCULO 2.3.1.3.8.5.3. </w:t>
      </w:r>
      <w:r>
        <w:rPr>
          <w:rFonts w:hAnsi="Arial"/>
          <w:rFonts w:ascii="Arial"/>
          <w:sz w:val="24"/>
          <w:i/>
          <w:color w:val="navy"/>
        </w:rPr>
        <w:t>CONSEJO.</w:t>
      </w:r>
      <w:bookmarkEnd w:id="61047"/>
      <w:r>
        <w:rPr>
          <w:rFonts w:hAnsi="Arial"/>
          <w:rFonts w:ascii="Arial"/>
          <w:sz w:val="24"/>
          <w:b/>
          <w:i/>
          <w:color w:val="black"/>
        </w:rPr>
        <w:t xml:space="preserve"> </w:t>
      </w:r>
      <w:r>
        <w:rPr>
          <w:rFonts w:hAnsi="Arial"/>
          <w:rFonts w:ascii="Arial"/>
          <w:sz w:val="24"/>
          <w:color w:val="black"/>
        </w:rPr>
        <w:t xml:space="preserve">El Consejo de la Medalla Militar Alumno Distinguido de la Escuela de Formaciσn de Infanterνa de Marina", estarα conformado de la siguiente manera:</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Director de la Escuela de Formaciσn de Infanterνa de Marina.</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Subdirector de la Escuela de Formaciσn de Infanterνa de Marina.</w:t>
      </w:r>
    </w:p>
    <w:p>
      <w:pPr>
        <w:jc w:val="both"/>
      </w:pPr>
      <w:rPr>
        <w:sz w:val="24"/>
        <w:color w:val="black"/>
      </w:rPr>
    </w:p>
    <w:p>
      <w:pPr>
        <w:jc w:val="both"/>
      </w:pPr>
      <w:r>
        <w:rPr>
          <w:rFonts w:hAnsi="Arial"/>
          <w:rFonts w:ascii="Arial"/>
          <w:sz w:val="24"/>
          <w:b/>
          <w:color w:val="black"/>
        </w:rPr>
        <w:t xml:space="preserve">Vocales: </w:t>
      </w:r>
      <w:r>
        <w:rPr>
          <w:rFonts w:hAnsi="Arial"/>
          <w:rFonts w:ascii="Arial"/>
          <w:sz w:val="24"/>
          <w:color w:val="black"/>
        </w:rPr>
        <w:t xml:space="preserve">Decano Acadιmico Escuela de Formaciσn de Infanterνa de Marina y Comandante del Batallσn de Alumnos de la Escuela de Formaciσn de Infanterνa de Marina.</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Jefe de Personal de la Escuela de Formaciσn de Infanterνa de Marina.</w:t>
      </w:r>
    </w:p>
    <w:p>
      <w:pPr>
        <w:jc w:val="both"/>
      </w:pPr>
      <w:rPr>
        <w:sz w:val="24"/>
        <w:color w:val="black"/>
      </w:rPr>
    </w:p>
    <w:p>
      <w:pPr>
        <w:jc w:val="both"/>
      </w:pPr>
      <w:r>
        <w:rPr>
          <w:rFonts w:hAnsi="Arial"/>
          <w:rFonts w:ascii="Arial"/>
          <w:sz w:val="24"/>
          <w:i/>
          <w:color w:val="black"/>
        </w:rPr>
        <w:t xml:space="preserve">(Decreto 0151 de 2014 artνculo </w:t>
      </w:r>
      <w:r>
        <w:fldChar w:fldCharType="begin"/>
      </w:r>
      <w:r>
        <w:instrText>HYPERLINK "http://www.redjurista.com/document.aspx?ajcode=d0151014&amp;arts=3"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048" w:name="2.3.1.3.8.5.4"/>
      <w:r>
        <w:rPr>
          <w:rFonts w:hAnsi="Arial"/>
          <w:rFonts w:ascii="Arial"/>
          <w:sz w:val="24"/>
          <w:color w:val="navy"/>
        </w:rPr>
        <w:t xml:space="preserve">ARTΝCULO 2.3.1.3.8.5.4. </w:t>
      </w:r>
      <w:r>
        <w:rPr>
          <w:rFonts w:hAnsi="Arial"/>
          <w:rFonts w:ascii="Arial"/>
          <w:sz w:val="24"/>
          <w:i/>
          <w:color w:val="navy"/>
        </w:rPr>
        <w:t>OTORGAMIENTO.</w:t>
      </w:r>
      <w:bookmarkEnd w:id="61048"/>
      <w:r>
        <w:rPr>
          <w:rFonts w:hAnsi="Arial"/>
          <w:rFonts w:ascii="Arial"/>
          <w:sz w:val="24"/>
          <w:b/>
          <w:i/>
          <w:color w:val="black"/>
        </w:rPr>
        <w:t xml:space="preserve"> </w:t>
      </w:r>
      <w:r>
        <w:rPr>
          <w:rFonts w:hAnsi="Arial"/>
          <w:rFonts w:ascii="Arial"/>
          <w:sz w:val="24"/>
          <w:color w:val="black"/>
        </w:rPr>
        <w:t xml:space="preserve">La Medalla Militar "Alumno Distinguido de la Escuela de Formaciσn de Infanterνa de Marina", se podrα conferir cuantas veces el alumno se haga acreedor a ella, y para efectos del uso, en la venera, se agregarα una estrella plateada de cinco (5) puntas por cada vez consecutiva que le sea otorgada.</w:t>
      </w:r>
    </w:p>
    <w:p>
      <w:pPr>
        <w:jc w:val="both"/>
      </w:pPr>
      <w:rPr>
        <w:sz w:val="24"/>
        <w:color w:val="black"/>
      </w:rPr>
    </w:p>
    <w:p>
      <w:pPr>
        <w:jc w:val="both"/>
      </w:pPr>
      <w:r>
        <w:rPr>
          <w:rFonts w:hAnsi="Arial"/>
          <w:rFonts w:ascii="Arial"/>
          <w:sz w:val="24"/>
          <w:i/>
          <w:color w:val="black"/>
        </w:rPr>
        <w:t xml:space="preserve">(Decreto 0151 de 2014 artνculo </w:t>
      </w:r>
      <w:r>
        <w:fldChar w:fldCharType="begin"/>
      </w:r>
      <w:r>
        <w:instrText>HYPERLINK "http://www.redjurista.com/document.aspx?ajcode=d0151014&amp;arts=4"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049" w:name="2.3.1.3.8.5.5"/>
      <w:r>
        <w:rPr>
          <w:rFonts w:hAnsi="Arial"/>
          <w:rFonts w:ascii="Arial"/>
          <w:sz w:val="24"/>
          <w:color w:val="navy"/>
        </w:rPr>
        <w:t xml:space="preserve">ARTΝCULO 2.3.1.3.8.5.5. </w:t>
      </w:r>
      <w:r>
        <w:rPr>
          <w:rFonts w:hAnsi="Arial"/>
          <w:rFonts w:ascii="Arial"/>
          <w:sz w:val="24"/>
          <w:i/>
          <w:color w:val="navy"/>
        </w:rPr>
        <w:t>IMPOSICIΣN.</w:t>
      </w:r>
      <w:bookmarkEnd w:id="61049"/>
      <w:r>
        <w:rPr>
          <w:rFonts w:hAnsi="Arial"/>
          <w:rFonts w:ascii="Arial"/>
          <w:sz w:val="24"/>
          <w:b/>
          <w:i/>
          <w:color w:val="black"/>
        </w:rPr>
        <w:t xml:space="preserve"> </w:t>
      </w:r>
      <w:r>
        <w:rPr>
          <w:rFonts w:hAnsi="Arial"/>
          <w:rFonts w:ascii="Arial"/>
          <w:sz w:val="24"/>
          <w:color w:val="black"/>
        </w:rPr>
        <w:t xml:space="preserve">La imposiciσn de la Medalla Militar "Alumno Distinguido de la Escuela de Formaciσn de Infanterνa de Marina", debe revestir la mayor solemnidad. Para la ceremonia se conformarαn destacamentos de acuerdo con el reglamento de ceremonial militar y estarα presidida por el seρor Director de la Escuela de Formaciσn de Infanterνa de Marina, quien impondrα la condecoraciσn.</w:t>
      </w:r>
    </w:p>
    <w:p>
      <w:pPr>
        <w:jc w:val="both"/>
      </w:pPr>
      <w:rPr>
        <w:sz w:val="24"/>
        <w:color w:val="black"/>
      </w:rPr>
    </w:p>
    <w:p>
      <w:pPr>
        <w:jc w:val="both"/>
      </w:pPr>
      <w:r>
        <w:rPr>
          <w:rFonts w:hAnsi="Arial"/>
          <w:rFonts w:ascii="Arial"/>
          <w:sz w:val="24"/>
          <w:i/>
          <w:color w:val="black"/>
        </w:rPr>
        <w:t xml:space="preserve">(Decreto 0151 de 2014 artνculo </w:t>
      </w:r>
      <w:r>
        <w:fldChar w:fldCharType="begin"/>
      </w:r>
      <w:r>
        <w:instrText>HYPERLINK "http://www.redjurista.com/document.aspx?ajcode=d0151014&amp;arts=8"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050" w:name="SUBSECCIÓN 2.3.1.3.8.6"/>
      <w:r>
        <w:rPr>
          <w:rFonts w:hAnsi="Arial"/>
          <w:rFonts w:ascii="Arial"/>
          <w:sz w:val="24"/>
          <w:color w:val="navy"/>
        </w:rPr>
        <w:t xml:space="preserve">SUBSECCIΣN 6. </w:t>
      </w:r>
    </w:p>
    <w:p>
      <w:pPr>
        <w:jc w:val="center"/>
      </w:pPr>
      <w:r>
        <w:rPr>
          <w:rFonts w:hAnsi="Arial"/>
          <w:rFonts w:ascii="Arial"/>
          <w:sz w:val="24"/>
          <w:color w:val="navy"/>
        </w:rPr>
        <w:t xml:space="preserve">MEDALLA A LA VIRTUD "CAPITΑN JOSΙ EDMUNDO SANDOVAL".</w:t>
      </w:r>
      <w:bookmarkEnd w:id="6105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51" w:name="2.3.1.3.8.6.1"/>
      <w:r>
        <w:rPr>
          <w:rFonts w:hAnsi="Arial"/>
          <w:rFonts w:ascii="Arial"/>
          <w:sz w:val="24"/>
          <w:color w:val="navy"/>
        </w:rPr>
        <w:t xml:space="preserve">ARTΝCULO 2.3.1.3.8.6.1. </w:t>
      </w:r>
      <w:r>
        <w:rPr>
          <w:rFonts w:hAnsi="Arial"/>
          <w:rFonts w:ascii="Arial"/>
          <w:sz w:val="24"/>
          <w:i/>
          <w:color w:val="navy"/>
        </w:rPr>
        <w:t>ORIGEN.</w:t>
      </w:r>
      <w:bookmarkEnd w:id="61051"/>
      <w:r>
        <w:rPr>
          <w:rFonts w:hAnsi="Arial"/>
          <w:rFonts w:ascii="Arial"/>
          <w:sz w:val="24"/>
          <w:b/>
          <w:i/>
          <w:color w:val="black"/>
        </w:rPr>
        <w:t xml:space="preserve"> </w:t>
      </w:r>
      <w:r>
        <w:rPr>
          <w:rFonts w:hAnsi="Arial"/>
          <w:rFonts w:ascii="Arial"/>
          <w:sz w:val="24"/>
          <w:color w:val="black"/>
        </w:rPr>
        <w:t xml:space="preserve">Creada mediante el artνculo </w:t>
      </w:r>
      <w:r>
        <w:fldChar w:fldCharType="begin"/>
      </w:r>
      <w:r>
        <w:instrText>HYPERLINK "http://www.redjurista.com/document.aspx?ajcode=d1880_88&amp;arts=115"</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del Decreto 1880 de 1988 en concordancia con el artνculo </w:t>
      </w:r>
      <w:r>
        <w:fldChar w:fldCharType="begin"/>
      </w:r>
      <w:r>
        <w:instrText>HYPERLINK "http://www.redjurista.com/document.aspx?ajcode=d1776_79&amp;arts=47"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1776 de 1979, Reglamento Rιgimen Disciplinario para las Fuerzas Militares y reglamentado con el Decreto </w:t>
      </w:r>
      <w:r>
        <w:fldChar w:fldCharType="begin"/>
      </w:r>
      <w:r>
        <w:instrText>HYPERLINK "http://www.redjurista.com/document.aspx?ajcode=d1880_88&amp;arts=INICIO"</w:instrText>
      </w:r>
      <w:r>
        <w:fldChar w:fldCharType="separate"/>
      </w:r>
      <w:r>
        <w:rPr>
          <w:rFonts w:hAnsi="Arial"/>
          <w:rFonts w:ascii="Arial"/>
          <w:sz w:val="24"/>
          <w:u w:val="single"/>
          <w:color w:val="black"/>
        </w:rPr>
        <w:t>1880</w:t>
      </w:r>
      <w:r>
        <w:fldChar w:fldCharType="end"/>
      </w:r>
      <w:r>
        <w:rPr>
          <w:rFonts w:hAnsi="Arial"/>
          <w:rFonts w:ascii="Arial"/>
          <w:sz w:val="24"/>
          <w:u w:val="none"/>
          <w:color w:val="black"/>
        </w:rPr>
        <w:t xml:space="preserve"> de 1988, para resaltar y honrar la memoria de uno de los mαs eximios oficiales que ha tenido la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como mιrito acadιmico, con el fin de estimular a los alumnos de la Escuela Militar de Aviaciσn "Marco Fidel Suαrez" y alumnos de la Escuela de Suboficiales CT. Andrιs M. Dνaz, que se destaquen por su excelente rendimiento acadιmico y conducta, iniciativa e interιs por el servicio. Ostenta una sola categorνa.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"http://www.redjurista.com/document.aspx?ajcode=d4444010&amp;arts=208"</w:instrText>
      </w:r>
      <w:r>
        <w:fldChar w:fldCharType="separate"/>
      </w:r>
      <w:r>
        <w:rPr>
          <w:rFonts w:hAnsi="Arial"/>
          <w:rFonts w:ascii="Arial"/>
          <w:sz w:val="24"/>
          <w:i/>
          <w:u w:val="single"/>
          <w:color w:val="black"/>
        </w:rPr>
        <w:t>208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2" w:name="2.3.1.3.8.6.2"/>
      <w:r>
        <w:rPr>
          <w:rFonts w:hAnsi="Arial"/>
          <w:rFonts w:ascii="Arial"/>
          <w:sz w:val="24"/>
          <w:color w:val="navy"/>
        </w:rPr>
        <w:t xml:space="preserve">ARTΝCULO 2.3.1.3.8.6.2. </w:t>
      </w:r>
      <w:r>
        <w:rPr>
          <w:rFonts w:hAnsi="Arial"/>
          <w:rFonts w:ascii="Arial"/>
          <w:sz w:val="24"/>
          <w:i/>
          <w:color w:val="navy"/>
        </w:rPr>
        <w:t>OTORGAMIENTO.</w:t>
      </w:r>
      <w:bookmarkEnd w:id="61052"/>
      <w:r>
        <w:rPr>
          <w:rFonts w:hAnsi="Arial"/>
          <w:rFonts w:ascii="Arial"/>
          <w:sz w:val="24"/>
          <w:b/>
          <w:i/>
          <w:color w:val="black"/>
        </w:rPr>
        <w:t xml:space="preserve"> </w:t>
      </w:r>
      <w:r>
        <w:rPr>
          <w:rFonts w:hAnsi="Arial"/>
          <w:rFonts w:ascii="Arial"/>
          <w:sz w:val="24"/>
          <w:color w:val="black"/>
        </w:rPr>
        <w:t xml:space="preserve">Concedida por el Director de la Escuela a solicitud del Comandante de Grupo Acadιmico, a los Cadetes de la Escuela Militar de Aviaciσn "Marco Fidel Suαrez" y a los alumnos de la Escuela de Suboficiales que durante los cursos de formaciσn se destacaren por su excelente rendimiento acadιmico, iniciativa e interιs por el servicio. Su otorgamiento se publicarα por la orden del dνa y se impondrα en ceremonia especial, al finalizar el perνodo lectivo de cada promociσn. Puede ser impuesta a una misma persona cuantas veces se haga acreedora a ella.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"http://www.redjurista.com/document.aspx?ajcode=d4444010&amp;arts=209"</w:instrText>
      </w:r>
      <w:r>
        <w:fldChar w:fldCharType="separate"/>
      </w:r>
      <w:r>
        <w:rPr>
          <w:rFonts w:hAnsi="Arial"/>
          <w:rFonts w:ascii="Arial"/>
          <w:sz w:val="24"/>
          <w:i/>
          <w:u w:val="single"/>
          <w:color w:val="black"/>
        </w:rPr>
        <w:t>209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3" w:name="2.3.1.3.8.6.3"/>
      <w:r>
        <w:rPr>
          <w:rFonts w:hAnsi="Arial"/>
          <w:rFonts w:ascii="Arial"/>
          <w:sz w:val="24"/>
          <w:color w:val="navy"/>
        </w:rPr>
        <w:t xml:space="preserve">ARTΝCULO 2.3.1.3.8.6.3. </w:t>
      </w:r>
      <w:r>
        <w:rPr>
          <w:rFonts w:hAnsi="Arial"/>
          <w:rFonts w:ascii="Arial"/>
          <w:sz w:val="24"/>
          <w:i/>
          <w:color w:val="navy"/>
        </w:rPr>
        <w:t>CARACTERΝSTICAS.</w:t>
      </w:r>
      <w:bookmarkEnd w:id="61053"/>
      <w:r>
        <w:rPr>
          <w:rFonts w:hAnsi="Arial"/>
          <w:rFonts w:ascii="Arial"/>
          <w:sz w:val="24"/>
          <w:b/>
          <w:i/>
          <w:color w:val="black"/>
        </w:rPr>
        <w:t xml:space="preserve"> </w:t>
      </w:r>
      <w:r>
        <w:rPr>
          <w:rFonts w:hAnsi="Arial"/>
          <w:rFonts w:ascii="Arial"/>
          <w:sz w:val="24"/>
          <w:color w:val="black"/>
        </w:rPr>
        <w:t xml:space="preserve">La joya es una medalla dorada de cuarenta (40) milνmetros de diαmetro; en su anverso lleva una cruz de Malta de cuarenta (40) milνmetros en relieve, con la representaciσn de una pluma en posiciσn diagonal de derecha a izquierda, sνmbolo de la ciencia, y un sable en posiciσn diagonal, de izquierda a derecha, sνmbolo de la investidura del mando, ambas en material mate oscuro. En alto relieve en el centro de la cruz lleva el escudo de la Escuela dentro de un cνrculo de veinte (20) milνmetros de diαmetro del mismo metal de la medalla. En el reverso en la parte superior central lleva la leyenda "Medalla a la Virtud" debajo "Capitαn Josι Edmundo Sandoval", en la parte inferior central "Al Mejor Alumno". La medalla pende de una cinta de cuarenta y ocho (48) milνmetros de largo y cuarenta (40) milνmetros de ancho, con franjas azules de siete (7) milνmetros en los bordes laterales y en el centro, dos (2) franjas blancas contiguas a las laterales de ocho y medio (8.5) milνmetros cada una. El azul significa el celo de la verdad, la lealtad y la idea del mαs allα, el blanco la fe, la rectitud de conducta y la inocencia.</w:t>
      </w:r>
    </w:p>
    <w:p>
      <w:pPr>
        <w:jc w:val="both"/>
      </w:pPr>
      <w:rPr>
        <w:sz w:val="24"/>
        <w:color w:val="black"/>
      </w:rPr>
    </w:p>
    <w:p>
      <w:pPr>
        <w:jc w:val="both"/>
      </w:pPr>
      <w:r>
        <w:rPr>
          <w:rFonts w:hAnsi="Arial"/>
          <w:rFonts w:ascii="Arial"/>
          <w:sz w:val="24"/>
          <w:color w:val="black"/>
        </w:rPr>
        <w:t xml:space="preserve">La venera y la miniatura serαn de acuerdo con lo estipulado en el artνculo </w:t>
      </w:r>
      <w:r>
        <w:fldChar w:fldCharType="begin"/>
      </w:r>
      <w:r>
        <w:instrText>HYPERLINK "http://www.redjurista.com/document.aspx?ajcode=d1070015&amp;arts=2.3.1.3.2.3"</w:instrText>
      </w:r>
      <w:r>
        <w:fldChar w:fldCharType="separate"/>
      </w:r>
      <w:r>
        <w:rPr>
          <w:rFonts w:hAnsi="Arial"/>
          <w:rFonts w:ascii="Arial"/>
          <w:sz w:val="24"/>
          <w:u w:val="single"/>
          <w:color w:val="black"/>
        </w:rPr>
        <w:t>2.3.1.3.2.3</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"http://www.redjurista.com/document.aspx?ajcode=d4444010&amp;arts=210"</w:instrText>
      </w:r>
      <w:r>
        <w:fldChar w:fldCharType="separate"/>
      </w:r>
      <w:r>
        <w:rPr>
          <w:rFonts w:hAnsi="Arial"/>
          <w:rFonts w:ascii="Arial"/>
          <w:sz w:val="24"/>
          <w:i/>
          <w:u w:val="single"/>
          <w:color w:val="black"/>
        </w:rPr>
        <w:t>210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4" w:name="2.3.1.3.8.6.4"/>
      <w:r>
        <w:rPr>
          <w:rFonts w:hAnsi="Arial"/>
          <w:rFonts w:ascii="Arial"/>
          <w:sz w:val="24"/>
          <w:color w:val="navy"/>
        </w:rPr>
        <w:t xml:space="preserve">ARTΝCULO 2.3.1.3.8.6.4. </w:t>
      </w:r>
      <w:r>
        <w:rPr>
          <w:rFonts w:hAnsi="Arial"/>
          <w:rFonts w:ascii="Arial"/>
          <w:sz w:val="24"/>
          <w:i/>
          <w:color w:val="navy"/>
        </w:rPr>
        <w:t>DIPLOMA</w:t>
      </w:r>
      <w:r>
        <w:rPr>
          <w:rFonts w:hAnsi="Arial"/>
          <w:rFonts w:ascii="Arial"/>
          <w:sz w:val="24"/>
          <w:color w:val="navy"/>
        </w:rPr>
        <w:t>.</w:t>
      </w:r>
      <w:bookmarkEnd w:id="61054"/>
      <w:r>
        <w:rPr>
          <w:rFonts w:hAnsi="Arial"/>
          <w:rFonts w:ascii="Arial"/>
          <w:sz w:val="24"/>
          <w:b/>
          <w:color w:val="black"/>
        </w:rPr>
        <w:t xml:space="preserve"> </w:t>
      </w:r>
      <w:r>
        <w:rPr>
          <w:rFonts w:hAnsi="Arial"/>
          <w:rFonts w:ascii="Arial"/>
          <w:sz w:val="24"/>
          <w:color w:val="black"/>
        </w:rPr>
        <w:t xml:space="preserve">La medalla se acredita con un diploma elaborado en papel pergamino o cartulina blancos de treinta y cinco (35) centνmetros de largo por veinticinco (25) centνmetros de ancho, con el dibujo del anverso de la medalla al lado izquierdo superior y el del reverso al lado derecho superior y la siguiente leyenda:</w:t>
      </w:r>
    </w:p>
    <w:p>
      <w:pPr>
        <w:jc w:val="center"/>
      </w:pPr>
      <w:r>
        <w:drawing>
          <wp:inline distT="0" distB="0" distL="0" distR="0">
            <wp:extent cx="3589020" cy="1760220"/>
            <wp:docPr id="45" name=""/>
            <a:graphic xmlns:a="http://schemas.openxmlformats.org/drawingml/2006/main">
              <a:graphicData uri="http://schemas.openxmlformats.org/drawingml/2006/picture">
                <pic:pic xmlns:pic="http://schemas.openxmlformats.org/drawingml/2006/picture">
                  <pic:nvPicPr>
                    <pic:cNvPr id="44" name="Picture "/>
                    <pic:cNvPicPr/>
                  </pic:nvPicPr>
                  <pic:blipFill>
                    <a:blip r:embed="id44"/>
                    <a:stretch>
                      <a:fillRect/>
                    </a:stretch>
                  </pic:blipFill>
                  <pic:spPr>
                    <a:xfrm>
                      <a:off x="0" y="0"/>
                      <a:ext cx="3589020" cy="1760220"/>
                    </a:xfrm>
                    <a:prstGeom prst="rect">
                      <a:avLst/>
                    </a:prstGeom>
                  </pic:spPr>
                </pic:pic>
              </a:graphicData>
            </a:graphic>
          </wp:inline>
        </w:drawing>
      </w:r>
    </w:p>
    <w:p>
      <w:pPr>
        <w:jc w:val="center"/>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"http://www.redjurista.com/document.aspx?ajcode=d4444010&amp;arts=211"</w:instrText>
      </w:r>
      <w:r>
        <w:fldChar w:fldCharType="separate"/>
      </w:r>
      <w:r>
        <w:rPr>
          <w:rFonts w:hAnsi="Arial"/>
          <w:rFonts w:ascii="Arial"/>
          <w:sz w:val="24"/>
          <w:i/>
          <w:u w:val="single"/>
          <w:color w:val="black"/>
        </w:rPr>
        <w:t>211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55" w:name="SECCIÓN 2.3.1.3.9"/>
      <w:r>
        <w:rPr>
          <w:rFonts w:hAnsi="Arial"/>
          <w:rFonts w:ascii="Arial"/>
          <w:sz w:val="24"/>
          <w:color w:val="navy"/>
        </w:rPr>
        <w:t xml:space="preserve">SECCIΣN 9. </w:t>
      </w:r>
    </w:p>
    <w:p>
      <w:pPr>
        <w:jc w:val="center"/>
      </w:pPr>
      <w:r>
        <w:rPr>
          <w:rFonts w:hAnsi="Arial"/>
          <w:rFonts w:ascii="Arial"/>
          <w:sz w:val="24"/>
          <w:color w:val="navy"/>
        </w:rPr>
        <w:t xml:space="preserve">ORIGEN, CATEGORΝAS Y CARACTERΝSTICAS ESPECIALES DE LAS CONDECORACIONES POR MΙRITO DEPORTIVO.</w:t>
      </w:r>
      <w:bookmarkEnd w:id="6105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56" w:name="2.3.1.3.9.1"/>
      <w:r>
        <w:rPr>
          <w:rFonts w:hAnsi="Arial"/>
          <w:rFonts w:ascii="Arial"/>
          <w:sz w:val="24"/>
          <w:color w:val="navy"/>
        </w:rPr>
        <w:t xml:space="preserve">ARTΝCULO 2.3.1.3.9.1. </w:t>
      </w:r>
      <w:r>
        <w:rPr>
          <w:rFonts w:hAnsi="Arial"/>
          <w:rFonts w:ascii="Arial"/>
          <w:sz w:val="24"/>
          <w:i/>
          <w:color w:val="navy"/>
        </w:rPr>
        <w:t>ORIGEN.</w:t>
      </w:r>
      <w:bookmarkEnd w:id="61056"/>
      <w:r>
        <w:rPr>
          <w:rFonts w:hAnsi="Arial"/>
          <w:rFonts w:ascii="Arial"/>
          <w:sz w:val="24"/>
          <w:b/>
          <w:i/>
          <w:color w:val="black"/>
        </w:rPr>
        <w:t xml:space="preserve"> </w:t>
      </w:r>
      <w:r>
        <w:rPr>
          <w:rFonts w:hAnsi="Arial"/>
          <w:rFonts w:ascii="Arial"/>
          <w:sz w:val="24"/>
          <w:color w:val="black"/>
        </w:rPr>
        <w:t xml:space="preserve">Creada mediante Decreto </w:t>
      </w:r>
      <w:r>
        <w:fldChar w:fldCharType="begin"/>
      </w:r>
      <w:r>
        <w:instrText>HYPERLINK "http://www.redjurista.com/document.aspx?ajcode=d1261000&amp;arts=INICIO"</w:instrText>
      </w:r>
      <w:r>
        <w:fldChar w:fldCharType="separate"/>
      </w:r>
      <w:r>
        <w:rPr>
          <w:rFonts w:hAnsi="Arial"/>
          <w:rFonts w:ascii="Arial"/>
          <w:sz w:val="24"/>
          <w:u w:val="single"/>
          <w:color w:val="black"/>
        </w:rPr>
        <w:t>1261</w:t>
      </w:r>
      <w:r>
        <w:fldChar w:fldCharType="end"/>
      </w:r>
      <w:r>
        <w:rPr>
          <w:rFonts w:hAnsi="Arial"/>
          <w:rFonts w:ascii="Arial"/>
          <w:sz w:val="24"/>
          <w:u w:val="none"/>
          <w:color w:val="black"/>
        </w:rPr>
        <w:t xml:space="preserve"> del cuatro (4) de julio de 2000, para estimular y premiar la aficiσn y esfuerzo de los integrantes de las Fuerzas Militares, Policνa Nacional, Servidores Pϊblicos del Sector Defensa que sobresalgan por sus mιritos deportivos en competencias Nacionales o internacionales, asν como a quienes contribuyan de la manera excepcional al fortalecimiento y desarrollo de la Federaciσn Colombiana Deportiva Militar.</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"http://www.redjurista.com/document.aspx?ajcode=d4444010&amp;arts=212"</w:instrText>
      </w:r>
      <w:r>
        <w:fldChar w:fldCharType="separate"/>
      </w:r>
      <w:r>
        <w:rPr>
          <w:rFonts w:hAnsi="Arial"/>
          <w:rFonts w:ascii="Arial"/>
          <w:sz w:val="24"/>
          <w:i/>
          <w:u w:val="single"/>
          <w:color w:val="black"/>
        </w:rPr>
        <w:t>212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7" w:name="2.3.1.3.9.2"/>
      <w:r>
        <w:rPr>
          <w:rFonts w:hAnsi="Arial"/>
          <w:rFonts w:ascii="Arial"/>
          <w:sz w:val="24"/>
          <w:color w:val="navy"/>
        </w:rPr>
        <w:t xml:space="preserve">ARTΝCULO 2.3.1.3.9.2. </w:t>
      </w:r>
      <w:r>
        <w:rPr>
          <w:rFonts w:hAnsi="Arial"/>
          <w:rFonts w:ascii="Arial"/>
          <w:sz w:val="24"/>
          <w:i/>
          <w:color w:val="navy"/>
        </w:rPr>
        <w:t>CATEGORΝAS.</w:t>
      </w:r>
      <w:bookmarkEnd w:id="61057"/>
      <w:r>
        <w:rPr>
          <w:rFonts w:hAnsi="Arial"/>
          <w:rFonts w:ascii="Arial"/>
          <w:sz w:val="24"/>
          <w:b/>
          <w:i/>
          <w:color w:val="black"/>
        </w:rPr>
        <w:t xml:space="preserve"> </w:t>
      </w:r>
      <w:r>
        <w:rPr>
          <w:rFonts w:hAnsi="Arial"/>
          <w:rFonts w:ascii="Arial"/>
          <w:sz w:val="24"/>
          <w:color w:val="black"/>
        </w:rPr>
        <w:t xml:space="preserve">La Medalla Deportiva de la Fuerza Pϊblica ostenta las siguientes categorνas:</w:t>
      </w:r>
    </w:p>
    <w:p>
      <w:pPr>
        <w:jc w:val="both"/>
      </w:pPr>
      <w:rPr>
        <w:sz w:val="24"/>
        <w:color w:val="black"/>
      </w:rPr>
    </w:p>
    <w:p>
      <w:pPr>
        <w:jc w:val="both"/>
      </w:pPr>
      <w:r>
        <w:rPr>
          <w:rFonts w:hAnsi="Arial"/>
          <w:rFonts w:ascii="Arial"/>
          <w:sz w:val="24"/>
          <w:color w:val="black"/>
        </w:rPr>
        <w:t xml:space="preserve">a) Campeσn</w:t>
      </w:r>
    </w:p>
    <w:p>
      <w:pPr>
        <w:jc w:val="both"/>
      </w:pPr>
      <w:rPr>
        <w:sz w:val="24"/>
        <w:color w:val="black"/>
      </w:rPr>
    </w:p>
    <w:p>
      <w:pPr>
        <w:jc w:val="both"/>
      </w:pPr>
      <w:r>
        <w:rPr>
          <w:rFonts w:hAnsi="Arial"/>
          <w:rFonts w:ascii="Arial"/>
          <w:sz w:val="24"/>
          <w:color w:val="black"/>
        </w:rPr>
        <w:t xml:space="preserve">b) Subcampeσn</w:t>
      </w:r>
    </w:p>
    <w:p>
      <w:pPr>
        <w:jc w:val="both"/>
      </w:pPr>
      <w:rPr>
        <w:sz w:val="24"/>
        <w:color w:val="black"/>
      </w:rPr>
    </w:p>
    <w:p>
      <w:pPr>
        <w:jc w:val="both"/>
      </w:pPr>
      <w:r>
        <w:rPr>
          <w:rFonts w:hAnsi="Arial"/>
          <w:rFonts w:ascii="Arial"/>
          <w:sz w:val="24"/>
          <w:color w:val="black"/>
        </w:rPr>
        <w:t xml:space="preserve">c) Aficionado</w:t>
      </w:r>
    </w:p>
    <w:p>
      <w:pPr>
        <w:jc w:val="both"/>
      </w:pPr>
      <w:rPr>
        <w:sz w:val="24"/>
        <w:color w:val="black"/>
      </w:rPr>
    </w:p>
    <w:p>
      <w:pPr>
        <w:jc w:val="both"/>
      </w:pPr>
      <w:r>
        <w:rPr>
          <w:rFonts w:hAnsi="Arial"/>
          <w:rFonts w:ascii="Arial"/>
          <w:sz w:val="24"/>
          <w:color w:val="black"/>
        </w:rPr>
        <w:t xml:space="preserve">d) Dirigente.</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"http://www.redjurista.com/document.aspx?ajcode=d4444010&amp;arts=213"</w:instrText>
      </w:r>
      <w:r>
        <w:fldChar w:fldCharType="separate"/>
      </w:r>
      <w:r>
        <w:rPr>
          <w:rFonts w:hAnsi="Arial"/>
          <w:rFonts w:ascii="Arial"/>
          <w:sz w:val="24"/>
          <w:i/>
          <w:u w:val="single"/>
          <w:color w:val="black"/>
        </w:rPr>
        <w:t>213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8" w:name="2.3.1.3.9.3"/>
      <w:r>
        <w:rPr>
          <w:rFonts w:hAnsi="Arial"/>
          <w:rFonts w:ascii="Arial"/>
          <w:sz w:val="24"/>
          <w:color w:val="navy"/>
        </w:rPr>
        <w:t xml:space="preserve">ARTΝCULO 2.3.1.3.9.3. </w:t>
      </w:r>
      <w:r>
        <w:rPr>
          <w:rFonts w:hAnsi="Arial"/>
          <w:rFonts w:ascii="Arial"/>
          <w:sz w:val="24"/>
          <w:i/>
          <w:color w:val="navy"/>
        </w:rPr>
        <w:t>CARACTERΝSTICAS.</w:t>
      </w:r>
      <w:bookmarkEnd w:id="61058"/>
      <w:r>
        <w:rPr>
          <w:rFonts w:hAnsi="Arial"/>
          <w:rFonts w:ascii="Arial"/>
          <w:sz w:val="24"/>
          <w:b/>
          <w:i/>
          <w:color w:val="black"/>
        </w:rPr>
        <w:t xml:space="preserve"> </w:t>
      </w:r>
      <w:r>
        <w:rPr>
          <w:rFonts w:hAnsi="Arial"/>
          <w:rFonts w:ascii="Arial"/>
          <w:sz w:val="24"/>
          <w:color w:val="black"/>
        </w:rPr>
        <w:t xml:space="preserve">La Joya consiste en una Medalla circular de cuarenta (40) milνmetros de diαmetro. En su anverso lleva en el borde una corona de olivo abierta, en alto relieve, de igual forma llevarα formado un cνrculo interior la inscripciσn "Medalla Deportiva de la Fuerza Pϊblica". En el centro estarαn incluidos los tres (3) aros (amarillo, azul y rojo), distintivos del deporte Colombiano. En el reverso lleva en alto relieve el escudo de la Repϊblica de Colombia circundado por la leyenda "El Deporte Nuestra Arma para Construir la Paz" y la categorνa en que se otorga. Va suspendida de una cinta de cuarenta (40) milνmetros de ancho con cuatro (4) franjas verticales de diez (10) milνmetros de ancho, con colores en el siguiente orden, los correspondientes a Ejιrcito, Armada, Fuerza Aιrea y Policνa Nacional.</w:t>
      </w:r>
    </w:p>
    <w:p>
      <w:pPr>
        <w:jc w:val="both"/>
      </w:pPr>
      <w:rPr>
        <w:sz w:val="24"/>
        <w:color w:val="black"/>
      </w:rPr>
    </w:p>
    <w:p>
      <w:pPr>
        <w:jc w:val="both"/>
      </w:pPr>
      <w:r>
        <w:rPr>
          <w:rFonts w:hAnsi="Arial"/>
          <w:rFonts w:ascii="Arial"/>
          <w:sz w:val="24"/>
          <w:color w:val="black"/>
        </w:rPr>
        <w:t xml:space="preserve">La venera es una cinta metαlica esmaltada al fuego, de cuarenta (40) milνmetros de largo por diez milνmetros de ancho con los mismos detalles dados para la cinta de la joya, llevarα en su centro una corona de olivo abierta, en el centro estarαn incluidos los tres (3) aros (amarillo, azul y rojo) distintivos del Deporte Colombiano.</w:t>
      </w:r>
    </w:p>
    <w:p>
      <w:pPr>
        <w:jc w:val="both"/>
      </w:pPr>
      <w:rPr>
        <w:sz w:val="24"/>
        <w:color w:val="black"/>
      </w:rPr>
    </w:p>
    <w:p>
      <w:pPr>
        <w:jc w:val="both"/>
      </w:pPr>
      <w:r>
        <w:rPr>
          <w:rFonts w:hAnsi="Arial"/>
          <w:rFonts w:ascii="Arial"/>
          <w:sz w:val="24"/>
          <w:color w:val="black"/>
        </w:rPr>
        <w:t xml:space="preserve">La Miniatura tiene el mismo diseρo de la joya en un diαmetro de quince (15) milνmetros y pende de una cinta de quince (15) milνmetros de ancho por treinta y cinco (35) milνmetros de largo.</w:t>
      </w:r>
    </w:p>
    <w:p>
      <w:pPr>
        <w:jc w:val="both"/>
      </w:pPr>
      <w:rPr>
        <w:sz w:val="24"/>
        <w:color w:val="black"/>
      </w:rPr>
    </w:p>
    <w:p>
      <w:pPr>
        <w:jc w:val="both"/>
      </w:pPr>
      <w:r>
        <w:rPr>
          <w:rFonts w:hAnsi="Arial"/>
          <w:rFonts w:ascii="Arial"/>
          <w:sz w:val="24"/>
          <w:color w:val="black"/>
        </w:rPr>
        <w:t xml:space="preserve">Colores: La medalla de la categorνa "Campeσn" llevarα la corona de olivo en color dorado, la de "Subcampeσn" de color plateado, la de "Aficionado" en color bronce, y la de "Dirigente" en color verde oliva. Su material de elaboraciσn se ajustarα a la categorνa respectiva.</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"http://www.redjurista.com/document.aspx?ajcode=d4444010&amp;arts=214"</w:instrText>
      </w:r>
      <w:r>
        <w:fldChar w:fldCharType="separate"/>
      </w:r>
      <w:r>
        <w:rPr>
          <w:rFonts w:hAnsi="Arial"/>
          <w:rFonts w:ascii="Arial"/>
          <w:sz w:val="24"/>
          <w:i/>
          <w:u w:val="single"/>
          <w:color w:val="black"/>
        </w:rPr>
        <w:t>214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59" w:name="2.3.1.3.9.4"/>
      <w:r>
        <w:rPr>
          <w:rFonts w:hAnsi="Arial"/>
          <w:rFonts w:ascii="Arial"/>
          <w:sz w:val="24"/>
          <w:color w:val="navy"/>
        </w:rPr>
        <w:t xml:space="preserve">ARTΝCULO 2.3.1.3.9.4. </w:t>
      </w:r>
      <w:r>
        <w:rPr>
          <w:rFonts w:hAnsi="Arial"/>
          <w:rFonts w:ascii="Arial"/>
          <w:sz w:val="24"/>
          <w:i/>
          <w:color w:val="navy"/>
        </w:rPr>
        <w:t>DIPLOMA.</w:t>
      </w:r>
      <w:bookmarkEnd w:id="61059"/>
      <w:r>
        <w:rPr>
          <w:rFonts w:hAnsi="Arial"/>
          <w:rFonts w:ascii="Arial"/>
          <w:sz w:val="24"/>
          <w:b/>
          <w:i/>
          <w:color w:val="black"/>
        </w:rPr>
        <w:t xml:space="preserve"> </w:t>
      </w:r>
      <w:r>
        <w:rPr>
          <w:rFonts w:hAnsi="Arial"/>
          <w:rFonts w:ascii="Arial"/>
          <w:sz w:val="24"/>
          <w:color w:val="black"/>
        </w:rPr>
        <w:t xml:space="preserve">La Medalla se acreditarα con un diploma de papel pergamino de treinta y cinco (35 cm) por veinticinco centνmetros (25 cm) de ancho, en el cual se inscribirα la razσn que se tuvo para otorgarla y la categorνa en que se adjudica. Los Diplomas serαn firmados por el Ministro de Defensa Nacional y por el Comandante General de las Fuerzas Militares.</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"http://www.redjurista.com/document.aspx?ajcode=d4444010&amp;arts=215"</w:instrText>
      </w:r>
      <w:r>
        <w:fldChar w:fldCharType="separate"/>
      </w:r>
      <w:r>
        <w:rPr>
          <w:rFonts w:hAnsi="Arial"/>
          <w:rFonts w:ascii="Arial"/>
          <w:sz w:val="24"/>
          <w:i/>
          <w:u w:val="single"/>
          <w:color w:val="black"/>
        </w:rPr>
        <w:t>215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60" w:name="2.3.1.3.9.5"/>
      <w:r>
        <w:rPr>
          <w:rFonts w:hAnsi="Arial"/>
          <w:rFonts w:ascii="Arial"/>
          <w:sz w:val="24"/>
          <w:color w:val="navy"/>
        </w:rPr>
        <w:t xml:space="preserve">ARTΝCULO 2.3.1.3.9.5. </w:t>
      </w:r>
      <w:r>
        <w:rPr>
          <w:rFonts w:hAnsi="Arial"/>
          <w:rFonts w:ascii="Arial"/>
          <w:sz w:val="24"/>
          <w:i/>
          <w:color w:val="navy"/>
        </w:rPr>
        <w:t>OTORGAMIENTO.</w:t>
      </w:r>
      <w:bookmarkEnd w:id="61060"/>
      <w:r>
        <w:rPr>
          <w:rFonts w:hAnsi="Arial"/>
          <w:rFonts w:ascii="Arial"/>
          <w:sz w:val="24"/>
          <w:b/>
          <w:i/>
          <w:color w:val="black"/>
        </w:rPr>
        <w:t xml:space="preserve"> </w:t>
      </w:r>
      <w:r>
        <w:rPr>
          <w:rFonts w:hAnsi="Arial"/>
          <w:rFonts w:ascii="Arial"/>
          <w:sz w:val="24"/>
          <w:color w:val="black"/>
        </w:rPr>
        <w:t xml:space="preserve">La "Medalla Deportiva de la Fuerza Pϊblica" puede otorgarse en cada categorνa, de acuerdo con las siguientes normas:</w:t>
      </w:r>
    </w:p>
    <w:p>
      <w:pPr>
        <w:jc w:val="both"/>
      </w:pPr>
      <w:rPr>
        <w:sz w:val="24"/>
        <w:color w:val="black"/>
      </w:rPr>
    </w:p>
    <w:p>
      <w:pPr>
        <w:jc w:val="both"/>
      </w:pPr>
      <w:r>
        <w:rPr>
          <w:rFonts w:hAnsi="Arial"/>
          <w:rFonts w:ascii="Arial"/>
          <w:sz w:val="24"/>
          <w:color w:val="black"/>
        </w:rPr>
        <w:t xml:space="preserve">a) En la Categorνa Campeσn.</w:t>
      </w:r>
    </w:p>
    <w:p>
      <w:pPr>
        <w:jc w:val="both"/>
      </w:pPr>
      <w:rPr>
        <w:sz w:val="24"/>
        <w:color w:val="black"/>
      </w:rPr>
    </w:p>
    <w:p>
      <w:pPr>
        <w:jc w:val="both"/>
      </w:pPr>
      <w:r>
        <w:rPr>
          <w:rFonts w:hAnsi="Arial"/>
          <w:rFonts w:ascii="Arial"/>
          <w:sz w:val="24"/>
          <w:color w:val="black"/>
        </w:rPr>
        <w:t xml:space="preserve">Se impondrα a los miembros de las Fuerzas Militares y la Policνa Nacional y servidores pϊblicos del Sector Defensa que reϊnan alguno de los siguientes requisitos:</w:t>
      </w:r>
    </w:p>
    <w:p>
      <w:pPr>
        <w:jc w:val="both"/>
      </w:pPr>
      <w:rPr>
        <w:sz w:val="24"/>
        <w:color w:val="black"/>
      </w:rPr>
    </w:p>
    <w:p>
      <w:pPr>
        <w:jc w:val="both"/>
      </w:pPr>
      <w:r>
        <w:rPr>
          <w:rFonts w:hAnsi="Arial"/>
          <w:rFonts w:ascii="Arial"/>
          <w:sz w:val="24"/>
          <w:color w:val="black"/>
        </w:rPr>
        <w:t xml:space="preserve">1. Obtener un Campeonato Nacional individual o por equipos en representaciσn de las Fuerzas Militares o la Policνa Nacional. Cuando se trate de equipos se entregarα a los competidores inscritos en el Campeonato y que hayan participado.</w:t>
      </w:r>
    </w:p>
    <w:p>
      <w:pPr>
        <w:jc w:val="both"/>
      </w:pPr>
      <w:rPr>
        <w:sz w:val="24"/>
        <w:color w:val="black"/>
      </w:rPr>
    </w:p>
    <w:p>
      <w:pPr>
        <w:jc w:val="both"/>
      </w:pPr>
      <w:r>
        <w:rPr>
          <w:rFonts w:hAnsi="Arial"/>
          <w:rFonts w:ascii="Arial"/>
          <w:sz w:val="24"/>
          <w:color w:val="black"/>
        </w:rPr>
        <w:t xml:space="preserve">2. Obtener la clasificaciσn que se indica en alguno de los casos siguientes, siempre que tenga un puntaje igual o superior a la marca nacional en esta categorνa:</w:t>
      </w:r>
    </w:p>
    <w:p>
      <w:pPr>
        <w:jc w:val="both"/>
      </w:pPr>
      <w:rPr>
        <w:sz w:val="24"/>
        <w:color w:val="black"/>
      </w:rPr>
    </w:p>
    <w:p>
      <w:pPr>
        <w:jc w:val="both"/>
      </w:pPr>
      <w:r>
        <w:rPr>
          <w:rFonts w:hAnsi="Arial"/>
          <w:rFonts w:ascii="Arial"/>
          <w:sz w:val="24"/>
          <w:color w:val="black"/>
        </w:rPr>
        <w:t xml:space="preserve">a) En los campeonatos mundiales y juegos Olνmpicos entre los siete (7) primeros en competencia individual o entre los cuatro (4) primeros en la clasificaciσn por equipos, siempre que los competidores sean diez (10) o los equipos sean seis (6) por lo menos.</w:t>
      </w:r>
    </w:p>
    <w:p>
      <w:pPr>
        <w:jc w:val="both"/>
      </w:pPr>
      <w:rPr>
        <w:sz w:val="24"/>
        <w:color w:val="black"/>
      </w:rPr>
    </w:p>
    <w:p>
      <w:pPr>
        <w:jc w:val="both"/>
      </w:pPr>
      <w:r>
        <w:rPr>
          <w:rFonts w:hAnsi="Arial"/>
          <w:rFonts w:ascii="Arial"/>
          <w:sz w:val="24"/>
          <w:color w:val="black"/>
        </w:rPr>
        <w:t xml:space="preserve">b) En los juegos o Campeonatos Panamericanos, Juegos Centroamericanos y del Caribe y Campeonatos Suramericanos, entre los tres (3) primeros en competencia individual o entre los dos (2) primeros en la clasificaciσn por equipos, siempre que los competidores sean 10 o los equipos sean cinco (5) por lo menos.</w:t>
      </w:r>
    </w:p>
    <w:p>
      <w:pPr>
        <w:jc w:val="both"/>
      </w:pPr>
      <w:rPr>
        <w:sz w:val="24"/>
        <w:color w:val="black"/>
      </w:rPr>
    </w:p>
    <w:p>
      <w:pPr>
        <w:jc w:val="both"/>
      </w:pPr>
      <w:r>
        <w:rPr>
          <w:rFonts w:hAnsi="Arial"/>
          <w:rFonts w:ascii="Arial"/>
          <w:sz w:val="24"/>
          <w:color w:val="black"/>
        </w:rPr>
        <w:t xml:space="preserve">c) En los Juegos Bolivarianos o cualquier otro evento internacional no contemplado anteriormente siempre y cuando ocupe el primer puesto en la competencia individual o por equipos y que los competidores sean cinco (5) o los equipos sean cinco (5) por lo menos.</w:t>
      </w:r>
    </w:p>
    <w:p>
      <w:pPr>
        <w:jc w:val="both"/>
      </w:pPr>
      <w:rPr>
        <w:sz w:val="24"/>
        <w:color w:val="black"/>
      </w:rPr>
    </w:p>
    <w:p>
      <w:pPr>
        <w:jc w:val="both"/>
      </w:pPr>
      <w:r>
        <w:rPr>
          <w:rFonts w:hAnsi="Arial"/>
          <w:rFonts w:ascii="Arial"/>
          <w:sz w:val="24"/>
          <w:color w:val="black"/>
        </w:rPr>
        <w:t xml:space="preserve">3. Establecer un rιcord Nacional</w:t>
      </w:r>
    </w:p>
    <w:p>
      <w:pPr>
        <w:jc w:val="both"/>
      </w:pPr>
      <w:rPr>
        <w:sz w:val="24"/>
        <w:color w:val="black"/>
      </w:rPr>
    </w:p>
    <w:p>
      <w:pPr>
        <w:jc w:val="both"/>
      </w:pPr>
      <w:r>
        <w:rPr>
          <w:rFonts w:hAnsi="Arial"/>
          <w:rFonts w:ascii="Arial"/>
          <w:sz w:val="24"/>
          <w:color w:val="black"/>
        </w:rPr>
        <w:t xml:space="preserve">b) En la Categorνa Subcampeσn.</w:t>
      </w:r>
    </w:p>
    <w:p>
      <w:pPr>
        <w:jc w:val="both"/>
      </w:pPr>
      <w:rPr>
        <w:sz w:val="24"/>
        <w:color w:val="black"/>
      </w:rPr>
    </w:p>
    <w:p>
      <w:pPr>
        <w:jc w:val="both"/>
      </w:pPr>
      <w:r>
        <w:rPr>
          <w:rFonts w:hAnsi="Arial"/>
          <w:rFonts w:ascii="Arial"/>
          <w:sz w:val="24"/>
          <w:color w:val="black"/>
        </w:rPr>
        <w:t xml:space="preserve">Se impondrα a los miembros de las Fuerzas Militares o de la Policνa Nacional y servidores pϊblicos del Sector Defensa que en representaciσn de las Fuerzas Militares o de la Policνa Nacional, cumplan una de las siguientes condiciones:</w:t>
      </w:r>
    </w:p>
    <w:p>
      <w:pPr>
        <w:jc w:val="both"/>
      </w:pPr>
      <w:rPr>
        <w:sz w:val="24"/>
        <w:color w:val="black"/>
      </w:rPr>
    </w:p>
    <w:p>
      <w:pPr>
        <w:jc w:val="both"/>
      </w:pPr>
      <w:r>
        <w:rPr>
          <w:rFonts w:hAnsi="Arial"/>
          <w:rFonts w:ascii="Arial"/>
          <w:sz w:val="24"/>
          <w:color w:val="black"/>
        </w:rPr>
        <w:t xml:space="preserve">1. Obtener el segundo lugar en un Campeonato Nacional individual o por equipos en representaciσn de las Fuerzas Militares o de la Policνa Nacional. Cuando se trate de equipos se entregarα a los competidores inscritos en el Campeonato y que hayan participado.</w:t>
      </w:r>
    </w:p>
    <w:p>
      <w:pPr>
        <w:jc w:val="both"/>
      </w:pPr>
      <w:rPr>
        <w:sz w:val="24"/>
        <w:color w:val="black"/>
      </w:rPr>
    </w:p>
    <w:p>
      <w:pPr>
        <w:jc w:val="both"/>
      </w:pPr>
      <w:r>
        <w:rPr>
          <w:rFonts w:hAnsi="Arial"/>
          <w:rFonts w:ascii="Arial"/>
          <w:sz w:val="24"/>
          <w:color w:val="black"/>
        </w:rPr>
        <w:t xml:space="preserve">2. En todos los juegos Bolivarianos o cualquier otro evento internacional diferente a los Juegos Olνmpicos, Mundiales, Panamericanos, Centroamericanos del Caribe y Suramericanos siempre y cuando ocupen el segundo lugar en la competencia individual o por equipos y los competidores sean cinco (5) o los equipos cuatro (4) por lo menos.</w:t>
      </w:r>
    </w:p>
    <w:p>
      <w:pPr>
        <w:jc w:val="both"/>
      </w:pPr>
      <w:rPr>
        <w:sz w:val="24"/>
        <w:color w:val="black"/>
      </w:rPr>
    </w:p>
    <w:p>
      <w:pPr>
        <w:jc w:val="both"/>
      </w:pPr>
      <w:r>
        <w:rPr>
          <w:rFonts w:hAnsi="Arial"/>
          <w:rFonts w:ascii="Arial"/>
          <w:sz w:val="24"/>
          <w:color w:val="black"/>
        </w:rPr>
        <w:t xml:space="preserve">c) En la categorνa Aficionado.</w:t>
      </w:r>
    </w:p>
    <w:p>
      <w:pPr>
        <w:jc w:val="both"/>
      </w:pPr>
      <w:rPr>
        <w:sz w:val="24"/>
        <w:color w:val="black"/>
      </w:rPr>
    </w:p>
    <w:p>
      <w:pPr>
        <w:jc w:val="both"/>
      </w:pPr>
      <w:r>
        <w:rPr>
          <w:rFonts w:hAnsi="Arial"/>
          <w:rFonts w:ascii="Arial"/>
          <w:sz w:val="24"/>
          <w:color w:val="black"/>
        </w:rPr>
        <w:t xml:space="preserve">Se impondrα a los miembros de las Fuerzas Militares o Policνa Nacional y empleados que conforman el sector defensa que en representaciσn de las Fuerzas Militares o de la Policνa Nacional satisfagan una de las siguientes exigencias:</w:t>
      </w:r>
    </w:p>
    <w:p>
      <w:pPr>
        <w:jc w:val="both"/>
      </w:pPr>
      <w:rPr>
        <w:sz w:val="24"/>
        <w:color w:val="black"/>
      </w:rPr>
    </w:p>
    <w:p>
      <w:pPr>
        <w:jc w:val="both"/>
      </w:pPr>
      <w:r>
        <w:rPr>
          <w:rFonts w:hAnsi="Arial"/>
          <w:rFonts w:ascii="Arial"/>
          <w:sz w:val="24"/>
          <w:color w:val="black"/>
        </w:rPr>
        <w:t xml:space="preserve">1. Alcanzar un tercer puesto individual en el Campeonato Nacional en Representaciσn de las Fuerzas Militares o de la Policνa Nacional.</w:t>
      </w:r>
    </w:p>
    <w:p>
      <w:pPr>
        <w:jc w:val="both"/>
      </w:pPr>
      <w:rPr>
        <w:sz w:val="24"/>
        <w:color w:val="black"/>
      </w:rPr>
    </w:p>
    <w:p>
      <w:pPr>
        <w:jc w:val="both"/>
      </w:pPr>
      <w:r>
        <w:rPr>
          <w:rFonts w:hAnsi="Arial"/>
          <w:rFonts w:ascii="Arial"/>
          <w:sz w:val="24"/>
          <w:color w:val="black"/>
        </w:rPr>
        <w:t xml:space="preserve">2. Obtener un primer puesto individual en los Campeonatos Νnter fuerzas, siempre y cuando el evento integre la Selecciσn Representativa de todas las jurisdicciones del paνs y supere o iguale la marca Nacional en esta categorνa (3o) tercer lugar a excepciσn de aquellas disciplinas que no tienen puntaje o marca establecida.</w:t>
      </w:r>
    </w:p>
    <w:p>
      <w:pPr>
        <w:jc w:val="both"/>
      </w:pPr>
      <w:rPr>
        <w:sz w:val="24"/>
        <w:color w:val="black"/>
      </w:rPr>
    </w:p>
    <w:p>
      <w:pPr>
        <w:jc w:val="both"/>
      </w:pPr>
      <w:r>
        <w:rPr>
          <w:rFonts w:hAnsi="Arial"/>
          <w:rFonts w:ascii="Arial"/>
          <w:sz w:val="24"/>
          <w:color w:val="black"/>
        </w:rPr>
        <w:t xml:space="preserve">d) En la Categorνa Dirigente.</w:t>
      </w:r>
    </w:p>
    <w:p>
      <w:pPr>
        <w:jc w:val="both"/>
      </w:pPr>
      <w:rPr>
        <w:sz w:val="24"/>
        <w:color w:val="black"/>
      </w:rPr>
    </w:p>
    <w:p>
      <w:pPr>
        <w:jc w:val="both"/>
      </w:pPr>
      <w:r>
        <w:rPr>
          <w:rFonts w:hAnsi="Arial"/>
          <w:rFonts w:ascii="Arial"/>
          <w:sz w:val="24"/>
          <w:color w:val="black"/>
        </w:rPr>
        <w:t xml:space="preserve">Se confiere a los Dirigentes Deportivos Colombianos, miembros de las Fuerzas Militares o de la Policνa Nacional, o servidores pϊblicos del Sector Defensa que se distingan de manera excepcional, por su apoyo, consagraciσn y desinterιs, en la conducciσn deportiva, cuya labor beneficie al deporte de las Fuerzas Militares y de la Policνa Nacional.</w:t>
      </w:r>
    </w:p>
    <w:p>
      <w:pPr>
        <w:jc w:val="both"/>
      </w:pPr>
      <w:rPr>
        <w:sz w:val="24"/>
        <w:color w:val="black"/>
      </w:rPr>
    </w:p>
    <w:p>
      <w:pPr>
        <w:jc w:val="both"/>
      </w:pPr>
      <w:r>
        <w:rPr>
          <w:rFonts w:hAnsi="Arial"/>
          <w:rFonts w:ascii="Arial"/>
          <w:sz w:val="24"/>
          <w:color w:val="black"/>
        </w:rPr>
        <w:t xml:space="preserve">1. Igualmente, se harαn acreedores a ella, el personal de las Fuerzas Militares o Policνa Nacional que ocupe uno de los cargos directivos de la "Federaciσn Colombiana Deportiva Militar" o como Presidente de una de las Ligas Deportivas de la Fuerza Pϊblica, siempre y cuando su permanencia sea mνnima de un aρo y su labor haya sido de beneficio notorio para el deporte de la Fuerza Pϊblica.</w:t>
      </w:r>
    </w:p>
    <w:p>
      <w:pPr>
        <w:jc w:val="both"/>
      </w:pPr>
      <w:rPr>
        <w:sz w:val="24"/>
        <w:color w:val="black"/>
      </w:rPr>
    </w:p>
    <w:p>
      <w:pPr>
        <w:jc w:val="both"/>
      </w:pPr>
      <w:r>
        <w:rPr>
          <w:rFonts w:hAnsi="Arial"/>
          <w:rFonts w:ascii="Arial"/>
          <w:sz w:val="24"/>
          <w:color w:val="black"/>
        </w:rPr>
        <w:t xml:space="preserve">2. Se otorgarα a los Dirigentes o Deportistas extranjeros que sobresalgan en la conducciσn deportiva y cuyas realizaciones sean de beneficio para el deporte de las Fuerzas Militares y la Policνa Nacional.</w:t>
      </w:r>
    </w:p>
    <w:p>
      <w:pPr>
        <w:jc w:val="both"/>
      </w:pPr>
      <w:rPr>
        <w:sz w:val="24"/>
        <w:color w:val="black"/>
      </w:rPr>
    </w:p>
    <w:p>
      <w:pPr>
        <w:jc w:val="both"/>
      </w:pPr>
      <w:r>
        <w:rPr>
          <w:rFonts w:hAnsi="Arial"/>
          <w:rFonts w:ascii="Arial"/>
          <w:sz w:val="24"/>
          <w:color w:val="black"/>
        </w:rPr>
        <w:t xml:space="preserve">3. En esta Categorνa solamente se concederαn hasta el nϊmero siguiente cada aρo.</w:t>
      </w:r>
    </w:p>
    <w:p>
      <w:pPr>
        <w:jc w:val="both"/>
      </w:pPr>
      <w:rPr>
        <w:sz w:val="24"/>
        <w:color w:val="black"/>
      </w:rPr>
    </w:p>
    <w:p>
      <w:pPr>
        <w:jc w:val="both"/>
      </w:pPr>
      <w:r>
        <w:rPr>
          <w:rFonts w:hAnsi="Arial"/>
          <w:rFonts w:ascii="Arial"/>
          <w:sz w:val="24"/>
          <w:color w:val="black"/>
        </w:rPr>
        <w:t xml:space="preserve">a) A Militares y Policνas colombianos Hasta 10</w:t>
      </w:r>
    </w:p>
    <w:p>
      <w:pPr>
        <w:jc w:val="both"/>
      </w:pPr>
      <w:rPr>
        <w:sz w:val="24"/>
        <w:color w:val="black"/>
      </w:rPr>
    </w:p>
    <w:p>
      <w:pPr>
        <w:jc w:val="both"/>
      </w:pPr>
      <w:r>
        <w:rPr>
          <w:rFonts w:hAnsi="Arial"/>
          <w:rFonts w:ascii="Arial"/>
          <w:sz w:val="24"/>
          <w:color w:val="black"/>
        </w:rPr>
        <w:t xml:space="preserve">b) A Civiles colombianos Hasta 05</w:t>
      </w:r>
    </w:p>
    <w:p>
      <w:pPr>
        <w:jc w:val="both"/>
      </w:pPr>
      <w:rPr>
        <w:sz w:val="24"/>
        <w:color w:val="black"/>
      </w:rPr>
    </w:p>
    <w:p>
      <w:pPr>
        <w:jc w:val="both"/>
      </w:pPr>
      <w:r>
        <w:rPr>
          <w:rFonts w:hAnsi="Arial"/>
          <w:rFonts w:ascii="Arial"/>
          <w:sz w:val="24"/>
          <w:color w:val="black"/>
        </w:rPr>
        <w:t xml:space="preserve">c) A Extranjeros Hasta 03</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"http://www.redjurista.com/document.aspx?ajcode=d4444010&amp;arts=216"</w:instrText>
      </w:r>
      <w:r>
        <w:fldChar w:fldCharType="separate"/>
      </w:r>
      <w:r>
        <w:rPr>
          <w:rFonts w:hAnsi="Arial"/>
          <w:rFonts w:ascii="Arial"/>
          <w:sz w:val="24"/>
          <w:i/>
          <w:u w:val="single"/>
          <w:color w:val="black"/>
        </w:rPr>
        <w:t>216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61" w:name="2.3.1.3.9.6"/>
      <w:r>
        <w:rPr>
          <w:rFonts w:hAnsi="Arial"/>
          <w:rFonts w:ascii="Arial"/>
          <w:sz w:val="24"/>
          <w:color w:val="navy"/>
        </w:rPr>
        <w:t xml:space="preserve">ARTΝCULO 2.3.1.3.9.6. </w:t>
      </w:r>
      <w:r>
        <w:rPr>
          <w:rFonts w:hAnsi="Arial"/>
          <w:rFonts w:ascii="Arial"/>
          <w:sz w:val="24"/>
          <w:i/>
          <w:color w:val="navy"/>
        </w:rPr>
        <w:t>CONSEJO.</w:t>
      </w:r>
      <w:bookmarkEnd w:id="61061"/>
      <w:r>
        <w:rPr>
          <w:rFonts w:hAnsi="Arial"/>
          <w:rFonts w:ascii="Arial"/>
          <w:sz w:val="24"/>
          <w:b/>
          <w:i/>
          <w:color w:val="black"/>
        </w:rPr>
        <w:t xml:space="preserve"> </w:t>
      </w:r>
      <w:r>
        <w:rPr>
          <w:rFonts w:hAnsi="Arial"/>
          <w:rFonts w:ascii="Arial"/>
          <w:sz w:val="24"/>
          <w:color w:val="black"/>
        </w:rPr>
        <w:t xml:space="preserve">El consejo de la Medalla estarα integrado como se indica a continuaciσn;</w:t>
      </w:r>
    </w:p>
    <w:p>
      <w:pPr>
        <w:jc w:val="both"/>
      </w:pPr>
      <w:rPr>
        <w:sz w:val="24"/>
        <w:color w:val="black"/>
      </w:rPr>
    </w:p>
    <w:p>
      <w:pPr>
        <w:jc w:val="both"/>
      </w:pPr>
      <w:r>
        <w:rPr>
          <w:rFonts w:hAnsi="Arial"/>
          <w:rFonts w:ascii="Arial"/>
          <w:sz w:val="24"/>
          <w:b/>
          <w:color w:val="black"/>
        </w:rPr>
        <w:t xml:space="preserve">Presidente: </w:t>
      </w:r>
      <w:r>
        <w:rPr>
          <w:rFonts w:hAnsi="Arial"/>
          <w:rFonts w:ascii="Arial"/>
          <w:sz w:val="24"/>
          <w:color w:val="black"/>
        </w:rPr>
        <w:t xml:space="preserve">El Comandante General de las Fuerzas Militares o su representante.</w:t>
      </w:r>
    </w:p>
    <w:p>
      <w:pPr>
        <w:jc w:val="both"/>
      </w:pPr>
      <w:rPr>
        <w:sz w:val="24"/>
        <w:color w:val="black"/>
      </w:rPr>
    </w:p>
    <w:p>
      <w:pPr>
        <w:jc w:val="both"/>
      </w:pPr>
      <w:r>
        <w:rPr>
          <w:rFonts w:hAnsi="Arial"/>
          <w:rFonts w:ascii="Arial"/>
          <w:sz w:val="24"/>
          <w:b/>
          <w:color w:val="black"/>
        </w:rPr>
        <w:t xml:space="preserve">Vicepresidente: </w:t>
      </w:r>
      <w:r>
        <w:rPr>
          <w:rFonts w:hAnsi="Arial"/>
          <w:rFonts w:ascii="Arial"/>
          <w:sz w:val="24"/>
          <w:color w:val="black"/>
        </w:rPr>
        <w:t xml:space="preserve">El Jefe de Estado Mayor Conjunto de las Fuerzas Militares.</w:t>
      </w:r>
    </w:p>
    <w:p>
      <w:pPr>
        <w:jc w:val="both"/>
      </w:pPr>
      <w:rPr>
        <w:sz w:val="24"/>
        <w:color w:val="black"/>
      </w:rPr>
    </w:p>
    <w:p>
      <w:pPr>
        <w:jc w:val="both"/>
      </w:pPr>
      <w:r>
        <w:rPr>
          <w:rFonts w:hAnsi="Arial"/>
          <w:rFonts w:ascii="Arial"/>
          <w:sz w:val="24"/>
          <w:b/>
          <w:color w:val="black"/>
        </w:rPr>
        <w:t xml:space="preserve">Vocal: </w:t>
      </w:r>
      <w:r>
        <w:rPr>
          <w:rFonts w:hAnsi="Arial"/>
          <w:rFonts w:ascii="Arial"/>
          <w:sz w:val="24"/>
          <w:color w:val="black"/>
        </w:rPr>
        <w:t xml:space="preserve">El Presidente de la Federaciσn Colombiana Deportiva Militar.</w:t>
      </w:r>
    </w:p>
    <w:p>
      <w:pPr>
        <w:jc w:val="both"/>
      </w:pPr>
      <w:rPr>
        <w:sz w:val="24"/>
        <w:color w:val="black"/>
      </w:rPr>
    </w:p>
    <w:p>
      <w:pPr>
        <w:jc w:val="both"/>
      </w:pPr>
      <w:r>
        <w:rPr>
          <w:rFonts w:hAnsi="Arial"/>
          <w:rFonts w:ascii="Arial"/>
          <w:sz w:val="24"/>
          <w:b/>
          <w:color w:val="black"/>
        </w:rPr>
        <w:t xml:space="preserve">Secretario: </w:t>
      </w:r>
      <w:r>
        <w:rPr>
          <w:rFonts w:hAnsi="Arial"/>
          <w:rFonts w:ascii="Arial"/>
          <w:sz w:val="24"/>
          <w:color w:val="black"/>
        </w:rPr>
        <w:t xml:space="preserve">El Vicepresidente de la Federaciσn Deportiva Militar.</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"http://www.redjurista.com/document.aspx?ajcode=d4444010&amp;arts=217"</w:instrText>
      </w:r>
      <w:r>
        <w:fldChar w:fldCharType="separate"/>
      </w:r>
      <w:r>
        <w:rPr>
          <w:rFonts w:hAnsi="Arial"/>
          <w:rFonts w:ascii="Arial"/>
          <w:sz w:val="24"/>
          <w:i/>
          <w:u w:val="single"/>
          <w:color w:val="black"/>
        </w:rPr>
        <w:t>217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062" w:name="2.3.1.3.9.7"/>
      <w:r>
        <w:rPr>
          <w:rFonts w:hAnsi="Arial"/>
          <w:rFonts w:ascii="Arial"/>
          <w:sz w:val="24"/>
          <w:color w:val="navy"/>
        </w:rPr>
        <w:t xml:space="preserve">ARTΝCULO 2.3.1.3.9.7. </w:t>
      </w:r>
      <w:r>
        <w:rPr>
          <w:rFonts w:hAnsi="Arial"/>
          <w:rFonts w:ascii="Arial"/>
          <w:sz w:val="24"/>
          <w:i/>
          <w:color w:val="navy"/>
        </w:rPr>
        <w:t>ADJUDICACIΣN</w:t>
      </w:r>
      <w:r>
        <w:rPr>
          <w:rFonts w:hAnsi="Arial"/>
          <w:rFonts w:ascii="Arial"/>
          <w:sz w:val="24"/>
          <w:color w:val="navy"/>
        </w:rPr>
        <w:t>.</w:t>
      </w:r>
      <w:bookmarkEnd w:id="61062"/>
      <w:r>
        <w:rPr>
          <w:rFonts w:hAnsi="Arial"/>
          <w:rFonts w:ascii="Arial"/>
          <w:sz w:val="24"/>
          <w:b/>
          <w:color w:val="black"/>
        </w:rPr>
        <w:t xml:space="preserve"> </w:t>
      </w:r>
      <w:r>
        <w:rPr>
          <w:rFonts w:hAnsi="Arial"/>
          <w:rFonts w:ascii="Arial"/>
          <w:sz w:val="24"/>
          <w:color w:val="black"/>
        </w:rPr>
        <w:t xml:space="preserve">Son condiciones de adjudicaciσn las siguientes:</w:t>
      </w:r>
    </w:p>
    <w:p>
      <w:pPr>
        <w:jc w:val="both"/>
      </w:pPr>
      <w:rPr>
        <w:sz w:val="24"/>
        <w:color w:val="black"/>
      </w:rPr>
    </w:p>
    <w:p>
      <w:pPr>
        <w:jc w:val="both"/>
      </w:pPr>
      <w:r>
        <w:rPr>
          <w:rFonts w:hAnsi="Arial"/>
          <w:rFonts w:ascii="Arial"/>
          <w:sz w:val="24"/>
          <w:color w:val="black"/>
        </w:rPr>
        <w:t xml:space="preserve">Para otorgarse la Medalla Deportiva de la Fuerza Pϊblica, a Personal de las Fuerzas Militares, Policνa Nacional, servidores pϊblicos del Sector Defensa y a particulares, ademαs del cumplimiento de lo establecido en el artνculo </w:t>
      </w:r>
      <w:r>
        <w:fldChar w:fldCharType="begin"/>
      </w:r>
      <w:r>
        <w:instrText>HYPERLINK "http://www.redjurista.com/document.aspx?ajcode=d1070015&amp;arts=2.3.1.3.3.1"</w:instrText>
      </w:r>
      <w:r>
        <w:fldChar w:fldCharType="separate"/>
      </w:r>
      <w:r>
        <w:rPr>
          <w:rFonts w:hAnsi="Arial"/>
          <w:rFonts w:ascii="Arial"/>
          <w:sz w:val="24"/>
          <w:u w:val="single"/>
          <w:color w:val="black"/>
        </w:rPr>
        <w:t>2.3.1.3.3.1</w:t>
      </w:r>
      <w:r>
        <w:fldChar w:fldCharType="end"/>
      </w:r>
      <w:r>
        <w:rPr>
          <w:rFonts w:hAnsi="Arial"/>
          <w:rFonts w:ascii="Arial"/>
          <w:sz w:val="24"/>
          <w:u w:val="none"/>
          <w:color w:val="black"/>
        </w:rPr>
        <w:t xml:space="preserve">., del presente Capνtulo, se debe tener en cuenta que el candidato tenga el carαcter de aficionado segϊn lo establecido por el comitι Olνmpico Colombiano.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Medalla Deportiva de la Fuerza Pϊblica, se otorgarα a solicitud de los Presidentes de las Ligas Deportivas de la Fuerza Pϊblica y Oficiales de Deportes de cada una de las Fuerzas Militares y de la Policνa Nacional, a la cual adjuntarαn los documentos probatorios que los candidatos cumplen los requisitos exigidos.</w:t>
      </w:r>
    </w:p>
    <w:p>
      <w:pPr>
        <w:jc w:val="both"/>
      </w:pPr>
      <w:rPr>
        <w:sz w:val="24"/>
        <w:color w:val="black"/>
      </w:rPr>
    </w:p>
    <w:p>
      <w:pPr>
        <w:jc w:val="both"/>
      </w:pPr>
      <w:r>
        <w:rPr>
          <w:rFonts w:hAnsi="Arial"/>
          <w:rFonts w:ascii="Arial"/>
          <w:sz w:val="24"/>
          <w:color w:val="black"/>
        </w:rPr>
        <w:t xml:space="preserve">El presidente de la Federaciσn Colombiana Deportiva Militar elaborarα los Proyectos de Resoluciσn Ministerial por medio de los cuales se concede la condecoraciσn.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Esta medalla podrα ser otorgada al individuo una sola vez en las diferentes categorνas.</w:t>
      </w:r>
    </w:p>
    <w:p>
      <w:pPr>
        <w:jc w:val="both"/>
      </w:pPr>
      <w:rPr>
        <w:sz w:val="24"/>
        <w:color w:val="black"/>
      </w:rPr>
    </w:p>
    <w:p>
      <w:pPr>
        <w:jc w:val="both"/>
      </w:pPr>
      <w:r>
        <w:rPr>
          <w:rFonts w:hAnsi="Arial"/>
          <w:rFonts w:ascii="Arial"/>
          <w:sz w:val="24"/>
          <w:i/>
          <w:color w:val="black"/>
        </w:rPr>
        <w:t xml:space="preserve">(Decreto 4444 de 2010 artνculo </w:t>
      </w:r>
      <w:r>
        <w:fldChar w:fldCharType="begin"/>
      </w:r>
      <w:r>
        <w:instrText>HYPERLINK "http://www.redjurista.com/document.aspx?ajcode=d4444010&amp;arts=218"</w:instrText>
      </w:r>
      <w:r>
        <w:fldChar w:fldCharType="separate"/>
      </w:r>
      <w:r>
        <w:rPr>
          <w:rFonts w:hAnsi="Arial"/>
          <w:rFonts w:ascii="Arial"/>
          <w:sz w:val="24"/>
          <w:i/>
          <w:u w:val="single"/>
          <w:color w:val="black"/>
        </w:rPr>
        <w:t>218</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063" w:name="CAPÍTULO 2.3.1.4"/>
      <w:r>
        <w:rPr>
          <w:rFonts w:hAnsi="Arial"/>
          <w:rFonts w:ascii="Arial"/>
          <w:sz w:val="24"/>
          <w:color w:val="navy"/>
        </w:rPr>
        <w:t xml:space="preserve">CAPΝTULO 4. </w:t>
      </w:r>
    </w:p>
    <w:p>
      <w:pPr>
        <w:jc w:val="center"/>
      </w:pPr>
      <w:r>
        <w:rPr>
          <w:rFonts w:hAnsi="Arial"/>
          <w:rFonts w:ascii="Arial"/>
          <w:sz w:val="24"/>
          <w:color w:val="navy"/>
        </w:rPr>
        <w:t xml:space="preserve">RECLUTAMIENTO Y MOVILIZACIΣN.</w:t>
      </w:r>
      <w:bookmarkEnd w:id="61063"/>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61064" w:name="SECCIÓN 2.3.1.4.1"/>
      <w:r>
        <w:rPr>
          <w:rFonts w:hAnsi="Arial"/>
          <w:rFonts w:ascii="Arial"/>
          <w:sz w:val="24"/>
          <w:color w:val="navy"/>
        </w:rPr>
        <w:t xml:space="preserve">SECCIΣN 1. </w:t>
      </w:r>
    </w:p>
    <w:p>
      <w:pPr>
        <w:jc w:val="center"/>
      </w:pPr>
      <w:r>
        <w:rPr>
          <w:rFonts w:hAnsi="Arial"/>
          <w:rFonts w:ascii="Arial"/>
          <w:sz w:val="24"/>
          <w:color w:val="navy"/>
        </w:rPr>
        <w:t xml:space="preserve">FUNCIONES DE LOS ORGANISMOS DEL SERVICIO DE RECLUTAMIENTO Y MOVILIZACIΣN.</w:t>
      </w:r>
      <w:bookmarkEnd w:id="6106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065" w:name="2.3.1.4.1.1"/>
      <w:r>
        <w:rPr>
          <w:rFonts w:hAnsi="Arial"/>
          <w:rFonts w:ascii="Arial"/>
          <w:sz w:val="24"/>
          <w:color w:val="navy"/>
        </w:rPr>
        <w:t xml:space="preserve">ARTΝCULO 2.3.1.4.1.1. </w:t>
      </w:r>
      <w:r>
        <w:rPr>
          <w:rFonts w:hAnsi="Arial"/>
          <w:rFonts w:ascii="Arial"/>
          <w:sz w:val="24"/>
          <w:i/>
          <w:color w:val="navy"/>
        </w:rPr>
        <w:t xml:space="preserve">FUNCIONES DEL MINISTRO DE DEFENSA NACIONAL.</w:t>
      </w:r>
      <w:bookmarkEnd w:id="6106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Corresponde al Ministro de Defensa Nacional, a travιs del Comando General de las Fuerzas Militares, elaborar y presentar los proyectos de ley o decretos relacionados con el servicio de Reclutamiento, Control de Reservas y la Movilizaciσn, sin perjuicio de las funciones atribuidas por otras normas legales y reglamentarias. </w:t>
      </w:r>
    </w:p>
    <w:p>
      <w:pPr>
        <w:jc w:val="both"/>
      </w:pPr>
      <w:rPr>
        <w:color w:val="black"/>
      </w:rPr>
    </w:p>
    <w:p>
      <w:pPr>
        <w:jc w:val="both"/>
      </w:pPr>
      <w:r>
        <w:rPr>
          <w:rFonts w:hAnsi="Arial"/>
          <w:rFonts w:ascii="Arial"/>
          <w:sz w:val="24"/>
          <w:vanish/>
          <w:color w:val="black"/>
        </w:rPr>
        <w:t>&amp;$</w:t>
      </w:r>
      <w:bookmarkStart w:id="61066" w:name="2.3.1.4.1.2"/>
      <w:r>
        <w:rPr>
          <w:rFonts w:hAnsi="Arial"/>
          <w:rFonts w:ascii="Arial"/>
          <w:sz w:val="24"/>
          <w:color w:val="navy"/>
        </w:rPr>
        <w:t xml:space="preserve">ARTΝCULO 2.3.1.4.1.2. </w:t>
      </w:r>
      <w:r>
        <w:rPr>
          <w:rFonts w:hAnsi="Arial"/>
          <w:rFonts w:ascii="Arial"/>
          <w:sz w:val="24"/>
          <w:i/>
          <w:color w:val="navy"/>
        </w:rPr>
        <w:t xml:space="preserve">FUNCIONES DEL COMANDANTE GENERAL DE LAS FUERZAS MILITARES.</w:t>
      </w:r>
      <w:bookmarkEnd w:id="6106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Comandante General de las Fuerzas Militares tendrα las siguientes funciones: </w:t>
      </w:r>
    </w:p>
    <w:p>
      <w:pPr>
        <w:jc w:val="both"/>
        <w:outlineLvl w:val="1"/>
      </w:pPr>
      <w:rPr>
        <w:sz w:val="24"/>
        <w:color w:val="black"/>
      </w:rPr>
    </w:p>
    <w:p>
      <w:pPr>
        <w:jc w:val="both"/>
        <w:outlineLvl w:val="1"/>
      </w:pPr>
      <w:r>
        <w:rPr>
          <w:rFonts w:hAnsi="Arial"/>
          <w:rFonts w:ascii="Arial"/>
          <w:sz w:val="24"/>
          <w:color w:val="black"/>
        </w:rPr>
        <w:t xml:space="preserve">1. Fijar mediante Disposiciσn, la Divisiσn Territorial Militar del paνs; </w:t>
      </w:r>
    </w:p>
    <w:p>
      <w:pPr>
        <w:jc w:val="both"/>
        <w:outlineLvl w:val="1"/>
      </w:pPr>
      <w:rPr>
        <w:sz w:val="24"/>
        <w:color w:val="black"/>
      </w:rPr>
    </w:p>
    <w:p>
      <w:pPr>
        <w:jc w:val="both"/>
        <w:outlineLvl w:val="1"/>
      </w:pPr>
      <w:r>
        <w:rPr>
          <w:rFonts w:hAnsi="Arial"/>
          <w:rFonts w:ascii="Arial"/>
          <w:sz w:val="24"/>
          <w:color w:val="black"/>
        </w:rPr>
        <w:t xml:space="preserve">2. Emitir directrices sobre Reclutamiento, Control de las Reservas y la Movilizaciσn Militar, a travιs de la Direcciσn de Reclutamiento y Control Reservas del Comando General de las Fuerzas Militares. </w:t>
      </w:r>
    </w:p>
    <w:p>
      <w:pPr>
        <w:jc w:val="both"/>
        <w:outlineLvl w:val="1"/>
      </w:pPr>
      <w:rPr>
        <w:sz w:val="24"/>
        <w:color w:val="black"/>
      </w:rPr>
    </w:p>
    <w:p>
      <w:pPr>
        <w:jc w:val="both"/>
        <w:outlineLvl w:val="1"/>
      </w:pPr>
      <w:r>
        <w:rPr>
          <w:rFonts w:hAnsi="Arial"/>
          <w:rFonts w:ascii="Arial"/>
          <w:sz w:val="24"/>
          <w:color w:val="black"/>
        </w:rPr>
        <w:t xml:space="preserve">3. Aprobar los planes sobre movilizaciσn militar. </w:t>
      </w:r>
    </w:p>
    <w:p>
      <w:pPr>
        <w:jc w:val="both"/>
      </w:pPr>
      <w:rPr>
        <w:color w:val="black"/>
      </w:rPr>
    </w:p>
    <w:p>
      <w:pPr>
        <w:jc w:val="both"/>
      </w:pPr>
      <w:r>
        <w:rPr>
          <w:rFonts w:hAnsi="Arial"/>
          <w:rFonts w:ascii="Arial"/>
          <w:sz w:val="24"/>
          <w:vanish/>
          <w:color w:val="black"/>
        </w:rPr>
        <w:t>&amp;$</w:t>
      </w:r>
      <w:bookmarkStart w:id="61067" w:name="2.3.1.4.1.3"/>
      <w:r>
        <w:rPr>
          <w:rFonts w:hAnsi="Arial"/>
          <w:rFonts w:ascii="Arial"/>
          <w:sz w:val="24"/>
          <w:color w:val="navy"/>
        </w:rPr>
        <w:t xml:space="preserve">ARTΝCULO 2.3.1.4.1.3. </w:t>
      </w:r>
      <w:r>
        <w:rPr>
          <w:rFonts w:hAnsi="Arial"/>
          <w:rFonts w:ascii="Arial"/>
          <w:sz w:val="24"/>
          <w:i/>
          <w:color w:val="navy"/>
        </w:rPr>
        <w:t xml:space="preserve">FUNCIONES DEL DIRECTOR DE RECLUTAMIENTO Y MOVILIZACIΣN.</w:t>
      </w:r>
      <w:bookmarkEnd w:id="61067"/>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Son funciones del Director de Reclutamiento y Movilizaciσn del Comando General de las Fuerzas Militares: </w:t>
      </w:r>
    </w:p>
    <w:p>
      <w:pPr>
        <w:jc w:val="both"/>
        <w:outlineLvl w:val="1"/>
      </w:pPr>
      <w:rPr>
        <w:sz w:val="24"/>
        <w:color w:val="black"/>
      </w:rPr>
    </w:p>
    <w:p>
      <w:pPr>
        <w:jc w:val="both"/>
        <w:outlineLvl w:val="1"/>
      </w:pPr>
      <w:r>
        <w:rPr>
          <w:rFonts w:hAnsi="Arial"/>
          <w:rFonts w:ascii="Arial"/>
          <w:sz w:val="24"/>
          <w:color w:val="black"/>
        </w:rPr>
        <w:t xml:space="preserve">1. Recomendar y difundir las directrices sobre el reclutamiento control de reservas y la movilizaciσn militar de personal. </w:t>
      </w:r>
    </w:p>
    <w:p>
      <w:pPr>
        <w:jc w:val="both"/>
        <w:outlineLvl w:val="1"/>
      </w:pPr>
      <w:rPr>
        <w:sz w:val="24"/>
        <w:color w:val="black"/>
      </w:rPr>
    </w:p>
    <w:p>
      <w:pPr>
        <w:jc w:val="both"/>
        <w:outlineLvl w:val="1"/>
      </w:pPr>
      <w:r>
        <w:rPr>
          <w:rFonts w:hAnsi="Arial"/>
          <w:rFonts w:ascii="Arial"/>
          <w:sz w:val="24"/>
          <w:color w:val="black"/>
        </w:rPr>
        <w:t xml:space="preserve">2. Proyectar el plan de movilizaciσn militar de personal para las Fuerzas Militares. </w:t>
      </w:r>
    </w:p>
    <w:p>
      <w:pPr>
        <w:jc w:val="both"/>
      </w:pPr>
      <w:rPr>
        <w:color w:val="black"/>
      </w:rPr>
    </w:p>
    <w:p>
      <w:pPr>
        <w:jc w:val="both"/>
        <w:outlineLvl w:val="1"/>
      </w:pPr>
      <w:r>
        <w:rPr>
          <w:rFonts w:hAnsi="Arial"/>
          <w:rFonts w:ascii="Arial"/>
          <w:sz w:val="24"/>
          <w:b/>
          <w:vanish/>
          <w:color w:val="black"/>
        </w:rPr>
        <w:t>&amp;$</w:t>
      </w:r>
      <w:bookmarkStart w:id="61068" w:name="2.3.1.4.1.4"/>
      <w:r>
        <w:rPr>
          <w:rFonts w:hAnsi="Arial"/>
          <w:rFonts w:ascii="Arial"/>
          <w:sz w:val="24"/>
          <w:color w:val="navy"/>
        </w:rPr>
        <w:t xml:space="preserve">ARTΝCULO 2.3.1.4.1.4. FUNCIONES DEL COMANDANTE DEL COMANDO DE RECLUTAMIENTO Y CONTROL RESERVAS DEL EJΙRCITO NACIONAL.</w:t>
      </w:r>
      <w:bookmarkEnd w:id="6106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Comandante del Comando de Reclutamiento y Control Reservas del Ejιrcito Nacional, tendrα las siguientes funciones: </w:t>
      </w:r>
    </w:p>
    <w:p>
      <w:pPr>
        <w:jc w:val="both"/>
        <w:outlineLvl w:val="1"/>
      </w:pPr>
      <w:rPr>
        <w:sz w:val="24"/>
        <w:color w:val="black"/>
      </w:rPr>
    </w:p>
    <w:p>
      <w:pPr>
        <w:jc w:val="both"/>
        <w:outlineLvl w:val="1"/>
      </w:pPr>
      <w:r>
        <w:rPr>
          <w:rFonts w:hAnsi="Arial"/>
          <w:rFonts w:ascii="Arial"/>
          <w:sz w:val="24"/>
          <w:color w:val="black"/>
        </w:rPr>
        <w:t xml:space="preserve">1. Supervisar, planear, dirigir y controlar con efectividad la incorporaciσn del potencial humano, la definiciσn de la situaciσn militar, el control de las reservas y la movilizaciσn. </w:t>
      </w:r>
    </w:p>
    <w:p>
      <w:pPr>
        <w:jc w:val="both"/>
        <w:outlineLvl w:val="1"/>
      </w:pPr>
      <w:rPr>
        <w:sz w:val="24"/>
        <w:color w:val="black"/>
      </w:rPr>
    </w:p>
    <w:p>
      <w:pPr>
        <w:jc w:val="both"/>
        <w:outlineLvl w:val="1"/>
      </w:pPr>
      <w:r>
        <w:rPr>
          <w:rFonts w:hAnsi="Arial"/>
          <w:rFonts w:ascii="Arial"/>
          <w:sz w:val="24"/>
          <w:color w:val="black"/>
        </w:rPr>
        <w:t xml:space="preserve">2. Suscribir los convenios de colaboraciσn o actos administrativos de interoperabilidad con las entidades del Estado necesarias para fines de definiciσn de la situaciσn militar y el control de la reserva, previa delegaciσn por parte del Ministro de Defensa Nacional. </w:t>
      </w:r>
    </w:p>
    <w:p>
      <w:pPr>
        <w:jc w:val="both"/>
        <w:outlineLvl w:val="1"/>
      </w:pPr>
      <w:rPr>
        <w:sz w:val="24"/>
        <w:color w:val="black"/>
      </w:rPr>
    </w:p>
    <w:p>
      <w:pPr>
        <w:jc w:val="both"/>
        <w:outlineLvl w:val="1"/>
      </w:pPr>
      <w:r>
        <w:rPr>
          <w:rFonts w:hAnsi="Arial"/>
          <w:rFonts w:ascii="Arial"/>
          <w:sz w:val="24"/>
          <w:color w:val="black"/>
        </w:rPr>
        <w:t xml:space="preserve">3. Difundir las directrices para el desarrollo del proceso de definiciσn de la situaciσn militar, el control de las reservas y la movilizaciσn, teniendo en cuenta la normatividad vigente y los lineamientos establecidos por el Comando Superior. </w:t>
      </w:r>
    </w:p>
    <w:p>
      <w:pPr>
        <w:jc w:val="both"/>
        <w:outlineLvl w:val="1"/>
      </w:pPr>
      <w:rPr>
        <w:sz w:val="24"/>
        <w:color w:val="black"/>
      </w:rPr>
    </w:p>
    <w:p>
      <w:pPr>
        <w:jc w:val="both"/>
        <w:outlineLvl w:val="1"/>
      </w:pPr>
      <w:r>
        <w:rPr>
          <w:rFonts w:hAnsi="Arial"/>
          <w:rFonts w:ascii="Arial"/>
          <w:sz w:val="24"/>
          <w:color w:val="black"/>
        </w:rPr>
        <w:t xml:space="preserve">4. Emitir las directrices para la ejecuciσn de los planes de incorporaciσn de soldados, infantes de marina, auxiliares de policνa en la Fuerza Pϊblica y auxiliares del cuerpo de custodia en el Instituto Nacional Penitenciario y Carcelario (Inpec). </w:t>
      </w:r>
    </w:p>
    <w:p>
      <w:pPr>
        <w:jc w:val="both"/>
        <w:outlineLvl w:val="1"/>
      </w:pPr>
      <w:rPr>
        <w:sz w:val="24"/>
        <w:color w:val="black"/>
      </w:rPr>
    </w:p>
    <w:p>
      <w:pPr>
        <w:jc w:val="both"/>
        <w:outlineLvl w:val="1"/>
      </w:pPr>
      <w:r>
        <w:rPr>
          <w:rFonts w:hAnsi="Arial"/>
          <w:rFonts w:ascii="Arial"/>
          <w:sz w:val="24"/>
          <w:color w:val="black"/>
        </w:rPr>
        <w:t xml:space="preserve">5. Asesorar al Comando Superior en todo lo relacionado con el proceso de definiciσn de la situaciσn militar, control de las reservas y la movilizaciσn, teniendo en cuenta la normatividad vigente. </w:t>
      </w:r>
    </w:p>
    <w:p>
      <w:pPr>
        <w:jc w:val="both"/>
        <w:outlineLvl w:val="1"/>
      </w:pPr>
      <w:rPr>
        <w:sz w:val="24"/>
        <w:color w:val="black"/>
      </w:rPr>
    </w:p>
    <w:p>
      <w:pPr>
        <w:jc w:val="both"/>
        <w:outlineLvl w:val="1"/>
      </w:pPr>
      <w:r>
        <w:rPr>
          <w:rFonts w:hAnsi="Arial"/>
          <w:rFonts w:ascii="Arial"/>
          <w:sz w:val="24"/>
          <w:color w:val="black"/>
        </w:rPr>
        <w:t xml:space="preserve">6. Asesorar al mando en temas relacionados con la activaciσn de las unidades de reserva para fines de selecciσn, organizaciσn, capacitaciσn, entrenamiento y empleo de estas, con el fin de cumplir con los planes de movilizaciσn y las directrices que emita el Gobierno nacional. </w:t>
      </w:r>
    </w:p>
    <w:p>
      <w:pPr>
        <w:jc w:val="both"/>
      </w:pPr>
      <w:rPr>
        <w:color w:val="black"/>
      </w:rPr>
    </w:p>
    <w:p>
      <w:pPr>
        <w:jc w:val="both"/>
        <w:keepNext/>
        <w:outlineLvl w:val="1"/>
      </w:pPr>
      <w:r>
        <w:rPr>
          <w:rFonts w:hAnsi="Arial"/>
          <w:rFonts w:ascii="Arial"/>
          <w:sz w:val="24"/>
          <w:b/>
          <w:vanish/>
          <w:color w:val="black"/>
        </w:rPr>
        <w:t>&amp;$</w:t>
      </w:r>
      <w:bookmarkStart w:id="61069" w:name="2.3.1.4.1.5"/>
      <w:r>
        <w:rPr>
          <w:rFonts w:hAnsi="Arial"/>
          <w:rFonts w:ascii="Arial"/>
          <w:sz w:val="24"/>
          <w:color w:val="navy"/>
        </w:rPr>
        <w:t xml:space="preserve">ARTΝCULO 2.3.1.4.1.5. FUNCIONES DEL DIRECTOR DE RECLUTAMIENTO DEL EJΙRCITO NACIONAL.</w:t>
      </w:r>
      <w:bookmarkEnd w:id="6106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Director de Reclutamiento del Ejιrcito Nacional, tendrα las siguientes funciones: </w:t>
      </w:r>
    </w:p>
    <w:p>
      <w:pPr>
        <w:jc w:val="both"/>
        <w:keepNext/>
        <w:outlineLvl w:val="1"/>
      </w:pPr>
      <w:rPr>
        <w:sz w:val="24"/>
        <w:color w:val="black"/>
      </w:rPr>
    </w:p>
    <w:p>
      <w:pPr>
        <w:jc w:val="both"/>
        <w:keepNext/>
        <w:outlineLvl w:val="1"/>
      </w:pPr>
      <w:r>
        <w:rPr>
          <w:rFonts w:hAnsi="Arial"/>
          <w:rFonts w:ascii="Arial"/>
          <w:sz w:val="24"/>
          <w:color w:val="black"/>
        </w:rPr>
        <w:t xml:space="preserve">1. Planear, dirigir y controlar el desarrollo del procedimiento de definiciσn de situaciσn militar de los colombianos en sus respectivas jurisdicciones. </w:t>
      </w:r>
    </w:p>
    <w:p>
      <w:pPr>
        <w:jc w:val="both"/>
        <w:keepNext/>
        <w:outlineLvl w:val="1"/>
      </w:pPr>
      <w:rPr>
        <w:sz w:val="24"/>
        <w:color w:val="black"/>
      </w:rPr>
    </w:p>
    <w:p>
      <w:pPr>
        <w:jc w:val="both"/>
        <w:keepNext/>
        <w:outlineLvl w:val="1"/>
      </w:pPr>
      <w:r>
        <w:rPr>
          <w:rFonts w:hAnsi="Arial"/>
          <w:rFonts w:ascii="Arial"/>
          <w:sz w:val="24"/>
          <w:color w:val="black"/>
        </w:rPr>
        <w:t xml:space="preserve">2. Dirigir y controlar el plan de reclutamiento de contingentes para la prestaciσn del servicio militar obligatorio, que expide la Direcciσn de Organizaciσn del Ejιrcito o quien haga sus veces. </w:t>
      </w:r>
    </w:p>
    <w:p>
      <w:pPr>
        <w:jc w:val="both"/>
        <w:keepNext/>
        <w:outlineLvl w:val="1"/>
      </w:pPr>
      <w:rPr>
        <w:sz w:val="24"/>
        <w:b/>
        <w:color w:val="black"/>
      </w:rPr>
    </w:p>
    <w:p>
      <w:pPr>
        <w:jc w:val="both"/>
        <w:keepNext/>
        <w:outlineLvl w:val="1"/>
      </w:pPr>
      <w:r>
        <w:rPr>
          <w:rFonts w:hAnsi="Arial"/>
          <w:rFonts w:ascii="Arial"/>
          <w:sz w:val="24"/>
          <w:color w:val="black"/>
        </w:rPr>
        <w:t xml:space="preserve">3. Emitir las instrucciones y directrices para adelantar el proceso de evaluaciσn de aptitud psicofνsica de los ciudadanos. </w:t>
      </w:r>
    </w:p>
    <w:p>
      <w:pPr>
        <w:jc w:val="both"/>
        <w:keepNext/>
        <w:outlineLvl w:val="1"/>
      </w:pPr>
      <w:rPr>
        <w:sz w:val="24"/>
        <w:color w:val="black"/>
      </w:rPr>
    </w:p>
    <w:p>
      <w:pPr>
        <w:jc w:val="both"/>
        <w:keepNext/>
        <w:outlineLvl w:val="1"/>
      </w:pPr>
      <w:r>
        <w:rPr>
          <w:rFonts w:hAnsi="Arial"/>
          <w:rFonts w:ascii="Arial"/>
          <w:sz w:val="24"/>
          <w:color w:val="black"/>
        </w:rPr>
        <w:t xml:space="preserve">4. Emitir las instrucciones y directrices para el funcionamiento de los Comandos de Zona de Reclutamiento y Control Reservas, Distritos Militares y demαs dependencias del Ejιrcito Nacional comprometidas con la incorporaciσn y definiciσn de la situaciσn militar de los ciudadanos. </w:t>
      </w:r>
    </w:p>
    <w:p>
      <w:pPr>
        <w:jc w:val="both"/>
        <w:keepNext/>
        <w:outlineLvl w:val="1"/>
      </w:pPr>
      <w:rPr>
        <w:sz w:val="24"/>
        <w:b/>
        <w:color w:val="black"/>
      </w:rPr>
    </w:p>
    <w:p>
      <w:pPr>
        <w:jc w:val="both"/>
        <w:keepNext/>
        <w:outlineLvl w:val="1"/>
      </w:pPr>
      <w:r>
        <w:rPr>
          <w:rFonts w:hAnsi="Arial"/>
          <w:rFonts w:ascii="Arial"/>
          <w:sz w:val="24"/>
          <w:color w:val="black"/>
        </w:rPr>
        <w:t xml:space="preserve">5. Resolver las consultas sobre interpretaciσn de la normatividad vigente y aplicaciσn de las disposiciones legales relacionadas con la definiciσn de la situaciσn militar de los ciudadanos. </w:t>
      </w:r>
    </w:p>
    <w:p>
      <w:pPr>
        <w:jc w:val="both"/>
        <w:keepNext/>
        <w:outlineLvl w:val="1"/>
      </w:pPr>
      <w:rPr>
        <w:sz w:val="24"/>
        <w:color w:val="black"/>
      </w:rPr>
    </w:p>
    <w:p>
      <w:pPr>
        <w:jc w:val="both"/>
        <w:keepNext/>
        <w:outlineLvl w:val="1"/>
      </w:pPr>
      <w:r>
        <w:rPr>
          <w:rFonts w:hAnsi="Arial"/>
          <w:rFonts w:ascii="Arial"/>
          <w:sz w:val="24"/>
          <w:color w:val="black"/>
        </w:rPr>
        <w:t xml:space="preserve">6. Analizar las necesidades que en materia de reclutamiento y definiciσn de la situaciσn militar tenga el paνs y presentar recomendaciones al Comando de Reclutamiento y Control Reservas. </w:t>
      </w:r>
    </w:p>
    <w:p>
      <w:pPr>
        <w:jc w:val="both"/>
        <w:keepNext/>
        <w:outlineLvl w:val="1"/>
      </w:pPr>
      <w:rPr>
        <w:sz w:val="24"/>
        <w:b/>
        <w:color w:val="black"/>
      </w:rPr>
    </w:p>
    <w:p>
      <w:pPr>
        <w:jc w:val="both"/>
        <w:keepNext/>
        <w:outlineLvl w:val="1"/>
      </w:pPr>
      <w:r>
        <w:rPr>
          <w:rFonts w:hAnsi="Arial"/>
          <w:rFonts w:ascii="Arial"/>
          <w:sz w:val="24"/>
          <w:color w:val="black"/>
        </w:rPr>
        <w:t xml:space="preserve">7. Disponer los cambios, aplazamientos y exoneraciones de los conscriptos que considere necesarios. </w:t>
      </w:r>
    </w:p>
    <w:p>
      <w:pPr>
        <w:jc w:val="both"/>
      </w:pPr>
      <w:rPr>
        <w:color w:val="black"/>
      </w:rPr>
    </w:p>
    <w:p>
      <w:pPr>
        <w:jc w:val="both"/>
        <w:keepNext/>
        <w:outlineLvl w:val="1"/>
      </w:pPr>
      <w:r>
        <w:rPr>
          <w:rFonts w:hAnsi="Arial"/>
          <w:rFonts w:ascii="Arial"/>
          <w:sz w:val="24"/>
          <w:b/>
          <w:vanish/>
          <w:color w:val="black"/>
        </w:rPr>
        <w:t>&amp;$</w:t>
      </w:r>
      <w:bookmarkStart w:id="61070" w:name="2.3.1.4.1.6"/>
      <w:r>
        <w:rPr>
          <w:rFonts w:hAnsi="Arial"/>
          <w:rFonts w:ascii="Arial"/>
          <w:sz w:val="24"/>
          <w:color w:val="navy"/>
        </w:rPr>
        <w:t xml:space="preserve">ARTΝCULO 2.3.1.4.1.6. FUNCIONES DEL DIRECTOR DE CONTROL RESERVAS DEL EJΙRCITO.</w:t>
      </w:r>
      <w:bookmarkEnd w:id="6107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Director de Control Reservas del Ejιrcito Nacional, tendrα las siguientes funciones: </w:t>
      </w:r>
    </w:p>
    <w:p>
      <w:pPr>
        <w:jc w:val="both"/>
        <w:keepNext/>
        <w:outlineLvl w:val="1"/>
      </w:pPr>
      <w:rPr>
        <w:sz w:val="24"/>
        <w:color w:val="black"/>
      </w:rPr>
    </w:p>
    <w:p>
      <w:pPr>
        <w:jc w:val="both"/>
        <w:keepNext/>
        <w:outlineLvl w:val="1"/>
      </w:pPr>
      <w:r>
        <w:rPr>
          <w:rFonts w:hAnsi="Arial"/>
          <w:rFonts w:ascii="Arial"/>
          <w:sz w:val="24"/>
          <w:color w:val="black"/>
        </w:rPr>
        <w:t xml:space="preserve">1. Organizar y controlar la informaciσn de la reserva, con el fin de facilitar el proceso de selecciσn y organizaciσn de las mismas. </w:t>
      </w:r>
    </w:p>
    <w:p>
      <w:pPr>
        <w:jc w:val="both"/>
        <w:keepNext/>
        <w:outlineLvl w:val="1"/>
      </w:pPr>
      <w:rPr>
        <w:sz w:val="24"/>
        <w:color w:val="black"/>
      </w:rPr>
    </w:p>
    <w:p>
      <w:pPr>
        <w:jc w:val="both"/>
        <w:keepNext/>
        <w:outlineLvl w:val="1"/>
      </w:pPr>
      <w:r>
        <w:rPr>
          <w:rFonts w:hAnsi="Arial"/>
          <w:rFonts w:ascii="Arial"/>
          <w:sz w:val="24"/>
          <w:color w:val="black"/>
        </w:rPr>
        <w:t xml:space="preserve">2. Elaborar y controlar el cumplimiento del plan de Control Reservas con el fin de garantizar la disponibilidad de las mismas para fines de selecciσn y organizaciσn. </w:t>
      </w:r>
    </w:p>
    <w:p>
      <w:pPr>
        <w:jc w:val="both"/>
        <w:keepNext/>
        <w:outlineLvl w:val="1"/>
      </w:pPr>
      <w:rPr>
        <w:sz w:val="24"/>
        <w:color w:val="black"/>
      </w:rPr>
    </w:p>
    <w:p>
      <w:pPr>
        <w:jc w:val="both"/>
        <w:keepNext/>
        <w:outlineLvl w:val="1"/>
      </w:pPr>
      <w:r>
        <w:rPr>
          <w:rFonts w:hAnsi="Arial"/>
          <w:rFonts w:ascii="Arial"/>
          <w:sz w:val="24"/>
          <w:color w:val="black"/>
        </w:rPr>
        <w:t xml:space="preserve">3. Verificar y evaluar la organizaciσn de las unidades de reserva de la Fuerza. </w:t>
      </w:r>
    </w:p>
    <w:p>
      <w:pPr>
        <w:jc w:val="both"/>
        <w:keepNext/>
        <w:outlineLvl w:val="1"/>
      </w:pPr>
      <w:rPr>
        <w:sz w:val="24"/>
        <w:color w:val="black"/>
      </w:rPr>
    </w:p>
    <w:p>
      <w:pPr>
        <w:jc w:val="both"/>
        <w:keepNext/>
        <w:outlineLvl w:val="1"/>
      </w:pPr>
      <w:r>
        <w:rPr>
          <w:rFonts w:hAnsi="Arial"/>
          <w:rFonts w:ascii="Arial"/>
          <w:sz w:val="24"/>
          <w:color w:val="black"/>
        </w:rPr>
        <w:t xml:space="preserve">4. Emitir las instrucciones y directrices a los comandantes de Zonas de Reclutamiento y Control Reservas del Ejιrcito Nacional, en lo relacionado con el control de las reservas y la movilizaciσn.</w:t>
      </w:r>
    </w:p>
    <w:p>
      <w:pPr>
        <w:jc w:val="both"/>
      </w:pPr>
      <w:rPr>
        <w:color w:val="black"/>
      </w:rPr>
    </w:p>
    <w:p>
      <w:pPr>
        <w:jc w:val="both"/>
        <w:keepNext/>
        <w:outlineLvl w:val="1"/>
      </w:pPr>
      <w:r>
        <w:rPr>
          <w:rFonts w:hAnsi="Arial"/>
          <w:rFonts w:ascii="Arial"/>
          <w:sz w:val="24"/>
          <w:b/>
          <w:vanish/>
          <w:color w:val="black"/>
        </w:rPr>
        <w:t>&amp;$</w:t>
      </w:r>
      <w:bookmarkStart w:id="61071" w:name="2.3.1.4.1.7"/>
      <w:r>
        <w:rPr>
          <w:rFonts w:hAnsi="Arial"/>
          <w:rFonts w:ascii="Arial"/>
          <w:sz w:val="24"/>
          <w:color w:val="navy"/>
        </w:rPr>
        <w:t xml:space="preserve">ARTΝCULO 2.3.1.4.1.7. FUNCIONES DEL COMANDANTE DE ZONA DE RECLUTAMIENTO Y CONTROL RESERVAS DEL EJΙRCITO.</w:t>
      </w:r>
      <w:bookmarkEnd w:id="6107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Comandante de Zona de Reclutamiento y Control Reservas del Ejιrcito Nacional, tendrα las siguientes funciones: </w:t>
      </w:r>
    </w:p>
    <w:p>
      <w:pPr>
        <w:jc w:val="both"/>
        <w:keepNext/>
        <w:outlineLvl w:val="1"/>
      </w:pPr>
      <w:rPr>
        <w:sz w:val="24"/>
        <w:color w:val="black"/>
      </w:rPr>
    </w:p>
    <w:p>
      <w:pPr>
        <w:jc w:val="both"/>
        <w:keepNext/>
        <w:outlineLvl w:val="1"/>
      </w:pPr>
      <w:r>
        <w:rPr>
          <w:rFonts w:hAnsi="Arial"/>
          <w:rFonts w:ascii="Arial"/>
          <w:sz w:val="24"/>
          <w:color w:val="black"/>
        </w:rPr>
        <w:t xml:space="preserve">1. Planear, dirigir, controlar la definiciσn de la situaciσn militar de los ciudadanos y el control de las reservas en los Distritos Militares de su jurisdicciσn, de acuerdo con la normatividad vigente. </w:t>
      </w:r>
    </w:p>
    <w:p>
      <w:pPr>
        <w:jc w:val="both"/>
        <w:keepNext/>
        <w:outlineLvl w:val="1"/>
      </w:pPr>
      <w:rPr>
        <w:sz w:val="24"/>
        <w:color w:val="black"/>
      </w:rPr>
    </w:p>
    <w:p>
      <w:pPr>
        <w:jc w:val="both"/>
        <w:keepNext/>
        <w:outlineLvl w:val="1"/>
      </w:pPr>
      <w:r>
        <w:rPr>
          <w:rFonts w:hAnsi="Arial"/>
          <w:rFonts w:ascii="Arial"/>
          <w:sz w:val="24"/>
          <w:color w:val="black"/>
        </w:rPr>
        <w:t xml:space="preserve">2. Difundir y supervisar el cumplimiento de las instrucciones emitidas para la definiciσn de la situaciσn militar, el control de las reservas y la movilizaciσn. </w:t>
      </w:r>
    </w:p>
    <w:p>
      <w:pPr>
        <w:jc w:val="both"/>
        <w:keepNext/>
        <w:outlineLvl w:val="1"/>
      </w:pPr>
      <w:rPr>
        <w:sz w:val="24"/>
        <w:color w:val="black"/>
      </w:rPr>
    </w:p>
    <w:p>
      <w:pPr>
        <w:jc w:val="both"/>
        <w:keepNext/>
        <w:outlineLvl w:val="1"/>
      </w:pPr>
      <w:r>
        <w:rPr>
          <w:rFonts w:hAnsi="Arial"/>
          <w:rFonts w:ascii="Arial"/>
          <w:sz w:val="24"/>
          <w:color w:val="black"/>
        </w:rPr>
        <w:t xml:space="preserve">3. Realizar control, evaluaciσn y seguimiento al personal que en los distritos militares de su jurisdicciσn interviene en el proceso de reclutamiento e incorporaciσn, con el fin de supervisar los procedimientos propios de la definiciσn de la situaciσn militar, control reservas y la movilizaciσn. </w:t>
      </w:r>
    </w:p>
    <w:p>
      <w:pPr>
        <w:jc w:val="both"/>
        <w:keepNext/>
        <w:outlineLvl w:val="1"/>
      </w:pPr>
      <w:rPr>
        <w:sz w:val="24"/>
        <w:color w:val="black"/>
      </w:rPr>
    </w:p>
    <w:p>
      <w:pPr>
        <w:jc w:val="both"/>
        <w:keepNext/>
        <w:outlineLvl w:val="1"/>
      </w:pPr>
      <w:r>
        <w:rPr>
          <w:rFonts w:hAnsi="Arial"/>
          <w:rFonts w:ascii="Arial"/>
          <w:sz w:val="24"/>
          <w:color w:val="black"/>
        </w:rPr>
        <w:t xml:space="preserve">4. Elaborar y presentar ante la Direcciσn de Reclutamiento del Ejιrcito Nacional, la planeaciσn para llevar a cabo el proceso de reclutamiento de ciudadanos a la prestaciσn del servicio militar y la definiciσn de la situaciσn militar del personal clasificado de conformidad con el artνculo </w:t>
      </w:r>
      <w:r>
        <w:fldChar w:fldCharType="begin"/>
      </w:r>
      <w:r>
        <w:instrText>HYPERLINK "http://www.redjurista.com/document.aspx?ajcode=l1861017&amp;arts=25"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1861 de 2017. </w:t>
      </w:r>
    </w:p>
    <w:p>
      <w:pPr>
        <w:jc w:val="both"/>
        <w:keepNext/>
        <w:outlineLvl w:val="1"/>
      </w:pPr>
      <w:rPr>
        <w:sz w:val="24"/>
        <w:color w:val="black"/>
      </w:rPr>
    </w:p>
    <w:p>
      <w:pPr>
        <w:jc w:val="both"/>
        <w:keepNext/>
        <w:outlineLvl w:val="1"/>
      </w:pPr>
      <w:r>
        <w:rPr>
          <w:rFonts w:hAnsi="Arial"/>
          <w:rFonts w:ascii="Arial"/>
          <w:sz w:val="24"/>
          <w:color w:val="black"/>
        </w:rPr>
        <w:t xml:space="preserve">5. Controlar la ejecuciσn del plan emitido por la Direcciσn de Control Reservas del Ejιrcito Nacional, para mantener el control sobre las reservas de su jurisdicciσn. </w:t>
      </w:r>
    </w:p>
    <w:p>
      <w:pPr>
        <w:jc w:val="both"/>
        <w:keepNext/>
        <w:outlineLvl w:val="1"/>
      </w:pPr>
      <w:rPr>
        <w:sz w:val="24"/>
        <w:color w:val="black"/>
      </w:rPr>
    </w:p>
    <w:p>
      <w:pPr>
        <w:jc w:val="both"/>
        <w:keepNext/>
        <w:outlineLvl w:val="1"/>
      </w:pPr>
      <w:r>
        <w:rPr>
          <w:rFonts w:hAnsi="Arial"/>
          <w:rFonts w:ascii="Arial"/>
          <w:sz w:val="24"/>
          <w:color w:val="black"/>
        </w:rPr>
        <w:t xml:space="preserve">6. Coordinar con las autoridades militares, policiales, civiles, entidades pϊblicas y privadas de su jurisdicciσn, para dar a conocer el proceso de definiciσn de la situaciσn militar de los ciudadanos. </w:t>
      </w:r>
    </w:p>
    <w:p>
      <w:pPr>
        <w:jc w:val="both"/>
        <w:keepNext/>
        <w:outlineLvl w:val="1"/>
      </w:pPr>
      <w:rPr>
        <w:sz w:val="24"/>
        <w:color w:val="black"/>
      </w:rPr>
    </w:p>
    <w:p>
      <w:pPr>
        <w:jc w:val="both"/>
        <w:keepNext/>
        <w:outlineLvl w:val="1"/>
      </w:pPr>
      <w:r>
        <w:rPr>
          <w:rFonts w:hAnsi="Arial"/>
          <w:rFonts w:ascii="Arial"/>
          <w:sz w:val="24"/>
          <w:color w:val="black"/>
        </w:rPr>
        <w:t xml:space="preserve">7. Conocer en segunda instancia de las infracciones y sanciones de que tratan los literales c) y g) del artνculo </w:t>
      </w:r>
      <w:r>
        <w:fldChar w:fldCharType="begin"/>
      </w:r>
      <w:r>
        <w:instrText>HYPERLINK "http://www.redjurista.com/document.aspx?ajcode=l1861017&amp;arts=46"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1861 de 2017, de conformidad con el artνculo </w:t>
      </w:r>
      <w:r>
        <w:fldChar w:fldCharType="begin"/>
      </w:r>
      <w:r>
        <w:instrText>HYPERLINK "http://www.redjurista.com/document.aspx?ajcode=l1861017&amp;arts=49"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1861 de 2017. </w:t>
      </w:r>
    </w:p>
    <w:p>
      <w:pPr>
        <w:jc w:val="both"/>
        <w:keepNext/>
      </w:pPr>
      <w:rPr>
        <w:sz w:val="24"/>
        <w:color w:val="blue"/>
      </w:rPr>
    </w:p>
    <w:p>
      <w:pPr>
        <w:jc w:val="both"/>
        <w:keepNext/>
        <w:outlineLvl w:val="1"/>
      </w:pPr>
      <w:r>
        <w:rPr>
          <w:rFonts w:hAnsi="Arial"/>
          <w:rFonts w:ascii="Arial"/>
          <w:sz w:val="24"/>
          <w:b/>
          <w:vanish/>
          <w:color w:val="black"/>
        </w:rPr>
        <w:t>&amp;$</w:t>
      </w:r>
      <w:bookmarkStart w:id="61072" w:name="2.3.1.4.1.8"/>
      <w:r>
        <w:rPr>
          <w:rFonts w:hAnsi="Arial"/>
          <w:rFonts w:ascii="Arial"/>
          <w:sz w:val="24"/>
          <w:color w:val="navy"/>
        </w:rPr>
        <w:t xml:space="preserve">ARTΝCULO 2.3.1.4.1.8. FUNCIONES DE LOS COMANDANTES DE DISTRITO MILITAR DE RECLUTAMIENTO DEL EJΙRCITO.</w:t>
      </w:r>
      <w:bookmarkEnd w:id="6107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Comandante de Distrito Militar de Reclutamiento del Ejιrcito Nacional, tendrα las siguientes funciones: </w:t>
      </w:r>
    </w:p>
    <w:p>
      <w:pPr>
        <w:jc w:val="both"/>
        <w:keepNext/>
        <w:outlineLvl w:val="1"/>
      </w:pPr>
      <w:rPr>
        <w:sz w:val="24"/>
        <w:color w:val="black"/>
      </w:rPr>
    </w:p>
    <w:p>
      <w:pPr>
        <w:jc w:val="both"/>
        <w:keepNext/>
        <w:outlineLvl w:val="1"/>
      </w:pPr>
      <w:r>
        <w:rPr>
          <w:rFonts w:hAnsi="Arial"/>
          <w:rFonts w:ascii="Arial"/>
          <w:sz w:val="24"/>
          <w:color w:val="black"/>
        </w:rPr>
        <w:t xml:space="preserve">1. Ejecutar, dirigir y controlar la inscripciσn de los ciudadanos de su jurisdicciσn para efectos de selecciσn y clasificaciσn de acuerdo con la normatividad vigente. </w:t>
      </w:r>
    </w:p>
    <w:p>
      <w:pPr>
        <w:jc w:val="both"/>
        <w:keepNext/>
        <w:outlineLvl w:val="1"/>
      </w:pPr>
      <w:rPr>
        <w:sz w:val="24"/>
        <w:color w:val="black"/>
      </w:rPr>
    </w:p>
    <w:p>
      <w:pPr>
        <w:jc w:val="both"/>
        <w:keepNext/>
        <w:outlineLvl w:val="1"/>
      </w:pPr>
      <w:r>
        <w:rPr>
          <w:rFonts w:hAnsi="Arial"/>
          <w:rFonts w:ascii="Arial"/>
          <w:sz w:val="24"/>
          <w:color w:val="black"/>
        </w:rPr>
        <w:t xml:space="preserve">2. Adelantar el procedimiento de reclutamiento de los conscriptos aptos para la prestaciσn del servicio militar, con el fin de contar con el potencial humano requerido para el cumplimiento de la misiσn constitucional. </w:t>
      </w:r>
    </w:p>
    <w:p>
      <w:pPr>
        <w:jc w:val="both"/>
        <w:keepNext/>
        <w:outlineLvl w:val="1"/>
      </w:pPr>
      <w:rPr>
        <w:sz w:val="24"/>
        <w:color w:val="black"/>
      </w:rPr>
    </w:p>
    <w:p>
      <w:pPr>
        <w:jc w:val="both"/>
        <w:keepNext/>
        <w:outlineLvl w:val="1"/>
      </w:pPr>
      <w:r>
        <w:rPr>
          <w:rFonts w:hAnsi="Arial"/>
          <w:rFonts w:ascii="Arial"/>
          <w:sz w:val="24"/>
          <w:color w:val="black"/>
        </w:rPr>
        <w:t xml:space="preserve">3. Efectuar el proceso de liquidaciσn de la cuota de compensaciσn militar del personal clasificado, con el fin de emitir la tarjeta militar de reservista de segunda clase. </w:t>
      </w:r>
    </w:p>
    <w:p>
      <w:pPr>
        <w:jc w:val="both"/>
        <w:keepNext/>
        <w:outlineLvl w:val="1"/>
      </w:pPr>
      <w:rPr>
        <w:sz w:val="24"/>
        <w:color w:val="black"/>
      </w:rPr>
    </w:p>
    <w:p>
      <w:pPr>
        <w:jc w:val="both"/>
        <w:keepNext/>
        <w:outlineLvl w:val="1"/>
      </w:pPr>
      <w:r>
        <w:rPr>
          <w:rFonts w:hAnsi="Arial"/>
          <w:rFonts w:ascii="Arial"/>
          <w:sz w:val="24"/>
          <w:color w:val="black"/>
        </w:rPr>
        <w:t xml:space="preserve">4. Mantener contacto periσdicamente con las autoridades militares, policiales, civiles, entidades pϊblicas y privadas de su jurisdicciσn, con el fin de dar a conocer el proceso de definiciσn de la situaciσn militar de cada ciudadano. </w:t>
      </w:r>
    </w:p>
    <w:p>
      <w:pPr>
        <w:jc w:val="both"/>
        <w:keepNext/>
        <w:outlineLvl w:val="1"/>
      </w:pPr>
      <w:rPr>
        <w:sz w:val="24"/>
        <w:color w:val="black"/>
      </w:rPr>
    </w:p>
    <w:p>
      <w:pPr>
        <w:jc w:val="both"/>
        <w:keepNext/>
        <w:outlineLvl w:val="1"/>
      </w:pPr>
      <w:r>
        <w:rPr>
          <w:rFonts w:hAnsi="Arial"/>
          <w:rFonts w:ascii="Arial"/>
          <w:sz w:val="24"/>
          <w:color w:val="black"/>
        </w:rPr>
        <w:t xml:space="preserve">5. Ejecutar el plan emitido por la Direcciσn de Control Reservas del Ejιrcito Nacional, para mantener el control sobre las reservas de su jurisdicciσn. </w:t>
      </w:r>
    </w:p>
    <w:p>
      <w:pPr>
        <w:jc w:val="both"/>
        <w:keepNext/>
        <w:outlineLvl w:val="1"/>
      </w:pPr>
      <w:rPr>
        <w:sz w:val="24"/>
        <w:color w:val="black"/>
      </w:rPr>
    </w:p>
    <w:p>
      <w:pPr>
        <w:jc w:val="both"/>
        <w:keepNext/>
        <w:outlineLvl w:val="1"/>
      </w:pPr>
      <w:r>
        <w:rPr>
          <w:rFonts w:hAnsi="Arial"/>
          <w:rFonts w:ascii="Arial"/>
          <w:sz w:val="24"/>
          <w:color w:val="black"/>
        </w:rPr>
        <w:t xml:space="preserve">6. Conocer en primera instancia de las infracciones y sanciones de que tratan los literales c) y g) de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de conformidad con el artνculo </w:t>
      </w:r>
      <w:r>
        <w:fldChar w:fldCharType="begin"/>
      </w:r>
      <w:r>
        <w:instrText>HYPERLINK "http://www.redjurista.com/document.aspx?ajcode=l1861017&amp;arts=48"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1861 de 2017. </w:t>
      </w:r>
    </w:p>
    <w:p>
      <w:pPr>
        <w:jc w:val="both"/>
        <w:keepNext/>
      </w:pPr>
      <w:rPr>
        <w:sz w:val="24"/>
        <w:color w:val="blue"/>
      </w:rPr>
    </w:p>
    <w:p>
      <w:pPr>
        <w:jc w:val="both"/>
        <w:keepNext/>
        <w:outlineLvl w:val="1"/>
      </w:pPr>
      <w:r>
        <w:rPr>
          <w:rFonts w:hAnsi="Arial"/>
          <w:rFonts w:ascii="Arial"/>
          <w:sz w:val="24"/>
          <w:b/>
          <w:vanish/>
          <w:color w:val="black"/>
        </w:rPr>
        <w:t>&amp;$</w:t>
      </w:r>
      <w:bookmarkStart w:id="61073" w:name="2.3.1.4.1.9"/>
      <w:r>
        <w:rPr>
          <w:rFonts w:hAnsi="Arial"/>
          <w:rFonts w:ascii="Arial"/>
          <w:sz w:val="24"/>
          <w:color w:val="navy"/>
        </w:rPr>
        <w:t xml:space="preserve">ARTΝCULO 2.3.1.4.1.9. FUNCIONES DEL JEFE DE LA OFICINA DE COORDINACIΣN DE INCORPORACIΣN Y CONTROL RESERVAS DE LA POLICΝA NACIONAL.</w:t>
      </w:r>
      <w:bookmarkEnd w:id="610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el Jefe de la Oficina de Coordinaciσn de Incorporaciσn y Control Reservas de la Policνa Nacional, tendrα las siguientes funciones: </w:t>
      </w:r>
    </w:p>
    <w:p>
      <w:pPr>
        <w:jc w:val="both"/>
        <w:keepNext/>
        <w:outlineLvl w:val="1"/>
      </w:pPr>
      <w:rPr>
        <w:sz w:val="24"/>
        <w:color w:val="black"/>
      </w:rPr>
    </w:p>
    <w:p>
      <w:pPr>
        <w:jc w:val="both"/>
        <w:keepNext/>
        <w:outlineLvl w:val="1"/>
      </w:pPr>
      <w:r>
        <w:rPr>
          <w:rFonts w:hAnsi="Arial"/>
          <w:rFonts w:ascii="Arial"/>
          <w:sz w:val="24"/>
          <w:color w:val="black"/>
        </w:rPr>
        <w:t xml:space="preserve">1. Planificar los relevos con auxiliares de Policνa en las diferentes unidades a nivel Nacional. </w:t>
      </w:r>
    </w:p>
    <w:p>
      <w:pPr>
        <w:jc w:val="both"/>
        <w:keepNext/>
        <w:outlineLvl w:val="1"/>
      </w:pPr>
      <w:rPr>
        <w:sz w:val="24"/>
        <w:color w:val="black"/>
      </w:rPr>
    </w:p>
    <w:p>
      <w:pPr>
        <w:jc w:val="both"/>
        <w:keepNext/>
        <w:outlineLvl w:val="1"/>
      </w:pPr>
      <w:r>
        <w:rPr>
          <w:rFonts w:hAnsi="Arial"/>
          <w:rFonts w:ascii="Arial"/>
          <w:sz w:val="24"/>
          <w:color w:val="black"/>
        </w:rPr>
        <w:t xml:space="preserve">2. Informar a la Direcciσn de Incorporaciσn de la Policνa Nacional, las fechas y cantidades para la selecciσn e incorporaciσn de conscriptos que prestarαn el servicio militar como auxiliares de Policνa. </w:t>
      </w:r>
    </w:p>
    <w:p>
      <w:pPr>
        <w:jc w:val="both"/>
        <w:keepNext/>
        <w:outlineLvl w:val="1"/>
      </w:pPr>
      <w:rPr>
        <w:sz w:val="24"/>
        <w:color w:val="black"/>
      </w:rPr>
    </w:p>
    <w:p>
      <w:pPr>
        <w:jc w:val="both"/>
        <w:keepNext/>
        <w:outlineLvl w:val="1"/>
      </w:pPr>
      <w:r>
        <w:rPr>
          <w:rFonts w:hAnsi="Arial"/>
          <w:rFonts w:ascii="Arial"/>
          <w:sz w:val="24"/>
          <w:color w:val="black"/>
        </w:rPr>
        <w:t xml:space="preserve">3. Coordinar con la Direcciσn Nacional de Escuelas los procesos de formaciσn del personal auxiliar de Policνa. </w:t>
      </w:r>
    </w:p>
    <w:p>
      <w:pPr>
        <w:jc w:val="both"/>
        <w:keepNext/>
        <w:outlineLvl w:val="1"/>
      </w:pPr>
      <w:rPr>
        <w:sz w:val="24"/>
        <w:color w:val="black"/>
      </w:rPr>
    </w:p>
    <w:p>
      <w:pPr>
        <w:jc w:val="both"/>
        <w:keepNext/>
        <w:outlineLvl w:val="1"/>
      </w:pPr>
      <w:r>
        <w:rPr>
          <w:rFonts w:hAnsi="Arial"/>
          <w:rFonts w:ascii="Arial"/>
          <w:sz w:val="24"/>
          <w:color w:val="black"/>
        </w:rPr>
        <w:t xml:space="preserve">4. Informar oportunamente a la autoridad militar de reclutamiento sobre el personal desacuartelado del servicio y que no adquieren el derecho para ser reservistas de primera clase, para que definan la situaciσn militar de acuerdo a la ley. </w:t>
      </w:r>
    </w:p>
    <w:p>
      <w:pPr>
        <w:jc w:val="both"/>
        <w:keepNext/>
        <w:outlineLvl w:val="1"/>
      </w:pPr>
      <w:rPr>
        <w:sz w:val="24"/>
        <w:color w:val="black"/>
      </w:rPr>
    </w:p>
    <w:p>
      <w:pPr>
        <w:jc w:val="both"/>
        <w:keepNext/>
        <w:outlineLvl w:val="1"/>
      </w:pPr>
      <w:r>
        <w:rPr>
          <w:rFonts w:hAnsi="Arial"/>
          <w:rFonts w:ascii="Arial"/>
          <w:sz w:val="24"/>
          <w:color w:val="black"/>
        </w:rPr>
        <w:t xml:space="preserve">5. Proponer las Tablas de Organizaciσn Policial (TOP) para el personal auxiliares de Policνa. </w:t>
      </w:r>
    </w:p>
    <w:p>
      <w:pPr>
        <w:jc w:val="both"/>
        <w:keepNext/>
        <w:outlineLvl w:val="1"/>
      </w:pPr>
      <w:rPr>
        <w:sz w:val="24"/>
        <w:color w:val="black"/>
      </w:rPr>
    </w:p>
    <w:p>
      <w:pPr>
        <w:jc w:val="both"/>
        <w:keepNext/>
        <w:outlineLvl w:val="1"/>
      </w:pPr>
      <w:r>
        <w:rPr>
          <w:rFonts w:hAnsi="Arial"/>
          <w:rFonts w:ascii="Arial"/>
          <w:sz w:val="24"/>
          <w:color w:val="black"/>
        </w:rPr>
        <w:t xml:space="preserve">6. Designar el personal idσneo que apoyarα las funciones del Distrito Militar designado por la Direcciσn de Reclutamiento, para atender la definiciσn de servicio militar en la Policνa Nacional y del personal profesional que adquiere el derecho de la definiciσn. </w:t>
      </w:r>
    </w:p>
    <w:p>
      <w:pPr>
        <w:jc w:val="both"/>
        <w:keepNext/>
        <w:outlineLvl w:val="1"/>
      </w:pPr>
      <w:rPr>
        <w:sz w:val="24"/>
        <w:color w:val="black"/>
      </w:rPr>
    </w:p>
    <w:p>
      <w:pPr>
        <w:jc w:val="both"/>
        <w:keepNext/>
        <w:outlineLvl w:val="1"/>
      </w:pPr>
      <w:r>
        <w:rPr>
          <w:rFonts w:hAnsi="Arial"/>
          <w:rFonts w:ascii="Arial"/>
          <w:sz w:val="24"/>
          <w:color w:val="black"/>
        </w:rPr>
        <w:t xml:space="preserve">7. Coordinar la expediciσn de las tarjetas de conducta del personal auxiliar de Policνa. </w:t>
      </w:r>
    </w:p>
    <w:p>
      <w:pPr>
        <w:jc w:val="both"/>
        <w:keepNext/>
        <w:outlineLvl w:val="1"/>
      </w:pPr>
      <w:rPr>
        <w:sz w:val="24"/>
        <w:color w:val="black"/>
      </w:rPr>
    </w:p>
    <w:p>
      <w:pPr>
        <w:jc w:val="both"/>
        <w:keepNext/>
        <w:outlineLvl w:val="1"/>
      </w:pPr>
      <w:r>
        <w:rPr>
          <w:rFonts w:hAnsi="Arial"/>
          <w:rFonts w:ascii="Arial"/>
          <w:sz w:val="24"/>
          <w:color w:val="black"/>
        </w:rPr>
        <w:t xml:space="preserve">8. Coordinar y supervisar que se cumplan las tres fases del Servicio Militar Especial en los colegios de la Policνa Nacional. </w:t>
      </w:r>
    </w:p>
    <w:p>
      <w:pPr>
        <w:jc w:val="both"/>
        <w:keepNext/>
        <w:outlineLvl w:val="1"/>
      </w:pPr>
      <w:rPr>
        <w:sz w:val="24"/>
        <w:color w:val="black"/>
      </w:rPr>
    </w:p>
    <w:p>
      <w:pPr>
        <w:jc w:val="both"/>
        <w:keepNext/>
        <w:outlineLvl w:val="1"/>
      </w:pPr>
      <w:r>
        <w:rPr>
          <w:rFonts w:hAnsi="Arial"/>
          <w:rFonts w:ascii="Arial"/>
          <w:sz w:val="24"/>
          <w:color w:val="black"/>
        </w:rPr>
        <w:t xml:space="preserve">9. Organizar la reserva policial de acuerdo a los parαmetros establecidos en la ley y la misiσn institucional. </w:t>
      </w:r>
    </w:p>
    <w:p>
      <w:pPr>
        <w:jc w:val="both"/>
      </w:pPr>
      <w:rPr>
        <w:color w:val="black"/>
      </w:rPr>
    </w:p>
    <w:p>
      <w:pPr>
        <w:jc w:val="both"/>
      </w:pPr>
      <w:r>
        <w:rPr>
          <w:rFonts w:hAnsi="Arial"/>
          <w:rFonts w:ascii="Arial"/>
          <w:sz w:val="24"/>
          <w:b/>
          <w:vanish/>
          <w:color w:val="black"/>
        </w:rPr>
        <w:t>&amp;$</w:t>
      </w:r>
      <w:bookmarkStart w:id="61074" w:name="2.3.1.4.1.10"/>
      <w:r>
        <w:rPr>
          <w:rFonts w:hAnsi="Arial"/>
          <w:rFonts w:ascii="Arial"/>
          <w:sz w:val="24"/>
          <w:color w:val="navy"/>
        </w:rPr>
        <w:t xml:space="preserve">ARTΝCULO 2.3.1.4.1.10. FUNCIONES DE LOS DIRECTORES DE RECLUTAMIENTO Y CONTROL RESERVAS DE LA ARMADA Y LA FUERZA AΙREA.</w:t>
      </w:r>
      <w:bookmarkEnd w:id="610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los Directores de Reclutamiento y Control Reservas de la Armada Nacional y la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tendrαn las siguientes funciones:</w:t>
      </w:r>
    </w:p>
    <w:p>
      <w:pPr>
        <w:jc w:val="both"/>
      </w:pPr>
      <w:rPr>
        <w:sz w:val="24"/>
        <w:color w:val="black"/>
      </w:rPr>
    </w:p>
    <w:p>
      <w:pPr>
        <w:jc w:val="both"/>
        <w:outlineLvl w:val="1"/>
      </w:pPr>
      <w:r>
        <w:rPr>
          <w:rFonts w:hAnsi="Arial"/>
          <w:rFonts w:ascii="Arial"/>
          <w:sz w:val="24"/>
          <w:color w:val="black"/>
        </w:rPr>
        <w:t xml:space="preserve">1. Dirigir y controlar el plan de reclutamiento de contingentes para la prestaciσn del servicio militar obligatorio, el cual deberα ser expedido por la Jefatura de Desarrollo Humano y/o quien haga sus veces en la Armada Nacional, y la Jefatura de Seguridad y Defensa de Bases Aιreas y/o quien haga sus veces en la Fuerza Aιrea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outlineLvl w:val="1"/>
      </w:pPr>
      <w:rPr>
        <w:sz w:val="24"/>
        <w:color w:val="black"/>
      </w:rPr>
    </w:p>
    <w:p>
      <w:pPr>
        <w:jc w:val="both"/>
        <w:outlineLvl w:val="1"/>
      </w:pPr>
      <w:r>
        <w:rPr>
          <w:rFonts w:hAnsi="Arial"/>
          <w:rFonts w:ascii="Arial"/>
          <w:sz w:val="24"/>
          <w:color w:val="black"/>
        </w:rPr>
        <w:t xml:space="preserve">2. Emitir las instrucciones y directrices para el correcto funcionamiento de los Comandos de Zona y Distritos Militares, en lo relacionado con el reclutamiento y licenciamiento de soldados e infantes de marina. </w:t>
      </w:r>
    </w:p>
    <w:p>
      <w:pPr>
        <w:jc w:val="both"/>
        <w:outlineLvl w:val="1"/>
      </w:pPr>
      <w:rPr>
        <w:sz w:val="24"/>
        <w:color w:val="black"/>
      </w:rPr>
    </w:p>
    <w:p>
      <w:pPr>
        <w:jc w:val="both"/>
        <w:outlineLvl w:val="1"/>
      </w:pPr>
      <w:r>
        <w:rPr>
          <w:rFonts w:hAnsi="Arial"/>
          <w:rFonts w:ascii="Arial"/>
          <w:sz w:val="24"/>
          <w:color w:val="black"/>
        </w:rPr>
        <w:t xml:space="preserve">3. Resolver las consultas sobre interpretaciσn de la normatividad vigente y aplicaciσn de las disposiciones legales relacionadas con el proceso de reclutamiento y licenciamiento de los soldados e infantes de marina </w:t>
      </w:r>
    </w:p>
    <w:p>
      <w:pPr>
        <w:jc w:val="both"/>
        <w:outlineLvl w:val="1"/>
      </w:pPr>
      <w:rPr>
        <w:sz w:val="24"/>
        <w:color w:val="black"/>
      </w:rPr>
    </w:p>
    <w:p>
      <w:pPr>
        <w:jc w:val="both"/>
        <w:outlineLvl w:val="1"/>
      </w:pPr>
      <w:r>
        <w:rPr>
          <w:rFonts w:hAnsi="Arial"/>
          <w:rFonts w:ascii="Arial"/>
          <w:sz w:val="24"/>
          <w:color w:val="black"/>
        </w:rPr>
        <w:t xml:space="preserve">4. Analizar las necesidades que en materia de reclutamiento tenga la Fuerza para cumplir la misiσn constitucional y presentar recomendaciones al Comando de Reclutamiento y Control Reservas del Ejιrcito Nacional para los reemplazos del personal. </w:t>
      </w:r>
    </w:p>
    <w:p>
      <w:pPr>
        <w:jc w:val="both"/>
        <w:outlineLvl w:val="1"/>
      </w:pPr>
      <w:rPr>
        <w:sz w:val="24"/>
        <w:color w:val="black"/>
      </w:rPr>
    </w:p>
    <w:p>
      <w:pPr>
        <w:jc w:val="both"/>
        <w:outlineLvl w:val="1"/>
      </w:pPr>
      <w:r>
        <w:rPr>
          <w:rFonts w:hAnsi="Arial"/>
          <w:rFonts w:ascii="Arial"/>
          <w:sz w:val="24"/>
          <w:color w:val="black"/>
        </w:rPr>
        <w:t xml:space="preserve">5. Organizar y controlar la informaciσn de la reserva, con el fin de facilitar el proceso de selecciσn y organizaciσn de las mismas. </w:t>
      </w:r>
    </w:p>
    <w:p>
      <w:pPr>
        <w:jc w:val="both"/>
        <w:outlineLvl w:val="1"/>
      </w:pPr>
      <w:rPr>
        <w:sz w:val="24"/>
        <w:color w:val="black"/>
      </w:rPr>
    </w:p>
    <w:p>
      <w:pPr>
        <w:jc w:val="both"/>
        <w:outlineLvl w:val="1"/>
      </w:pPr>
      <w:r>
        <w:rPr>
          <w:rFonts w:hAnsi="Arial"/>
          <w:rFonts w:ascii="Arial"/>
          <w:sz w:val="24"/>
          <w:color w:val="black"/>
        </w:rPr>
        <w:t xml:space="preserve">6. Emitir las instrucciones y directrices a los comandantes de Zonas de Reclutamiento y Control Reservas, en lo relacionado con el control de las reservas y la movilizaciσn militar de personal. </w:t>
      </w:r>
    </w:p>
    <w:p>
      <w:pPr>
        <w:jc w:val="both"/>
        <w:outlineLvl w:val="1"/>
      </w:pPr>
      <w:rPr>
        <w:sz w:val="24"/>
        <w:color w:val="black"/>
      </w:rPr>
    </w:p>
    <w:p>
      <w:pPr>
        <w:jc w:val="both"/>
        <w:outlineLvl w:val="1"/>
      </w:pPr>
      <w:r>
        <w:rPr>
          <w:rFonts w:hAnsi="Arial"/>
          <w:rFonts w:ascii="Arial"/>
          <w:sz w:val="24"/>
          <w:color w:val="black"/>
        </w:rPr>
        <w:t xml:space="preserve">7. Emitir el plan de Control de Reservas con el fin de garantizar la disponibilidad de las mismas para fines de selecciσn y organizaciσn. </w:t>
      </w:r>
    </w:p>
    <w:p>
      <w:pPr>
        <w:jc w:val="both"/>
        <w:outlineLvl w:val="1"/>
      </w:pPr>
      <w:rPr>
        <w:sz w:val="24"/>
        <w:color w:val="black"/>
      </w:rPr>
    </w:p>
    <w:p>
      <w:pPr>
        <w:jc w:val="both"/>
        <w:outlineLvl w:val="1"/>
      </w:pPr>
      <w:r>
        <w:rPr>
          <w:rFonts w:hAnsi="Arial"/>
          <w:rFonts w:ascii="Arial"/>
          <w:sz w:val="24"/>
          <w:color w:val="black"/>
        </w:rPr>
        <w:t xml:space="preserve">8. Verificar y evaluar la organizaciσn de las unidades de reserva de la Fuerza. </w:t>
      </w:r>
    </w:p>
    <w:p>
      <w:pPr>
        <w:jc w:val="both"/>
      </w:pPr>
      <w:rPr>
        <w:color w:val="black"/>
      </w:rPr>
    </w:p>
    <w:p>
      <w:pPr>
        <w:jc w:val="both"/>
      </w:pPr>
      <w:r>
        <w:rPr>
          <w:rFonts w:hAnsi="Arial"/>
          <w:rFonts w:ascii="Arial"/>
          <w:sz w:val="24"/>
          <w:b/>
          <w:vanish/>
          <w:color w:val="black"/>
        </w:rPr>
        <w:t>&amp;$</w:t>
      </w:r>
      <w:bookmarkStart w:id="61075" w:name="2.3.1.4.1.11"/>
      <w:r>
        <w:rPr>
          <w:rFonts w:hAnsi="Arial"/>
          <w:rFonts w:ascii="Arial"/>
          <w:sz w:val="24"/>
          <w:color w:val="navy"/>
        </w:rPr>
        <w:t xml:space="preserve">ARTΝCULO 2.3.1.4.1.11. FUNCIONES DE LOS COMANDANTES DE ZONA DE RECLUTAMIENTO Y CONTROL RESERVAS DE LA ARMADA NACIONAL Y FUERZA AΙREA.</w:t>
      </w:r>
      <w:bookmarkEnd w:id="610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los Comandantes de Zona de Reclutamiento y Control Reservas de la Armada Nacional y de la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tendrαn las siguientes funciones: </w:t>
      </w:r>
    </w:p>
    <w:p>
      <w:pPr>
        <w:jc w:val="both"/>
        <w:outlineLvl w:val="1"/>
      </w:pPr>
      <w:rPr>
        <w:sz w:val="24"/>
        <w:color w:val="black"/>
      </w:rPr>
    </w:p>
    <w:p>
      <w:pPr>
        <w:jc w:val="both"/>
        <w:outlineLvl w:val="1"/>
      </w:pPr>
      <w:r>
        <w:rPr>
          <w:rFonts w:hAnsi="Arial"/>
          <w:rFonts w:ascii="Arial"/>
          <w:sz w:val="24"/>
          <w:color w:val="black"/>
        </w:rPr>
        <w:t xml:space="preserve">1. Realizar control, evaluaciσn y seguimiento a los distritos militares de su jurisdicciσn, con el fin de supervisar los procedimientos propios de la incorporaciσn, control reservas y la movilizaciσn. </w:t>
      </w:r>
    </w:p>
    <w:p>
      <w:pPr>
        <w:jc w:val="both"/>
        <w:outlineLvl w:val="1"/>
      </w:pPr>
      <w:rPr>
        <w:sz w:val="24"/>
        <w:color w:val="black"/>
      </w:rPr>
    </w:p>
    <w:p>
      <w:pPr>
        <w:jc w:val="both"/>
        <w:outlineLvl w:val="1"/>
      </w:pPr>
      <w:r>
        <w:rPr>
          <w:rFonts w:hAnsi="Arial"/>
          <w:rFonts w:ascii="Arial"/>
          <w:sz w:val="24"/>
          <w:color w:val="black"/>
        </w:rPr>
        <w:t xml:space="preserve">2. Elaborar y presentar ante la Direcciσn de Reclutamiento de la respectiva Fuerza, la planeaciσn para llevar a cabo el proceso de reclutamiento de ciudadanos a la prestaciσn del servicio militar. </w:t>
      </w:r>
    </w:p>
    <w:p>
      <w:pPr>
        <w:jc w:val="both"/>
        <w:outlineLvl w:val="1"/>
      </w:pPr>
      <w:rPr>
        <w:sz w:val="24"/>
        <w:color w:val="black"/>
      </w:rPr>
    </w:p>
    <w:p>
      <w:pPr>
        <w:jc w:val="both"/>
        <w:outlineLvl w:val="1"/>
      </w:pPr>
      <w:r>
        <w:rPr>
          <w:rFonts w:hAnsi="Arial"/>
          <w:rFonts w:ascii="Arial"/>
          <w:sz w:val="24"/>
          <w:color w:val="black"/>
        </w:rPr>
        <w:t xml:space="preserve">3. Dirigir y controlar el plan emitido por la Direcciσn de Reclutamiento y Control Reservas de la respectiva Fuerza, para mantener el control sobre las reservas de su jurisdicciσn. </w:t>
      </w:r>
    </w:p>
    <w:p>
      <w:pPr>
        <w:jc w:val="both"/>
        <w:outlineLvl w:val="1"/>
      </w:pPr>
      <w:rPr>
        <w:sz w:val="24"/>
        <w:color w:val="black"/>
      </w:rPr>
    </w:p>
    <w:p>
      <w:pPr>
        <w:jc w:val="both"/>
        <w:outlineLvl w:val="1"/>
      </w:pPr>
      <w:r>
        <w:rPr>
          <w:rFonts w:hAnsi="Arial"/>
          <w:rFonts w:ascii="Arial"/>
          <w:sz w:val="24"/>
          <w:color w:val="black"/>
        </w:rPr>
        <w:t xml:space="preserve">4. Coordinar con las autoridades militares, policiales, civiles, entidades pϊblicas y privadas de su jurisdicciσn, las actividades relacionadas con el proceso de reclutamiento de los ciudadanos. </w:t>
      </w:r>
    </w:p>
    <w:p>
      <w:pPr>
        <w:jc w:val="both"/>
      </w:pPr>
      <w:rPr>
        <w:color w:val="black"/>
      </w:rPr>
    </w:p>
    <w:p>
      <w:pPr>
        <w:jc w:val="both"/>
      </w:pPr>
      <w:r>
        <w:rPr>
          <w:rFonts w:hAnsi="Arial"/>
          <w:rFonts w:ascii="Arial"/>
          <w:sz w:val="24"/>
          <w:b/>
          <w:vanish/>
          <w:color w:val="black"/>
        </w:rPr>
        <w:t>&amp;$</w:t>
      </w:r>
      <w:bookmarkStart w:id="61076" w:name="2.3.1.4.1.12"/>
      <w:r>
        <w:rPr>
          <w:rFonts w:hAnsi="Arial"/>
          <w:rFonts w:ascii="Arial"/>
          <w:sz w:val="24"/>
          <w:color w:val="navy"/>
        </w:rPr>
        <w:t xml:space="preserve">ARTΝCULO 2.3.1.4.1.12. FUNCIONES DE LOS COMANDANTES DE DISTRITO MILITAR EN LA ARMADA NACIONAL Y EN LA FUERZA AΙREA COLOMBINA.</w:t>
      </w:r>
      <w:bookmarkEnd w:id="61076"/>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Sin perjuicio de las funciones atribuidas por otras normas legales y reglamentarias, los Comandantes de Distrito Militar en la Armada Nacional y en la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tendrαn las siguientes funciones: </w:t>
      </w:r>
    </w:p>
    <w:p>
      <w:pPr>
        <w:jc w:val="both"/>
        <w:outlineLvl w:val="1"/>
      </w:pPr>
      <w:rPr>
        <w:sz w:val="24"/>
        <w:color w:val="black"/>
      </w:rPr>
    </w:p>
    <w:p>
      <w:pPr>
        <w:jc w:val="both"/>
        <w:outlineLvl w:val="1"/>
      </w:pPr>
      <w:r>
        <w:rPr>
          <w:rFonts w:hAnsi="Arial"/>
          <w:rFonts w:ascii="Arial"/>
          <w:sz w:val="24"/>
          <w:color w:val="black"/>
        </w:rPr>
        <w:t xml:space="preserve">1. Adelantar el procedimiento de reclutamiento de los conscriptos aptos para la prestaciσn del servicio militar, con el fin de contar con el potencial humano requerido para el cumplimiento de la misiσn constitucional. </w:t>
      </w:r>
    </w:p>
    <w:p>
      <w:pPr>
        <w:jc w:val="both"/>
        <w:outlineLvl w:val="1"/>
      </w:pPr>
      <w:rPr>
        <w:sz w:val="24"/>
        <w:b/>
        <w:color w:val="black"/>
      </w:rPr>
    </w:p>
    <w:p>
      <w:pPr>
        <w:jc w:val="both"/>
        <w:outlineLvl w:val="1"/>
      </w:pPr>
      <w:r>
        <w:rPr>
          <w:rFonts w:hAnsi="Arial"/>
          <w:rFonts w:ascii="Arial"/>
          <w:sz w:val="24"/>
          <w:color w:val="black"/>
        </w:rPr>
        <w:t xml:space="preserve">2. Mantener contacto periσdicamente con las autoridades militares, policiales, civiles, entidades pϊblicas y privadas de su jurisdicciσn, con el fin de dar a conocer el proceso de reclutamiento de ciudadanos. </w:t>
      </w:r>
    </w:p>
    <w:p>
      <w:pPr>
        <w:jc w:val="both"/>
        <w:outlineLvl w:val="1"/>
      </w:pPr>
      <w:rPr>
        <w:sz w:val="24"/>
        <w:color w:val="black"/>
      </w:rPr>
    </w:p>
    <w:p>
      <w:pPr>
        <w:jc w:val="both"/>
        <w:outlineLvl w:val="1"/>
      </w:pPr>
      <w:r>
        <w:rPr>
          <w:rFonts w:hAnsi="Arial"/>
          <w:rFonts w:ascii="Arial"/>
          <w:sz w:val="24"/>
          <w:color w:val="black"/>
        </w:rPr>
        <w:t xml:space="preserve">3. Ejecutar el Plan emitido por la Direcciσn de Reclutamiento y Control Reservas de cada Fuerza, para mantener el control sobre las reservas de su jurisdicciσn. </w:t>
      </w:r>
    </w:p>
    <w:p>
      <w:pPr>
        <w:jc w:val="both"/>
      </w:pPr>
      <w:rPr>
        <w:sz w:val="24"/>
        <w:color w:val="black"/>
      </w:rPr>
    </w:p>
    <w:p>
      <w:pPr>
        <w:jc w:val="center"/>
        <w:outlineLvl w:val="1"/>
      </w:pPr>
      <w:r>
        <w:rPr>
          <w:rFonts w:hAnsi="Arial"/>
          <w:rFonts w:ascii="Arial"/>
          <w:sz w:val="24"/>
          <w:b/>
          <w:vanish/>
          <w:color w:val="black"/>
        </w:rPr>
        <w:t>&amp;$</w:t>
      </w:r>
      <w:bookmarkStart w:id="61077" w:name="SECCIÓN 2.3.1.4.2"/>
      <w:r>
        <w:rPr>
          <w:rFonts w:hAnsi="Arial"/>
          <w:rFonts w:ascii="Arial"/>
          <w:sz w:val="24"/>
          <w:color w:val="navy"/>
        </w:rPr>
        <w:t xml:space="preserve">SECCIΣN 2. </w:t>
      </w:r>
    </w:p>
    <w:p>
      <w:pPr>
        <w:jc w:val="center"/>
        <w:outlineLvl w:val="1"/>
      </w:pPr>
      <w:r>
        <w:rPr>
          <w:rFonts w:hAnsi="Arial"/>
          <w:rFonts w:ascii="Arial"/>
          <w:sz w:val="24"/>
          <w:color w:val="navy"/>
        </w:rPr>
        <w:t xml:space="preserve">DEL SERVICIO MILITAR.</w:t>
      </w:r>
      <w:bookmarkEnd w:id="61077"/>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1078" w:name="2.3.1.4.2.1"/>
      <w:r>
        <w:rPr>
          <w:rFonts w:hAnsi="Arial"/>
          <w:rFonts w:ascii="Arial"/>
          <w:sz w:val="24"/>
          <w:color w:val="navy"/>
        </w:rPr>
        <w:t xml:space="preserve">ARTΝCULO 2.3.1.4.2.1. SERVICIO MILITAR VOLUNTARIO PARA MUJERES.</w:t>
      </w:r>
      <w:bookmarkEnd w:id="6107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servicio militar voluntario femenino, se sujetarα a las necesidades que determinen los Comandantes de la Fuerza Pϊblica y el Director del Instituto Nacional Penitenciario y Carcelario, quienes adelantarαn el proceso de definiciσn de la situaciσn militar conforme a lo dispuesto en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 mujer que ingrese a filas se desacuartelarα conforme a lo dispuesto en el artνculo </w:t>
      </w:r>
      <w:r>
        <w:fldChar w:fldCharType="begin"/>
      </w:r>
      <w:r>
        <w:instrText>HYPERLINK "http://www.redjurista.com/document.aspx?ajcode=l1861017&amp;arts=71"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1861 de 2017. </w:t>
      </w:r>
    </w:p>
    <w:p>
      <w:pPr>
        <w:jc w:val="both"/>
        <w:keepNext/>
      </w:pPr>
      <w:rPr>
        <w:color w:val="black"/>
      </w:rPr>
    </w:p>
    <w:p>
      <w:pPr>
        <w:jc w:val="both"/>
        <w:keepNext/>
        <w:outlineLvl w:val="1"/>
      </w:pPr>
      <w:r>
        <w:rPr>
          <w:rFonts w:hAnsi="Arial"/>
          <w:rFonts w:ascii="Arial"/>
          <w:sz w:val="24"/>
          <w:b/>
          <w:vanish/>
          <w:color w:val="black"/>
        </w:rPr>
        <w:t>&amp;$</w:t>
      </w:r>
      <w:bookmarkStart w:id="61079" w:name="2.3.1.4.2.2"/>
      <w:r>
        <w:rPr>
          <w:rFonts w:hAnsi="Arial"/>
          <w:rFonts w:ascii="Arial"/>
          <w:sz w:val="24"/>
          <w:color w:val="navy"/>
        </w:rPr>
        <w:t xml:space="preserve">ARTΝCULO 2.3.1.4.2.2. ACREDITACIΣN CAUSALES DE EXONERACIΣN.</w:t>
      </w:r>
      <w:bookmarkEnd w:id="61079"/>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causales de exoneraciσn de que trata el artνculo </w:t>
      </w:r>
      <w:r>
        <w:fldChar w:fldCharType="begin"/>
      </w:r>
      <w:r>
        <w:instrText>HYPERLINK "http://www.redjurista.com/document.aspx?ajcode=l1861017&amp;arts=12"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1861 de 2017 deben ser informadas y acreditadas por el ciudadano desde la inscripciσn en el portal web dispuesto para tal fin y hasta antes de la incorporaciσn.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El ciudadano que se encuentre inmerso en la causal de exenciσn dispuesta en el literal i) del artνculo </w:t>
      </w:r>
      <w:r>
        <w:fldChar w:fldCharType="begin"/>
      </w:r>
      <w:r>
        <w:instrText>HYPERLINK "http://www.redjurista.com/document.aspx?ajcode=l1861017&amp;arts=12"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1861 de 2017, podrα prestar el servicio militar previa valoraciσn y concepto favorable del Comitι de Aptitud Psicofνsica de la respectiva Fuerza, Policνa Nacional e Instituto Nacional Penitenciario y Carcelario (Inpec).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documentos necesarios para demostrar las causales de exoneraciσn dispuestas en el artνculo </w:t>
      </w:r>
      <w:r>
        <w:fldChar w:fldCharType="begin"/>
      </w:r>
      <w:r>
        <w:instrText>HYPERLINK "http://www.redjurista.com/document.aspx?ajcode=l1861017&amp;arts=12"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1861 de 2017 y la renuncia voluntaria y autσnoma de las mismas, serαn fijados por la Direcciσn de Reclutamiento del Ejιrcito. </w:t>
      </w:r>
    </w:p>
    <w:p>
      <w:pPr>
        <w:jc w:val="both"/>
      </w:pPr>
      <w:rPr>
        <w:color w:val="black"/>
      </w:rPr>
    </w:p>
    <w:p>
      <w:pPr>
        <w:jc w:val="both"/>
      </w:pPr>
      <w:r>
        <w:rPr>
          <w:rFonts w:hAnsi="Arial"/>
          <w:rFonts w:ascii="Arial"/>
          <w:sz w:val="24"/>
          <w:b/>
          <w:vanish/>
          <w:color w:val="black"/>
        </w:rPr>
        <w:t>&amp;$</w:t>
      </w:r>
      <w:bookmarkStart w:id="61080" w:name="2.3.1.4.2.3"/>
      <w:r>
        <w:rPr>
          <w:rFonts w:hAnsi="Arial"/>
          <w:rFonts w:ascii="Arial"/>
          <w:sz w:val="24"/>
          <w:color w:val="navy"/>
        </w:rPr>
        <w:t xml:space="preserve">ARTΝCULO 2.3.1.4.2.3. FORMACIΣN LABORAL PRODUCTIVA CON EL SENA.</w:t>
      </w:r>
      <w:bookmarkEnd w:id="61080"/>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Ministerio de Defensa Nacional y el Servicio Nacional de Aprendizaje (Sena) determinarαn los tipos de formaciσn laboral productiva a los que podrα acceder el conscripto incorporado para la prestaciσn del servicio militar, teniendo como prioridad las que apliquen a la misiσn de cada instituciσn.</w:t>
      </w:r>
    </w:p>
    <w:p>
      <w:pPr>
        <w:jc w:val="both"/>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Para el personal que presta el servicio militar en la Policνa Nacional, la etapa de formaciσn a que se refiere el artνculo </w:t>
      </w:r>
      <w:r>
        <w:fldChar w:fldCharType="begin"/>
      </w:r>
      <w:r>
        <w:instrText>HYPERLINK "http://www.redjurista.com/document.aspx?ajcode=l1861017&amp;arts=13"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1861 de 2017, se regirα bajo los parαmetros establecidos por la misma instituciσn. </w:t>
      </w:r>
    </w:p>
    <w:p>
      <w:rPr>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Los contingentes de doce meses serαn incorporados de acuerdo a la planeaciσn y necesidades de cada Fuerza.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Solo hasta antes de culminar la formaciσn militar bαsica, el ciudadano incorporado en los contingentes de doce (12) meses podrα solicitar el cambio al contingente de dieciocho (18) meses. </w:t>
      </w:r>
    </w:p>
    <w:p>
      <w:pPr>
        <w:jc w:val="both"/>
        <w:keepNext/>
      </w:pPr>
      <w:rPr>
        <w:color w:val="black"/>
      </w:rPr>
    </w:p>
    <w:p>
      <w:pPr>
        <w:jc w:val="both"/>
        <w:keepNext/>
        <w:outlineLvl w:val="1"/>
      </w:pPr>
      <w:r>
        <w:rPr>
          <w:rFonts w:hAnsi="Arial"/>
          <w:rFonts w:ascii="Arial"/>
          <w:sz w:val="24"/>
          <w:b/>
          <w:vanish/>
          <w:color w:val="black"/>
        </w:rPr>
        <w:t>&amp;$</w:t>
      </w:r>
      <w:bookmarkStart w:id="61081" w:name="2.3.1.4.2.4"/>
      <w:r>
        <w:rPr>
          <w:rFonts w:hAnsi="Arial"/>
          <w:rFonts w:ascii="Arial"/>
          <w:sz w:val="24"/>
          <w:color w:val="navy"/>
        </w:rPr>
        <w:t xml:space="preserve">ARTΝCULO 2.3.1.4.2.4. REEMPLAZOS DE PERSONAL.</w:t>
      </w:r>
      <w:bookmarkEnd w:id="6108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Fuerzas Militares y la Policνa Nacional a travιs del Ministerio de Defensa Nacional solicitarαn al Ministerio de Hacienda la planta de soldados, infantes de marina y auxiliares de policνa para la prestaciσn del servicio militar obligatorio, de acuerdo con los trαmites internos de la instituciσn.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El Presidente de la Repϊblica o en quien lo delegue, podrα prorrogar el servicio militar hasta por tres (3) meses, conforme a lo previsto en el parαgrafo 1 del artνculo </w:t>
      </w:r>
      <w:r>
        <w:fldChar w:fldCharType="begin"/>
      </w:r>
      <w:r>
        <w:instrText>HYPERLINK "http://www.redjurista.com/document.aspx?ajcode=l1861017&amp;arts=14"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1861 de 2017. </w:t>
      </w:r>
    </w:p>
    <w:p>
      <w:pPr>
        <w:jc w:val="both"/>
        <w:keepNext/>
      </w:pPr>
      <w:rPr>
        <w:color w:val="black"/>
      </w:rPr>
    </w:p>
    <w:p>
      <w:pPr>
        <w:jc w:val="both"/>
        <w:keepNext/>
        <w:outlineLvl w:val="1"/>
      </w:pPr>
      <w:r>
        <w:rPr>
          <w:rFonts w:hAnsi="Arial"/>
          <w:rFonts w:ascii="Arial"/>
          <w:sz w:val="24"/>
          <w:b/>
          <w:vanish/>
          <w:color w:val="black"/>
        </w:rPr>
        <w:t>&amp;$</w:t>
      </w:r>
      <w:bookmarkStart w:id="61082" w:name="2.3.1.4.2.5"/>
      <w:r>
        <w:rPr>
          <w:rFonts w:hAnsi="Arial"/>
          <w:rFonts w:ascii="Arial"/>
          <w:sz w:val="24"/>
          <w:color w:val="navy"/>
        </w:rPr>
        <w:t xml:space="preserve">ARTΝCULO 2.3.1.4.2.5. DEFINICIΣN SERVICIO AMBIENTAL.</w:t>
      </w:r>
      <w:bookmarkEnd w:id="6108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Se entenderα por servicio ambiental las actividades de apoyo tendientes a la protecciσn del ambiente y los recursos naturales renovables, en desarrollo de la misiσn constitucional de las Fuerzas Militares y la Policνa Nacional, el cual se prestarα siendo orgαnico de la unidad militar o policial. </w:t>
      </w:r>
    </w:p>
    <w:p>
      <w:pPr>
        <w:jc w:val="both"/>
        <w:keepNext/>
      </w:pPr>
      <w:rPr>
        <w:color w:val="black"/>
      </w:rPr>
    </w:p>
    <w:p>
      <w:pPr>
        <w:jc w:val="both"/>
        <w:keepNext/>
        <w:outlineLvl w:val="1"/>
      </w:pPr>
      <w:r>
        <w:rPr>
          <w:rFonts w:hAnsi="Arial"/>
          <w:rFonts w:ascii="Arial"/>
          <w:sz w:val="24"/>
          <w:b/>
          <w:vanish/>
          <w:color w:val="black"/>
        </w:rPr>
        <w:t>&amp;$</w:t>
      </w:r>
      <w:bookmarkStart w:id="61083" w:name="2.3.1.4.2.6"/>
      <w:r>
        <w:rPr>
          <w:rFonts w:hAnsi="Arial"/>
          <w:rFonts w:ascii="Arial"/>
          <w:sz w:val="24"/>
          <w:color w:val="navy"/>
        </w:rPr>
        <w:t xml:space="preserve">ARTΝCULO 2.3.1.4.2.6. ACTIVIDADES BΑSICAS DE APOYO PARA LA PROTECCIΣN DEL AMBIENTE.</w:t>
      </w:r>
      <w:bookmarkEnd w:id="6108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Ministerio de Defensa Nacional en articulaciσn con el Ministerio de Ambiente y Desarrollo Sostenible definirαn los lineamientos de las actividades bαsicas de apoyo tendientes a la protecciσn del ambiente y los recursos naturales renovables, en el marco de la prestaciσn del servicio militar obligatorio y en desarrollo de la misiσn constitucional de las Fuerzas Militares y la Policνa Nacional.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El Ministerio de Defensa Nacional en coordinaciσn con el Comando General de las Fuerzas Militares y la Direcciσn General de la Policνa Nacional, mediante acto administrativo definirαn las actividades de apoyo especνficas internas, externas y su priorizaciσn, tendientes a la protecciσn del ambiente y los recursos naturales renovables.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Las actividades de apoyo para la protecciσn del medio ambiente se adelantarαn sin perjuicio de la naturaleza del servicio militar obligatorio. </w:t>
      </w:r>
    </w:p>
    <w:p>
      <w:pPr>
        <w:jc w:val="both"/>
        <w:keepNext/>
      </w:pPr>
      <w:rPr>
        <w:color w:val="black"/>
      </w:rPr>
    </w:p>
    <w:p>
      <w:pPr>
        <w:jc w:val="both"/>
        <w:keepNext/>
        <w:outlineLvl w:val="1"/>
      </w:pPr>
      <w:r>
        <w:rPr>
          <w:rFonts w:hAnsi="Arial"/>
          <w:rFonts w:ascii="Arial"/>
          <w:sz w:val="24"/>
          <w:b/>
          <w:vanish/>
          <w:color w:val="black"/>
        </w:rPr>
        <w:t>&amp;$</w:t>
      </w:r>
      <w:bookmarkStart w:id="61084" w:name="2.3.1.4.2.7"/>
      <w:r>
        <w:rPr>
          <w:rFonts w:hAnsi="Arial"/>
          <w:rFonts w:ascii="Arial"/>
          <w:sz w:val="24"/>
          <w:color w:val="navy"/>
        </w:rPr>
        <w:t xml:space="preserve">ARTΝCULO 2.3.1.4.2.7. CAPACITACIΣN.</w:t>
      </w:r>
      <w:bookmarkEnd w:id="61084"/>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Dentro de la formaciσn militar o policial bαsica, se capacitarα al personal incorporado que cumpla actividades de protecciσn del ambiente y los recursos naturales renovables, en estos temas, de acuerdo a la misiσn de cada una de las Fuerzas. </w:t>
      </w:r>
    </w:p>
    <w:p>
      <w:pPr>
        <w:jc w:val="both"/>
        <w:keepNext/>
      </w:pPr>
      <w:rPr>
        <w:color w:val="black"/>
      </w:rPr>
    </w:p>
    <w:p>
      <w:pPr>
        <w:jc w:val="both"/>
        <w:keepNext/>
        <w:outlineLvl w:val="1"/>
      </w:pPr>
      <w:r>
        <w:rPr>
          <w:rFonts w:hAnsi="Arial"/>
          <w:rFonts w:ascii="Arial"/>
          <w:sz w:val="24"/>
          <w:b/>
          <w:vanish/>
          <w:color w:val="black"/>
        </w:rPr>
        <w:t>&amp;$</w:t>
      </w:r>
      <w:bookmarkStart w:id="61085" w:name="2.3.1.4.2.8"/>
      <w:r>
        <w:rPr>
          <w:rFonts w:hAnsi="Arial"/>
          <w:rFonts w:ascii="Arial"/>
          <w:sz w:val="24"/>
          <w:color w:val="navy"/>
        </w:rPr>
        <w:t xml:space="preserve">ARTΝCULO 2.3.1.4.2.8. REGISTRO Y CONTROL.</w:t>
      </w:r>
      <w:bookmarkEnd w:id="6108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Fuerzas Militares y la Policνa Nacional llevarαn el registro, control y mando, sobre el personal destinado a desarrollar actividades internas y externas de protecciσn del ambiente y los recursos naturales dentro del servicio militar obligatorio. </w:t>
      </w:r>
    </w:p>
    <w:p>
      <w:pPr>
        <w:jc w:val="both"/>
        <w:keepNext/>
        <w:outlineLvl w:val="1"/>
      </w:pPr>
      <w:rPr>
        <w:sz w:val="24"/>
        <w:color w:val="black"/>
      </w:rPr>
    </w:p>
    <w:p>
      <w:pPr>
        <w:jc w:val="center"/>
        <w:keepNext/>
        <w:outlineLvl w:val="1"/>
      </w:pPr>
      <w:r>
        <w:rPr>
          <w:rFonts w:hAnsi="Arial"/>
          <w:rFonts w:ascii="Arial"/>
          <w:sz w:val="24"/>
          <w:b/>
          <w:vanish/>
          <w:color w:val="black"/>
        </w:rPr>
        <w:t>&amp;$</w:t>
      </w:r>
      <w:bookmarkStart w:id="61086" w:name="SECCIÓN 2.3.1.4.3"/>
      <w:r>
        <w:rPr>
          <w:rFonts w:hAnsi="Arial"/>
          <w:rFonts w:ascii="Arial"/>
          <w:sz w:val="24"/>
          <w:color w:val="navy"/>
        </w:rPr>
        <w:t xml:space="preserve">SECCIΣN 3. </w:t>
      </w:r>
    </w:p>
    <w:p>
      <w:pPr>
        <w:jc w:val="center"/>
        <w:keepNext/>
        <w:outlineLvl w:val="1"/>
      </w:pPr>
      <w:r>
        <w:rPr>
          <w:rFonts w:hAnsi="Arial"/>
          <w:rFonts w:ascii="Arial"/>
          <w:sz w:val="24"/>
          <w:color w:val="navy"/>
        </w:rPr>
        <w:t xml:space="preserve">DEFINICIΣN DE SITUACIΣN MILITAR.</w:t>
      </w:r>
      <w:bookmarkEnd w:id="61086"/>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087" w:name="2.3.1.4.3.1"/>
      <w:r>
        <w:rPr>
          <w:rFonts w:hAnsi="Arial"/>
          <w:rFonts w:ascii="Arial"/>
          <w:sz w:val="24"/>
          <w:color w:val="navy"/>
        </w:rPr>
        <w:t xml:space="preserve">ARTΝCULO 2.3.1.4.3.1. REGISTRO INICIAL PARA LA INSCRIPCIΣN.</w:t>
      </w:r>
      <w:bookmarkEnd w:id="61087"/>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informaciσn proporcionada por la Registradurνa Nacional del Estado Civil, conforme a lo dispuesto por el parαgrafo 2o del artνculo </w:t>
      </w:r>
      <w:r>
        <w:fldChar w:fldCharType="begin"/>
      </w:r>
      <w:r>
        <w:instrText>HYPERLINK "http://www.redjurista.com/document.aspx?ajcode=l1861017&amp;arts=17"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1861 de 2017, permitirα al servicio de Reclutamiento y Movilizaciσn, efectuar el registro inicial del ciudadano, en el portal web dispuesto para tal fin. </w:t>
      </w:r>
    </w:p>
    <w:p>
      <w:pPr>
        <w:jc w:val="both"/>
        <w:keepNext/>
        <w:outlineLvl w:val="1"/>
      </w:pPr>
      <w:rPr>
        <w:sz w:val="24"/>
        <w:color w:val="black"/>
      </w:rPr>
    </w:p>
    <w:p>
      <w:pPr>
        <w:jc w:val="both"/>
        <w:keepNext/>
        <w:outlineLvl w:val="1"/>
      </w:pPr>
      <w:r>
        <w:rPr>
          <w:rFonts w:hAnsi="Arial"/>
          <w:rFonts w:ascii="Arial"/>
          <w:sz w:val="24"/>
          <w:color w:val="black"/>
        </w:rPr>
        <w:t xml:space="preserve">El ciudadano por su parte completarα la informaciσn al momento de la inscripciσn para definir su situaciσn militar, creando un correo electrσnico y adjuntando a la plataforma informαtica como mνnimo los documentos que se relacionan a continuaciσn: </w:t>
      </w:r>
    </w:p>
    <w:p>
      <w:pPr>
        <w:jc w:val="both"/>
        <w:keepNext/>
        <w:outlineLvl w:val="1"/>
      </w:pPr>
      <w:rPr>
        <w:sz w:val="24"/>
        <w:color w:val="black"/>
      </w:rPr>
    </w:p>
    <w:p>
      <w:pPr>
        <w:jc w:val="both"/>
        <w:keepNext/>
        <w:outlineLvl w:val="1"/>
      </w:pPr>
      <w:r>
        <w:rPr>
          <w:rFonts w:hAnsi="Arial"/>
          <w:rFonts w:ascii="Arial"/>
          <w:sz w:val="24"/>
          <w:color w:val="black"/>
        </w:rPr>
        <w:t xml:space="preserve">1. Copia de la cιdula de ciudadanνa o contraseρa. </w:t>
      </w:r>
    </w:p>
    <w:p>
      <w:pPr>
        <w:jc w:val="both"/>
        <w:keepNext/>
        <w:outlineLvl w:val="1"/>
      </w:pPr>
      <w:r>
        <w:rPr>
          <w:rFonts w:hAnsi="Arial"/>
          <w:rFonts w:ascii="Arial"/>
          <w:sz w:val="24"/>
          <w:color w:val="black"/>
        </w:rPr>
        <w:t xml:space="preserve">2. Registro civil de nacimiento del ciudadano. </w:t>
      </w:r>
    </w:p>
    <w:p>
      <w:pPr>
        <w:jc w:val="both"/>
        <w:keepNext/>
        <w:outlineLvl w:val="1"/>
      </w:pPr>
      <w:r>
        <w:rPr>
          <w:rFonts w:hAnsi="Arial"/>
          <w:rFonts w:ascii="Arial"/>
          <w:sz w:val="24"/>
          <w:color w:val="black"/>
        </w:rPr>
        <w:t xml:space="preserve">3. Soportes documentales que acrediten las causales de exoneraciσn y/o aplazamiento.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Las instituciones educativas, conforme a lo dispuesto en el parαgrafo 1 del artνculo </w:t>
      </w:r>
      <w:r>
        <w:fldChar w:fldCharType="begin"/>
      </w:r>
      <w:r>
        <w:instrText>HYPERLINK "http://www.redjurista.com/document.aspx?ajcode=l1861017&amp;arts=17"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1861 de 2017, crearαn espacios que permitan informar a los alumnos de ϊltimo aρo, lo referente al proceso para definir su situaciσn militar, en el cual podrα participar la Organizaciσn de Reclutamiento.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color w:val="black"/>
        </w:rPr>
        <w:t xml:space="preserve"> Las autoridades de Reclutamiento previa delegaciσn por parte del Ministerio de Defensa Nacional, y la Registradurνa Nacional del Estado Civil, realizarαn los convenios o acuerdos pertinentes que permitan generar la actualizaciσn de la informaciσn entre el reporte efectuado hasta el 30 de noviembre del aρo anterior, y los ciudadanos que efectivamente iniciaron sus trαmites para cedularse, a fin que adelanten el proceso de inscripciσn para definir la situaciσn militar. </w:t>
      </w:r>
    </w:p>
    <w:p>
      <w:pPr>
        <w:jc w:val="both"/>
        <w:keepNext/>
        <w:outlineLvl w:val="1"/>
      </w:pPr>
      <w:rPr>
        <w:sz w:val="24"/>
        <w:color w:val="black"/>
      </w:rPr>
    </w:p>
    <w:p>
      <w:pPr>
        <w:jc w:val="both"/>
        <w:keepNext/>
        <w:outlineLvl w:val="1"/>
      </w:pPr>
      <w:r>
        <w:rPr>
          <w:rFonts w:hAnsi="Arial"/>
          <w:rFonts w:ascii="Arial"/>
          <w:sz w:val="24"/>
          <w:color w:val="black"/>
        </w:rPr>
        <w:t xml:space="preserve">Las autoridades de reclutamiento en coordinaciσn con la Registradurνa Nacional del Estado Civil, generarαn mecanismos de informaciσn que permitan dar a conocer, a quien procede a cedularse, el cumplimiento de la obligaciσn de definir la situaciσn militar. </w:t>
      </w:r>
    </w:p>
    <w:p>
      <w:pPr>
        <w:jc w:val="both"/>
        <w:keepNext/>
        <w:outlineLvl w:val="1"/>
      </w:pPr>
      <w:rPr>
        <w:sz w:val="24"/>
        <w:color w:val="black"/>
      </w:rPr>
    </w:p>
    <w:p>
      <w:pPr>
        <w:jc w:val="both"/>
        <w:keepNext/>
        <w:outlineLvl w:val="1"/>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Las especificaciones tιcnicas para el ingreso de los documentos al portal web, serαn fijadas y publicadas por el Comando de Reclutamiento y Control Reservas del Ejιrcito Nacional. </w:t>
      </w:r>
    </w:p>
    <w:p>
      <w:pPr>
        <w:jc w:val="both"/>
        <w:keepNext/>
        <w:outlineLvl w:val="1"/>
      </w:pPr>
      <w:rPr>
        <w:sz w:val="24"/>
        <w:color w:val="black"/>
      </w:rPr>
    </w:p>
    <w:p>
      <w:pPr>
        <w:jc w:val="both"/>
        <w:keepNext/>
        <w:outlineLvl w:val="1"/>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Los ciudadanos que no puedan acceder al portal web para continuar con el proceso de inscripciσn, deberαn dirigirse al distrito militar mαs cercano a su domicilio. </w:t>
      </w:r>
    </w:p>
    <w:p>
      <w:pPr>
        <w:jc w:val="both"/>
        <w:keepNext/>
        <w:outlineLvl w:val="1"/>
      </w:pPr>
      <w:rPr>
        <w:sz w:val="24"/>
        <w:color w:val="black"/>
      </w:rPr>
    </w:p>
    <w:p>
      <w:pPr>
        <w:jc w:val="both"/>
        <w:keepNext/>
        <w:outlineLvl w:val="1"/>
      </w:pPr>
      <w:r>
        <w:rPr>
          <w:rFonts w:hAnsi="Arial"/>
          <w:rFonts w:ascii="Arial"/>
          <w:sz w:val="24"/>
          <w:color w:val="navy"/>
        </w:rPr>
        <w:t xml:space="preserve">PARΑGRAFO 5o.</w:t>
      </w:r>
      <w:r>
        <w:rPr>
          <w:rFonts w:hAnsi="Arial"/>
          <w:rFonts w:ascii="Arial"/>
          <w:sz w:val="24"/>
          <w:b/>
          <w:color w:val="black"/>
        </w:rPr>
        <w:t xml:space="preserve"> </w:t>
      </w:r>
      <w:r>
        <w:rPr>
          <w:rFonts w:hAnsi="Arial"/>
          <w:rFonts w:ascii="Arial"/>
          <w:sz w:val="24"/>
          <w:color w:val="black"/>
        </w:rPr>
        <w:t xml:space="preserve">Las cuotas de personal para incorporar en el Instituto Nacional Penitenciario y Carcelario (Inpec) serαn solicitadas anualmente por el Jefe de la Guardia Penitenciaria y Carcelaria Nacional a la Direcciσn de Reclutamiento del Ejιrcito Nacional.</w:t>
      </w:r>
    </w:p>
    <w:p>
      <w:pPr>
        <w:jc w:val="both"/>
        <w:keepNext/>
        <w:outlineLvl w:val="1"/>
      </w:pPr>
      <w:rPr>
        <w:sz w:val="24"/>
        <w:color w:val="black"/>
      </w:rPr>
    </w:p>
    <w:p>
      <w:pPr>
        <w:jc w:val="both"/>
        <w:keepNext/>
        <w:outlineLvl w:val="1"/>
      </w:pPr>
      <w:r>
        <w:rPr>
          <w:rFonts w:hAnsi="Arial"/>
          <w:rFonts w:ascii="Arial"/>
          <w:sz w:val="24"/>
          <w:color w:val="navy"/>
        </w:rPr>
        <w:t xml:space="preserve">PARΑGRAFO TRANSITORIO.</w:t>
      </w:r>
      <w:r>
        <w:rPr>
          <w:rFonts w:hAnsi="Arial"/>
          <w:rFonts w:ascii="Arial"/>
          <w:sz w:val="24"/>
          <w:b/>
          <w:color w:val="black"/>
        </w:rPr>
        <w:t xml:space="preserve"> </w:t>
      </w:r>
      <w:r>
        <w:rPr>
          <w:rFonts w:hAnsi="Arial"/>
          <w:rFonts w:ascii="Arial"/>
          <w:sz w:val="24"/>
          <w:color w:val="black"/>
        </w:rPr>
        <w:t xml:space="preserve">Hasta tanto la Registradurνa Nacional del Estado Civil proporcione la informaciσn para el registro inicial del ciudadano al Servicio de Reclutamiento y Movilizaciσn, el Ministerio de Educaciσn a travιs de las instituciones educativas, coadyuvarαn con la inscripciσn de los estudiantes de ϊltimo aρo escolar que alcancen la mayorνa de edad. </w:t>
      </w:r>
    </w:p>
    <w:p>
      <w:pPr>
        <w:jc w:val="both"/>
      </w:pPr>
      <w:rPr>
        <w:sz w:val="24"/>
        <w:b/>
        <w:color w:val="black"/>
      </w:rPr>
    </w:p>
    <w:p>
      <w:pPr>
        <w:jc w:val="center"/>
      </w:pPr>
      <w:r>
        <w:rPr>
          <w:rFonts w:hAnsi="Arial"/>
          <w:rFonts w:ascii="Arial"/>
          <w:sz w:val="24"/>
          <w:b/>
          <w:vanish/>
          <w:color w:val="black"/>
        </w:rPr>
        <w:t>&amp;$</w:t>
      </w:r>
      <w:bookmarkStart w:id="61088" w:name="SECCIÓN 2.3.1.4.4"/>
      <w:r>
        <w:rPr>
          <w:rFonts w:hAnsi="Arial"/>
          <w:rFonts w:ascii="Arial"/>
          <w:sz w:val="24"/>
          <w:color w:val="navy"/>
        </w:rPr>
        <w:t xml:space="preserve">SECCIΣN 4. </w:t>
      </w:r>
    </w:p>
    <w:p>
      <w:pPr>
        <w:jc w:val="center"/>
        <w:outlineLvl w:val="1"/>
      </w:pPr>
      <w:r>
        <w:rPr>
          <w:rFonts w:hAnsi="Arial"/>
          <w:rFonts w:ascii="Arial"/>
          <w:sz w:val="24"/>
          <w:color w:val="navy"/>
        </w:rPr>
        <w:t xml:space="preserve">EVALUACIΣN DE APTITUD PSICOFΝSICA.</w:t>
      </w:r>
      <w:bookmarkEnd w:id="61088"/>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1089" w:name="2.3.1.4.4.1"/>
      <w:r>
        <w:rPr>
          <w:rFonts w:hAnsi="Arial"/>
          <w:rFonts w:ascii="Arial"/>
          <w:sz w:val="24"/>
          <w:color w:val="navy"/>
        </w:rPr>
        <w:t xml:space="preserve">ARTΝCULO 2.3.1.4.4.1. COMITΙ DE EVALUACIΣN DE APTITUD PSICOFΝSICA.</w:t>
      </w:r>
      <w:bookmarkEnd w:id="6108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comitι de Evaluaciσn de Aptitud Psicofνsica estarα integrado por oficiales de sanidad o profesionales en medicina, odontologνa y psicologνa de la Fuerza Pϊblica, que se encuentren debidamente autorizados por los Directores de Reclutamiento de las Fuerzas Militares y la Oficina de Coordinaciσn de Incorporaciones y Control Reservas de la Policνa Nacional para adelantar el proceso de incorporaciσn a la prestaciσn del servicio militar. </w:t>
      </w:r>
    </w:p>
    <w:p>
      <w:pPr>
        <w:jc w:val="both"/>
        <w:keepNext/>
      </w:pPr>
      <w:rPr>
        <w:color w:val="black"/>
      </w:rPr>
    </w:p>
    <w:p>
      <w:pPr>
        <w:jc w:val="both"/>
        <w:keepNext/>
        <w:outlineLvl w:val="1"/>
      </w:pPr>
      <w:r>
        <w:rPr>
          <w:rFonts w:hAnsi="Arial"/>
          <w:rFonts w:ascii="Arial"/>
          <w:sz w:val="24"/>
          <w:b/>
          <w:vanish/>
          <w:color w:val="black"/>
        </w:rPr>
        <w:t>&amp;$</w:t>
      </w:r>
      <w:bookmarkStart w:id="61090" w:name="2.3.1.4.4.2"/>
      <w:r>
        <w:rPr>
          <w:rFonts w:hAnsi="Arial"/>
          <w:rFonts w:ascii="Arial"/>
          <w:sz w:val="24"/>
          <w:color w:val="navy"/>
        </w:rPr>
        <w:t xml:space="preserve">ARTΝCULO 2.3.1.4.4.2. REGISTRO DE ANTECEDENTES DE APTITUD PSICOFΝSICA.</w:t>
      </w:r>
      <w:bookmarkEnd w:id="6109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Todas las circunstancias sobre la evaluaciσn de aptitud psicofνsica de los conscriptos de que tratan los artνculos </w:t>
      </w:r>
      <w:r>
        <w:fldChar w:fldCharType="begin"/>
      </w:r>
      <w:r>
        <w:instrText>HYPERLINK "http://www.redjurista.com/document.aspx?ajcode=l1861017&amp;arts=19"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al </w:t>
      </w:r>
      <w:r>
        <w:fldChar w:fldCharType="begin"/>
      </w:r>
      <w:r>
        <w:instrText>HYPERLINK "http://www.redjurista.com/document.aspx?ajcode=l1861017&amp;arts=21"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la Ley 1861 de 2017, serαn registradas por los profesionales que integran el Comitι de Evaluaciσn de Aptitud Psicofνsica, en los formatos de evaluaciσn psicofνsica y en la base de datos destinadas para tal fin.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Las evaluaciones de aptitud psicofνsica de los ciudadanos para la prestaciσn del servicio militar obligatorio como auxiliar del cuerpo de custodia del Inpec, serαn practicadas por el Comitι de Evaluaciσn de Aptitud Psicofνsica del Distrito Militar del Ejιrcito Nacional mαs cercano al lugar de ubicaciσn de la escuela regional penitenciaria, en la que se imparta la etapa de formaciσn bαsica, en coordinaciσn con profesionales de la salud del Instituto Nacional Penitenciario y Carcelario. </w:t>
      </w:r>
    </w:p>
    <w:p>
      <w:pPr>
        <w:jc w:val="both"/>
        <w:keepNext/>
      </w:pPr>
      <w:rPr>
        <w:color w:val="black"/>
      </w:rPr>
    </w:p>
    <w:p>
      <w:pPr>
        <w:jc w:val="both"/>
        <w:keepNext/>
        <w:outlineLvl w:val="1"/>
      </w:pPr>
      <w:r>
        <w:rPr>
          <w:rFonts w:hAnsi="Arial"/>
          <w:rFonts w:ascii="Arial"/>
          <w:sz w:val="24"/>
          <w:b/>
          <w:vanish/>
          <w:color w:val="black"/>
        </w:rPr>
        <w:t>&amp;$</w:t>
      </w:r>
      <w:bookmarkStart w:id="61091" w:name="2.3.1.4.4.3"/>
      <w:r>
        <w:rPr>
          <w:rFonts w:hAnsi="Arial"/>
          <w:rFonts w:ascii="Arial"/>
          <w:sz w:val="24"/>
          <w:color w:val="navy"/>
        </w:rPr>
        <w:t xml:space="preserve">ARTΝCULO 2.3.1.4.4.3. PRΑCTICA DE EVALUACIONES.</w:t>
      </w:r>
      <w:bookmarkEnd w:id="6109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evaluaciones de aptitud psicofνsica de que tratan los artνculos </w:t>
      </w:r>
      <w:r>
        <w:fldChar w:fldCharType="begin"/>
      </w:r>
      <w:r>
        <w:instrText>HYPERLINK "http://www.redjurista.com/document.aspx?ajcode=l1861017&amp;arts=19"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al </w:t>
      </w:r>
      <w:r>
        <w:fldChar w:fldCharType="begin"/>
      </w:r>
      <w:r>
        <w:instrText>HYPERLINK "http://www.redjurista.com/document.aspx?ajcode=l1861017&amp;arts=21"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la Ley 1861 de 2017, solamente podrαn practicarse en los lugares y horas seρalados por las Direcciones de Reclutamiento de cada una de las Fuerzas Militares, y la Oficina de Coordinaciσn de Incorporaciones y Control Reservas de la Policνa Nacional, frente a los auxiliares.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Las evaluaciones de aptitud psicofνsica deberαn ajustarse a los parαmetros establecidos sobre la materia y reglamentos emitidos por las autoridades de reclutamiento. </w:t>
      </w:r>
    </w:p>
    <w:p>
      <w:pPr>
        <w:jc w:val="both"/>
        <w:keepNext/>
      </w:pPr>
      <w:rPr>
        <w:color w:val="black"/>
      </w:rPr>
    </w:p>
    <w:p>
      <w:pPr>
        <w:jc w:val="both"/>
        <w:keepNext/>
        <w:outlineLvl w:val="1"/>
      </w:pPr>
      <w:r>
        <w:rPr>
          <w:rFonts w:hAnsi="Arial"/>
          <w:rFonts w:ascii="Arial"/>
          <w:sz w:val="24"/>
          <w:b/>
          <w:vanish/>
          <w:color w:val="black"/>
        </w:rPr>
        <w:t>&amp;$</w:t>
      </w:r>
      <w:bookmarkStart w:id="61092" w:name="2.3.1.4.4.4"/>
      <w:r>
        <w:rPr>
          <w:rFonts w:hAnsi="Arial"/>
          <w:rFonts w:ascii="Arial"/>
          <w:sz w:val="24"/>
          <w:color w:val="navy"/>
        </w:rPr>
        <w:t xml:space="preserve">ARTΝCULO 2.3.1.4.4.4. PRIMERA EVALUACIΣN.</w:t>
      </w:r>
      <w:bookmarkEnd w:id="6109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Una vez el ciudadano sea inscrito para definir su situaciσn militar, serα citado para la primera evaluaciσn de la cual se dejarα constancia en los documentos dispuestos para tal fin, y las bases de datos por parte del Comitι de Evaluaciσn de Aptitud Psicofνsica, respecto de los conscriptos aptos, no aptos y aplazados, asν como la causal de no aptitud y/o aplazamiento, y estarα acompaρada de los soportes mιdicos correspondientes.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Los ciudadanos que en la primera evaluaciσn resulten aplazados segϊn los parαmetros establecidos por la normatividad vigente sobre aptitud psicofνsica, al presentar una condiciσn fνsica susceptible de recuperaciσn, serαn citados nuevamente a esta evaluaciσn, para definir la aptitud psicofνsica al servicio militar obligatorio. </w:t>
      </w:r>
    </w:p>
    <w:p>
      <w:pPr>
        <w:jc w:val="both"/>
        <w:keepNext/>
      </w:pPr>
      <w:rPr>
        <w:color w:val="black"/>
      </w:rPr>
    </w:p>
    <w:p>
      <w:pPr>
        <w:jc w:val="both"/>
        <w:keepNext/>
        <w:outlineLvl w:val="1"/>
      </w:pPr>
      <w:r>
        <w:rPr>
          <w:rFonts w:hAnsi="Arial"/>
          <w:rFonts w:ascii="Arial"/>
          <w:sz w:val="24"/>
          <w:b/>
          <w:vanish/>
          <w:color w:val="black"/>
        </w:rPr>
        <w:t>&amp;$</w:t>
      </w:r>
      <w:bookmarkStart w:id="61093" w:name="2.3.1.4.4.5"/>
      <w:r>
        <w:rPr>
          <w:rFonts w:hAnsi="Arial"/>
          <w:rFonts w:ascii="Arial"/>
          <w:sz w:val="24"/>
          <w:color w:val="navy"/>
        </w:rPr>
        <w:t xml:space="preserve">ARTΝCULO 2.3.1.4.4.5. SEGUNDA EVALUACIΣN.</w:t>
      </w:r>
      <w:bookmarkEnd w:id="6109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Previamente a la incorporaciσn de los conscriptos, podrα practicarse una segunda evaluaciσn psicofνsica, por determinaciσn de las autoridades de reclutamiento o a solicitud del inscrito, para determinar causales de no aptitud psicofνsica que no fueron detectadas en la primera evaluaciσn y que puedan incidir en la prestaciσn del servicio militar. Para tales efectos, el criterio cientνfico de los miembros del Comitι de Evaluaciσn de Aptitud Psicofνsica, prima sobre el de los mιdicos particulares.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Para demostrar la no aptitud en la segunda evaluaciσn de aptitud psicofνsica, el ciudadano deberα presentar soporte mιdico que acredite la patologνa emitida por entidades prestadoras del servicio de salud reconocidas por el Estado, y que estιn respaldadas en las historias clνnicas correspondientes. </w:t>
      </w:r>
    </w:p>
    <w:p>
      <w:pPr>
        <w:jc w:val="both"/>
        <w:keepNext/>
      </w:pPr>
      <w:rPr>
        <w:color w:val="black"/>
      </w:rPr>
    </w:p>
    <w:p>
      <w:pPr>
        <w:jc w:val="both"/>
        <w:keepNext/>
        <w:outlineLvl w:val="1"/>
      </w:pPr>
      <w:r>
        <w:rPr>
          <w:rFonts w:hAnsi="Arial"/>
          <w:rFonts w:ascii="Arial"/>
          <w:sz w:val="24"/>
          <w:b/>
          <w:vanish/>
          <w:color w:val="black"/>
        </w:rPr>
        <w:t>&amp;$</w:t>
      </w:r>
      <w:bookmarkStart w:id="61094" w:name="2.3.1.4.4.6"/>
      <w:r>
        <w:rPr>
          <w:rFonts w:hAnsi="Arial"/>
          <w:rFonts w:ascii="Arial"/>
          <w:sz w:val="24"/>
          <w:color w:val="navy"/>
        </w:rPr>
        <w:t xml:space="preserve">ARTΝCULO 2.3.1.4.4.6. EVALUACIΣN DE APTITUD PSICOFΝSICA FINAL.</w:t>
      </w:r>
      <w:bookmarkEnd w:id="61094"/>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resultado de la evaluaciσn de aptitud psicofνsica final practicado por el Comitι de Evaluaciσn de Aptitud Psicofνsica, deberα registrarse en los documentos dispuestos para tal fin y en las bases de datos, asν mismo deberα reportarse al Distrito Militar del Ejιrcito Nacional para continuar con el proceso de definiciσn de la situaciσn militar. </w:t>
      </w:r>
    </w:p>
    <w:p>
      <w:pPr>
        <w:jc w:val="both"/>
        <w:keepNext/>
      </w:pPr>
      <w:rPr>
        <w:color w:val="black"/>
      </w:rPr>
    </w:p>
    <w:p>
      <w:pPr>
        <w:jc w:val="both"/>
        <w:keepNext/>
        <w:outlineLvl w:val="1"/>
      </w:pPr>
      <w:r>
        <w:rPr>
          <w:rFonts w:hAnsi="Arial"/>
          <w:rFonts w:ascii="Arial"/>
          <w:sz w:val="24"/>
          <w:b/>
          <w:vanish/>
          <w:color w:val="black"/>
        </w:rPr>
        <w:t>&amp;$</w:t>
      </w:r>
      <w:bookmarkStart w:id="61095" w:name="2.3.1.4.4.7"/>
      <w:r>
        <w:rPr>
          <w:rFonts w:hAnsi="Arial"/>
          <w:rFonts w:ascii="Arial"/>
          <w:sz w:val="24"/>
          <w:color w:val="navy"/>
        </w:rPr>
        <w:t xml:space="preserve">ARTΝCULO 2.3.1.4.4.7. SORTEO.</w:t>
      </w:r>
      <w:bookmarkEnd w:id="61095"/>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Este procedimiento se realizarα cuando el nϊmero de ciudadanos aptos supere las necesidades de personal requerido en cada contingente. Los ciudadanos declarados aptos serαn seleccionados para prestar el servicio militar por el procedimiento de sorteo en cualquier etapa del proceso y hasta 15 dνas antes de la incorporaciσn.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el sorteo deben participar todos los jσvenes citados al mismo. Quien por fuerza mayor o caso fortuito no pueda asistir, serα representado por uno de sus padres o por la persona que designe el ciudadano de manera escrita debidamente autorizada. </w:t>
      </w:r>
    </w:p>
    <w:p>
      <w:pPr>
        <w:jc w:val="both"/>
        <w:keepNext/>
        <w:outlineLvl w:val="1"/>
      </w:pPr>
      <w:rPr>
        <w:sz w:val="24"/>
        <w:color w:val="black"/>
      </w:rPr>
    </w:p>
    <w:p>
      <w:pPr>
        <w:jc w:val="both"/>
        <w:keepNext/>
        <w:outlineLvl w:val="1"/>
      </w:pPr>
      <w:r>
        <w:rPr>
          <w:rFonts w:hAnsi="Arial"/>
          <w:rFonts w:ascii="Arial"/>
          <w:sz w:val="24"/>
          <w:color w:val="black"/>
        </w:rPr>
        <w:t xml:space="preserve">El resultado del sorteo se consignarα en actas elaboradas por los Comandantes de los Distritos Militares de cada una de las Fuerzas, la Policνa Nacional y el Instituto Nacional Penitenciario y Carcelario (Inpec) y los funcionarios responsables de este proceso, quienes no podrαn ausentarse del lugar del sorteo, hasta tanto el acta no haya sido diligenciada y firmada por todos los que intervienen. </w:t>
      </w:r>
    </w:p>
    <w:p>
      <w:pPr>
        <w:jc w:val="both"/>
        <w:keepNext/>
      </w:pPr>
      <w:rPr>
        <w:color w:val="black"/>
      </w:rPr>
    </w:p>
    <w:p>
      <w:pPr>
        <w:jc w:val="both"/>
        <w:keepNext/>
      </w:pPr>
      <w:r>
        <w:rPr>
          <w:rFonts w:hAnsi="Arial"/>
          <w:rFonts w:ascii="Arial"/>
          <w:sz w:val="24"/>
          <w:b/>
          <w:vanish/>
          <w:color w:val="black"/>
        </w:rPr>
        <w:t>&amp;$</w:t>
      </w:r>
      <w:bookmarkStart w:id="61096" w:name="2.3.1.4.4.8"/>
      <w:r>
        <w:rPr>
          <w:rFonts w:hAnsi="Arial"/>
          <w:rFonts w:ascii="Arial"/>
          <w:sz w:val="24"/>
          <w:color w:val="navy"/>
        </w:rPr>
        <w:t xml:space="preserve">ARTΝCULO 2.3.1.4.4.8. CONCENTRACIΣN E INCORPORACIΣN.</w:t>
      </w:r>
      <w:bookmarkEnd w:id="6109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ciudadano concentrado para la incorporaciσn quedarα bajo el control y vigilancia de las autoridades de reclutamiento, hasta su entrega a las diferentes Unidades Militares, de Policνa Nacional y el Inpec.</w:t>
      </w:r>
    </w:p>
    <w:p>
      <w:pPr>
        <w:jc w:val="both"/>
        <w:keepNext/>
      </w:pPr>
      <w:rPr>
        <w:sz w:val="24"/>
        <w:color w:val="black"/>
      </w:rPr>
    </w:p>
    <w:p>
      <w:pPr>
        <w:jc w:val="center"/>
        <w:keepNext/>
        <w:outlineLvl w:val="1"/>
      </w:pPr>
      <w:r>
        <w:rPr>
          <w:rFonts w:hAnsi="Arial"/>
          <w:rFonts w:ascii="Arial"/>
          <w:sz w:val="24"/>
          <w:b/>
          <w:vanish/>
          <w:color w:val="black"/>
        </w:rPr>
        <w:t>&amp;$</w:t>
      </w:r>
      <w:bookmarkStart w:id="61097" w:name="SECCIÓN 2.3.1.4.5"/>
      <w:r>
        <w:rPr>
          <w:rFonts w:hAnsi="Arial"/>
          <w:rFonts w:ascii="Arial"/>
          <w:sz w:val="24"/>
          <w:color w:val="navy"/>
        </w:rPr>
        <w:t xml:space="preserve">SECCIΣN 5. </w:t>
      </w:r>
    </w:p>
    <w:p>
      <w:pPr>
        <w:jc w:val="center"/>
        <w:keepNext/>
        <w:outlineLvl w:val="1"/>
      </w:pPr>
      <w:r>
        <w:rPr>
          <w:rFonts w:hAnsi="Arial"/>
          <w:rFonts w:ascii="Arial"/>
          <w:sz w:val="24"/>
          <w:color w:val="navy"/>
        </w:rPr>
        <w:t xml:space="preserve">CLASIFICACIΣN Y CUOTA DE COMPENSACIΣN MILITAR.</w:t>
      </w:r>
      <w:bookmarkEnd w:id="61097"/>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098" w:name="2.3.1.4.5.1"/>
      <w:r>
        <w:rPr>
          <w:rFonts w:hAnsi="Arial"/>
          <w:rFonts w:ascii="Arial"/>
          <w:sz w:val="24"/>
          <w:color w:val="navy"/>
        </w:rPr>
        <w:t xml:space="preserve">ARTΝCULO 2.3.1.4.5.1. TARJETA DE RESERVISTA ALUMNOS COLEGIOS MILITARES Y POLICIALES.</w:t>
      </w:r>
      <w:bookmarkEnd w:id="6109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alumnos de colegios militares y policiales debidamente autorizados y que adelanten las fases de instrucciσn militar y aprueben el aρo escolar siendo menores de edad, se les expedirαn tarjeta militar provisional y solo hasta cuando alcancen la mayorνa de edad se expedirα la tarjeta de reservista de primera clase, previa liquidaciσn y pago de la cuota de compensaciσn militar. </w:t>
      </w:r>
    </w:p>
    <w:p>
      <w:pPr>
        <w:jc w:val="both"/>
        <w:keepNext/>
      </w:pPr>
      <w:rPr>
        <w:color w:val="black"/>
      </w:rPr>
    </w:p>
    <w:p>
      <w:pPr>
        <w:jc w:val="both"/>
        <w:keepNext/>
        <w:outlineLvl w:val="1"/>
      </w:pPr>
      <w:r>
        <w:rPr>
          <w:rFonts w:hAnsi="Arial"/>
          <w:rFonts w:ascii="Arial"/>
          <w:sz w:val="24"/>
          <w:b/>
          <w:vanish/>
          <w:color w:val="black"/>
        </w:rPr>
        <w:t>&amp;$</w:t>
      </w:r>
      <w:bookmarkStart w:id="61099" w:name="2.3.1.4.5.2"/>
      <w:r>
        <w:rPr>
          <w:rFonts w:hAnsi="Arial"/>
          <w:rFonts w:ascii="Arial"/>
          <w:sz w:val="24"/>
          <w:color w:val="navy"/>
        </w:rPr>
        <w:t xml:space="preserve">ARTΝCULO 2.3.1.4.5.2. ACREDITACIONES DE CAUSALES DE EXONERACIΣN PARA EL PAGO DE CUOTA DE COMPENSACIΣN MILITAR.</w:t>
      </w:r>
      <w:bookmarkEnd w:id="6109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documentos necesarios para demostrar las causales de exoneraciσn dispuestas en el artνculo </w:t>
      </w:r>
      <w:r>
        <w:fldChar w:fldCharType="begin"/>
      </w:r>
      <w:r>
        <w:instrText>HYPERLINK "http://www.redjurista.com/document.aspx?ajcode=l1861017&amp;arts=26"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1861 de 2017, serαn fijados por la Direcciσn de Reclutamiento del Ejιrcito Nacional. </w:t>
      </w:r>
    </w:p>
    <w:p>
      <w:pPr>
        <w:jc w:val="both"/>
        <w:keepNext/>
      </w:pPr>
      <w:rPr>
        <w:color w:val="black"/>
      </w:rPr>
    </w:p>
    <w:p>
      <w:pPr>
        <w:jc w:val="both"/>
        <w:keepNext/>
        <w:outlineLvl w:val="1"/>
      </w:pPr>
      <w:r>
        <w:rPr>
          <w:rFonts w:hAnsi="Arial"/>
          <w:rFonts w:ascii="Arial"/>
          <w:sz w:val="24"/>
          <w:b/>
          <w:vanish/>
          <w:color w:val="black"/>
        </w:rPr>
        <w:t>&amp;$</w:t>
      </w:r>
      <w:bookmarkStart w:id="61100" w:name="2.3.1.4.5.3"/>
      <w:r>
        <w:rPr>
          <w:rFonts w:hAnsi="Arial"/>
          <w:rFonts w:ascii="Arial"/>
          <w:sz w:val="24"/>
          <w:color w:val="navy"/>
        </w:rPr>
        <w:t xml:space="preserve">ARTΝCULO 2.3.1.4.5.3. LIQUIDACIΣN CUOTA DE COMPENSACIΣN MILITAR.</w:t>
      </w:r>
      <w:bookmarkEnd w:id="6110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fecha de clasificaciσn del ciudadano que no ingrese a filas conforme a lo dispuesto en el artνculo </w:t>
      </w:r>
      <w:r>
        <w:fldChar w:fldCharType="begin"/>
      </w:r>
      <w:r>
        <w:instrText>HYPERLINK "http://www.redjurista.com/document.aspx?ajcode=l1861017&amp;arts=25"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1861 de 2017, determinarα el momento a partir del cual se realizarα la liquidaciσn de la cuota de compensaciσn militar. </w:t>
      </w:r>
    </w:p>
    <w:p>
      <w:pPr>
        <w:jc w:val="both"/>
        <w:keepNext/>
      </w:pPr>
      <w:rPr>
        <w:color w:val="black"/>
      </w:rPr>
    </w:p>
    <w:p>
      <w:pPr>
        <w:jc w:val="both"/>
        <w:keepNext/>
        <w:outlineLvl w:val="1"/>
      </w:pPr>
      <w:r>
        <w:rPr>
          <w:rFonts w:hAnsi="Arial"/>
          <w:rFonts w:ascii="Arial"/>
          <w:sz w:val="24"/>
          <w:b/>
          <w:vanish/>
          <w:color w:val="black"/>
        </w:rPr>
        <w:t>&amp;$</w:t>
      </w:r>
      <w:bookmarkStart w:id="61101" w:name="2.3.1.4.5.4"/>
      <w:r>
        <w:rPr>
          <w:rFonts w:hAnsi="Arial"/>
          <w:rFonts w:ascii="Arial"/>
          <w:sz w:val="24"/>
          <w:color w:val="navy"/>
        </w:rPr>
        <w:t xml:space="preserve">ARTΝCULO 2.3.1.4.5.4. DOCUMENTOS PARA LA LIQUIDACIΣN DE LA CUOTA DE COMPENSACIΣN MILITAR.</w:t>
      </w:r>
      <w:bookmarkEnd w:id="6110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documentos necesarios para la liquidaciσn de la cuota de compensaciσn militar, serαn los dispuestos en la Secciσn 14 del presente Decreto, o la normatividad que la modifique o adicione, asν como las disposiciones internas que para el efecto emita el Ministerio de Defensa Nacional. </w:t>
      </w:r>
    </w:p>
    <w:p>
      <w:pPr>
        <w:jc w:val="both"/>
        <w:keepNext/>
      </w:pPr>
      <w:rPr>
        <w:color w:val="black"/>
      </w:rPr>
    </w:p>
    <w:p>
      <w:pPr>
        <w:jc w:val="both"/>
        <w:keepNext/>
        <w:outlineLvl w:val="1"/>
      </w:pPr>
      <w:r>
        <w:rPr>
          <w:rFonts w:hAnsi="Arial"/>
          <w:rFonts w:ascii="Arial"/>
          <w:sz w:val="24"/>
          <w:b/>
          <w:vanish/>
          <w:color w:val="black"/>
        </w:rPr>
        <w:t>&amp;$</w:t>
      </w:r>
      <w:bookmarkStart w:id="61102" w:name="2.3.1.4.5.5"/>
      <w:r>
        <w:rPr>
          <w:rFonts w:hAnsi="Arial"/>
          <w:rFonts w:ascii="Arial"/>
          <w:sz w:val="24"/>
          <w:color w:val="navy"/>
        </w:rPr>
        <w:t xml:space="preserve">ARTΝCULO 2.3.1.4.5.5. PAGO DE LA CUOTA DE COMPENSACIΣN MILITAR.</w:t>
      </w:r>
      <w:bookmarkEnd w:id="6110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cuota de compensaciσn militar liquidada se pagarα dentro de los noventa (90) dνas siguientes a la fecha de ejecutoria del correspondiente recibo de liquidaciσn, este plazo podrα prorrogarse por otros noventa (90) dνas a solicitud del ciudadano, previo incremento equivalente al quince por ciento (15%) sobre el valor inicialmente liquidado.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 cuota de compensaciσn militar deberα ser cancela en las entidades bancarias dispuestas para ello, a travιs de las modalidades de pago establecidas en la ley. </w:t>
      </w:r>
    </w:p>
    <w:p>
      <w:pPr>
        <w:jc w:val="both"/>
        <w:keepNext/>
        <w:outlineLvl w:val="1"/>
      </w:pPr>
      <w:rPr>
        <w:sz w:val="24"/>
        <w:color w:val="black"/>
      </w:rPr>
    </w:p>
    <w:p>
      <w:pPr>
        <w:jc w:val="both"/>
        <w:keepNext/>
        <w:outlineLvl w:val="1"/>
      </w:pPr>
      <w:r>
        <w:rPr>
          <w:rFonts w:hAnsi="Arial"/>
          <w:rFonts w:ascii="Arial"/>
          <w:sz w:val="24"/>
          <w:color w:val="black"/>
        </w:rPr>
        <w:t xml:space="preserve">De igual forma se podrα cancelar la cuota de compensaciσn militar a travιs de los medios electrσnicos dispuestos para tal fin. </w:t>
      </w:r>
    </w:p>
    <w:p>
      <w:pPr>
        <w:jc w:val="both"/>
        <w:keepNext/>
      </w:pPr>
      <w:rPr>
        <w:sz w:val="24"/>
        <w:color w:val="black"/>
      </w:rPr>
    </w:p>
    <w:p>
      <w:pPr>
        <w:jc w:val="center"/>
        <w:keepNext/>
        <w:outlineLvl w:val="1"/>
      </w:pPr>
      <w:r>
        <w:rPr>
          <w:rFonts w:hAnsi="Arial"/>
          <w:rFonts w:ascii="Arial"/>
          <w:sz w:val="24"/>
          <w:b/>
          <w:vanish/>
          <w:color w:val="black"/>
        </w:rPr>
        <w:t>&amp;$</w:t>
      </w:r>
      <w:bookmarkStart w:id="61103" w:name="SECCIÓN 2.3.1.4.6"/>
      <w:r>
        <w:rPr>
          <w:rFonts w:hAnsi="Arial"/>
          <w:rFonts w:ascii="Arial"/>
          <w:sz w:val="24"/>
          <w:color w:val="navy"/>
        </w:rPr>
        <w:t xml:space="preserve">SECCIΣN 6. </w:t>
      </w:r>
    </w:p>
    <w:p>
      <w:pPr>
        <w:jc w:val="center"/>
        <w:keepNext/>
        <w:outlineLvl w:val="1"/>
      </w:pPr>
      <w:r>
        <w:rPr>
          <w:rFonts w:hAnsi="Arial"/>
          <w:rFonts w:ascii="Arial"/>
          <w:sz w:val="24"/>
          <w:color w:val="navy"/>
        </w:rPr>
        <w:t xml:space="preserve">SITUACIONES ESPECIALES.</w:t>
      </w:r>
      <w:bookmarkEnd w:id="61103"/>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04" w:name="2.3.1.4.6.1"/>
      <w:r>
        <w:rPr>
          <w:rFonts w:hAnsi="Arial"/>
          <w:rFonts w:ascii="Arial"/>
          <w:sz w:val="24"/>
          <w:color w:val="navy"/>
        </w:rPr>
        <w:t xml:space="preserve">ARTΝCULO 2.3.1.4.6.1. ACREDITACIΣN RESIDENCIA EN EL EXTERIOR.</w:t>
      </w:r>
      <w:bookmarkEnd w:id="61104"/>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Ministerio de Relaciones Exteriores en coordinaciσn con las autoridades consulares y demαs entidades competentes, emitirαn el documento que permita acreditar la permanencia mνnima de 3 aρos en el paνs de residencia del ciudadano, con el propσsito que las autoridades de Reclutamiento definan la situaciσn militar.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El Ministerio de Defensa a travιs de la Direcciσn de Reclutamiento, o la que haga sus veces, definirα los documentos alternos que puedan presentarse para dar cumplimento a este requisito. En este sentido, adelantarα la regulaciσn que corresponda en coordinaciσn con el Ministerio de Relaciones Exteriores y Migraciσn Colombia. </w:t>
      </w:r>
    </w:p>
    <w:p>
      <w:pPr>
        <w:jc w:val="both"/>
        <w:keepNext/>
      </w:pPr>
      <w:rPr>
        <w:color w:val="black"/>
      </w:rPr>
    </w:p>
    <w:p>
      <w:pPr>
        <w:jc w:val="both"/>
        <w:keepNext/>
        <w:outlineLvl w:val="1"/>
      </w:pPr>
      <w:r>
        <w:rPr>
          <w:rFonts w:hAnsi="Arial"/>
          <w:rFonts w:ascii="Arial"/>
          <w:sz w:val="24"/>
          <w:b/>
          <w:vanish/>
          <w:color w:val="black"/>
        </w:rPr>
        <w:t>&amp;$</w:t>
      </w:r>
      <w:bookmarkStart w:id="61105" w:name="2.3.1.4.6.2"/>
      <w:r>
        <w:rPr>
          <w:rFonts w:hAnsi="Arial"/>
          <w:rFonts w:ascii="Arial"/>
          <w:sz w:val="24"/>
          <w:color w:val="navy"/>
        </w:rPr>
        <w:t xml:space="preserve">ARTΝCULO 2.3.1.4.6.2. COLOMBIANOS CON DOBLE NACIONALIDAD.</w:t>
      </w:r>
      <w:bookmarkEnd w:id="6110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ciudadanos colombianos por nacimiento o adopciσn con doble nacionalidad que demuestren haber definido su situaciσn militar en cualquiera de los Estados a los que pertenezca una de sus otras nacionalidades, no estαn obligados a definir la situaciσn militar en Colombia, en su lugar, la Direcciσn de Reclutamiento del Ejιrcito Nacional emitirα constancia electrσnica que asν lo acredite. </w:t>
      </w:r>
    </w:p>
    <w:p>
      <w:pPr>
        <w:jc w:val="both"/>
        <w:keepNext/>
        <w:outlineLvl w:val="1"/>
      </w:pPr>
      <w:rPr>
        <w:sz w:val="24"/>
        <w:b/>
        <w:color w:val="black"/>
      </w:rPr>
    </w:p>
    <w:p>
      <w:pPr>
        <w:jc w:val="center"/>
        <w:keepNext/>
        <w:outlineLvl w:val="1"/>
      </w:pPr>
      <w:r>
        <w:rPr>
          <w:rFonts w:hAnsi="Arial"/>
          <w:rFonts w:ascii="Arial"/>
          <w:sz w:val="24"/>
          <w:b/>
          <w:vanish/>
          <w:color w:val="black"/>
        </w:rPr>
        <w:t>&amp;$</w:t>
      </w:r>
      <w:bookmarkStart w:id="61106" w:name="SECCIÓN 2.3.1.4.7"/>
      <w:r>
        <w:rPr>
          <w:rFonts w:hAnsi="Arial"/>
          <w:rFonts w:ascii="Arial"/>
          <w:sz w:val="24"/>
          <w:color w:val="navy"/>
        </w:rPr>
        <w:t xml:space="preserve">SECCIΣN 7. </w:t>
      </w:r>
    </w:p>
    <w:p>
      <w:pPr>
        <w:jc w:val="center"/>
        <w:keepNext/>
        <w:outlineLvl w:val="1"/>
      </w:pPr>
      <w:r>
        <w:rPr>
          <w:rFonts w:hAnsi="Arial"/>
          <w:rFonts w:ascii="Arial"/>
          <w:sz w:val="24"/>
          <w:color w:val="navy"/>
        </w:rPr>
        <w:t>APLAZAMIENTOS.</w:t>
      </w:r>
      <w:bookmarkEnd w:id="61106"/>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07" w:name="2.3.1.4.7.1"/>
      <w:r>
        <w:rPr>
          <w:rFonts w:hAnsi="Arial"/>
          <w:rFonts w:ascii="Arial"/>
          <w:sz w:val="24"/>
          <w:color w:val="navy"/>
        </w:rPr>
        <w:t xml:space="preserve">ARTΝCULO 2.3.1.4.7.1. APLAZAMIENTOS.</w:t>
      </w:r>
      <w:bookmarkEnd w:id="61107"/>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En el evento que ya no subsista la causal de aplazamiento, el conscripto deberα definir la situaciσn militar de acuerdo con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w:t>
      </w:r>
    </w:p>
    <w:p>
      <w:pPr>
        <w:jc w:val="both"/>
        <w:keepNext/>
        <w:outlineLvl w:val="1"/>
      </w:pPr>
      <w:rPr>
        <w:sz w:val="24"/>
        <w:b/>
        <w:color w:val="black"/>
      </w:rPr>
    </w:p>
    <w:p>
      <w:pPr>
        <w:jc w:val="center"/>
        <w:keepNext/>
        <w:outlineLvl w:val="1"/>
      </w:pPr>
      <w:r>
        <w:rPr>
          <w:rFonts w:hAnsi="Arial"/>
          <w:rFonts w:ascii="Arial"/>
          <w:sz w:val="24"/>
          <w:b/>
          <w:vanish/>
          <w:color w:val="black"/>
        </w:rPr>
        <w:t>&amp;$</w:t>
      </w:r>
      <w:bookmarkStart w:id="61108" w:name="SECCIÓN 2.3.1.4.8"/>
      <w:r>
        <w:rPr>
          <w:rFonts w:hAnsi="Arial"/>
          <w:rFonts w:ascii="Arial"/>
          <w:sz w:val="24"/>
          <w:color w:val="navy"/>
        </w:rPr>
        <w:t xml:space="preserve">SECCIΣN 8. </w:t>
      </w:r>
    </w:p>
    <w:p>
      <w:pPr>
        <w:jc w:val="center"/>
        <w:keepNext/>
        <w:outlineLvl w:val="1"/>
      </w:pPr>
      <w:r>
        <w:rPr>
          <w:rFonts w:hAnsi="Arial"/>
          <w:rFonts w:ascii="Arial"/>
          <w:sz w:val="24"/>
          <w:color w:val="navy"/>
        </w:rPr>
        <w:t xml:space="preserve">TARJETAS DE RESERVISTA Y PROVISIONAL MILITAR.</w:t>
      </w:r>
      <w:bookmarkEnd w:id="61108"/>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09" w:name="2.3.1.4.8.1"/>
      <w:r>
        <w:rPr>
          <w:rFonts w:hAnsi="Arial"/>
          <w:rFonts w:ascii="Arial"/>
          <w:sz w:val="24"/>
          <w:color w:val="navy"/>
        </w:rPr>
        <w:t xml:space="preserve">ARTΝCULO 2.3.1.4.8.1. EXPEDICIΣN DE TARJETA DE RESERVISTA MILITAR O POLICIAL DE PRIMERA CLASE.</w:t>
      </w:r>
      <w:bookmarkEnd w:id="6110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tarjeta de reservista militar o policial de primera clase de los ciudadanos que presten el servicio militar obligatorio en la Policνa Nacional y el Instituto Nacional Penitenciario y Carcelario (Inpec), serαn expedidas por la Direcciσn de Reclutamiento del Ejιrcito Nacional.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 tarjeta de reservista militar o policial de primera clase serα entregada a quienes prestaron el servicio militar, por parte del comandante de la unidad militar, policial y el director de la escuela penitenciaria nacional y escuelas regionales. </w:t>
      </w:r>
    </w:p>
    <w:p>
      <w:pPr>
        <w:jc w:val="both"/>
        <w:keepNext/>
      </w:pPr>
      <w:rPr>
        <w:color w:val="black"/>
      </w:rPr>
    </w:p>
    <w:p>
      <w:pPr>
        <w:jc w:val="both"/>
        <w:keepNext/>
        <w:outlineLvl w:val="1"/>
      </w:pPr>
      <w:r>
        <w:rPr>
          <w:rFonts w:hAnsi="Arial"/>
          <w:rFonts w:ascii="Arial"/>
          <w:sz w:val="24"/>
          <w:b/>
          <w:vanish/>
          <w:color w:val="black"/>
        </w:rPr>
        <w:t>&amp;$</w:t>
      </w:r>
      <w:bookmarkStart w:id="61110" w:name="2.3.1.4.8.2"/>
      <w:r>
        <w:rPr>
          <w:rFonts w:hAnsi="Arial"/>
          <w:rFonts w:ascii="Arial"/>
          <w:sz w:val="24"/>
          <w:color w:val="navy"/>
        </w:rPr>
        <w:t xml:space="preserve">ARTΝCULO 2.3.1.4.8.2. EXPEDICIΣN DE TARJETA DE RESERVISTA MILITAR DE SEGUNDA CLASE.</w:t>
      </w:r>
      <w:bookmarkEnd w:id="6111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tarjeta militar de reservista de segunda clase serα expedida por la Direcciσn de Reclutamiento del Ejιrcito Nacional, y entregada fνsicamente por el Comandante de Distrito Militar del Ejιrcito Nacional correspondiente. </w:t>
      </w:r>
    </w:p>
    <w:p>
      <w:pPr>
        <w:jc w:val="both"/>
        <w:keepNext/>
        <w:outlineLvl w:val="1"/>
      </w:pPr>
      <w:rPr>
        <w:sz w:val="24"/>
        <w:color w:val="black"/>
      </w:rPr>
    </w:p>
    <w:p>
      <w:pPr>
        <w:jc w:val="both"/>
        <w:keepNext/>
        <w:outlineLvl w:val="1"/>
      </w:pPr>
      <w:r>
        <w:rPr>
          <w:rFonts w:hAnsi="Arial"/>
          <w:rFonts w:ascii="Arial"/>
          <w:sz w:val="24"/>
          <w:color w:val="black"/>
        </w:rPr>
        <w:t xml:space="preserve">Lo anterior hasta tanto sea puesto en funcionamiento, la constancia electrσnica en el portal web destinado para tal fin, de conformidad con lo establecido en el parαgrafo 1 del artνculo </w:t>
      </w:r>
      <w:r>
        <w:fldChar w:fldCharType="begin"/>
      </w:r>
      <w:r>
        <w:instrText>HYPERLINK "http://www.redjurista.com/document.aspx?ajcode=l1861017&amp;arts=40"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1861 de 2017. </w:t>
      </w:r>
    </w:p>
    <w:p>
      <w:pPr>
        <w:jc w:val="both"/>
        <w:keepNext/>
      </w:pPr>
      <w:rPr>
        <w:color w:val="black"/>
      </w:rPr>
    </w:p>
    <w:p>
      <w:pPr>
        <w:jc w:val="both"/>
        <w:keepNext/>
        <w:outlineLvl w:val="1"/>
      </w:pPr>
      <w:r>
        <w:rPr>
          <w:rFonts w:hAnsi="Arial"/>
          <w:rFonts w:ascii="Arial"/>
          <w:sz w:val="24"/>
          <w:b/>
          <w:vanish/>
          <w:color w:val="black"/>
        </w:rPr>
        <w:t>&amp;$</w:t>
      </w:r>
      <w:bookmarkStart w:id="61111" w:name="2.3.1.4.8.3"/>
      <w:r>
        <w:rPr>
          <w:rFonts w:hAnsi="Arial"/>
          <w:rFonts w:ascii="Arial"/>
          <w:sz w:val="24"/>
          <w:color w:val="navy"/>
        </w:rPr>
        <w:t xml:space="preserve">ARTΝCULO 2.3.1.4.8.3. EXPEDICIΣN TARJETA PROVISIONAL MILITAR.</w:t>
      </w:r>
      <w:bookmarkEnd w:id="61111"/>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tarjeta provisional de que trata el artνculo </w:t>
      </w:r>
      <w:r>
        <w:fldChar w:fldCharType="begin"/>
      </w:r>
      <w:r>
        <w:instrText>HYPERLINK "http://www.redjurista.com/document.aspx?ajcode=l1861017&amp;arts=38"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1861 de 2017 serα expedida por la Direcciσn de Reclutamiento del Ejιrcito Nacional, y entregada fνsicamente al ciudadano por el Comandante de Distrito Militar del Ejιrcito correspondiente, previo pago de los costos de elaboraciσn dispuestos en el artνculo </w:t>
      </w:r>
      <w:r>
        <w:fldChar w:fldCharType="begin"/>
      </w:r>
      <w:r>
        <w:instrText>HYPERLINK "http://www.redjurista.com/document.aspx?ajcode=l1184008&amp;arts=9"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1184 de 2008 y hasta tanto sea implementado la constancia electrσnica. </w:t>
      </w:r>
    </w:p>
    <w:p>
      <w:pPr>
        <w:jc w:val="both"/>
        <w:keepNext/>
      </w:pPr>
      <w:rPr>
        <w:color w:val="black"/>
      </w:rPr>
    </w:p>
    <w:p>
      <w:pPr>
        <w:jc w:val="both"/>
        <w:keepNext/>
        <w:outlineLvl w:val="1"/>
      </w:pPr>
      <w:r>
        <w:rPr>
          <w:rFonts w:hAnsi="Arial"/>
          <w:rFonts w:ascii="Arial"/>
          <w:sz w:val="24"/>
          <w:b/>
          <w:vanish/>
          <w:color w:val="black"/>
        </w:rPr>
        <w:t>&amp;$</w:t>
      </w:r>
      <w:bookmarkStart w:id="61112" w:name="2.3.1.4.8.4"/>
      <w:r>
        <w:rPr>
          <w:rFonts w:hAnsi="Arial"/>
          <w:rFonts w:ascii="Arial"/>
          <w:sz w:val="24"/>
          <w:color w:val="navy"/>
        </w:rPr>
        <w:t xml:space="preserve">ARTΝCULO 2.3.1.4.8.4. DUPLICADO.</w:t>
      </w:r>
      <w:bookmarkEnd w:id="6111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En caso de pιrdida, hurto o deterioro de la tarjeta de reservista de primera clase, podrα solicitarse el correspondiente duplicado a la Direcciσn de Reclutamiento y Control Reservas de cada Fuerza, previo pago de los costos de elaboraciσn dispuestos en el artνculo </w:t>
      </w:r>
      <w:r>
        <w:fldChar w:fldCharType="begin"/>
      </w:r>
      <w:r>
        <w:instrText>HYPERLINK "http://www.redjurista.com/document.aspx?ajcode=l1184008&amp;arts=9"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1184 de 2008.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En todo caso el reservista de primera clase podrα acceder a la constancia electrσnica a travιs del portal web destinado para tal fin. </w:t>
      </w:r>
    </w:p>
    <w:p>
      <w:pPr>
        <w:jc w:val="both"/>
        <w:keepNext/>
      </w:pPr>
      <w:rPr>
        <w:color w:val="black"/>
      </w:rPr>
    </w:p>
    <w:p>
      <w:pPr>
        <w:jc w:val="both"/>
        <w:keepNext/>
        <w:outlineLvl w:val="1"/>
      </w:pPr>
      <w:r>
        <w:rPr>
          <w:rFonts w:hAnsi="Arial"/>
          <w:rFonts w:ascii="Arial"/>
          <w:sz w:val="24"/>
          <w:b/>
          <w:vanish/>
          <w:color w:val="black"/>
        </w:rPr>
        <w:t>&amp;$</w:t>
      </w:r>
      <w:bookmarkStart w:id="61113" w:name="2.3.1.4.8.5"/>
      <w:r>
        <w:rPr>
          <w:rFonts w:hAnsi="Arial"/>
          <w:rFonts w:ascii="Arial"/>
          <w:sz w:val="24"/>
          <w:color w:val="navy"/>
        </w:rPr>
        <w:t xml:space="preserve">ARTΝCULO </w:t>
      </w:r>
      <w:r>
        <w:rPr>
          <w:rFonts w:hAnsi="Arial"/>
          <w:rFonts w:ascii="Arial"/>
          <w:sz w:val="24"/>
          <w:u w:val="double"/>
          <w:color w:val="navy"/>
        </w:rPr>
        <w:t>2.3</w:t>
      </w:r>
      <w:r>
        <w:rPr>
          <w:rFonts w:hAnsi="Arial"/>
          <w:rFonts w:ascii="Arial"/>
          <w:sz w:val="24"/>
          <w:u w:val="none"/>
          <w:color w:val="navy"/>
        </w:rPr>
        <w:t xml:space="preserve">.1.4.8.5. ENTREGA DE TARJETA DE RESERVISTA A TERCEROS.</w:t>
      </w:r>
      <w:bookmarkEnd w:id="61113"/>
      <w:r>
        <w:rPr>
          <w:rFonts w:hAnsi="Arial"/>
          <w:rFonts w:ascii="Arial"/>
          <w:sz w:val="24"/>
          <w:b/>
          <w:u w:val="none"/>
          <w:color w:val="black"/>
        </w:rPr>
        <w:t xml:space="preserve"> </w:t>
      </w:r>
      <w:r>
        <w:rPr>
          <w:rFonts w:hAnsi="Arial"/>
          <w:rFonts w:ascii="Arial"/>
          <w:sz w:val="24"/>
          <w:u w:val="none"/>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tarjetas de reservista de primera, segunda clase y provisional militar, serαn entregadas a los interesados personalmente o a travιs de poder debidamente otorgado, previo pago de los costos de elaboraciσn dispuestos en el artνculo </w:t>
      </w:r>
      <w:r>
        <w:fldChar w:fldCharType="begin"/>
      </w:r>
      <w:r>
        <w:instrText>HYPERLINK "http://www.redjurista.com/document.aspx?ajcode=l1184008&amp;arts=9"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1184 de 2008 y hasta tanto sea implementado la constancia electrσnica. </w:t>
      </w:r>
    </w:p>
    <w:p>
      <w:pPr>
        <w:jc w:val="both"/>
        <w:keepNext/>
      </w:pPr>
      <w:rPr>
        <w:color w:val="black"/>
      </w:rPr>
    </w:p>
    <w:p>
      <w:pPr>
        <w:jc w:val="both"/>
        <w:keepNext/>
        <w:outlineLvl w:val="1"/>
      </w:pPr>
      <w:r>
        <w:rPr>
          <w:rFonts w:hAnsi="Arial"/>
          <w:rFonts w:ascii="Arial"/>
          <w:sz w:val="24"/>
          <w:b/>
          <w:vanish/>
          <w:color w:val="black"/>
        </w:rPr>
        <w:t>&amp;$</w:t>
      </w:r>
      <w:bookmarkStart w:id="61114" w:name="2.3.1.4.8.6"/>
      <w:r>
        <w:rPr>
          <w:rFonts w:hAnsi="Arial"/>
          <w:rFonts w:ascii="Arial"/>
          <w:sz w:val="24"/>
          <w:color w:val="navy"/>
        </w:rPr>
        <w:t xml:space="preserve">ARTΝCULO 2.3.1.4.8.6. CERTIFICADO DIGITAL.</w:t>
      </w:r>
      <w:bookmarkEnd w:id="61114"/>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Se entenderα por certificado digital la constancia que de manera electrσnica emite la Direcciσn de Reclutamiento del Ejιrcito a travιs del portal web dispuesto para tal fin, el cual serα gratuito. </w:t>
      </w:r>
    </w:p>
    <w:p>
      <w:pPr>
        <w:jc w:val="both"/>
        <w:keepNext/>
      </w:pPr>
      <w:rPr>
        <w:color w:val="black"/>
      </w:rPr>
    </w:p>
    <w:p>
      <w:pPr>
        <w:jc w:val="both"/>
        <w:keepNext/>
        <w:outlineLvl w:val="1"/>
      </w:pPr>
      <w:r>
        <w:rPr>
          <w:rFonts w:hAnsi="Arial"/>
          <w:rFonts w:ascii="Arial"/>
          <w:sz w:val="24"/>
          <w:b/>
          <w:vanish/>
          <w:color w:val="black"/>
        </w:rPr>
        <w:t>&amp;$</w:t>
      </w:r>
      <w:bookmarkStart w:id="61115" w:name="2.3.1.4.8.7"/>
      <w:r>
        <w:rPr>
          <w:rFonts w:hAnsi="Arial"/>
          <w:rFonts w:ascii="Arial"/>
          <w:sz w:val="24"/>
          <w:color w:val="navy"/>
        </w:rPr>
        <w:t xml:space="preserve">ARTΝCULO 2.3.1.4.8.7. EXPEDICIΣN DE TARJETA MILITAR A LOS ALUMNOS DE ESCUELAS DE FORMACIΣN.</w:t>
      </w:r>
      <w:bookmarkEnd w:id="6111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del literal b) del artνculo </w:t>
      </w:r>
      <w:r>
        <w:fldChar w:fldCharType="begin"/>
      </w:r>
      <w:r>
        <w:instrText>HYPERLINK "http://www.redjurista.com/document.aspx?ajcode=l1861017&amp;arts=53"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1861 de 2017 las escuelas de formaciσn de Oficiales y Suboficiales de las Fuerzas Militares y escuelas de formaciσn de Oficiales y Nivel Ejecutivo de la Policνa Nacional, acreditarαn el aρo lectivo. </w:t>
      </w:r>
    </w:p>
    <w:p>
      <w:pPr>
        <w:jc w:val="both"/>
        <w:keepNext/>
        <w:outlineLvl w:val="1"/>
      </w:pPr>
      <w:rPr>
        <w:sz w:val="24"/>
        <w:color w:val="black"/>
      </w:rPr>
    </w:p>
    <w:p>
      <w:pPr>
        <w:jc w:val="both"/>
        <w:keepNext/>
        <w:outlineLvl w:val="1"/>
      </w:pPr>
      <w:r>
        <w:rPr>
          <w:rFonts w:hAnsi="Arial"/>
          <w:rFonts w:ascii="Arial"/>
          <w:sz w:val="24"/>
          <w:color w:val="black"/>
        </w:rPr>
        <w:t xml:space="preserve">La tarjeta de reservista se expedirα asν: </w:t>
      </w:r>
    </w:p>
    <w:p>
      <w:pPr>
        <w:jc w:val="both"/>
        <w:keepNext/>
        <w:outlineLvl w:val="1"/>
      </w:pPr>
      <w:rPr>
        <w:sz w:val="24"/>
        <w:color w:val="black"/>
      </w:rPr>
    </w:p>
    <w:p>
      <w:pPr>
        <w:jc w:val="both"/>
        <w:keepNext/>
        <w:outlineLvl w:val="1"/>
      </w:pPr>
      <w:r>
        <w:rPr>
          <w:rFonts w:hAnsi="Arial"/>
          <w:rFonts w:ascii="Arial"/>
          <w:sz w:val="24"/>
          <w:color w:val="black"/>
        </w:rPr>
        <w:t xml:space="preserve">1. En el primer grado de escalafσn de oficiales en las Fuerzas Militares y la Policνa Nacional a quien haya aprobado como mνnimo el 50% de la formaciσn militar o policial en cada una de las escuelas de formaciσn, siempre y cuando el tiempo de formaciσn supere el aρo lectivo. </w:t>
      </w:r>
    </w:p>
    <w:p>
      <w:pPr>
        <w:jc w:val="both"/>
        <w:keepNext/>
        <w:outlineLvl w:val="1"/>
      </w:pPr>
      <w:rPr>
        <w:sz w:val="24"/>
        <w:color w:val="black"/>
      </w:rPr>
    </w:p>
    <w:p>
      <w:pPr>
        <w:jc w:val="both"/>
        <w:keepNext/>
        <w:outlineLvl w:val="1"/>
      </w:pPr>
      <w:r>
        <w:rPr>
          <w:rFonts w:hAnsi="Arial"/>
          <w:rFonts w:ascii="Arial"/>
          <w:sz w:val="24"/>
          <w:color w:val="black"/>
        </w:rPr>
        <w:t xml:space="preserve">2. En el primer grado de escalafσn de suboficiales en las Fuerzas Militares y nivel ejecutivo en la Policνa Nacional a quien haya aprobado como mνnimo el 50% de la formaciσn militar o policial en cada una de las escuelas de formaciσn, siempre y cuando el tiempo de formaciσn supere el aρo lectivo.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Quien no complete el 50% de la formaciσn militar o policial en cada una de las escuelas de formaciσn, obtendrα la tarjeta de reservista de primera clase siempre y cuando el tiempo de formaciσn supere el aρo lectivo.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Quien no complete el 50% de la formaciσn militar o policial en cada una de las escuelas y no supere el aρo lectivo, obtendrα tarjeta militar de segunda clase, previo pago de la cuota de compensaciσn militar correspondiente. </w:t>
      </w:r>
    </w:p>
    <w:p>
      <w:pPr>
        <w:jc w:val="both"/>
        <w:keepNext/>
      </w:pPr>
      <w:rPr>
        <w:color w:val="black"/>
      </w:rPr>
    </w:p>
    <w:p>
      <w:pPr>
        <w:jc w:val="both"/>
        <w:keepNext/>
        <w:outlineLvl w:val="1"/>
      </w:pPr>
      <w:r>
        <w:rPr>
          <w:rFonts w:hAnsi="Arial"/>
          <w:rFonts w:ascii="Arial"/>
          <w:sz w:val="24"/>
          <w:b/>
          <w:vanish/>
          <w:color w:val="black"/>
        </w:rPr>
        <w:t>&amp;$</w:t>
      </w:r>
      <w:bookmarkStart w:id="61116" w:name="2.3.1.4.8.8"/>
      <w:r>
        <w:rPr>
          <w:rFonts w:hAnsi="Arial"/>
          <w:rFonts w:ascii="Arial"/>
          <w:sz w:val="24"/>
          <w:color w:val="navy"/>
        </w:rPr>
        <w:t xml:space="preserve">ARTΝCULO 2.3.1.4.8.8. EXPEDICIΣN TARJETA DE RESERVISTA A ESTUDIANTES DE COLEGIOS MILITARES O POLICIALES.</w:t>
      </w:r>
      <w:bookmarkEnd w:id="6111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del literal d) del artνculo </w:t>
      </w:r>
      <w:r>
        <w:fldChar w:fldCharType="begin"/>
      </w:r>
      <w:r>
        <w:instrText>HYPERLINK "http://www.redjurista.com/document.aspx?ajcode=l1861017&amp;arts=53"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1861 de 2017, se les expedirα la tarjeta de reservista de primera clase a los estudiantes de colegios militares o policiales debidamente autorizados que hayan recibido y aprobado las tres fases de instrucciσn con orientaciσn militar o policial y aprobado el aρo escolar; quienes pagarαn la cuota de compensaciσn militar dispuesta en el parαgrafo 3o del artνculo </w:t>
      </w:r>
      <w:r>
        <w:fldChar w:fldCharType="begin"/>
      </w:r>
      <w:r>
        <w:instrText>HYPERLINK "http://www.redjurista.com/document.aspx?ajcode=l1184008&amp;arts=2"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1184 de 2008, sin que esta sea inferior a la cuota de compensaciσn militar mνnima establecida en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w:t>
      </w:r>
    </w:p>
    <w:p>
      <w:pPr>
        <w:jc w:val="both"/>
        <w:keepNext/>
      </w:pPr>
      <w:rPr>
        <w:sz w:val="24"/>
        <w:color w:val="black"/>
      </w:rPr>
    </w:p>
    <w:p>
      <w:pPr>
        <w:jc w:val="center"/>
        <w:keepNext/>
        <w:outlineLvl w:val="1"/>
      </w:pPr>
      <w:r>
        <w:rPr>
          <w:rFonts w:hAnsi="Arial"/>
          <w:rFonts w:ascii="Arial"/>
          <w:sz w:val="24"/>
          <w:b/>
          <w:vanish/>
          <w:color w:val="black"/>
        </w:rPr>
        <w:t>&amp;$</w:t>
      </w:r>
      <w:bookmarkStart w:id="61117" w:name="SECCIÓN 2.3.1.4.9"/>
      <w:r>
        <w:rPr>
          <w:rFonts w:hAnsi="Arial"/>
          <w:rFonts w:ascii="Arial"/>
          <w:sz w:val="24"/>
          <w:color w:val="navy"/>
        </w:rPr>
        <w:t xml:space="preserve">SECCIΣN 9. </w:t>
      </w:r>
    </w:p>
    <w:p>
      <w:pPr>
        <w:jc w:val="center"/>
        <w:keepNext/>
        <w:outlineLvl w:val="1"/>
      </w:pPr>
      <w:r>
        <w:rPr>
          <w:rFonts w:hAnsi="Arial"/>
          <w:rFonts w:ascii="Arial"/>
          <w:sz w:val="24"/>
          <w:color w:val="navy"/>
        </w:rPr>
        <w:t xml:space="preserve">SITUACIΣN MILITAR PARA EL TRABAJO.</w:t>
      </w:r>
      <w:bookmarkEnd w:id="61117"/>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18" w:name="2.3.1.4.9.1"/>
      <w:r>
        <w:rPr>
          <w:rFonts w:hAnsi="Arial"/>
          <w:rFonts w:ascii="Arial"/>
          <w:sz w:val="24"/>
          <w:color w:val="navy"/>
        </w:rPr>
        <w:t xml:space="preserve">ARTΝCULO 2.3.1.4.9.1. SITUACIΣN MILITAR PARA EL TRABAJO.</w:t>
      </w:r>
      <w:bookmarkEnd w:id="6111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Toda empresa nacional o extranjera, oficial o particular, establecida o que en lo sucesivo se establezca en Colombia, podrα disponer de vinculaciσn laboral o contractual, contrataciσn por prestaciσn de servicios o de cualquier otra νndole que existiere, con personas que hayan sido declaradas no aptas, exentas de prestar el servicio militar obligatorio o que hayan superado la edad mαxima de incorporaciσn. </w:t>
      </w:r>
    </w:p>
    <w:p>
      <w:pPr>
        <w:jc w:val="both"/>
        <w:keepNext/>
        <w:outlineLvl w:val="1"/>
      </w:pPr>
      <w:rPr>
        <w:sz w:val="24"/>
        <w:color w:val="black"/>
      </w:rPr>
    </w:p>
    <w:p>
      <w:pPr>
        <w:jc w:val="both"/>
        <w:keepNext/>
        <w:outlineLvl w:val="1"/>
      </w:pPr>
      <w:r>
        <w:rPr>
          <w:rFonts w:hAnsi="Arial"/>
          <w:rFonts w:ascii="Arial"/>
          <w:sz w:val="24"/>
          <w:color w:val="black"/>
        </w:rPr>
        <w:t xml:space="preserve">Las entidades pϊblicas o privadas no podrαn exigir al ciudadano la presentaciσn de la tarjeta militar para la vinculaciσn laboral o contractual, correspondiιndole al empleador la verificaciσn de la situaciσn militar del aspirante mediante la constancia electrσnica que disponga la autoridad militar competente. </w:t>
      </w:r>
    </w:p>
    <w:p>
      <w:pPr>
        <w:jc w:val="both"/>
        <w:keepNext/>
        <w:outlineLvl w:val="1"/>
      </w:pPr>
      <w:rPr>
        <w:sz w:val="24"/>
        <w:color w:val="black"/>
      </w:rPr>
    </w:p>
    <w:p>
      <w:pPr>
        <w:jc w:val="both"/>
        <w:keepNext/>
        <w:outlineLvl w:val="1"/>
      </w:pPr>
      <w:r>
        <w:rPr>
          <w:rFonts w:hAnsi="Arial"/>
          <w:rFonts w:ascii="Arial"/>
          <w:sz w:val="24"/>
          <w:color w:val="black"/>
        </w:rPr>
        <w:t xml:space="preserve">Dichos ciudadanos podrαn acceder a su empleo sin haber resuelto su situaciσn militar y contarαn con un plazo de dieciocho (18) meses para definirla. </w:t>
      </w:r>
    </w:p>
    <w:p>
      <w:pPr>
        <w:jc w:val="both"/>
      </w:pPr>
      <w:rPr>
        <w:color w:val="black"/>
      </w:rPr>
    </w:p>
    <w:p>
      <w:pPr>
        <w:jc w:val="both"/>
      </w:pPr>
      <w:r>
        <w:rPr>
          <w:rFonts w:hAnsi="Arial"/>
          <w:rFonts w:ascii="Arial"/>
          <w:sz w:val="24"/>
          <w:b/>
          <w:vanish/>
          <w:color w:val="black"/>
        </w:rPr>
        <w:t>&amp;$</w:t>
      </w:r>
      <w:bookmarkStart w:id="61119" w:name="2.3.1.4.9.2"/>
      <w:r>
        <w:rPr>
          <w:rFonts w:hAnsi="Arial"/>
          <w:rFonts w:ascii="Arial"/>
          <w:sz w:val="24"/>
          <w:color w:val="navy"/>
        </w:rPr>
        <w:t xml:space="preserve">ARTΝCULO 2.3.1.4.9.2. PLAZO PARA DEFINIR LA SITUACIΣN MILITAR.</w:t>
      </w:r>
      <w:bookmarkEnd w:id="6111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ciudadano que se vincule laboral o contractualmente a una empresa nacional o extranjera, oficial o particular, que no haya definido su situaciσn militar y que se encuentre clasificado en los tιrminos de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o demαs normas </w:t>
        <w:tab/>
        <w:t/>
        <w:tab/>
        <w:t>que la modifiquen, aclaren o adicionen, como no apto, exento o si ha superado la edad mαxima de incorporaciσn, obtendrα automαticamente los beneficios establecidos en el artνculo </w:t>
      </w:r>
      <w:r>
        <w:fldChar w:fldCharType="begin"/>
      </w:r>
      <w:r>
        <w:instrText>HYPERLINK "http://www.redjurista.com/document.aspx?ajcode=l1861017&amp;arts=42"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1861 de 2017, en particular un plazo de dieciocho (18) meses para definir su situaciσn militar desde el momento en que se vinculσ laboral o contractualmente. </w:t>
      </w:r>
    </w:p>
    <w:p>
      <w:pPr>
        <w:jc w:val="both"/>
        <w:outlineLvl w:val="1"/>
      </w:pPr>
      <w:rPr>
        <w:sz w:val="24"/>
        <w:color w:val="black"/>
      </w:rPr>
    </w:p>
    <w:p>
      <w:pPr>
        <w:jc w:val="both"/>
        <w:outlineLvl w:val="1"/>
      </w:pPr>
      <w:r>
        <w:rPr>
          <w:rFonts w:hAnsi="Arial"/>
          <w:rFonts w:ascii="Arial"/>
          <w:sz w:val="24"/>
          <w:color w:val="black"/>
        </w:rPr>
        <w:t xml:space="preserve">&lt;Ver Notas del Editor&gt; Las personas declaradas no aptas, exentas o que hayan superado la edad mαxima de incorporaciσn a filas, que tengan una vinculaciσn laboral vigente y no hayan definido su situaciσn militar, tendrαn un plazo para normalizar su situaciσn de dieciocho (18) meses contados a partir de la vigencia de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w:t>
      </w:r>
    </w:p>
    <w:p>
      <w:pPr>
        <w:jc w:val="both"/>
      </w:pPr>
      <w:rPr>
        <w:b/>
        <w:color w:val="black"/>
      </w:rPr>
    </w:p>
    <w:p>
      <w:pPr>
        <w:jc w:val="both"/>
      </w:pPr>
      <w:r>
        <w:rPr>
          <w:rFonts w:hAnsi="Arial"/>
          <w:rFonts w:ascii="Arial"/>
          <w:sz w:val="24"/>
          <w:color w:val="black"/>
        </w:rPr>
        <w:t xml:space="preserve">El plazo del beneficio inicia de acuerdo a la informaciσn suministrada por los Aportes en la Plantilla Integrada de Liquidaciσn de Aportes (PILA):</w:t>
      </w:r>
    </w:p>
    <w:p>
      <w:pPr>
        <w:jc w:val="both"/>
      </w:pPr>
      <w:rPr>
        <w:sz w:val="24"/>
        <w:color w:val="black"/>
      </w:rPr>
    </w:p>
    <w:p>
      <w:pPr>
        <w:jc w:val="both"/>
        <w:outlineLvl w:val="1"/>
      </w:pPr>
      <w:r>
        <w:rPr>
          <w:rFonts w:hAnsi="Arial"/>
          <w:rFonts w:ascii="Arial"/>
          <w:sz w:val="24"/>
          <w:color w:val="black"/>
        </w:rPr>
        <w:t xml:space="preserve">1. A partir de la fecha de expediciσn del presente decreto siempre y cuando se haya vinculado laboral o contractualmente entre la entrada en vigencia la Ley </w:t>
      </w:r>
      <w:r>
        <w:fldChar w:fldCharType="begin"/>
      </w:r>
      <w:r>
        <w:instrText>HYPERLINK "http://www.redjurista.com/document.aspx?ajcode=l1861017&amp;arts=INICIO"</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y la entrada en vigencia del presente decreto o; </w:t>
      </w:r>
    </w:p>
    <w:p>
      <w:pPr>
        <w:jc w:val="both"/>
        <w:outlineLvl w:val="1"/>
      </w:pPr>
      <w:rPr>
        <w:sz w:val="24"/>
        <w:color w:val="black"/>
      </w:rPr>
    </w:p>
    <w:p>
      <w:pPr>
        <w:jc w:val="both"/>
        <w:outlineLvl w:val="1"/>
      </w:pPr>
      <w:r>
        <w:rPr>
          <w:rFonts w:hAnsi="Arial"/>
          <w:rFonts w:ascii="Arial"/>
          <w:sz w:val="24"/>
          <w:color w:val="black"/>
        </w:rPr>
        <w:t xml:space="preserve">2. En la fecha de suscripciσn del primer contrato a partir de la entrada en vigencia del presente decreto. </w:t>
      </w:r>
    </w:p>
    <w:p>
      <w:pPr>
        <w:jc w:val="both"/>
        <w:outlineLvl w:val="1"/>
      </w:pPr>
      <w:rPr>
        <w:sz w:val="24"/>
        <w:color w:val="black"/>
      </w:rPr>
    </w:p>
    <w:p>
      <w:pPr>
        <w:jc w:val="both"/>
        <w:outlineLvl w:val="1"/>
      </w:pPr>
      <w:r>
        <w:rPr>
          <w:rFonts w:hAnsi="Arial"/>
          <w:rFonts w:ascii="Arial"/>
          <w:sz w:val="24"/>
          <w:color w:val="black"/>
        </w:rPr>
        <w:t xml:space="preserve">Los Ministerios de Defensa Nacional, Salud y Protecciσn Social y Trabajo deberαn adoptar las medidas administrativas necesarias para el respectivo cruce de informaciσn, para que el Comando de Reclutamiento y Control Reservas del Ejιrcito pueda consultar o tener acceso a las bases de datos de la Planilla Integrada de Liquidaciσn de Aportes (PILA), para verificar si los ciudadanos que deben definir su situaciσn militar son beneficiarios del presente decreto y se encuentran afiliados a seguridad social y vinculados laboral o contractualmente a una empresa nacional o extranjera, oficial o particular. </w:t>
      </w:r>
    </w:p>
    <w:p>
      <w:pPr>
        <w:jc w:val="both"/>
        <w:outlineLvl w:val="1"/>
      </w:pPr>
      <w:rPr>
        <w:sz w:val="24"/>
        <w:color w:val="black"/>
      </w:rPr>
    </w:p>
    <w:p>
      <w:pPr>
        <w:jc w:val="both"/>
        <w:outlineLvl w:val="1"/>
      </w:pPr>
      <w:r>
        <w:rPr>
          <w:rFonts w:hAnsi="Arial"/>
          <w:rFonts w:ascii="Arial"/>
          <w:sz w:val="24"/>
          <w:color w:val="black"/>
        </w:rPr>
        <w:t xml:space="preserve">El ciudadano beneficiario tambiιn podrα participar en las Jornadas Especiales que adelante el Ministerio de Defensa Nacional a travιs del Comando de Reclutamiento y Control Reservas del Ejιrcito Nacional, en el lapso de tiempo que tiene para normalizar su situaciσn militar. </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El ciudadano que al momento de obtener el beneficio del plazo de los dieciocho (18) meses para definir su situaciσn militar, cuente con recibos de pago de cuota de compensaciσn militar, multas o derechos de elaboraciσn de la tarjeta militar vencidos, deberα acercarse al distrito militar que los expidiσ con el propσsito de que le sean generados nuevamente por los valores dejados de cancelar, para que sean pagados conforme a lo dispuesto en el artνculo </w:t>
      </w:r>
      <w:r>
        <w:fldChar w:fldCharType="begin"/>
      </w:r>
      <w:r>
        <w:instrText>HYPERLINK "http://www.redjurista.com/document.aspx?ajcode=l1861017&amp;arts=28"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1861 de 2017. </w:t>
      </w:r>
    </w:p>
    <w:p>
      <w:pPr>
        <w:jc w:val="both"/>
        <w:outlineLvl w:val="1"/>
      </w:pPr>
      <w:rPr>
        <w:sz w:val="24"/>
        <w:color w:val="black"/>
      </w:rPr>
    </w:p>
    <w:p>
      <w:pPr>
        <w:jc w:val="both"/>
        <w:outlineLvl w:val="1"/>
      </w:pPr>
      <w:r>
        <w:rPr>
          <w:rFonts w:hAnsi="Arial"/>
          <w:rFonts w:ascii="Arial"/>
          <w:sz w:val="24"/>
          <w:color w:val="black"/>
        </w:rPr>
        <w:t xml:space="preserve">El distrito militar deberα tener acceso a las bases de datos de la Planilla Integrada de Liquidaciσn de Aportes (PILA) del Ministerio de Salud y Protecciσn Social, para verificar si los ciudadanos son beneficiarios del presente artνculo por encontrarse afiliados a seguridad social y vinculados laboral o contractualmente a una empresa nacional o extranjera, oficial o particular y que puedan obtener los beneficios de las Jornadas Especiales de que trata el artνculo </w:t>
      </w:r>
      <w:r>
        <w:fldChar w:fldCharType="begin"/>
      </w:r>
      <w:r>
        <w:instrText>HYPERLINK "http://www.redjurista.com/document.aspx?ajcode=l1861017&amp;arts=73"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1861 de 2017. </w:t>
      </w:r>
    </w:p>
    <w:p>
      <w:pPr>
        <w:jc w:val="both"/>
      </w:pPr>
      <w:rPr>
        <w:color w:val="black"/>
      </w:rPr>
    </w:p>
    <w:p>
      <w:pPr>
        <w:jc w:val="both"/>
        <w:outlineLvl w:val="1"/>
      </w:pPr>
      <w:r>
        <w:rPr>
          <w:rFonts w:hAnsi="Arial"/>
          <w:rFonts w:ascii="Arial"/>
          <w:sz w:val="24"/>
          <w:b/>
          <w:vanish/>
          <w:color w:val="black"/>
        </w:rPr>
        <w:t>&amp;$</w:t>
      </w:r>
      <w:bookmarkStart w:id="61120" w:name="2.3.1.4.9.3"/>
      <w:r>
        <w:rPr>
          <w:rFonts w:hAnsi="Arial"/>
          <w:rFonts w:ascii="Arial"/>
          <w:sz w:val="24"/>
          <w:color w:val="navy"/>
        </w:rPr>
        <w:t xml:space="preserve">ARTΝCULO 2.3.1.4.9.3. CONSULTA DEL ESTADO DE DEFINICIΣN DE LA SITUACIΣN MILITAR.</w:t>
      </w:r>
      <w:bookmarkEnd w:id="61120"/>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empleador deberα consultar el estado de definiciσn de la situaciσn militar con fines de vinculaciσn laboral del ciudadano a travιs del portal web dispuesto por el Ministerio de Defensa Nacional - Comando de Reclutamiento y Control Reservas del Ejιrcito Nacional, para verificar si su condiciσn corresponde a no apto, exento o si ha superado la edad mαxima de incorporaciσn. </w:t>
      </w:r>
    </w:p>
    <w:p>
      <w:pPr>
        <w:jc w:val="both"/>
        <w:outlineLvl w:val="1"/>
      </w:pPr>
      <w:rPr>
        <w:sz w:val="24"/>
        <w:color w:val="black"/>
      </w:rPr>
    </w:p>
    <w:p>
      <w:pPr>
        <w:jc w:val="both"/>
        <w:outlineLvl w:val="1"/>
      </w:pPr>
      <w:r>
        <w:rPr>
          <w:rFonts w:hAnsi="Arial"/>
          <w:rFonts w:ascii="Arial"/>
          <w:sz w:val="24"/>
          <w:color w:val="black"/>
        </w:rPr>
        <w:t xml:space="preserve">El ciudadano que figure como no apto, exento o que supere la edad mαxima de incorporaciσn aparecerα en el Sistema de Informaciσn de Reclutamiento como en: “liquidaciσn”. </w:t>
      </w:r>
    </w:p>
    <w:p>
      <w:pPr>
        <w:jc w:val="both"/>
      </w:pPr>
      <w:rPr>
        <w:color w:val="black"/>
      </w:rPr>
    </w:p>
    <w:p>
      <w:pPr>
        <w:jc w:val="both"/>
      </w:pPr>
      <w:r>
        <w:rPr>
          <w:rFonts w:hAnsi="Arial"/>
          <w:rFonts w:ascii="Arial"/>
          <w:sz w:val="24"/>
          <w:color w:val="black"/>
        </w:rPr>
        <w:t xml:space="preserve">Si el ciudadano al momento de la consulta no se encuentra inscrito o su estado es “citado a primer examen”, “citado a concentraciσn” o “remiso”, no podrα acceder a los beneficios que contempla el artνculo </w:t>
      </w:r>
      <w:r>
        <w:fldChar w:fldCharType="begin"/>
      </w:r>
      <w:r>
        <w:instrText>HYPERLINK "http://www.redjurista.com/document.aspx?ajcode=l1861017&amp;arts=42"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1861 de 2017, salvo que dι inicio al proceso de definiciσn del estado de la situaciσn militar y sea clasificado en el sistema como no apto, exento o que ha superado la edad mαxima de incorporaciσn. Adicionalmente deberα cumplir con los demαs requisitos que establece el presente decreto. </w:t>
      </w:r>
    </w:p>
    <w:p>
      <w:pPr>
        <w:jc w:val="both"/>
        <w:outlineLvl w:val="1"/>
      </w:pPr>
      <w:rPr>
        <w:sz w:val="24"/>
        <w:color w:val="black"/>
      </w:rPr>
    </w:p>
    <w:p>
      <w:pPr>
        <w:jc w:val="both"/>
        <w:outlineLvl w:val="1"/>
      </w:pPr>
      <w:r>
        <w:rPr>
          <w:rFonts w:hAnsi="Arial"/>
          <w:rFonts w:ascii="Arial"/>
          <w:sz w:val="24"/>
          <w:color w:val="black"/>
        </w:rPr>
        <w:t xml:space="preserve">El ciudadano que se encuentre apto para la prestaciσn del servicio, no podrα acceder a los beneficios del artνculo </w:t>
      </w:r>
      <w:r>
        <w:fldChar w:fldCharType="begin"/>
      </w:r>
      <w:r>
        <w:instrText>HYPERLINK "http://www.redjurista.com/document.aspx?ajcode=l1861017&amp;arts=42"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1861 de 2017, en su lugar deberα cumplir con la obligaciσn constitucional de prestar el servicio militar. </w:t>
      </w:r>
    </w:p>
    <w:p>
      <w:pPr>
        <w:jc w:val="both"/>
      </w:pPr>
      <w:rPr>
        <w:color w:val="black"/>
      </w:rPr>
    </w:p>
    <w:p>
      <w:pPr>
        <w:jc w:val="both"/>
        <w:outlineLvl w:val="1"/>
      </w:pPr>
      <w:r>
        <w:rPr>
          <w:rFonts w:hAnsi="Arial"/>
          <w:rFonts w:ascii="Arial"/>
          <w:sz w:val="24"/>
          <w:b/>
          <w:vanish/>
          <w:color w:val="black"/>
        </w:rPr>
        <w:t>&amp;$</w:t>
      </w:r>
      <w:bookmarkStart w:id="61121" w:name="2.3.1.4.9.4"/>
      <w:r>
        <w:rPr>
          <w:rFonts w:hAnsi="Arial"/>
          <w:rFonts w:ascii="Arial"/>
          <w:sz w:val="24"/>
          <w:color w:val="navy"/>
        </w:rPr>
        <w:t xml:space="preserve">ARTΝCULO 2.3.1.4.9.4. CIUDADANO REMISO.</w:t>
      </w:r>
      <w:bookmarkEnd w:id="61121"/>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ciudadano con infracciσn de remiso dispuesta en el artνculo </w:t>
      </w:r>
      <w:r>
        <w:fldChar w:fldCharType="begin"/>
      </w:r>
      <w:r>
        <w:instrText>HYPERLINK "http://www.redjurista.com/document.aspx?ajcode=l1861017&amp;arts=46"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literal c) de la Ley 1861 de 2017, o las normas que la modifiquen, aclaren o adicionen, deberα asistir a la junta para remisos y de ser declarado no apto, exento o de haber superado la edad mαxima de incorporaciσn podrα acceder a los beneficios del artνculo </w:t>
      </w:r>
      <w:r>
        <w:fldChar w:fldCharType="begin"/>
      </w:r>
      <w:r>
        <w:instrText>HYPERLINK "http://www.redjurista.com/document.aspx?ajcode=l1861017&amp;arts=42"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1861 de 2017. </w:t>
      </w:r>
    </w:p>
    <w:p>
      <w:pPr>
        <w:jc w:val="both"/>
      </w:pPr>
      <w:rPr>
        <w:color w:val="black"/>
      </w:rPr>
    </w:p>
    <w:p>
      <w:pPr>
        <w:jc w:val="both"/>
      </w:pPr>
      <w:r>
        <w:rPr>
          <w:rFonts w:hAnsi="Arial"/>
          <w:rFonts w:ascii="Arial"/>
          <w:sz w:val="24"/>
          <w:b/>
          <w:vanish/>
          <w:color w:val="black"/>
        </w:rPr>
        <w:t>&amp;$</w:t>
      </w:r>
      <w:bookmarkStart w:id="61122" w:name="2.3.1.4.9.5"/>
      <w:r>
        <w:rPr>
          <w:rFonts w:hAnsi="Arial"/>
          <w:rFonts w:ascii="Arial"/>
          <w:sz w:val="24"/>
          <w:color w:val="navy"/>
        </w:rPr>
        <w:t xml:space="preserve">ARTΝCULO 2.3.1.4.9.5. DEMORAS INJUSTIFICADAS.</w:t>
      </w:r>
      <w:bookmarkEnd w:id="61122"/>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del presente decreto se entiende por demoras no imputables al trabajador, cualquier dilaciσn o retraso por parte del Comando de Reclutamiento y Control Reservas del Ejιrcito Nacional, que se pueda presentar durante el beneficio de los dieciocho (18) meses para normalizar la situaciσn militar. </w:t>
      </w:r>
    </w:p>
    <w:p>
      <w:pPr>
        <w:jc w:val="both"/>
      </w:pPr>
      <w:rPr>
        <w:color w:val="black"/>
      </w:rPr>
    </w:p>
    <w:p>
      <w:pPr>
        <w:jc w:val="center"/>
        <w:outlineLvl w:val="1"/>
      </w:pPr>
      <w:r>
        <w:rPr>
          <w:rFonts w:hAnsi="Arial"/>
          <w:rFonts w:ascii="Arial"/>
          <w:sz w:val="24"/>
          <w:b/>
          <w:vanish/>
          <w:color w:val="black"/>
        </w:rPr>
        <w:t>&amp;$</w:t>
      </w:r>
      <w:bookmarkStart w:id="61123" w:name="SECCIÓN 2.3.1.4.10"/>
      <w:r>
        <w:rPr>
          <w:rFonts w:hAnsi="Arial"/>
          <w:rFonts w:ascii="Arial"/>
          <w:sz w:val="24"/>
          <w:color w:val="navy"/>
        </w:rPr>
        <w:t xml:space="preserve">SECCIΣN 10. </w:t>
      </w:r>
    </w:p>
    <w:p>
      <w:pPr>
        <w:jc w:val="center"/>
        <w:outlineLvl w:val="1"/>
      </w:pPr>
      <w:r>
        <w:rPr>
          <w:rFonts w:hAnsi="Arial"/>
          <w:rFonts w:ascii="Arial"/>
          <w:sz w:val="24"/>
          <w:color w:val="navy"/>
        </w:rPr>
        <w:t xml:space="preserve">DERECHOS, PRERROGATIVAS Y ESTΝMULOS.</w:t>
      </w:r>
      <w:bookmarkEnd w:id="6112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1124" w:name="2.3.1.4.10.1"/>
      <w:r>
        <w:rPr>
          <w:rFonts w:hAnsi="Arial"/>
          <w:rFonts w:ascii="Arial"/>
          <w:sz w:val="24"/>
          <w:color w:val="navy"/>
        </w:rPr>
        <w:t xml:space="preserve">ARTΝCULO 2.3.1.4.10.1. DERECHOS AL SER INCORPORADO.</w:t>
      </w:r>
      <w:bookmarkEnd w:id="61124"/>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traslado del ciudadano incorporado desde el lugar de concentraciσn al lugar de incorporaciσn, la provisiσn de alimentaciσn y alojamiento, asν como el regreso a su domicilio estarα a cargo de cada una de las Fuerzas, la Policνa Nacional y el Instituto Nacional Penitenciario y Carcelario (Inpec). </w:t>
      </w:r>
    </w:p>
    <w:p>
      <w:pPr>
        <w:jc w:val="both"/>
        <w:keepNext/>
      </w:pPr>
      <w:rPr>
        <w:color w:val="black"/>
      </w:rPr>
    </w:p>
    <w:p>
      <w:pPr>
        <w:jc w:val="both"/>
        <w:keepNext/>
        <w:outlineLvl w:val="1"/>
      </w:pPr>
      <w:r>
        <w:rPr>
          <w:rFonts w:hAnsi="Arial"/>
          <w:rFonts w:ascii="Arial"/>
          <w:sz w:val="24"/>
          <w:b/>
          <w:vanish/>
          <w:color w:val="black"/>
        </w:rPr>
        <w:t>&amp;$</w:t>
      </w:r>
      <w:bookmarkStart w:id="61125" w:name="2.3.1.4.10.2"/>
      <w:r>
        <w:rPr>
          <w:rFonts w:hAnsi="Arial"/>
          <w:rFonts w:ascii="Arial"/>
          <w:sz w:val="24"/>
          <w:color w:val="navy"/>
        </w:rPr>
        <w:t xml:space="preserve">ARTΝCULO 2.3.1.4.10.2. DERECHOS DEL CONSCRIPTO DURANTE LA PRESTACIΣN DEL SERVICIO MILITAR</w:t>
      </w:r>
      <w:bookmarkEnd w:id="61125"/>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Todo colombiano que se encuentre prestando el servicio militar obligatorio en los tιrminos que establece la ley, tiene derecho: </w:t>
      </w:r>
    </w:p>
    <w:p>
      <w:pPr>
        <w:jc w:val="both"/>
        <w:keepNext/>
        <w:outlineLvl w:val="1"/>
      </w:pPr>
      <w:rPr>
        <w:sz w:val="24"/>
        <w:color w:val="black"/>
      </w:rPr>
    </w:p>
    <w:p>
      <w:pPr>
        <w:jc w:val="both"/>
        <w:keepNext/>
        <w:outlineLvl w:val="1"/>
      </w:pPr>
      <w:r>
        <w:rPr>
          <w:rFonts w:hAnsi="Arial"/>
          <w:rFonts w:ascii="Arial"/>
          <w:sz w:val="24"/>
          <w:color w:val="black"/>
        </w:rPr>
        <w:t xml:space="preserve">1. La bonificaciσn prevista en el literal a) del artνculo </w:t>
      </w:r>
      <w:r>
        <w:fldChar w:fldCharType="begin"/>
      </w:r>
      <w:r>
        <w:instrText>HYPERLINK "http://www.redjurista.com/document.aspx?ajcode=l1861017&amp;arts=44"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la Ley 1861 de 2017, la subvenciσn de transporte y la devoluciσn de la partida de alimentaciσn del literal d), serα depositada en cuenta bancaria al soldado, infante de marina, auxiliar de la Policνa Nacional y auxiliar del cuerpo de custodia. </w:t>
      </w:r>
    </w:p>
    <w:p>
      <w:pPr>
        <w:jc w:val="both"/>
        <w:keepNext/>
        <w:outlineLvl w:val="1"/>
      </w:pPr>
      <w:rPr>
        <w:sz w:val="24"/>
        <w:color w:val="black"/>
      </w:rPr>
    </w:p>
    <w:p>
      <w:pPr>
        <w:jc w:val="both"/>
        <w:keepNext/>
        <w:outlineLvl w:val="1"/>
      </w:pPr>
      <w:r>
        <w:rPr>
          <w:rFonts w:hAnsi="Arial"/>
          <w:rFonts w:ascii="Arial"/>
          <w:sz w:val="24"/>
          <w:color w:val="black"/>
        </w:rPr>
        <w:t xml:space="preserve">Las unidades militares, de policνa y escuela penitenciaria nacional y regional, orientarαn al soldado, infante de marina, auxiliar de la Policνa Nacional y auxiliar del cuerpo de custodia, frente al procedimiento para la apertura de la cuenta bancaria.</w:t>
      </w:r>
    </w:p>
    <w:p>
      <w:pPr>
        <w:jc w:val="both"/>
        <w:keepNext/>
        <w:outlineLvl w:val="1"/>
      </w:pPr>
      <w:rPr>
        <w:sz w:val="24"/>
        <w:color w:val="black"/>
      </w:rPr>
    </w:p>
    <w:p>
      <w:pPr>
        <w:jc w:val="both"/>
        <w:keepNext/>
        <w:outlineLvl w:val="1"/>
      </w:pPr>
      <w:r>
        <w:rPr>
          <w:rFonts w:hAnsi="Arial"/>
          <w:rFonts w:ascii="Arial"/>
          <w:sz w:val="24"/>
          <w:color w:val="black"/>
        </w:rPr>
        <w:t xml:space="preserve">La bonificaciσn mensual asignada al soldado, infante de marina, auxiliar de policνa y auxiliar del cuerpo de custodia no tendrα carαcter salarial. </w:t>
      </w:r>
    </w:p>
    <w:p>
      <w:pPr>
        <w:jc w:val="both"/>
        <w:keepNext/>
        <w:outlineLvl w:val="1"/>
      </w:pPr>
      <w:rPr>
        <w:sz w:val="24"/>
        <w:color w:val="black"/>
      </w:rPr>
    </w:p>
    <w:p>
      <w:pPr>
        <w:jc w:val="both"/>
        <w:keepNext/>
        <w:outlineLvl w:val="1"/>
      </w:pPr>
      <w:r>
        <w:rPr>
          <w:rFonts w:hAnsi="Arial"/>
          <w:rFonts w:ascii="Arial"/>
          <w:sz w:val="24"/>
          <w:color w:val="black"/>
        </w:rPr>
        <w:t xml:space="preserve">2. La dotaciσn de vestido civil del soldado, infante de marina, auxiliar de policνa y auxiliar del cuerpo de custodia, serα entregada de acuerdo a sus necesidades y lugar de residencia. </w:t>
      </w:r>
    </w:p>
    <w:p>
      <w:pPr>
        <w:jc w:val="both"/>
      </w:pPr>
      <w:rPr>
        <w:color w:val="black"/>
      </w:rPr>
    </w:p>
    <w:p>
      <w:pPr>
        <w:jc w:val="both"/>
      </w:pPr>
      <w:r>
        <w:rPr>
          <w:rFonts w:hAnsi="Arial"/>
          <w:rFonts w:ascii="Arial"/>
          <w:sz w:val="24"/>
          <w:b/>
          <w:vanish/>
          <w:color w:val="black"/>
        </w:rPr>
        <w:t>&amp;$</w:t>
      </w:r>
      <w:bookmarkStart w:id="61126" w:name="2.3.1.4.10.3"/>
      <w:r>
        <w:rPr>
          <w:rFonts w:hAnsi="Arial"/>
          <w:rFonts w:ascii="Arial"/>
          <w:sz w:val="24"/>
          <w:color w:val="navy"/>
        </w:rPr>
        <w:t xml:space="preserve">ARTΝCULO 2.3.1.4.10.3. CONVENIOS PARA BENEFICIOS DURANTE Y DESPUΙS DE LA PRESTACIΣN DEL SERVICIO MILITAR OBLIGATORIO.</w:t>
      </w:r>
      <w:bookmarkEnd w:id="61126"/>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Ministerio de Defensa Nacional, en los tιrminos que determina la Ley 1861 de 2017, en el artνculo </w:t>
      </w:r>
      <w:r>
        <w:fldChar w:fldCharType="begin"/>
      </w:r>
      <w:r>
        <w:instrText>HYPERLINK "http://www.redjurista.com/document.aspx?ajcode=l1861017&amp;arts=44"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literales c), h), i) y j) y el artνculo </w:t>
      </w:r>
      <w:r>
        <w:fldChar w:fldCharType="begin"/>
      </w:r>
      <w:r>
        <w:instrText>HYPERLINK "http://www.redjurista.com/document.aspx?ajcode=l1861017&amp;arts=45"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literales e) f), g) y h) conformarα los comitιs necesarios para adelantar las gestiones pertinentes con las entidades pϊblicas y privadas, a fin de dar cumplimiento a los beneficios que tratan los artνculos y literales antes mencionados. </w:t>
      </w:r>
    </w:p>
    <w:p>
      <w:pPr>
        <w:jc w:val="both"/>
        <w:keepNext/>
        <w:outlineLvl w:val="1"/>
      </w:pPr>
      <w:rPr>
        <w:sz w:val="24"/>
        <w:b/>
        <w:color w:val="black"/>
      </w:rPr>
    </w:p>
    <w:p>
      <w:pPr>
        <w:jc w:val="center"/>
        <w:keepNext/>
        <w:outlineLvl w:val="1"/>
      </w:pPr>
      <w:r>
        <w:rPr>
          <w:rFonts w:hAnsi="Arial"/>
          <w:rFonts w:ascii="Arial"/>
          <w:sz w:val="24"/>
          <w:b/>
          <w:vanish/>
          <w:color w:val="black"/>
        </w:rPr>
        <w:t>&amp;$</w:t>
      </w:r>
      <w:bookmarkStart w:id="61127" w:name="SECCIÓN 2.3.1.4.11"/>
      <w:r>
        <w:rPr>
          <w:rFonts w:hAnsi="Arial"/>
          <w:rFonts w:ascii="Arial"/>
          <w:sz w:val="24"/>
          <w:color w:val="navy"/>
        </w:rPr>
        <w:t xml:space="preserve">SECCIΣN 11. </w:t>
      </w:r>
    </w:p>
    <w:p>
      <w:pPr>
        <w:jc w:val="center"/>
        <w:keepNext/>
        <w:outlineLvl w:val="1"/>
      </w:pPr>
      <w:r>
        <w:rPr>
          <w:rFonts w:hAnsi="Arial"/>
          <w:rFonts w:ascii="Arial"/>
          <w:sz w:val="24"/>
          <w:color w:val="navy"/>
        </w:rPr>
        <w:t xml:space="preserve">INFRACCIONES Y SANCIONES.</w:t>
      </w:r>
      <w:bookmarkEnd w:id="61127"/>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28" w:name="2.3.1.4.11.1"/>
      <w:r>
        <w:rPr>
          <w:rFonts w:hAnsi="Arial"/>
          <w:rFonts w:ascii="Arial"/>
          <w:sz w:val="24"/>
          <w:color w:val="navy"/>
        </w:rPr>
        <w:t xml:space="preserve">ARTΝCULO 2.3.1.4.11.1. REMISO.</w:t>
      </w:r>
      <w:bookmarkEnd w:id="61128"/>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los efectos del literal c) del artνculo </w:t>
      </w:r>
      <w:r>
        <w:fldChar w:fldCharType="begin"/>
      </w:r>
      <w:r>
        <w:instrText>HYPERLINK "http://www.redjurista.com/document.aspx?ajcode=l1861017&amp;arts=46"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1861 de 2017, se entenderα por remiso el ciudadano que habiendo sido citado a concentraciσn, no se presente en la fecha, hora, y lugar indicado por el Servicio de Reclutamiento y Movilizaciσn. </w:t>
      </w:r>
    </w:p>
    <w:p>
      <w:pPr>
        <w:jc w:val="both"/>
        <w:keepNext/>
      </w:pPr>
      <w:rPr>
        <w:color w:val="black"/>
      </w:rPr>
    </w:p>
    <w:p>
      <w:pPr>
        <w:jc w:val="both"/>
        <w:keepNext/>
        <w:outlineLvl w:val="1"/>
      </w:pPr>
      <w:r>
        <w:rPr>
          <w:rFonts w:hAnsi="Arial"/>
          <w:rFonts w:ascii="Arial"/>
          <w:sz w:val="24"/>
          <w:b/>
          <w:vanish/>
          <w:color w:val="black"/>
        </w:rPr>
        <w:t>&amp;$</w:t>
      </w:r>
      <w:bookmarkStart w:id="61129" w:name="2.3.1.4.11.2"/>
      <w:r>
        <w:rPr>
          <w:rFonts w:hAnsi="Arial"/>
          <w:rFonts w:ascii="Arial"/>
          <w:sz w:val="24"/>
          <w:color w:val="navy"/>
        </w:rPr>
        <w:t xml:space="preserve">ARTΝCULO 2.3.1.4.11.2. APLICACIΣN DE SANCIONES.</w:t>
      </w:r>
      <w:bookmarkEnd w:id="6112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autoridad competente harα efectiva la sanciσn de que tratan los literales d), h) e i) del artνculo </w:t>
      </w:r>
      <w:r>
        <w:fldChar w:fldCharType="begin"/>
      </w:r>
      <w:r>
        <w:instrText>HYPERLINK "http://www.redjurista.com/document.aspx?ajcode=l1861017&amp;arts=46"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1861 de 2017. </w:t>
      </w:r>
    </w:p>
    <w:p>
      <w:pPr>
        <w:jc w:val="both"/>
        <w:keepNext/>
      </w:pPr>
      <w:rPr>
        <w:color w:val="black"/>
      </w:rPr>
    </w:p>
    <w:p>
      <w:pPr>
        <w:jc w:val="both"/>
        <w:keepNext/>
        <w:outlineLvl w:val="1"/>
      </w:pPr>
      <w:r>
        <w:rPr>
          <w:rFonts w:hAnsi="Arial"/>
          <w:rFonts w:ascii="Arial"/>
          <w:sz w:val="24"/>
          <w:b/>
          <w:vanish/>
          <w:color w:val="black"/>
        </w:rPr>
        <w:t>&amp;$</w:t>
      </w:r>
      <w:bookmarkStart w:id="61130" w:name="2.3.1.4.11.3"/>
      <w:r>
        <w:rPr>
          <w:rFonts w:hAnsi="Arial"/>
          <w:rFonts w:ascii="Arial"/>
          <w:sz w:val="24"/>
          <w:color w:val="navy"/>
        </w:rPr>
        <w:t xml:space="preserve">ARTΝCULO 2.3.1.4.11.3. JUNTA PARA REMISOS.</w:t>
      </w:r>
      <w:bookmarkEnd w:id="6113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junta para remisos estα dirigida a los ciudadanos que incurran en la infracciσn de que trata el artνculo </w:t>
      </w:r>
      <w:r>
        <w:fldChar w:fldCharType="begin"/>
      </w:r>
      <w:r>
        <w:instrText>HYPERLINK "http://www.redjurista.com/document.aspx?ajcode=l1861017&amp;arts=46"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literal c) de la Ley 1861 de 2017 y se adelantarα conforme a las disposiciones emitidas por la Direcciσn de Reclutamiento del Ejιrcito Nacional. </w:t>
      </w:r>
    </w:p>
    <w:p>
      <w:pPr>
        <w:jc w:val="both"/>
        <w:keepNext/>
        <w:outlineLvl w:val="1"/>
      </w:pPr>
      <w:rPr>
        <w:sz w:val="24"/>
        <w:b/>
        <w:color w:val="black"/>
      </w:rPr>
    </w:p>
    <w:p>
      <w:pPr>
        <w:jc w:val="center"/>
        <w:keepNext/>
        <w:outlineLvl w:val="1"/>
      </w:pPr>
      <w:r>
        <w:rPr>
          <w:rFonts w:hAnsi="Arial"/>
          <w:rFonts w:ascii="Arial"/>
          <w:sz w:val="24"/>
          <w:b/>
          <w:vanish/>
          <w:color w:val="black"/>
        </w:rPr>
        <w:t>&amp;$</w:t>
      </w:r>
      <w:bookmarkStart w:id="61131" w:name="SECCIÓN 2.3.1.4.12"/>
      <w:r>
        <w:rPr>
          <w:rFonts w:hAnsi="Arial"/>
          <w:rFonts w:ascii="Arial"/>
          <w:sz w:val="24"/>
          <w:color w:val="navy"/>
        </w:rPr>
        <w:t xml:space="preserve">SECCIΣN 12. </w:t>
      </w:r>
    </w:p>
    <w:p>
      <w:pPr>
        <w:jc w:val="center"/>
        <w:keepNext/>
        <w:outlineLvl w:val="1"/>
      </w:pPr>
      <w:r>
        <w:rPr>
          <w:rFonts w:hAnsi="Arial"/>
          <w:rFonts w:ascii="Arial"/>
          <w:sz w:val="24"/>
          <w:color w:val="navy"/>
        </w:rPr>
        <w:t xml:space="preserve">DE LAS RESERVAS.</w:t>
      </w:r>
      <w:bookmarkEnd w:id="61131"/>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32" w:name="2.3.1.4.12.1"/>
      <w:r>
        <w:rPr>
          <w:rFonts w:hAnsi="Arial"/>
          <w:rFonts w:ascii="Arial"/>
          <w:sz w:val="24"/>
          <w:color w:val="navy"/>
        </w:rPr>
        <w:t xml:space="preserve">ARTΝCULO 2.3.1.4.12.1. ACTUALIZACIΣN DE LA INFORMACIΣN.</w:t>
      </w:r>
      <w:bookmarkEnd w:id="6113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del control de las reservas, los oficiales, suboficiales, miembros del nivel ejecutivo, patrulleros y agentes de la Fuerza Pϊblica de la reserva y los reservistas de primera clase, estαn en la obligaciσn de actualizar su componente biogrαfico tan pronto ocurra algϊn cambio, o cuando el Gobierno nacional lo disponga, ante los distritos militares de cada Fuerza, Oficina de coordinaciσn de incorporaciσn y control reservas de la Policνa Nacional, o mediante los sistemas de informaciσn disponibles para tal fin. </w:t>
      </w:r>
    </w:p>
    <w:p>
      <w:pPr>
        <w:jc w:val="both"/>
        <w:keepNext/>
      </w:pPr>
      <w:rPr>
        <w:color w:val="black"/>
      </w:rPr>
    </w:p>
    <w:p>
      <w:pPr>
        <w:jc w:val="both"/>
        <w:keepNext/>
        <w:outlineLvl w:val="1"/>
      </w:pPr>
      <w:r>
        <w:rPr>
          <w:rFonts w:hAnsi="Arial"/>
          <w:rFonts w:ascii="Arial"/>
          <w:sz w:val="24"/>
          <w:b/>
          <w:vanish/>
          <w:color w:val="black"/>
        </w:rPr>
        <w:t>&amp;$</w:t>
      </w:r>
      <w:bookmarkStart w:id="61133" w:name="2.3.1.4.12.2"/>
      <w:r>
        <w:rPr>
          <w:rFonts w:hAnsi="Arial"/>
          <w:rFonts w:ascii="Arial"/>
          <w:sz w:val="24"/>
          <w:color w:val="navy"/>
        </w:rPr>
        <w:t xml:space="preserve">ARTΝCULO 2.3.1.4.12.2. RESERVAS DE AUXILIARES DEL CUERPO DE CUSTODIA.</w:t>
      </w:r>
      <w:bookmarkEnd w:id="61133"/>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reservistas de primera clase que prestan el servicio militar en el Instituto Nacional Penitenciario y Carcelario, harαn parte de la reserva del Ejιrcito Nacional y podrαn asignarse por las autoridades militares de control reservas al Inpec, a solicitud de este, para que apoyen los servicios misionales del cuerpo de custodia y vigilancia penitenciara nacional. </w:t>
      </w:r>
    </w:p>
    <w:p>
      <w:pPr>
        <w:jc w:val="both"/>
        <w:keepNext/>
      </w:pPr>
      <w:rPr>
        <w:color w:val="black"/>
      </w:rPr>
    </w:p>
    <w:p>
      <w:pPr>
        <w:jc w:val="both"/>
        <w:keepNext/>
        <w:outlineLvl w:val="1"/>
      </w:pPr>
      <w:r>
        <w:rPr>
          <w:rFonts w:hAnsi="Arial"/>
          <w:rFonts w:ascii="Arial"/>
          <w:sz w:val="24"/>
          <w:b/>
          <w:vanish/>
          <w:color w:val="black"/>
        </w:rPr>
        <w:t>&amp;$</w:t>
      </w:r>
      <w:bookmarkStart w:id="61134" w:name="2.3.1.4.12.3"/>
      <w:r>
        <w:rPr>
          <w:rFonts w:hAnsi="Arial"/>
          <w:rFonts w:ascii="Arial"/>
          <w:sz w:val="24"/>
          <w:color w:val="navy"/>
        </w:rPr>
        <w:t xml:space="preserve">ARTΝCULO 2.3.1.4.12.3. TABLAS DE ORGANIZACIΣN Y EQUIPO DE LAS FUERZAS MILITARES.</w:t>
      </w:r>
      <w:bookmarkEnd w:id="61134"/>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tablas de organizaciσn y equipo (TOE) de que trata el parαgrafo del artνculo </w:t>
      </w:r>
      <w:r>
        <w:fldChar w:fldCharType="begin"/>
      </w:r>
      <w:r>
        <w:instrText>HYPERLINK "http://www.redjurista.com/document.aspx?ajcode=l1861017&amp;arts=57"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1861 de 2017, serαn establecidas por cada Fuerza de acuerdo a sus necesidades y aprobadas por el Ministro de Defensa Nacional. </w:t>
      </w:r>
    </w:p>
    <w:p>
      <w:pPr>
        <w:jc w:val="both"/>
        <w:keepNext/>
      </w:pPr>
      <w:rPr>
        <w:color w:val="black"/>
      </w:rPr>
    </w:p>
    <w:p>
      <w:pPr>
        <w:jc w:val="both"/>
        <w:keepNext/>
        <w:outlineLvl w:val="1"/>
      </w:pPr>
      <w:r>
        <w:rPr>
          <w:rFonts w:hAnsi="Arial"/>
          <w:rFonts w:ascii="Arial"/>
          <w:sz w:val="24"/>
          <w:b/>
          <w:vanish/>
          <w:color w:val="black"/>
        </w:rPr>
        <w:t>&amp;$</w:t>
      </w:r>
      <w:bookmarkStart w:id="61135" w:name="2.3.1.4.12.4"/>
      <w:r>
        <w:rPr>
          <w:rFonts w:hAnsi="Arial"/>
          <w:rFonts w:ascii="Arial"/>
          <w:sz w:val="24"/>
          <w:color w:val="navy"/>
        </w:rPr>
        <w:t xml:space="preserve">ARTΝCULO 2.3.1.4.12.4. TABLAS DE ORGANIZACIΣN POLICIAL.</w:t>
      </w:r>
      <w:bookmarkEnd w:id="61135"/>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Policνa Nacional atendiendo su misiσn constitucional implementarα las tablas de organizaciσn policial (TOP) y demαs aspectos logνsticos y administrativos necesarios para la activaciσn y puesta en funcionamiento de sus reservas. </w:t>
      </w:r>
    </w:p>
    <w:p>
      <w:pPr>
        <w:jc w:val="both"/>
        <w:keepNext/>
      </w:pPr>
      <w:rPr>
        <w:color w:val="black"/>
      </w:rPr>
    </w:p>
    <w:p>
      <w:pPr>
        <w:jc w:val="both"/>
        <w:keepNext/>
        <w:outlineLvl w:val="1"/>
      </w:pPr>
      <w:r>
        <w:rPr>
          <w:rFonts w:hAnsi="Arial"/>
          <w:rFonts w:ascii="Arial"/>
          <w:sz w:val="24"/>
          <w:b/>
          <w:vanish/>
          <w:color w:val="black"/>
        </w:rPr>
        <w:t>&amp;$</w:t>
      </w:r>
      <w:bookmarkStart w:id="61136" w:name="2.3.1.4.12.5"/>
      <w:r>
        <w:rPr>
          <w:rFonts w:hAnsi="Arial"/>
          <w:rFonts w:ascii="Arial"/>
          <w:sz w:val="24"/>
          <w:color w:val="navy"/>
        </w:rPr>
        <w:t xml:space="preserve">ARTΝCULO 2.3.1.4.12.5. UNIDADES MILITARES Y POLICIALES DE RESERVA.</w:t>
      </w:r>
      <w:bookmarkEnd w:id="61136"/>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creaciσn de las unidades militares y policiales de reserva, asν como los aspectos administrativos y logνsticos, se realizarα de acuerdo a la normatividad vigente para tal fin.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El Ministerio de Defensa Nacional destinarα los recursos necesarios para adelantar la selecciσn, organizaciσn, capacitaciσn y entrenamiento, a los ciudadanos que hagan parte de la activaciσn de las reservas de la Fuerza Pϊblica, en caso de ser necesarias. </w:t>
      </w:r>
    </w:p>
    <w:p>
      <w:pPr>
        <w:jc w:val="both"/>
        <w:keepNext/>
      </w:pPr>
      <w:rPr>
        <w:color w:val="black"/>
      </w:rPr>
    </w:p>
    <w:p>
      <w:pPr>
        <w:jc w:val="both"/>
        <w:keepNext/>
        <w:outlineLvl w:val="1"/>
      </w:pPr>
      <w:r>
        <w:rPr>
          <w:rFonts w:hAnsi="Arial"/>
          <w:rFonts w:ascii="Arial"/>
          <w:sz w:val="24"/>
          <w:b/>
          <w:vanish/>
          <w:color w:val="black"/>
        </w:rPr>
        <w:t>&amp;$</w:t>
      </w:r>
      <w:bookmarkStart w:id="61137" w:name="2.3.1.4.12.6"/>
      <w:r>
        <w:rPr>
          <w:rFonts w:hAnsi="Arial"/>
          <w:rFonts w:ascii="Arial"/>
          <w:sz w:val="24"/>
          <w:color w:val="navy"/>
        </w:rPr>
        <w:t xml:space="preserve">ARTΝCULO 2.3.1.4.12.6. ACTIVACIΣN DE LAS UNIDADES DE RESERVA.</w:t>
      </w:r>
      <w:bookmarkEnd w:id="61137"/>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Fuerzas Militares y la Policνa Nacional atendiendo su misiσn constitucional y legal, definirαn las convocatorias para la selecciσn del personal, organizaciσn, capacitaciσn, entrenamiento y empleo en funciσn de la activaciσn de las reservas; igualmente, como parte de la preparaciσn para la movilizaciσn o llamamiento especial. </w:t>
      </w:r>
    </w:p>
    <w:p>
      <w:pPr>
        <w:jc w:val="both"/>
        <w:keepNext/>
      </w:pPr>
      <w:rPr>
        <w:color w:val="black"/>
      </w:rPr>
    </w:p>
    <w:p>
      <w:pPr>
        <w:jc w:val="both"/>
        <w:keepNext/>
        <w:outlineLvl w:val="1"/>
      </w:pPr>
      <w:r>
        <w:rPr>
          <w:rFonts w:hAnsi="Arial"/>
          <w:rFonts w:ascii="Arial"/>
          <w:sz w:val="24"/>
          <w:b/>
          <w:vanish/>
          <w:color w:val="black"/>
        </w:rPr>
        <w:t>&amp;$</w:t>
      </w:r>
      <w:bookmarkStart w:id="61138" w:name="2.3.1.4.12.7"/>
      <w:r>
        <w:rPr>
          <w:rFonts w:hAnsi="Arial"/>
          <w:rFonts w:ascii="Arial"/>
          <w:sz w:val="24"/>
          <w:color w:val="navy"/>
        </w:rPr>
        <w:t xml:space="preserve">ARTΝCULO 2.3.1.4.12.7. REGLAMENTO INTERNO.</w:t>
      </w:r>
      <w:bookmarkEnd w:id="6113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ciudadanos seleccionados para fines de capacitaciσn y entrenamiento en las unidades militares o policiales de reserva, les serα aplicado el reglamento interno que establezcan las Fuerzas Militares y Policνa Nacional para las unidades de reserva, sin perjuicio de la aplicaciσn de las normas de la jurisdicciσn ordinaria. </w:t>
      </w:r>
    </w:p>
    <w:p>
      <w:pPr>
        <w:jc w:val="both"/>
        <w:keepNext/>
        <w:outlineLvl w:val="1"/>
      </w:pPr>
      <w:rPr>
        <w:sz w:val="24"/>
        <w:color w:val="black"/>
      </w:rPr>
    </w:p>
    <w:p>
      <w:pPr>
        <w:jc w:val="center"/>
        <w:keepNext/>
        <w:outlineLvl w:val="1"/>
      </w:pPr>
      <w:r>
        <w:rPr>
          <w:rFonts w:hAnsi="Arial"/>
          <w:rFonts w:ascii="Arial"/>
          <w:sz w:val="24"/>
          <w:b/>
          <w:vanish/>
          <w:color w:val="black"/>
        </w:rPr>
        <w:t>&amp;$</w:t>
      </w:r>
      <w:bookmarkStart w:id="61139" w:name="SECCIÓN 2.3.1.4.13"/>
      <w:r>
        <w:rPr>
          <w:rFonts w:hAnsi="Arial"/>
          <w:rFonts w:ascii="Arial"/>
          <w:sz w:val="24"/>
          <w:color w:val="navy"/>
        </w:rPr>
        <w:t xml:space="preserve">SECCIΣN 13. </w:t>
      </w:r>
    </w:p>
    <w:p>
      <w:pPr>
        <w:jc w:val="center"/>
        <w:keepNext/>
        <w:outlineLvl w:val="1"/>
      </w:pPr>
      <w:r>
        <w:rPr>
          <w:rFonts w:hAnsi="Arial"/>
          <w:rFonts w:ascii="Arial"/>
          <w:sz w:val="24"/>
          <w:color w:val="navy"/>
        </w:rPr>
        <w:t xml:space="preserve">DISPOSICIONES VARIAS.</w:t>
      </w:r>
      <w:bookmarkEnd w:id="61139"/>
      <w:r>
        <w:rPr>
          <w:rFonts w:hAnsi="Arial"/>
          <w:rFonts w:ascii="Arial"/>
          <w:sz w:val="24"/>
          <w:b/>
          <w:color w:val="black"/>
        </w:rPr>
        <w:t xml:space="preserve"> </w:t>
      </w:r>
    </w:p>
    <w:p>
      <w:pPr>
        <w:jc w:val="both"/>
        <w:keepNext/>
        <w:outlineLvl w:val="1"/>
      </w:pPr>
      <w:rPr>
        <w:sz w:val="24"/>
        <w:color w:val="black"/>
      </w:rPr>
    </w:p>
    <w:p>
      <w:pPr>
        <w:jc w:val="both"/>
        <w:keepNext/>
        <w:outlineLvl w:val="1"/>
      </w:pPr>
      <w:r>
        <w:rPr>
          <w:rFonts w:hAnsi="Arial"/>
          <w:rFonts w:ascii="Arial"/>
          <w:sz w:val="24"/>
          <w:b/>
          <w:vanish/>
          <w:color w:val="black"/>
        </w:rPr>
        <w:t>&amp;$</w:t>
      </w:r>
      <w:bookmarkStart w:id="61140" w:name="2.3.1.4.13.1"/>
      <w:r>
        <w:rPr>
          <w:rFonts w:hAnsi="Arial"/>
          <w:rFonts w:ascii="Arial"/>
          <w:sz w:val="24"/>
          <w:color w:val="navy"/>
        </w:rPr>
        <w:t xml:space="preserve">ARTΝCULO 2.3.1.4.13.1. INTEROPERABILIDAD CON ENTIDADES PARA FINES DE DEFINICIΣN DE LA SITUACIΣN MILITAR.</w:t>
      </w:r>
      <w:bookmarkEnd w:id="61140"/>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Con el propσsito de reducir los trαmites presenciales de los ciudadanos para la definiciσn de la situaciσn militar, se adelantarαn los convenios o actos administrativos de interoperabilidad, de que trata el artνculo </w:t>
      </w:r>
      <w:r>
        <w:fldChar w:fldCharType="begin"/>
      </w:r>
      <w:r>
        <w:instrText>HYPERLINK "http://www.redjurista.com/document.aspx?ajcode=l1861017&amp;arts=66"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la Ley 1861 de 2017, en los tιrminos de la Ley </w:t>
      </w:r>
      <w:r>
        <w:fldChar w:fldCharType="begin"/>
      </w:r>
      <w:r>
        <w:instrText>HYPERLINK "http://www.redjurista.com/document.aspx?ajcode=l0489_98&amp;arts=INICIO"</w:instrText>
      </w:r>
      <w:r>
        <w:fldChar w:fldCharType="separate"/>
      </w:r>
      <w:r>
        <w:rPr>
          <w:rFonts w:hAnsi="Arial"/>
          <w:rFonts w:ascii="Arial"/>
          <w:sz w:val="24"/>
          <w:u w:val="single"/>
          <w:color w:val="black"/>
        </w:rPr>
        <w:t>489</w:t>
      </w:r>
      <w:r>
        <w:fldChar w:fldCharType="end"/>
      </w:r>
      <w:r>
        <w:rPr>
          <w:rFonts w:hAnsi="Arial"/>
          <w:rFonts w:ascii="Arial"/>
          <w:sz w:val="24"/>
          <w:u w:val="none"/>
          <w:color w:val="black"/>
        </w:rPr>
        <w:t xml:space="preserve"> de 1998 en concordancia con la Ley </w:t>
      </w:r>
      <w:r>
        <w:fldChar w:fldCharType="begin"/>
      </w:r>
      <w:r>
        <w:instrText>HYPERLINK "http://www.redjurista.com/document.aspx?ajcode=l1266008&amp;arts=INICIO"</w:instrText>
      </w:r>
      <w:r>
        <w:fldChar w:fldCharType="separate"/>
      </w:r>
      <w:r>
        <w:rPr>
          <w:rFonts w:hAnsi="Arial"/>
          <w:rFonts w:ascii="Arial"/>
          <w:sz w:val="24"/>
          <w:u w:val="single"/>
          <w:color w:val="black"/>
        </w:rPr>
        <w:t>1266</w:t>
      </w:r>
      <w:r>
        <w:fldChar w:fldCharType="end"/>
      </w:r>
      <w:r>
        <w:rPr>
          <w:rFonts w:hAnsi="Arial"/>
          <w:rFonts w:ascii="Arial"/>
          <w:sz w:val="24"/>
          <w:u w:val="none"/>
          <w:color w:val="black"/>
        </w:rPr>
        <w:t xml:space="preserve"> de 2008, y las demαs normas relacionadas con la colaboraciσn armσnica entre las entidades del Estado, protecciσn de datos y reserva de la informaciσn, conforme al artνculo </w:t>
      </w:r>
      <w:r>
        <w:fldChar w:fldCharType="begin"/>
      </w:r>
      <w:r>
        <w:instrText>HYPERLINK "http://www.redjurista.com/document.aspx?ajcode=d1070015&amp;arts=2.3.1.4.1.4"</w:instrText>
      </w:r>
      <w:r>
        <w:fldChar w:fldCharType="separate"/>
      </w:r>
      <w:r>
        <w:rPr>
          <w:rFonts w:hAnsi="Arial"/>
          <w:rFonts w:ascii="Arial"/>
          <w:sz w:val="24"/>
          <w:u w:val="single"/>
          <w:color w:val="black"/>
        </w:rPr>
        <w:t>2.3.1.4.1.4</w:t>
      </w:r>
      <w:r>
        <w:fldChar w:fldCharType="end"/>
      </w:r>
      <w:r>
        <w:rPr>
          <w:rFonts w:hAnsi="Arial"/>
          <w:rFonts w:ascii="Arial"/>
          <w:sz w:val="24"/>
          <w:u w:val="none"/>
          <w:color w:val="black"/>
        </w:rPr>
        <w:t xml:space="preserve"> del presente decreto. </w:t>
      </w:r>
    </w:p>
    <w:p>
      <w:pPr>
        <w:jc w:val="both"/>
      </w:pPr>
    </w:p>
    <w:p>
      <w:pPr>
        <w:jc w:val="both"/>
      </w:pPr>
      <w:r>
        <w:rPr>
          <w:rFonts w:hAnsi="Arial"/>
          <w:rFonts w:ascii="Arial"/>
          <w:sz w:val="24"/>
          <w:b/>
          <w:vanish/>
          <w:color w:val="black"/>
        </w:rPr>
        <w:t>&amp;$</w:t>
      </w:r>
      <w:bookmarkStart w:id="61141" w:name="2.3.1.4.13.2"/>
      <w:r>
        <w:rPr>
          <w:rFonts w:hAnsi="Arial"/>
          <w:rFonts w:ascii="Arial"/>
          <w:sz w:val="24"/>
          <w:color w:val="navy"/>
        </w:rPr>
        <w:t xml:space="preserve">ARTΝCULO 2.3.1.4.13.2. COLEGIOS CON ORIENTACIΣN MILITAR O POLICIAL.</w:t>
      </w:r>
      <w:bookmarkEnd w:id="61141"/>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 la reglamentaciσn de la orientaciσn militar y policial en los establecimientos educativos de que trata el artνculo </w:t>
      </w:r>
      <w:r>
        <w:fldChar w:fldCharType="begin"/>
      </w:r>
      <w:r>
        <w:instrText>HYPERLINK "http://www.redjurista.com/document.aspx?ajcode=l1861017&amp;arts=67"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1861 de 2017, se realizarα la revisiσn y actualizaciσn necesaria de las normas que regulan la materia. </w:t>
      </w:r>
    </w:p>
    <w:p>
      <w:pPr>
        <w:jc w:val="both"/>
      </w:pPr>
    </w:p>
    <w:p>
      <w:pPr>
        <w:jc w:val="both"/>
        <w:outlineLvl w:val="1"/>
      </w:pPr>
      <w:r>
        <w:rPr>
          <w:rFonts w:hAnsi="Arial"/>
          <w:rFonts w:ascii="Arial"/>
          <w:sz w:val="24"/>
          <w:b/>
          <w:vanish/>
          <w:color w:val="black"/>
        </w:rPr>
        <w:t>&amp;$</w:t>
      </w:r>
      <w:bookmarkStart w:id="61142" w:name="2.3.1.4.13.3"/>
      <w:r>
        <w:rPr>
          <w:rFonts w:hAnsi="Arial"/>
          <w:rFonts w:ascii="Arial"/>
          <w:sz w:val="24"/>
          <w:color w:val="navy"/>
        </w:rPr>
        <w:t xml:space="preserve">ARTΝCULO 2.3.1.4.13.3. DESACUARTELAMIENTO.</w:t>
      </w:r>
      <w:bookmarkEnd w:id="61142"/>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Las causales de desacuartelamiento de que trata el artνculo </w:t>
      </w:r>
      <w:r>
        <w:fldChar w:fldCharType="begin"/>
      </w:r>
      <w:r>
        <w:instrText>HYPERLINK "http://www.redjurista.com/document.aspx?ajcode=l1861017&amp;arts=71"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1861 de 2017, deben ser acreditadas y sustentadas para ser reconocidas por los funcionarios competentes para ello. El procedimiento para adelantar y resolver el trαmite de desacuartelamiento serα fijado por el Comandante de la Fuerza respectiva, el Director General de la Policνa Nacional y el Director General del Inpec. </w:t>
      </w:r>
    </w:p>
    <w:p>
      <w:pPr>
        <w:jc w:val="both"/>
      </w:pPr>
    </w:p>
    <w:p>
      <w:pPr>
        <w:jc w:val="both"/>
        <w:outlineLvl w:val="1"/>
      </w:pPr>
      <w:r>
        <w:rPr>
          <w:rFonts w:hAnsi="Arial"/>
          <w:rFonts w:ascii="Arial"/>
          <w:sz w:val="24"/>
          <w:b/>
          <w:vanish/>
          <w:color w:val="black"/>
        </w:rPr>
        <w:t>&amp;$</w:t>
      </w:r>
      <w:bookmarkStart w:id="61143" w:name="2.3.1.4.13.4"/>
      <w:r>
        <w:rPr>
          <w:rFonts w:hAnsi="Arial"/>
          <w:rFonts w:ascii="Arial"/>
          <w:sz w:val="24"/>
          <w:color w:val="navy"/>
        </w:rPr>
        <w:t xml:space="preserve">ARTΝCULO 2.3.1.4.13.4. JORNADAS ESPECIALES.</w:t>
      </w:r>
      <w:bookmarkEnd w:id="61143"/>
      <w:r>
        <w:rPr>
          <w:rFonts w:hAnsi="Arial"/>
          <w:rFonts w:ascii="Arial"/>
          <w:sz w:val="24"/>
          <w:color w:val="black"/>
        </w:rPr>
        <w:t xml:space="preserve"> &lt;Artνculo adicionado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del artνculo </w:t>
      </w:r>
      <w:r>
        <w:fldChar w:fldCharType="begin"/>
      </w:r>
      <w:r>
        <w:instrText>HYPERLINK "http://www.redjurista.com/document.aspx?ajcode=l1861017&amp;arts=73"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1861 de 2017, el Ministerio de Defensa Nacional a travιs del Comando de Reclutamiento y Control Reservas del Ejιrcito Nacional, podrα realizar jornadas especiales para las personas declaradas no aptas, exoneradas o que hayan superado la edad mαxima de incorporaciσn a filas. </w:t>
      </w:r>
    </w:p>
    <w:p>
      <w:pPr>
        <w:jc w:val="both"/>
        <w:outlineLvl w:val="1"/>
      </w:pPr>
      <w:rPr>
        <w:sz w:val="24"/>
        <w:color w:val="black"/>
      </w:rPr>
    </w:p>
    <w:p>
      <w:pPr>
        <w:jc w:val="both"/>
        <w:outlineLvl w:val="1"/>
      </w:pPr>
      <w:r>
        <w:rPr>
          <w:rFonts w:hAnsi="Arial"/>
          <w:rFonts w:ascii="Arial"/>
          <w:sz w:val="24"/>
          <w:color w:val="black"/>
        </w:rPr>
        <w:t xml:space="preserve">Las jornadas especiales deberαn ser convocadas mediante acto administrativo que expida el Ministerio de Defensa Nacional donde ademαs se fijarα el porcentaje de exenciσn en cuota de compensaciσn y multas de conformidad con lo establecido en el artνculo </w:t>
      </w:r>
      <w:r>
        <w:fldChar w:fldCharType="begin"/>
      </w:r>
      <w:r>
        <w:instrText>HYPERLINK "http://www.redjurista.com/document.aspx?ajcode=l1861017&amp;arts=73"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1861 de 2017. </w:t>
      </w:r>
    </w:p>
    <w:p>
      <w:pPr>
        <w:jc w:val="both"/>
      </w:pPr>
      <w:rPr>
        <w:sz w:val="24"/>
        <w:color w:val="black"/>
      </w:rPr>
    </w:p>
    <w:p>
      <w:pPr>
        <w:jc w:val="center"/>
        <w:outlineLvl w:val="1"/>
      </w:pPr>
      <w:r>
        <w:rPr>
          <w:rFonts w:hAnsi="Arial"/>
          <w:rFonts w:ascii="Arial"/>
          <w:sz w:val="24"/>
          <w:b/>
          <w:vanish/>
          <w:color w:val="black"/>
        </w:rPr>
        <w:t>&amp;$</w:t>
      </w:r>
      <w:bookmarkStart w:id="61144" w:name="SECCIÓN 2.3.1.4.14"/>
      <w:r>
        <w:rPr>
          <w:rFonts w:hAnsi="Arial"/>
          <w:rFonts w:ascii="Arial"/>
          <w:sz w:val="24"/>
          <w:color w:val="navy"/>
        </w:rPr>
        <w:t xml:space="preserve">SECCIΣN 14. </w:t>
      </w:r>
    </w:p>
    <w:p>
      <w:pPr>
        <w:jc w:val="center"/>
        <w:outlineLvl w:val="1"/>
      </w:pPr>
      <w:r>
        <w:rPr>
          <w:rFonts w:hAnsi="Arial"/>
          <w:rFonts w:ascii="Arial"/>
          <w:sz w:val="24"/>
          <w:color w:val="navy"/>
        </w:rPr>
        <w:t xml:space="preserve">LIQUIDACIΣN CUOTA DE COMPENSACIΣN MILITAR.</w:t>
      </w:r>
      <w:bookmarkEnd w:id="61144"/>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1145" w:name="2.3.1.4.14.1"/>
      <w:r>
        <w:rPr>
          <w:rFonts w:hAnsi="Arial"/>
          <w:rFonts w:ascii="Arial"/>
          <w:sz w:val="24"/>
          <w:color w:val="navy"/>
        </w:rPr>
        <w:t xml:space="preserve">ARTΝCULO 2.3.1.4.14.1. DE LA LIQUIDACIΣN DE LA CUOTA DE COMPENSACIΣN MILITAR.</w:t>
      </w:r>
      <w:bookmarkEnd w:id="61145"/>
      <w:r>
        <w:rPr>
          <w:rFonts w:hAnsi="Arial"/>
          <w:rFonts w:ascii="Arial"/>
          <w:sz w:val="24"/>
          <w:color w:val="black"/>
        </w:rPr>
        <w:t xml:space="preserve"> Para efectos de la liquidaciσn de la cuota de compensaciσn militar, se realizarα de conformidad con lo establecido en el artνculo </w:t>
      </w:r>
      <w:r>
        <w:fldChar w:fldCharType="begin"/>
      </w:r>
      <w:r>
        <w:instrText>HYPERLINK "http://www.redjurista.com/document.aspx?ajcode=l1861017&amp;arts=27"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1861 de 2017. </w:t>
      </w:r>
    </w:p>
    <w:p>
      <w:pPr>
        <w:jc w:val="both"/>
        <w:outlineLvl w:val="1"/>
      </w:pPr>
      <w:rPr>
        <w:sz w:val="24"/>
        <w:color w:val="black"/>
      </w:rPr>
    </w:p>
    <w:p>
      <w:pPr>
        <w:jc w:val="both"/>
        <w:outlineLvl w:val="1"/>
      </w:pPr>
      <w:r>
        <w:rPr>
          <w:rFonts w:hAnsi="Arial"/>
          <w:rFonts w:ascii="Arial"/>
          <w:sz w:val="24"/>
          <w:b/>
          <w:color w:val="black"/>
        </w:rPr>
        <w:t xml:space="preserve">Se entenderα como grupo familiar: </w:t>
      </w:r>
    </w:p>
    <w:p>
      <w:pPr>
        <w:jc w:val="both"/>
        <w:outlineLvl w:val="1"/>
      </w:pPr>
      <w:rPr>
        <w:sz w:val="24"/>
        <w:color w:val="black"/>
      </w:rPr>
    </w:p>
    <w:p>
      <w:pPr>
        <w:jc w:val="both"/>
        <w:outlineLvl w:val="1"/>
      </w:pPr>
      <w:r>
        <w:rPr>
          <w:rFonts w:hAnsi="Arial"/>
          <w:rFonts w:ascii="Arial"/>
          <w:sz w:val="24"/>
          <w:color w:val="black"/>
        </w:rPr>
        <w:t xml:space="preserve">El conformado por los padres o por el padre o madre, consanguνneos o adoptivos del clasificado, incluido este; </w:t>
      </w:r>
    </w:p>
    <w:p>
      <w:pPr>
        <w:jc w:val="both"/>
        <w:outlineLvl w:val="1"/>
      </w:pPr>
      <w:rPr>
        <w:sz w:val="24"/>
        <w:color w:val="black"/>
      </w:rPr>
    </w:p>
    <w:p>
      <w:pPr>
        <w:jc w:val="both"/>
        <w:outlineLvl w:val="1"/>
      </w:pPr>
      <w:r>
        <w:rPr>
          <w:rFonts w:hAnsi="Arial"/>
          <w:rFonts w:ascii="Arial"/>
          <w:sz w:val="24"/>
          <w:color w:val="black"/>
        </w:rPr>
        <w:t xml:space="preserve">El conformado por uno de los padres consanguνneos del clasificado y el cσnyuge o quien haga vida marital permanente con uno de los padres del clasificado, incluido este; </w:t>
      </w:r>
    </w:p>
    <w:p>
      <w:pPr>
        <w:jc w:val="both"/>
        <w:outlineLvl w:val="1"/>
      </w:pPr>
      <w:rPr>
        <w:sz w:val="24"/>
        <w:color w:val="black"/>
      </w:rPr>
    </w:p>
    <w:p>
      <w:pPr>
        <w:jc w:val="both"/>
        <w:outlineLvl w:val="1"/>
      </w:pPr>
      <w:r>
        <w:rPr>
          <w:rFonts w:hAnsi="Arial"/>
          <w:rFonts w:ascii="Arial"/>
          <w:sz w:val="24"/>
          <w:color w:val="black"/>
        </w:rPr>
        <w:t xml:space="preserve">El conformado por los padres, por uno de los padres o el cσnyuge o quien haga vida marital permanente con uno de los padres del clasificado y los hermanos, con parentesco de consanguinidad, civil o de afinidad y el clasificado; </w:t>
      </w:r>
    </w:p>
    <w:p>
      <w:pPr>
        <w:jc w:val="both"/>
        <w:outlineLvl w:val="1"/>
      </w:pPr>
      <w:rPr>
        <w:sz w:val="24"/>
        <w:color w:val="black"/>
      </w:rPr>
    </w:p>
    <w:p>
      <w:pPr>
        <w:jc w:val="both"/>
        <w:outlineLvl w:val="1"/>
      </w:pPr>
      <w:r>
        <w:rPr>
          <w:rFonts w:hAnsi="Arial"/>
          <w:rFonts w:ascii="Arial"/>
          <w:sz w:val="24"/>
          <w:color w:val="black"/>
        </w:rPr>
        <w:t xml:space="preserve">El conformado por el clasificado y los hermanos con parentesco de consanguinidad o civil o de afinidad. </w:t>
      </w:r>
    </w:p>
    <w:p>
      <w:pPr>
        <w:jc w:val="both"/>
        <w:outlineLvl w:val="1"/>
      </w:pPr>
      <w:rPr>
        <w:sz w:val="24"/>
        <w:color w:val="black"/>
      </w:rPr>
    </w:p>
    <w:p>
      <w:pPr>
        <w:jc w:val="both"/>
        <w:outlineLvl w:val="1"/>
      </w:pPr>
      <w:r>
        <w:rPr>
          <w:rFonts w:hAnsi="Arial"/>
          <w:rFonts w:ascii="Arial"/>
          <w:sz w:val="24"/>
          <w:color w:val="black"/>
        </w:rPr>
        <w:t xml:space="preserve">Lo anterior indistintamente que el clasificado, sea hijo matrimonial, o extramatrimonial debidamente reconocido, o adoptivo, siempre que exista una relaciσn de dependencia econσmica de su grupo familiar. </w:t>
      </w:r>
    </w:p>
    <w:p>
      <w:pPr>
        <w:jc w:val="both"/>
        <w:outlineLvl w:val="1"/>
      </w:pPr>
      <w:rPr>
        <w:sz w:val="24"/>
        <w:color w:val="black"/>
      </w:rPr>
    </w:p>
    <w:p>
      <w:pPr>
        <w:jc w:val="both"/>
        <w:outlineLvl w:val="1"/>
      </w:pPr>
      <w:r>
        <w:rPr>
          <w:rFonts w:hAnsi="Arial"/>
          <w:rFonts w:ascii="Arial"/>
          <w:sz w:val="24"/>
          <w:color w:val="black"/>
        </w:rPr>
        <w:t xml:space="preserve">(Decreto 2124 de 2008 artνculo </w:t>
      </w:r>
      <w:r>
        <w:fldChar w:fldCharType="begin"/>
      </w:r>
      <w:r>
        <w:instrText>HYPERLINK "http://www.redjurista.com/document.aspx?ajcode=d2124008&amp;arts=1"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46" w:name="2.3.1.4.14.2"/>
      <w:r>
        <w:rPr>
          <w:rFonts w:hAnsi="Arial"/>
          <w:rFonts w:ascii="Arial"/>
          <w:sz w:val="24"/>
          <w:color w:val="navy"/>
        </w:rPr>
        <w:t xml:space="preserve">ARTΝCULO 2.3.1.4.14.2. SOBRE LAS CONDICIONES CLΝNICAS GRAVES.</w:t>
      </w:r>
      <w:bookmarkEnd w:id="61146"/>
      <w:r>
        <w:rPr>
          <w:rFonts w:hAnsi="Arial"/>
          <w:rFonts w:ascii="Arial"/>
          <w:sz w:val="24"/>
          <w:color w:val="black"/>
        </w:rPr>
        <w:t xml:space="preserve"> El Ministerio de Defensa por intermedio de la Direcciσn General de Sanidad y la Direcciσn de Reclutamiento del Ejιrcito, definirα las condiciones clνnicas graves e incapacitantes a que se refiere el literal a) del parαgrafo del artνculo </w:t>
      </w:r>
      <w:r>
        <w:fldChar w:fldCharType="begin"/>
      </w:r>
      <w:r>
        <w:instrText>HYPERLINK "http://www.redjurista.com/document.aspx?ajcode=l1861017&amp;arts=26"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1861 de 2017. </w:t>
      </w:r>
    </w:p>
    <w:p>
      <w:pPr>
        <w:jc w:val="both"/>
        <w:outlineLvl w:val="1"/>
      </w:pPr>
      <w:rPr>
        <w:sz w:val="24"/>
        <w:color w:val="black"/>
      </w:rPr>
    </w:p>
    <w:p>
      <w:pPr>
        <w:jc w:val="both"/>
        <w:outlineLvl w:val="1"/>
      </w:pPr>
      <w:r>
        <w:rPr>
          <w:rFonts w:hAnsi="Arial"/>
          <w:rFonts w:ascii="Arial"/>
          <w:sz w:val="24"/>
          <w:color w:val="black"/>
        </w:rPr>
        <w:t xml:space="preserve">Hasta tanto esa materia no sea objeto de definiciσn en los tιrminos del presente artνculo, se darα aplicaciσn a las disposiciones vigentes. </w:t>
      </w:r>
    </w:p>
    <w:p>
      <w:pPr>
        <w:jc w:val="both"/>
        <w:outlineLvl w:val="1"/>
      </w:pPr>
      <w:rPr>
        <w:sz w:val="24"/>
        <w:b/>
        <w:color w:val="black"/>
      </w:rPr>
    </w:p>
    <w:p>
      <w:pPr>
        <w:jc w:val="both"/>
        <w:outlineLvl w:val="1"/>
      </w:pPr>
      <w:r>
        <w:rPr>
          <w:rFonts w:hAnsi="Arial"/>
          <w:rFonts w:ascii="Arial"/>
          <w:sz w:val="24"/>
          <w:color w:val="black"/>
        </w:rPr>
        <w:t xml:space="preserve">(Decreto 2124 de 2008 artνculo </w:t>
      </w:r>
      <w:r>
        <w:fldChar w:fldCharType="begin"/>
      </w:r>
      <w:r>
        <w:instrText>HYPERLINK "http://www.redjurista.com/document.aspx?ajcode=d2124008&amp;arts=3"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47" w:name="2.3.1.4.14.3"/>
      <w:r>
        <w:rPr>
          <w:rFonts w:hAnsi="Arial"/>
          <w:rFonts w:ascii="Arial"/>
          <w:sz w:val="24"/>
          <w:color w:val="navy"/>
        </w:rPr>
        <w:t xml:space="preserve">ARTΝCULO 2.3.1.4.14.3. SUSCRIPCIΣN DE CONVENIOS.</w:t>
      </w:r>
      <w:bookmarkEnd w:id="61147"/>
      <w:r>
        <w:rPr>
          <w:rFonts w:hAnsi="Arial"/>
          <w:rFonts w:ascii="Arial"/>
          <w:sz w:val="24"/>
          <w:color w:val="black"/>
        </w:rPr>
        <w:t xml:space="preserve"> El Ministerio de Defensa Nacional podrα suscribir convenios con las entidades financieras para el recaudo de los recursos de que trata la Ley 1861 de 2017. </w:t>
      </w:r>
    </w:p>
    <w:p>
      <w:pPr>
        <w:jc w:val="both"/>
        <w:outlineLvl w:val="1"/>
      </w:pPr>
      <w:rPr>
        <w:sz w:val="24"/>
        <w:b/>
        <w:color w:val="black"/>
      </w:rPr>
    </w:p>
    <w:p>
      <w:pPr>
        <w:jc w:val="both"/>
        <w:outlineLvl w:val="1"/>
      </w:pPr>
      <w:r>
        <w:rPr>
          <w:rFonts w:hAnsi="Arial"/>
          <w:rFonts w:ascii="Arial"/>
          <w:sz w:val="24"/>
          <w:color w:val="black"/>
        </w:rPr>
        <w:t xml:space="preserve">(Decreto 2124 de 2008 artνculo </w:t>
      </w:r>
      <w:r>
        <w:fldChar w:fldCharType="begin"/>
      </w:r>
      <w:r>
        <w:instrText>HYPERLINK "http://www.redjurista.com/document.aspx?ajcode=d2124008&amp;arts=7"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48" w:name="2.3.1.4.14.4"/>
      <w:r>
        <w:rPr>
          <w:rFonts w:hAnsi="Arial"/>
          <w:rFonts w:ascii="Arial"/>
          <w:sz w:val="24"/>
          <w:color w:val="navy"/>
        </w:rPr>
        <w:t xml:space="preserve">ARTΝCULO 2.3.1.4.14.4. DOCUMENTOS PARA LIQUIDACIΣN DE LA CUOTA DE COMPENSACIΣN MILITAR.</w:t>
      </w:r>
      <w:bookmarkEnd w:id="6114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 la liquidaciσn de la cuota de compensaciσn militar, se tendrαn en cuenta los siguientes documentos bαsicos, dependiendo de la situaciσn particular econσmica del grupo familiar del interesado o de quien dependa econσmicamente el que no ingrese a filas y sea clasificado, asν: </w:t>
      </w:r>
    </w:p>
    <w:p>
      <w:pPr>
        <w:jc w:val="both"/>
        <w:outlineLvl w:val="1"/>
      </w:pPr>
      <w:rPr>
        <w:sz w:val="24"/>
        <w:color w:val="black"/>
      </w:rPr>
    </w:p>
    <w:p>
      <w:pPr>
        <w:jc w:val="both"/>
        <w:outlineLvl w:val="1"/>
      </w:pPr>
      <w:r>
        <w:rPr>
          <w:rFonts w:hAnsi="Arial"/>
          <w:rFonts w:ascii="Arial"/>
          <w:sz w:val="24"/>
          <w:color w:val="black"/>
        </w:rPr>
        <w:t xml:space="preserve">Documentos para establecer identidad y grupo familiar: </w:t>
      </w:r>
    </w:p>
    <w:p>
      <w:pPr>
        <w:jc w:val="both"/>
        <w:outlineLvl w:val="1"/>
      </w:pPr>
      <w:rPr>
        <w:sz w:val="24"/>
        <w:b/>
        <w:color w:val="black"/>
      </w:rPr>
    </w:p>
    <w:p>
      <w:pPr>
        <w:jc w:val="both"/>
        <w:outlineLvl w:val="1"/>
      </w:pPr>
      <w:r>
        <w:rPr>
          <w:rFonts w:hAnsi="Arial"/>
          <w:rFonts w:ascii="Arial"/>
          <w:sz w:val="24"/>
          <w:color w:val="black"/>
        </w:rPr>
        <w:t xml:space="preserve">1. Registro civil de nacimiento del ciudadano; </w:t>
      </w:r>
    </w:p>
    <w:p>
      <w:pPr>
        <w:jc w:val="both"/>
        <w:outlineLvl w:val="1"/>
      </w:pPr>
      <w:r>
        <w:rPr>
          <w:rFonts w:hAnsi="Arial"/>
          <w:rFonts w:ascii="Arial"/>
          <w:sz w:val="24"/>
          <w:color w:val="black"/>
        </w:rPr>
        <w:t xml:space="preserve">2. Fotocopia de la cιdula de ciudadanνa del conscripto y de los padres; </w:t>
      </w:r>
    </w:p>
    <w:p>
      <w:pPr>
        <w:jc w:val="both"/>
        <w:outlineLvl w:val="1"/>
      </w:pPr>
      <w:r>
        <w:rPr>
          <w:rFonts w:hAnsi="Arial"/>
          <w:rFonts w:ascii="Arial"/>
          <w:sz w:val="24"/>
          <w:color w:val="black"/>
        </w:rPr>
        <w:t xml:space="preserve">3. Sentencia de divorcio; </w:t>
      </w:r>
    </w:p>
    <w:p>
      <w:pPr>
        <w:jc w:val="both"/>
        <w:outlineLvl w:val="1"/>
      </w:pPr>
      <w:r>
        <w:rPr>
          <w:rFonts w:hAnsi="Arial"/>
          <w:rFonts w:ascii="Arial"/>
          <w:sz w:val="24"/>
          <w:color w:val="black"/>
        </w:rPr>
        <w:t xml:space="preserve">4. Liquidaciσn sociedad conyugal; </w:t>
      </w:r>
    </w:p>
    <w:p>
      <w:pPr>
        <w:jc w:val="both"/>
        <w:outlineLvl w:val="1"/>
      </w:pPr>
      <w:r>
        <w:rPr>
          <w:rFonts w:hAnsi="Arial"/>
          <w:rFonts w:ascii="Arial"/>
          <w:sz w:val="24"/>
          <w:color w:val="black"/>
        </w:rPr>
        <w:t xml:space="preserve">5. Certificado de defunciσn, en caso de fallecimiento de uno de los padres. </w:t>
      </w:r>
    </w:p>
    <w:p>
      <w:pPr>
        <w:jc w:val="both"/>
        <w:outlineLvl w:val="1"/>
      </w:pPr>
      <w:rPr>
        <w:sz w:val="24"/>
        <w:color w:val="black"/>
      </w:rPr>
    </w:p>
    <w:p>
      <w:pPr>
        <w:jc w:val="both"/>
        <w:outlineLvl w:val="1"/>
      </w:pPr>
      <w:r>
        <w:rPr>
          <w:rFonts w:hAnsi="Arial"/>
          <w:rFonts w:ascii="Arial"/>
          <w:sz w:val="24"/>
          <w:color w:val="black"/>
        </w:rPr>
        <w:t xml:space="preserve">Cuando no proceda la liquidaciσn con fundamento en los ingresos y patrimonio del grupo familiar, el clasificado deberα presentar los documentos que efectivamente demuestren su real dependencia econσmica. </w:t>
      </w:r>
    </w:p>
    <w:p>
      <w:pPr>
        <w:jc w:val="both"/>
        <w:outlineLvl w:val="1"/>
      </w:pPr>
      <w:rPr>
        <w:sz w:val="24"/>
        <w:b/>
        <w:color w:val="black"/>
      </w:rPr>
    </w:p>
    <w:p>
      <w:pPr>
        <w:jc w:val="both"/>
        <w:outlineLvl w:val="1"/>
      </w:pPr>
      <w:r>
        <w:rPr>
          <w:rFonts w:hAnsi="Arial"/>
          <w:rFonts w:ascii="Arial"/>
          <w:sz w:val="24"/>
          <w:color w:val="black"/>
        </w:rPr>
        <w:t xml:space="preserve">Documentos para establecer patrimonio: </w:t>
      </w:r>
    </w:p>
    <w:p>
      <w:pPr>
        <w:jc w:val="both"/>
        <w:outlineLvl w:val="1"/>
      </w:pPr>
      <w:rPr>
        <w:sz w:val="24"/>
        <w:color w:val="black"/>
      </w:rPr>
    </w:p>
    <w:p>
      <w:pPr>
        <w:jc w:val="both"/>
        <w:outlineLvl w:val="1"/>
      </w:pPr>
      <w:r>
        <w:rPr>
          <w:rFonts w:hAnsi="Arial"/>
          <w:rFonts w:ascii="Arial"/>
          <w:sz w:val="24"/>
          <w:color w:val="black"/>
        </w:rPr>
        <w:t xml:space="preserve">1. Declaraciσn de renta; en caso de ser sujeto declarante; </w:t>
      </w:r>
    </w:p>
    <w:p>
      <w:pPr>
        <w:jc w:val="both"/>
        <w:outlineLvl w:val="1"/>
      </w:pPr>
      <w:r>
        <w:rPr>
          <w:rFonts w:hAnsi="Arial"/>
          <w:rFonts w:ascii="Arial"/>
          <w:sz w:val="24"/>
          <w:color w:val="black"/>
        </w:rPr>
        <w:t xml:space="preserve">2. Certificado de inmuebles expedido por el Instituto Geogrαfico Agustνn Codazzi, donde aparezcan registrados todos los inmuebles que se tienen a nivel nacional; </w:t>
      </w:r>
    </w:p>
    <w:p>
      <w:pPr>
        <w:jc w:val="both"/>
        <w:outlineLvl w:val="1"/>
      </w:pPr>
      <w:r>
        <w:rPr>
          <w:rFonts w:hAnsi="Arial"/>
          <w:rFonts w:ascii="Arial"/>
          <w:sz w:val="24"/>
          <w:color w:val="black"/>
        </w:rPr>
        <w:t xml:space="preserve">3. Copia del folio de matrνcula inmobiliaria expedido por la respectiva Oficina de Registro de Instrumentos Pϊblicos. </w:t>
      </w:r>
    </w:p>
    <w:p>
      <w:pPr>
        <w:jc w:val="both"/>
        <w:outlineLvl w:val="1"/>
      </w:pPr>
      <w:r>
        <w:rPr>
          <w:rFonts w:hAnsi="Arial"/>
          <w:rFonts w:ascii="Arial"/>
          <w:sz w:val="24"/>
          <w:color w:val="black"/>
        </w:rPr>
        <w:t xml:space="preserve">4. Certificado Catastral Distrital o Departamental donde se encuentre ubicado el inmueble. </w:t>
      </w:r>
    </w:p>
    <w:p>
      <w:pPr>
        <w:jc w:val="both"/>
        <w:outlineLvl w:val="1"/>
      </w:pPr>
      <w:rPr>
        <w:sz w:val="24"/>
        <w:color w:val="black"/>
      </w:rPr>
    </w:p>
    <w:p>
      <w:pPr>
        <w:jc w:val="both"/>
        <w:outlineLvl w:val="1"/>
      </w:pPr>
      <w:r>
        <w:rPr>
          <w:rFonts w:hAnsi="Arial"/>
          <w:rFonts w:ascii="Arial"/>
          <w:sz w:val="24"/>
          <w:color w:val="black"/>
        </w:rPr>
        <w:t xml:space="preserve">Documentos para establecer ingresos: </w:t>
      </w:r>
    </w:p>
    <w:p>
      <w:pPr>
        <w:jc w:val="both"/>
        <w:outlineLvl w:val="1"/>
      </w:pPr>
      <w:rPr>
        <w:sz w:val="24"/>
        <w:color w:val="black"/>
      </w:rPr>
    </w:p>
    <w:p>
      <w:pPr>
        <w:jc w:val="both"/>
        <w:outlineLvl w:val="1"/>
      </w:pPr>
      <w:r>
        <w:rPr>
          <w:rFonts w:hAnsi="Arial"/>
          <w:rFonts w:ascii="Arial"/>
          <w:sz w:val="24"/>
          <w:color w:val="black"/>
        </w:rPr>
        <w:t xml:space="preserve">1. El promedio del Ingreso Base de Cotizaciσn (IBC) reportado en la Planilla Integrada de Liquidaciσn de Aportes (PILA) en los ϊltimos dos aρos o fracciσn; </w:t>
      </w:r>
    </w:p>
    <w:p>
      <w:pPr>
        <w:jc w:val="both"/>
        <w:outlineLvl w:val="1"/>
      </w:pPr>
      <w:r>
        <w:rPr>
          <w:rFonts w:hAnsi="Arial"/>
          <w:rFonts w:ascii="Arial"/>
          <w:sz w:val="24"/>
          <w:color w:val="black"/>
        </w:rPr>
        <w:t xml:space="preserve">2. Certificado de ingresos y retenciones;</w:t>
      </w:r>
    </w:p>
    <w:p>
      <w:pPr>
        <w:jc w:val="both"/>
        <w:outlineLvl w:val="1"/>
      </w:pPr>
      <w:r>
        <w:rPr>
          <w:rFonts w:hAnsi="Arial"/>
          <w:rFonts w:ascii="Arial"/>
          <w:sz w:val="24"/>
          <w:color w:val="black"/>
        </w:rPr>
        <w:t xml:space="preserve">3. Certificaciσn salarial expedida por las diferentes empresas empleadoras; </w:t>
      </w:r>
    </w:p>
    <w:p>
      <w:pPr>
        <w:jc w:val="both"/>
        <w:outlineLvl w:val="1"/>
      </w:pPr>
      <w:r>
        <w:rPr>
          <w:rFonts w:hAnsi="Arial"/>
          <w:rFonts w:ascii="Arial"/>
          <w:sz w:val="24"/>
          <w:color w:val="black"/>
        </w:rPr>
        <w:t xml:space="preserve">4. Certificado de ingresos original emitido por contador pϊblico el cual deberα estar acompaρado de la tarjeta profesional y certificado de la junta central de contadores, con vigencia mαxima de tres meses; </w:t>
      </w:r>
    </w:p>
    <w:p>
      <w:pPr>
        <w:jc w:val="both"/>
        <w:outlineLvl w:val="1"/>
      </w:pPr>
      <w:rPr>
        <w:sz w:val="24"/>
        <w:b/>
        <w:color w:val="black"/>
      </w:rPr>
    </w:p>
    <w:p>
      <w:pPr>
        <w:jc w:val="both"/>
        <w:outlineLvl w:val="1"/>
      </w:pPr>
      <w:r>
        <w:rPr>
          <w:rFonts w:hAnsi="Arial"/>
          <w:rFonts w:ascii="Arial"/>
          <w:sz w:val="24"/>
          <w:color w:val="black"/>
        </w:rPr>
        <w:t xml:space="preserve">(Decreto 2124 de 2008 artνculo </w:t>
      </w:r>
      <w:r>
        <w:fldChar w:fldCharType="begin"/>
      </w:r>
      <w:r>
        <w:instrText>HYPERLINK "http://www.redjurista.com/document.aspx?ajcode=d2124008&amp;arts=8"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49" w:name="2.3.1.4.14.5"/>
      <w:r>
        <w:rPr>
          <w:rFonts w:hAnsi="Arial"/>
          <w:rFonts w:ascii="Arial"/>
          <w:sz w:val="24"/>
          <w:color w:val="navy"/>
        </w:rPr>
        <w:t xml:space="preserve">ARTΝCULO 2.3.1.4.14.5. DOCUMENTOS ADICIONALES.</w:t>
      </w:r>
      <w:bookmarkEnd w:id="61149"/>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Dependiendo del caso especνfico los ciudadanos deberαn presentar como mνnimo los siguientes documentos, teniendo en cuenta que los soportes deben corresponder a la totalidad del grupo familiar, asν: </w:t>
      </w:r>
    </w:p>
    <w:p>
      <w:pPr>
        <w:jc w:val="both"/>
        <w:outlineLvl w:val="1"/>
      </w:pPr>
      <w:rPr>
        <w:sz w:val="24"/>
        <w:color w:val="black"/>
      </w:rPr>
    </w:p>
    <w:p>
      <w:pPr>
        <w:jc w:val="both"/>
        <w:outlineLvl w:val="1"/>
      </w:pPr>
      <w:r>
        <w:rPr>
          <w:rFonts w:hAnsi="Arial"/>
          <w:rFonts w:ascii="Arial"/>
          <w:sz w:val="24"/>
          <w:color w:val="black"/>
        </w:rPr>
        <w:t xml:space="preserve">Cuando se es declarante de renta: </w:t>
      </w:r>
    </w:p>
    <w:p>
      <w:pPr>
        <w:jc w:val="both"/>
        <w:outlineLvl w:val="1"/>
      </w:pPr>
      <w:rPr>
        <w:sz w:val="24"/>
        <w:color w:val="black"/>
      </w:rPr>
    </w:p>
    <w:p>
      <w:pPr>
        <w:jc w:val="both"/>
        <w:outlineLvl w:val="1"/>
      </w:pPr>
      <w:r>
        <w:rPr>
          <w:rFonts w:hAnsi="Arial"/>
          <w:rFonts w:ascii="Arial"/>
          <w:sz w:val="24"/>
          <w:color w:val="black"/>
        </w:rPr>
        <w:t xml:space="preserve">1. Registro civil de nacimiento del conscripto; </w:t>
      </w:r>
    </w:p>
    <w:p>
      <w:pPr>
        <w:jc w:val="both"/>
        <w:outlineLvl w:val="1"/>
      </w:pPr>
      <w:r>
        <w:rPr>
          <w:rFonts w:hAnsi="Arial"/>
          <w:rFonts w:ascii="Arial"/>
          <w:sz w:val="24"/>
          <w:color w:val="black"/>
        </w:rPr>
        <w:t xml:space="preserve">2. Fotocopia de la cιdula de la ciudadanνa; </w:t>
      </w:r>
    </w:p>
    <w:p>
      <w:pPr>
        <w:jc w:val="both"/>
        <w:outlineLvl w:val="1"/>
      </w:pPr>
      <w:r>
        <w:rPr>
          <w:rFonts w:hAnsi="Arial"/>
          <w:rFonts w:ascii="Arial"/>
          <w:sz w:val="24"/>
          <w:color w:val="black"/>
        </w:rPr>
        <w:t xml:space="preserve">3. Fotocopia de la Declaraciσn de Renta; </w:t>
      </w:r>
    </w:p>
    <w:p>
      <w:pPr>
        <w:jc w:val="both"/>
        <w:outlineLvl w:val="1"/>
      </w:pPr>
      <w:rPr>
        <w:sz w:val="24"/>
        <w:color w:val="black"/>
      </w:rPr>
    </w:p>
    <w:p>
      <w:pPr>
        <w:jc w:val="both"/>
        <w:outlineLvl w:val="1"/>
      </w:pPr>
      <w:r>
        <w:rPr>
          <w:rFonts w:hAnsi="Arial"/>
          <w:rFonts w:ascii="Arial"/>
          <w:sz w:val="24"/>
          <w:color w:val="black"/>
        </w:rPr>
        <w:t xml:space="preserve">Cuando se labora en una empresa: </w:t>
      </w:r>
    </w:p>
    <w:p>
      <w:pPr>
        <w:jc w:val="both"/>
        <w:outlineLvl w:val="1"/>
      </w:pPr>
      <w:rPr>
        <w:sz w:val="24"/>
        <w:color w:val="black"/>
      </w:rPr>
    </w:p>
    <w:p>
      <w:pPr>
        <w:jc w:val="both"/>
        <w:outlineLvl w:val="1"/>
      </w:pPr>
      <w:r>
        <w:rPr>
          <w:rFonts w:hAnsi="Arial"/>
          <w:rFonts w:ascii="Arial"/>
          <w:sz w:val="24"/>
          <w:color w:val="black"/>
        </w:rPr>
        <w:t xml:space="preserve">1. Registro civil de nacimiento del conscripto; </w:t>
      </w:r>
    </w:p>
    <w:p>
      <w:pPr>
        <w:jc w:val="both"/>
        <w:outlineLvl w:val="1"/>
      </w:pPr>
      <w:r>
        <w:rPr>
          <w:rFonts w:hAnsi="Arial"/>
          <w:rFonts w:ascii="Arial"/>
          <w:sz w:val="24"/>
          <w:color w:val="black"/>
        </w:rPr>
        <w:t xml:space="preserve">2. Fotocopia de la cιdula de ciudadanνa; </w:t>
      </w:r>
    </w:p>
    <w:p>
      <w:pPr>
        <w:jc w:val="both"/>
        <w:outlineLvl w:val="1"/>
      </w:pPr>
      <w:r>
        <w:rPr>
          <w:rFonts w:hAnsi="Arial"/>
          <w:rFonts w:ascii="Arial"/>
          <w:sz w:val="24"/>
          <w:color w:val="black"/>
        </w:rPr>
        <w:t xml:space="preserve">3. Plantilla Integrada de Liquidaciσn de Aportes (PILA), de los dos ϊltimos aρos o fracciσn donde se observe el ingreso base de cotizaciσn (IBC); </w:t>
      </w:r>
    </w:p>
    <w:p>
      <w:pPr>
        <w:jc w:val="both"/>
        <w:outlineLvl w:val="1"/>
      </w:pPr>
      <w:r>
        <w:rPr>
          <w:rFonts w:hAnsi="Arial"/>
          <w:rFonts w:ascii="Arial"/>
          <w:sz w:val="24"/>
          <w:color w:val="black"/>
        </w:rPr>
        <w:t xml:space="preserve">4. Certificado de inmuebles expedido por el Agustνn Codazzi, en las αreas donde tenga cubrimiento su base de datos, donde aparezcan registrados todos los inmuebles que se tienen a nivel nacional; </w:t>
      </w:r>
    </w:p>
    <w:p>
      <w:pPr>
        <w:jc w:val="both"/>
        <w:outlineLvl w:val="1"/>
      </w:pPr>
      <w:r>
        <w:rPr>
          <w:rFonts w:hAnsi="Arial"/>
          <w:rFonts w:ascii="Arial"/>
          <w:sz w:val="24"/>
          <w:color w:val="black"/>
        </w:rPr>
        <w:t xml:space="preserve">5. Copia del folio de matrνcula inmobiliaria expedido por la respectiva Oficina de Registro de Instrumentos Pϊblicos. </w:t>
      </w:r>
    </w:p>
    <w:p>
      <w:pPr>
        <w:jc w:val="both"/>
        <w:outlineLvl w:val="1"/>
      </w:pPr>
      <w:rPr>
        <w:sz w:val="24"/>
        <w:color w:val="black"/>
      </w:rPr>
    </w:p>
    <w:p>
      <w:pPr>
        <w:jc w:val="both"/>
        <w:outlineLvl w:val="1"/>
      </w:pPr>
      <w:r>
        <w:rPr>
          <w:rFonts w:hAnsi="Arial"/>
          <w:rFonts w:ascii="Arial"/>
          <w:sz w:val="24"/>
          <w:color w:val="black"/>
        </w:rPr>
        <w:t xml:space="preserve">Cuando se labora como independiente y no es declarante de renta: </w:t>
      </w:r>
    </w:p>
    <w:p>
      <w:pPr>
        <w:jc w:val="both"/>
        <w:outlineLvl w:val="1"/>
      </w:pPr>
      <w:rPr>
        <w:sz w:val="24"/>
        <w:color w:val="black"/>
      </w:rPr>
    </w:p>
    <w:p>
      <w:pPr>
        <w:jc w:val="both"/>
        <w:outlineLvl w:val="1"/>
      </w:pPr>
      <w:r>
        <w:rPr>
          <w:rFonts w:hAnsi="Arial"/>
          <w:rFonts w:ascii="Arial"/>
          <w:sz w:val="24"/>
          <w:color w:val="black"/>
        </w:rPr>
        <w:t xml:space="preserve">1. Registro civil de nacimiento del conscripto; </w:t>
      </w:r>
    </w:p>
    <w:p>
      <w:pPr>
        <w:jc w:val="both"/>
        <w:outlineLvl w:val="1"/>
      </w:pPr>
      <w:r>
        <w:rPr>
          <w:rFonts w:hAnsi="Arial"/>
          <w:rFonts w:ascii="Arial"/>
          <w:sz w:val="24"/>
          <w:color w:val="black"/>
        </w:rPr>
        <w:t xml:space="preserve">2. Fotocopia de la cιdula de ciudadanνa; </w:t>
      </w:r>
    </w:p>
    <w:p>
      <w:pPr>
        <w:jc w:val="both"/>
        <w:outlineLvl w:val="1"/>
      </w:pPr>
      <w:r>
        <w:rPr>
          <w:rFonts w:hAnsi="Arial"/>
          <w:rFonts w:ascii="Arial"/>
          <w:sz w:val="24"/>
          <w:color w:val="black"/>
        </w:rPr>
        <w:t xml:space="preserve">3. Certificado de ingresos original emitido por contador pϊblico el cual deberα estar acompaρado de la tarjeta profesional y certificado de la junta central de contadores, con vigencia mαxima de tres meses; </w:t>
      </w:r>
    </w:p>
    <w:p>
      <w:pPr>
        <w:jc w:val="both"/>
        <w:outlineLvl w:val="1"/>
      </w:pPr>
      <w:r>
        <w:rPr>
          <w:rFonts w:hAnsi="Arial"/>
          <w:rFonts w:ascii="Arial"/>
          <w:sz w:val="24"/>
          <w:color w:val="black"/>
        </w:rPr>
        <w:t xml:space="preserve">4. Certificado de inmuebles expedido por el Agustνn Codazzi, en las αreas donde tenga cubrimiento su base de datos donde aparezcan registrados todos los inmuebles que se tienen a nivel nacional; </w:t>
      </w:r>
    </w:p>
    <w:p>
      <w:pPr>
        <w:jc w:val="both"/>
        <w:outlineLvl w:val="1"/>
      </w:pPr>
      <w:r>
        <w:rPr>
          <w:rFonts w:hAnsi="Arial"/>
          <w:rFonts w:ascii="Arial"/>
          <w:sz w:val="24"/>
          <w:color w:val="black"/>
        </w:rPr>
        <w:t xml:space="preserve">5. Copia del folio de matrνcula inmobiliaria expedido por la respectiva Oficina de Registro de Instrumentos Pϊblicos;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En caso de argumentar deudas hipotecarias, se debe anexar la certificaciσn bancaria del crιdito especificando el estado actual de la obligaciσn a 31 de diciembre del aρo inmediatamente anterior a la clasificaciσn.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En todos los casos las autoridades de reclutamiento para efectos de aceptaciσn de los documentos presentados por el ciudadano, procederαn a determinar mediante comprobaciσn detallada los verdaderos ingresos y patrimonio lνquido del contribuyente, con el fin de liquidar correctamente la cuota de compensaciσn militar que le corresponde. </w:t>
      </w:r>
    </w:p>
    <w:p>
      <w:pPr>
        <w:jc w:val="both"/>
        <w:outlineLvl w:val="1"/>
      </w:pPr>
      <w:rPr>
        <w:sz w:val="24"/>
        <w:b/>
        <w:color w:val="black"/>
      </w:rPr>
    </w:p>
    <w:p>
      <w:pPr>
        <w:jc w:val="both"/>
        <w:outlineLvl w:val="1"/>
      </w:pPr>
      <w:r>
        <w:rPr>
          <w:rFonts w:hAnsi="Arial"/>
          <w:rFonts w:ascii="Arial"/>
          <w:sz w:val="24"/>
          <w:color w:val="black"/>
        </w:rPr>
        <w:t xml:space="preserve">(Decreto 2124 de 2008 artνculo </w:t>
      </w:r>
      <w:r>
        <w:fldChar w:fldCharType="begin"/>
      </w:r>
      <w:r>
        <w:instrText>HYPERLINK "http://www.redjurista.com/document.aspx?ajcode=d2124008&amp;arts=9"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w:t>
      </w:r>
    </w:p>
    <w:p>
      <w:pPr>
        <w:jc w:val="both"/>
        <w:keepNext/>
      </w:pPr>
      <w:rPr>
        <w:color w:val="black"/>
      </w:rPr>
    </w:p>
    <w:p>
      <w:pPr>
        <w:jc w:val="both"/>
        <w:keepNext/>
        <w:outlineLvl w:val="1"/>
      </w:pPr>
      <w:r>
        <w:rPr>
          <w:rFonts w:hAnsi="Arial"/>
          <w:rFonts w:ascii="Arial"/>
          <w:sz w:val="24"/>
          <w:b/>
          <w:vanish/>
          <w:color w:val="black"/>
        </w:rPr>
        <w:t>&amp;$</w:t>
      </w:r>
      <w:bookmarkStart w:id="61150" w:name="2.3.1.4.14.6"/>
      <w:r>
        <w:rPr>
          <w:rFonts w:hAnsi="Arial"/>
          <w:rFonts w:ascii="Arial"/>
          <w:sz w:val="24"/>
          <w:color w:val="navy"/>
        </w:rPr>
        <w:t xml:space="preserve">ARTΝCULO 2.3.1.4.14.6. VERIFICACIΣN DEL CΑLCULO DE LA CUOTA DE COMPENSACIΣN MILITAR.</w:t>
      </w:r>
      <w:bookmarkEnd w:id="6115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efectos de verificaciσn de los ingresos y el patrimonio lνquido presentados por los ciudadanos para el cαlculo de la Cuota de Compensaciσn Militar, la Direcciσn de Reclutamiento del Ejιrcito Nacional dispondrα lo necesario con el fin de realizar mensualmente cruces de informaciσn financiera con la Unidad de Informaciσn y Anαlisis Financiero. </w:t>
      </w:r>
    </w:p>
    <w:p>
      <w:pPr>
        <w:jc w:val="both"/>
        <w:keepNext/>
        <w:outlineLvl w:val="1"/>
      </w:pPr>
      <w:rPr>
        <w:sz w:val="24"/>
        <w:b/>
        <w:color w:val="black"/>
      </w:rPr>
    </w:p>
    <w:p>
      <w:pPr>
        <w:jc w:val="both"/>
        <w:keepNext/>
        <w:outlineLvl w:val="1"/>
      </w:pPr>
      <w:r>
        <w:rPr>
          <w:rFonts w:hAnsi="Arial"/>
          <w:rFonts w:ascii="Arial"/>
          <w:sz w:val="24"/>
          <w:color w:val="black"/>
        </w:rPr>
        <w:t xml:space="preserve">(Decreto 2124 de 2008 artνculo </w:t>
      </w:r>
      <w:r>
        <w:fldChar w:fldCharType="begin"/>
      </w:r>
      <w:r>
        <w:instrText>HYPERLINK "http://www.redjurista.com/document.aspx?ajcode=d2124008&amp;arts=10"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w:t>
      </w:r>
    </w:p>
    <w:p>
      <w:pPr>
        <w:jc w:val="both"/>
        <w:keepNext/>
      </w:pPr>
      <w:rPr>
        <w:color w:val="black"/>
      </w:rPr>
    </w:p>
    <w:p>
      <w:pPr>
        <w:jc w:val="both"/>
        <w:keepNext/>
        <w:outlineLvl w:val="1"/>
      </w:pPr>
      <w:r>
        <w:rPr>
          <w:rFonts w:hAnsi="Arial"/>
          <w:rFonts w:ascii="Arial"/>
          <w:sz w:val="24"/>
          <w:b/>
          <w:vanish/>
          <w:color w:val="black"/>
        </w:rPr>
        <w:t>&amp;$</w:t>
      </w:r>
      <w:bookmarkStart w:id="61151" w:name="2.3.1.4.14.7"/>
      <w:r>
        <w:rPr>
          <w:rFonts w:hAnsi="Arial"/>
          <w:rFonts w:ascii="Arial"/>
          <w:sz w:val="24"/>
          <w:color w:val="navy"/>
        </w:rPr>
        <w:t xml:space="preserve">ARTΝCULO 2.3.1.4.14.7. RECIBO DE LIQUIDACIΣN.</w:t>
      </w:r>
      <w:bookmarkEnd w:id="61151"/>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Dentro del recibo de liquidaciσn que se expida, se informarα al clasificado su obligaciσn de efectuar el pago dentro de los noventa (90) dνas siguientes a la fecha de ejecutoria del correspondiente recibo de liquidaciσn. Adicionalmente en dicho documento se indicarα la sanciσn a imponer por el no pago oportuno de la obligaciσn, advirtiιndosele que contra el respectivo acto administrativo procede el recurso de reposiciσn, el cual podrα ser interpuesto dentro de los diez (10) dνas, contados a partir del dνa siguiente de la fecha de notificaciσn del mismo. </w:t>
      </w:r>
    </w:p>
    <w:p>
      <w:pPr>
        <w:jc w:val="both"/>
        <w:keepNext/>
        <w:outlineLvl w:val="1"/>
      </w:pPr>
      <w:rPr>
        <w:sz w:val="24"/>
        <w:color w:val="black"/>
      </w:rPr>
    </w:p>
    <w:p>
      <w:pPr>
        <w:jc w:val="both"/>
        <w:keepNext/>
        <w:outlineLvl w:val="1"/>
      </w:pPr>
      <w:r>
        <w:rPr>
          <w:rFonts w:hAnsi="Arial"/>
          <w:rFonts w:ascii="Arial"/>
          <w:sz w:val="24"/>
          <w:color w:val="black"/>
        </w:rPr>
        <w:t xml:space="preserve">Ejecutoriado el acto administrativo por el cual se liquida la cuota de compensaciσn militar y no habiendo sido cancelada la obligaciσn, procederα el cobro coactivo de que trata el parαgrafo 1o del artνculo </w:t>
      </w:r>
      <w:r>
        <w:fldChar w:fldCharType="begin"/>
      </w:r>
      <w:r>
        <w:instrText>HYPERLINK "http://www.redjurista.com/document.aspx?ajcode=l1184008&amp;arts=2"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1184 de 2008, previo cobro persuasivo conforme a las disposiciones legales vigentes. </w:t>
      </w:r>
    </w:p>
    <w:p>
      <w:pPr>
        <w:jc w:val="both"/>
        <w:keepNext/>
        <w:outlineLvl w:val="1"/>
      </w:pPr>
      <w:rPr>
        <w:sz w:val="24"/>
        <w:b/>
        <w:color w:val="black"/>
      </w:rPr>
    </w:p>
    <w:p>
      <w:pPr>
        <w:jc w:val="both"/>
        <w:keepNext/>
        <w:outlineLvl w:val="1"/>
      </w:pPr>
      <w:r>
        <w:rPr>
          <w:rFonts w:hAnsi="Arial"/>
          <w:rFonts w:ascii="Arial"/>
          <w:sz w:val="24"/>
          <w:color w:val="black"/>
        </w:rPr>
        <w:t xml:space="preserve">(Decreto 2124 de 2008 artνculo </w:t>
      </w:r>
      <w:r>
        <w:fldChar w:fldCharType="begin"/>
      </w:r>
      <w:r>
        <w:instrText>HYPERLINK "http://www.redjurista.com/document.aspx?ajcode=d2124008&amp;arts=11"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w:t>
      </w:r>
    </w:p>
    <w:p>
      <w:pPr>
        <w:jc w:val="both"/>
        <w:keepNext/>
      </w:pPr>
      <w:rPr>
        <w:color w:val="black"/>
      </w:rPr>
    </w:p>
    <w:p>
      <w:pPr>
        <w:jc w:val="both"/>
        <w:keepNext/>
        <w:outlineLvl w:val="1"/>
      </w:pPr>
      <w:r>
        <w:rPr>
          <w:rFonts w:hAnsi="Arial"/>
          <w:rFonts w:ascii="Arial"/>
          <w:sz w:val="24"/>
          <w:b/>
          <w:vanish/>
          <w:color w:val="black"/>
        </w:rPr>
        <w:t>&amp;$</w:t>
      </w:r>
      <w:bookmarkStart w:id="61152" w:name="2.3.1.4.14.8"/>
      <w:r>
        <w:rPr>
          <w:rFonts w:hAnsi="Arial"/>
          <w:rFonts w:ascii="Arial"/>
          <w:sz w:val="24"/>
          <w:color w:val="navy"/>
        </w:rPr>
        <w:t xml:space="preserve">ARTΝCULO 2.3.1.4.14.8. APLAZAMIENTO POR ESTUDIOS.</w:t>
      </w:r>
      <w:bookmarkEnd w:id="61152"/>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bachilleres que al cumplimiento de la mayorνa de edad, sean convocados por las autoridades de reclutamiento y no definan su situaciσn militar por estar cursando estudios de educaciσn superior, se les aplazarα su situaciσn hasta por dos aρos, mediante entrega de tarjeta provisional, al cabo de los cuales si continϊan estudiando y dependiendo las necesidades de reemplazos en las Fuerzas, se les podrα clasificar y definir la situaciσn militar de manera definitiva, mediante el pago de la cuota de compensaciσn militar que les corresponda y de la tarjeta de reservista de segunda clase.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Los bachilleres que definan su situaciσn militar por intermedio de los colegios y academias militares y policiales, serαn clasificados tan pronto como obtengan la certificaciσn de la aprobaciσn de las tres fases de instrucciσn por parte de la unidad militar o policial respectiva y la aprobaciσn del aρo escolar. A estos bachilleres se les liquidarα la cuota de compensaciσn militar de acuerdo con las previsiones de la Ley </w:t>
      </w:r>
      <w:r>
        <w:fldChar w:fldCharType="begin"/>
      </w:r>
      <w:r>
        <w:instrText>HYPERLINK "http://www.redjurista.com/document.aspx?ajcode=l1184008&amp;arts=INICIO"</w:instrText>
      </w:r>
      <w:r>
        <w:fldChar w:fldCharType="separate"/>
      </w:r>
      <w:r>
        <w:rPr>
          <w:rFonts w:hAnsi="Arial"/>
          <w:rFonts w:ascii="Arial"/>
          <w:sz w:val="24"/>
          <w:u w:val="single"/>
          <w:color w:val="black"/>
        </w:rPr>
        <w:t>1184</w:t>
      </w:r>
      <w:r>
        <w:fldChar w:fldCharType="end"/>
      </w:r>
      <w:r>
        <w:rPr>
          <w:rFonts w:hAnsi="Arial"/>
          <w:rFonts w:ascii="Arial"/>
          <w:sz w:val="24"/>
          <w:u w:val="none"/>
          <w:color w:val="black"/>
        </w:rPr>
        <w:t xml:space="preserve"> de 2008 y tendrαn derecho a que se les expida tarjeta de reservistas de primera clase.</w:t>
      </w:r>
    </w:p>
    <w:p>
      <w:pPr>
        <w:jc w:val="both"/>
        <w:keepNext/>
        <w:outlineLvl w:val="1"/>
      </w:pPr>
      <w:rPr>
        <w:sz w:val="24"/>
        <w:b/>
        <w:color w:val="black"/>
      </w:rPr>
    </w:p>
    <w:p>
      <w:pPr>
        <w:jc w:val="both"/>
        <w:keepNext/>
        <w:outlineLvl w:val="1"/>
      </w:pPr>
      <w:r>
        <w:rPr>
          <w:rFonts w:hAnsi="Arial"/>
          <w:rFonts w:ascii="Arial"/>
          <w:sz w:val="24"/>
          <w:color w:val="black"/>
        </w:rPr>
        <w:t xml:space="preserve">(Decreto 2124 de 2008 artνculo </w:t>
      </w:r>
      <w:r>
        <w:fldChar w:fldCharType="begin"/>
      </w:r>
      <w:r>
        <w:instrText>HYPERLINK "http://www.redjurista.com/document.aspx?ajcode=d2124008&amp;arts=13"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b/>
          <w:vanish/>
          <w:color w:val="black"/>
        </w:rPr>
        <w:t>&amp;$</w:t>
      </w:r>
      <w:bookmarkStart w:id="61153" w:name="2.3.1.4.14.9"/>
      <w:r>
        <w:rPr>
          <w:rFonts w:hAnsi="Arial"/>
          <w:rFonts w:ascii="Arial"/>
          <w:sz w:val="24"/>
          <w:color w:val="navy"/>
        </w:rPr>
        <w:t xml:space="preserve">ARTΝCULO 2.3.1.4.14.9. DESCUENTO DEL VALOR DE LA CUOTA DE COMPENSACIΣN MILITAR. </w:t>
      </w:r>
      <w:bookmarkEnd w:id="61153"/>
      <w:r>
        <w:rPr>
          <w:rFonts w:hAnsi="Arial"/>
          <w:rFonts w:ascii="Arial"/>
          <w:sz w:val="24"/>
          <w:color w:val="black"/>
        </w:rPr>
        <w:t xml:space="preserve">&lt;Artνculo adicionado por el artνculo </w:t>
      </w:r>
      <w:r>
        <w:fldChar w:fldCharType="begin"/>
      </w:r>
      <w:r>
        <w:instrText>HYPERLINK "http://www.redjurista.com/document.aspx?ajcode=d1345020&amp;arts=3"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1345 de 2020. El nuevo texto es el siguiente:&gt; Concιdase un descuento del 20% del valor de la cuota de compensaciσn militar que corresponda, a los hijos o custodios legales de los Reservistas de Honor sin Pensiσn de Invalidez, sin Asignaciσn de Retiro y de aquellos miembros de la Fuerza Pϊblica que hayan participado en nombre de la Repϊblica de Colombia en conflictos Internacionales.</w:t>
      </w:r>
    </w:p>
    <w:p>
      <w:pPr>
        <w:jc w:val="both"/>
        <w:outlineLvl w:val="1"/>
      </w:pPr>
      <w:rPr>
        <w:sz w:val="24"/>
        <w:b/>
        <w:color w:val="black"/>
      </w:rPr>
    </w:p>
    <w:p>
      <w:pPr>
        <w:jc w:val="center"/>
        <w:outlineLvl w:val="1"/>
      </w:pPr>
      <w:r>
        <w:rPr>
          <w:rFonts w:hAnsi="Arial"/>
          <w:rFonts w:ascii="Arial"/>
          <w:sz w:val="24"/>
          <w:b/>
          <w:vanish/>
          <w:color w:val="black"/>
        </w:rPr>
        <w:t>&amp;$</w:t>
      </w:r>
      <w:bookmarkStart w:id="61154" w:name="SECCIÓN 2.3.1.4.15"/>
      <w:r>
        <w:rPr>
          <w:rFonts w:hAnsi="Arial"/>
          <w:rFonts w:ascii="Arial"/>
          <w:sz w:val="24"/>
          <w:color w:val="navy"/>
        </w:rPr>
        <w:t xml:space="preserve">SECCIΣN 15. </w:t>
      </w:r>
    </w:p>
    <w:p>
      <w:pPr>
        <w:jc w:val="center"/>
        <w:outlineLvl w:val="1"/>
      </w:pPr>
      <w:r>
        <w:rPr>
          <w:rFonts w:hAnsi="Arial"/>
          <w:rFonts w:ascii="Arial"/>
          <w:sz w:val="24"/>
          <w:color w:val="navy"/>
        </w:rPr>
        <w:t xml:space="preserve">EXPEDICIΣN CΙDULAS MILITARES OFICIALES, SUBOFICIALES Y SOLDADOS PROFESIONALES Y ALUMNOS DE LAS ESCUELAS DE FORMACIΣN DE OFICIALES SUBOFICIALES Y SOLDADOS PROFESIONALES.</w:t>
      </w:r>
      <w:bookmarkEnd w:id="61154"/>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1155" w:name="2.3.1.4.15.1"/>
      <w:r>
        <w:rPr>
          <w:rFonts w:hAnsi="Arial"/>
          <w:rFonts w:ascii="Arial"/>
          <w:sz w:val="24"/>
          <w:color w:val="navy"/>
        </w:rPr>
        <w:t xml:space="preserve">ARTΝCULO 2.3.1.4.15.1. DEFINICIONES.</w:t>
      </w:r>
      <w:bookmarkEnd w:id="61155"/>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Para los solos efectos de la presente Secciσn se tendrαn en cuenta las siguientes definiciones: </w:t>
      </w:r>
    </w:p>
    <w:p>
      <w:pPr>
        <w:jc w:val="both"/>
        <w:outlineLvl w:val="1"/>
      </w:pPr>
      <w:rPr>
        <w:sz w:val="24"/>
        <w:color w:val="black"/>
      </w:rPr>
    </w:p>
    <w:p>
      <w:pPr>
        <w:jc w:val="both"/>
        <w:outlineLvl w:val="1"/>
      </w:pPr>
      <w:r>
        <w:rPr>
          <w:rFonts w:hAnsi="Arial"/>
          <w:rFonts w:ascii="Arial"/>
          <w:sz w:val="24"/>
          <w:color w:val="black"/>
        </w:rPr>
        <w:t xml:space="preserve">Cιdula Militar: Es el documento que identifica militarmente al personal de Oficiales, Suboficiales, Soldados Profesionales e Infantes de Marina Profesionales de las Fuerzas Militares, en servicio activo, situaciσn de retiro o de reserva. </w:t>
      </w:r>
    </w:p>
    <w:p>
      <w:pPr>
        <w:jc w:val="both"/>
        <w:outlineLvl w:val="1"/>
      </w:pPr>
      <w:rPr>
        <w:sz w:val="24"/>
        <w:color w:val="black"/>
      </w:rPr>
    </w:p>
    <w:p>
      <w:pPr>
        <w:jc w:val="both"/>
        <w:outlineLvl w:val="1"/>
      </w:pPr>
      <w:r>
        <w:rPr>
          <w:rFonts w:hAnsi="Arial"/>
          <w:rFonts w:ascii="Arial"/>
          <w:sz w:val="24"/>
          <w:color w:val="black"/>
        </w:rPr>
        <w:t xml:space="preserve">Tarjeta de Identificaciσn Militar: Es el documento que identifica militarmente a los alumnos de escuelas de formaciσn de las Fuerzas Militares. </w:t>
      </w:r>
    </w:p>
    <w:p>
      <w:pPr>
        <w:jc w:val="both"/>
        <w:outlineLvl w:val="1"/>
      </w:pPr>
      <w:rPr>
        <w:sz w:val="24"/>
        <w:b/>
        <w:color w:val="black"/>
      </w:rPr>
    </w:p>
    <w:p>
      <w:pPr>
        <w:jc w:val="both"/>
        <w:outlineLvl w:val="1"/>
      </w:pPr>
      <w:r>
        <w:rPr>
          <w:rFonts w:hAnsi="Arial"/>
          <w:rFonts w:ascii="Arial"/>
          <w:sz w:val="24"/>
          <w:color w:val="black"/>
        </w:rPr>
        <w:t xml:space="preserve">(Decreto 0284 de 2013 artνculo </w:t>
      </w:r>
      <w:r>
        <w:fldChar w:fldCharType="begin"/>
      </w:r>
      <w:r>
        <w:instrText>HYPERLINK "http://www.redjurista.com/document.aspx?ajcode=d0284013&amp;arts=1"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w:t>
      </w:r>
    </w:p>
    <w:p>
      <w:pPr>
        <w:jc w:val="both"/>
      </w:pPr>
      <w:rPr>
        <w:color w:val="black"/>
      </w:rPr>
    </w:p>
    <w:p>
      <w:pPr>
        <w:jc w:val="both"/>
        <w:outlineLvl w:val="1"/>
      </w:pPr>
      <w:r>
        <w:rPr>
          <w:rFonts w:hAnsi="Arial"/>
          <w:rFonts w:ascii="Arial"/>
          <w:sz w:val="24"/>
          <w:b/>
          <w:vanish/>
          <w:color w:val="black"/>
        </w:rPr>
        <w:t>&amp;$</w:t>
      </w:r>
      <w:bookmarkStart w:id="61156" w:name="2.3.1.4.15.2"/>
      <w:r>
        <w:rPr>
          <w:rFonts w:hAnsi="Arial"/>
          <w:rFonts w:ascii="Arial"/>
          <w:sz w:val="24"/>
          <w:color w:val="navy"/>
        </w:rPr>
        <w:t xml:space="preserve">ARTΝCULO 2.3.1.4.15.2. CΙDULA MILITAR PARA PERSONAL EN SERVICIO ACTIVO.</w:t>
      </w:r>
      <w:bookmarkEnd w:id="61156"/>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cιdula militar para el caso de Oficiales, Suboficiales, Soldados Profesionales e Infantes de Marina Profesionales de las Fuerzas Militares, y la tarjeta de identificaciσn militar para los alumnos de escuelas de formaciσn de la Fuerzas Militares, reemplaza la respectiva tarjeta de reservista. </w:t>
      </w:r>
    </w:p>
    <w:p>
      <w:pPr>
        <w:jc w:val="both"/>
        <w:outlineLvl w:val="1"/>
      </w:pPr>
      <w:rPr>
        <w:sz w:val="24"/>
        <w:b/>
        <w:color w:val="black"/>
      </w:rPr>
    </w:p>
    <w:p>
      <w:pPr>
        <w:jc w:val="both"/>
        <w:outlineLvl w:val="1"/>
      </w:pPr>
      <w:r>
        <w:rPr>
          <w:rFonts w:hAnsi="Arial"/>
          <w:rFonts w:ascii="Arial"/>
          <w:sz w:val="24"/>
          <w:color w:val="black"/>
        </w:rPr>
        <w:t xml:space="preserve">(Decreto 0284 de 2013 artνculo </w:t>
      </w:r>
      <w:r>
        <w:fldChar w:fldCharType="begin"/>
      </w:r>
      <w:r>
        <w:instrText>HYPERLINK "http://www.redjurista.com/document.aspx?ajcode=d0284013&amp;arts=2"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w:t>
      </w:r>
    </w:p>
    <w:p>
      <w:pPr>
        <w:jc w:val="both"/>
      </w:pPr>
      <w:rPr>
        <w:color w:val="black"/>
      </w:rPr>
    </w:p>
    <w:p>
      <w:pPr>
        <w:jc w:val="both"/>
        <w:outlineLvl w:val="1"/>
      </w:pPr>
      <w:r>
        <w:rPr>
          <w:rFonts w:hAnsi="Arial"/>
          <w:rFonts w:ascii="Arial"/>
          <w:sz w:val="24"/>
          <w:b/>
          <w:vanish/>
          <w:color w:val="black"/>
        </w:rPr>
        <w:t>&amp;$</w:t>
      </w:r>
      <w:bookmarkStart w:id="61157" w:name="2.3.1.4.15.3"/>
      <w:r>
        <w:rPr>
          <w:rFonts w:hAnsi="Arial"/>
          <w:rFonts w:ascii="Arial"/>
          <w:sz w:val="24"/>
          <w:color w:val="navy"/>
        </w:rPr>
        <w:t xml:space="preserve">ARTΝCULO 2.3.1.4.15.3. CΙDULA MILITAR PARA PERSONAL RETIRADO.</w:t>
      </w:r>
      <w:bookmarkEnd w:id="61157"/>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cιdula militar para el caso de Oficiales, Suboficiales, Soldados Profesionales e Infantes de Marina Profesionales de las Fuerzas Militares retirados, se expedirα conforme a los lineamientos establecidos en el artνculo </w:t>
      </w:r>
      <w:r>
        <w:fldChar w:fldCharType="begin"/>
      </w:r>
      <w:r>
        <w:instrText>HYPERLINK "http://www.redjurista.com/document.aspx?ajcode=d1070015&amp;arts=2.3.1.4.15.5"</w:instrText>
      </w:r>
      <w:r>
        <w:fldChar w:fldCharType="separate"/>
      </w:r>
      <w:r>
        <w:rPr>
          <w:rFonts w:hAnsi="Arial"/>
          <w:rFonts w:ascii="Arial"/>
          <w:sz w:val="24"/>
          <w:u w:val="single"/>
          <w:color w:val="black"/>
        </w:rPr>
        <w:t>2.3.1.4.15.5</w:t>
      </w:r>
      <w:r>
        <w:fldChar w:fldCharType="end"/>
      </w:r>
      <w:r>
        <w:rPr>
          <w:rFonts w:hAnsi="Arial"/>
          <w:rFonts w:ascii="Arial"/>
          <w:sz w:val="24"/>
          <w:u w:val="none"/>
          <w:color w:val="black"/>
        </w:rPr>
        <w:t xml:space="preserve"> del presente Decreto. </w:t>
      </w:r>
    </w:p>
    <w:p>
      <w:pPr>
        <w:jc w:val="both"/>
        <w:keepNext/>
      </w:pPr>
      <w:rPr>
        <w:color w:val="black"/>
      </w:rPr>
    </w:p>
    <w:p>
      <w:pPr>
        <w:jc w:val="both"/>
        <w:keepNext/>
        <w:outlineLvl w:val="1"/>
      </w:pPr>
      <w:r>
        <w:rPr>
          <w:rFonts w:hAnsi="Arial"/>
          <w:rFonts w:ascii="Arial"/>
          <w:sz w:val="24"/>
          <w:b/>
          <w:vanish/>
          <w:color w:val="black"/>
        </w:rPr>
        <w:t>&amp;$</w:t>
      </w:r>
      <w:bookmarkStart w:id="61158" w:name="2.3.1.4.15.4"/>
      <w:r>
        <w:rPr>
          <w:rFonts w:hAnsi="Arial"/>
          <w:rFonts w:ascii="Arial"/>
          <w:sz w:val="24"/>
          <w:color w:val="navy"/>
        </w:rPr>
        <w:t xml:space="preserve">ARTΝCULO 2.3.1.4.15.4. DOCUMENTO PARA PERSONAL RETIRADO POR SEPARACIΣN ABSOLUTA.</w:t>
      </w:r>
      <w:bookmarkEnd w:id="61158"/>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En los casos de retiro del Oficial, Suboficial, Soldados Profesionales o Infantes de Marina Profesionales de las Fuerzas Militares por separaciσn absoluta como consecuencia de sentencia condenatoria en materia penal o disciplinaria, se expedirα “Tarjeta de Reservista de Primera Clase”, con el ϊltimo grado que hubiere tenido en servicio activo y fotografνa en traje de civil. </w:t>
      </w:r>
    </w:p>
    <w:p>
      <w:pPr>
        <w:jc w:val="both"/>
        <w:keepNext/>
        <w:outlineLvl w:val="1"/>
      </w:pPr>
      <w:rPr>
        <w:sz w:val="24"/>
        <w:b/>
        <w:color w:val="black"/>
      </w:rPr>
    </w:p>
    <w:p>
      <w:pPr>
        <w:jc w:val="both"/>
        <w:keepNext/>
        <w:outlineLvl w:val="1"/>
      </w:pPr>
      <w:r>
        <w:rPr>
          <w:rFonts w:hAnsi="Arial"/>
          <w:rFonts w:ascii="Arial"/>
          <w:sz w:val="24"/>
          <w:color w:val="black"/>
        </w:rPr>
        <w:t xml:space="preserve">(Decreto 0284 de 2013 artνculo </w:t>
      </w:r>
      <w:r>
        <w:fldChar w:fldCharType="begin"/>
      </w:r>
      <w:r>
        <w:instrText>HYPERLINK "http://www.redjurista.com/document.aspx?ajcode=d0284013&amp;arts=3"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w:t>
      </w:r>
    </w:p>
    <w:p>
      <w:pPr>
        <w:jc w:val="both"/>
        <w:keepNext/>
      </w:pPr>
      <w:rPr>
        <w:color w:val="black"/>
      </w:rPr>
    </w:p>
    <w:p>
      <w:pPr>
        <w:jc w:val="both"/>
        <w:keepNext/>
        <w:outlineLvl w:val="1"/>
      </w:pPr>
      <w:r>
        <w:rPr>
          <w:rFonts w:hAnsi="Arial"/>
          <w:rFonts w:ascii="Arial"/>
          <w:sz w:val="24"/>
          <w:b/>
          <w:vanish/>
          <w:color w:val="black"/>
        </w:rPr>
        <w:t>&amp;$</w:t>
      </w:r>
      <w:bookmarkStart w:id="61159" w:name="2.3.1.4.15.5"/>
      <w:r>
        <w:rPr>
          <w:rFonts w:hAnsi="Arial"/>
          <w:rFonts w:ascii="Arial"/>
          <w:sz w:val="24"/>
          <w:color w:val="navy"/>
        </w:rPr>
        <w:t xml:space="preserve">ARTΝCULO 2.3.1.4.15.5. MODELO.</w:t>
      </w:r>
      <w:bookmarkEnd w:id="61159"/>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La unificaciσn del modelo, tιrminos de validez y demαs aspectos relacionados con los documentos de identificaciσn de que tratan los artνculos anteriores, se harα por disposiciσn del Ministerio de Defensa Nacional - Comando de Reclutamiento y Control Reservas del Ejιrcito Nacional, que contenga como mνnimo lo siguiente: </w:t>
      </w:r>
    </w:p>
    <w:p>
      <w:pPr>
        <w:jc w:val="both"/>
        <w:keepNext/>
        <w:outlineLvl w:val="1"/>
      </w:pPr>
      <w:rPr>
        <w:sz w:val="24"/>
        <w:color w:val="black"/>
      </w:rPr>
    </w:p>
    <w:p>
      <w:pPr>
        <w:jc w:val="both"/>
        <w:keepNext/>
        <w:outlineLvl w:val="1"/>
      </w:pPr>
      <w:r>
        <w:rPr>
          <w:rFonts w:hAnsi="Arial"/>
          <w:rFonts w:ascii="Arial"/>
          <w:sz w:val="24"/>
          <w:color w:val="black"/>
        </w:rPr>
        <w:t xml:space="preserve">a) Escudo de Colombia; </w:t>
      </w:r>
    </w:p>
    <w:p>
      <w:pPr>
        <w:jc w:val="both"/>
        <w:keepNext/>
        <w:outlineLvl w:val="1"/>
      </w:pPr>
      <w:rPr>
        <w:sz w:val="24"/>
        <w:b/>
        <w:color w:val="black"/>
      </w:rPr>
    </w:p>
    <w:p>
      <w:pPr>
        <w:jc w:val="both"/>
        <w:keepNext/>
        <w:outlineLvl w:val="1"/>
      </w:pPr>
      <w:r>
        <w:rPr>
          <w:rFonts w:hAnsi="Arial"/>
          <w:rFonts w:ascii="Arial"/>
          <w:sz w:val="24"/>
          <w:color w:val="black"/>
        </w:rPr>
        <w:t xml:space="preserve">b) Leyenda: Repϊblica de Colombia, Fuerzas Militares, Ejιrcito Nacional, Armada Nacional o Fuerza Aιrea Colombiana</w:t>
      </w:r>
      <w:r>
        <w:rPr>
          <w:rFonts w:hAnsi="Arial"/>
          <w:rFonts w:ascii="Arial"/>
          <w:sz w:val="24"/>
          <w:vertAlign w:val="superscript"/>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w:t>
      </w:r>
    </w:p>
    <w:p>
      <w:pPr>
        <w:jc w:val="both"/>
        <w:keepNext/>
        <w:outlineLvl w:val="1"/>
      </w:pPr>
      <w:rPr>
        <w:sz w:val="24"/>
        <w:b/>
        <w:color w:val="black"/>
      </w:rPr>
    </w:p>
    <w:p>
      <w:pPr>
        <w:jc w:val="both"/>
        <w:keepNext/>
        <w:outlineLvl w:val="1"/>
      </w:pPr>
      <w:r>
        <w:rPr>
          <w:rFonts w:hAnsi="Arial"/>
          <w:rFonts w:ascii="Arial"/>
          <w:sz w:val="24"/>
          <w:color w:val="black"/>
        </w:rPr>
        <w:t xml:space="preserve">c) Denominaciσn del documento, ya sea Cιdula Militar de Oficial, Suboficial, Soldados Profesionales o Infantes de Marina Profesionales; tarjeta de identificaciσn militar para el caso de los alumnos de las Escuelas de formaciσn de las Fuerzas Militares; </w:t>
      </w:r>
    </w:p>
    <w:p>
      <w:pPr>
        <w:jc w:val="both"/>
        <w:keepNext/>
        <w:outlineLvl w:val="1"/>
      </w:pPr>
      <w:rPr>
        <w:sz w:val="24"/>
        <w:b/>
        <w:color w:val="black"/>
      </w:rPr>
    </w:p>
    <w:p>
      <w:pPr>
        <w:jc w:val="both"/>
        <w:keepNext/>
        <w:outlineLvl w:val="1"/>
      </w:pPr>
      <w:r>
        <w:rPr>
          <w:rFonts w:hAnsi="Arial"/>
          <w:rFonts w:ascii="Arial"/>
          <w:sz w:val="24"/>
          <w:color w:val="black"/>
        </w:rPr>
        <w:t xml:space="preserve">d) Situaciσn en la cual se encuentre el Oficial o el Suboficial, Soldados Profesionales, Infantes de Marina Profesionales o alumno, seρalando Actividad, retiro o reserva; </w:t>
      </w:r>
    </w:p>
    <w:p>
      <w:pPr>
        <w:jc w:val="both"/>
        <w:keepNext/>
        <w:outlineLvl w:val="1"/>
      </w:pPr>
      <w:rPr>
        <w:sz w:val="24"/>
        <w:b/>
        <w:color w:val="black"/>
      </w:rPr>
    </w:p>
    <w:p>
      <w:pPr>
        <w:jc w:val="both"/>
        <w:keepNext/>
        <w:outlineLvl w:val="1"/>
      </w:pPr>
      <w:r>
        <w:rPr>
          <w:rFonts w:hAnsi="Arial"/>
          <w:rFonts w:ascii="Arial"/>
          <w:sz w:val="24"/>
          <w:color w:val="black"/>
        </w:rPr>
        <w:t xml:space="preserve">e) Nϊmero de cιdula de ciudadanνa; </w:t>
      </w:r>
    </w:p>
    <w:p>
      <w:pPr>
        <w:jc w:val="both"/>
        <w:keepNext/>
        <w:outlineLvl w:val="1"/>
      </w:pPr>
      <w:rPr>
        <w:sz w:val="24"/>
        <w:b/>
        <w:color w:val="black"/>
      </w:rPr>
    </w:p>
    <w:p>
      <w:pPr>
        <w:jc w:val="both"/>
        <w:keepNext/>
        <w:outlineLvl w:val="1"/>
      </w:pPr>
      <w:r>
        <w:rPr>
          <w:rFonts w:hAnsi="Arial"/>
          <w:rFonts w:ascii="Arial"/>
          <w:sz w:val="24"/>
          <w:color w:val="black"/>
        </w:rPr>
        <w:t xml:space="preserve">f) Grado, apellidos y nombres; </w:t>
      </w:r>
    </w:p>
    <w:p>
      <w:pPr>
        <w:jc w:val="both"/>
        <w:keepNext/>
        <w:outlineLvl w:val="1"/>
      </w:pPr>
      <w:rPr>
        <w:sz w:val="24"/>
        <w:b/>
        <w:color w:val="black"/>
      </w:rPr>
    </w:p>
    <w:p>
      <w:pPr>
        <w:jc w:val="both"/>
        <w:keepNext/>
        <w:outlineLvl w:val="1"/>
      </w:pPr>
      <w:r>
        <w:rPr>
          <w:rFonts w:hAnsi="Arial"/>
          <w:rFonts w:ascii="Arial"/>
          <w:sz w:val="24"/>
          <w:color w:val="black"/>
        </w:rPr>
        <w:t xml:space="preserve">g) Fotografνa de 2.5 x 4.5 centνmetros; </w:t>
      </w:r>
    </w:p>
    <w:p>
      <w:pPr>
        <w:jc w:val="both"/>
        <w:keepNext/>
        <w:outlineLvl w:val="1"/>
      </w:pPr>
      <w:rPr>
        <w:sz w:val="24"/>
        <w:b/>
        <w:color w:val="black"/>
      </w:rPr>
    </w:p>
    <w:p>
      <w:pPr>
        <w:jc w:val="both"/>
        <w:keepNext/>
        <w:outlineLvl w:val="1"/>
      </w:pPr>
      <w:r>
        <w:rPr>
          <w:rFonts w:hAnsi="Arial"/>
          <w:rFonts w:ascii="Arial"/>
          <w:sz w:val="24"/>
          <w:color w:val="black"/>
        </w:rPr>
        <w:t xml:space="preserve">h) Fecha de nacimiento; </w:t>
      </w:r>
    </w:p>
    <w:p>
      <w:pPr>
        <w:jc w:val="both"/>
        <w:keepNext/>
        <w:outlineLvl w:val="1"/>
      </w:pPr>
      <w:rPr>
        <w:sz w:val="24"/>
        <w:b/>
        <w:color w:val="black"/>
      </w:rPr>
    </w:p>
    <w:p>
      <w:pPr>
        <w:jc w:val="both"/>
        <w:keepNext/>
        <w:outlineLvl w:val="1"/>
      </w:pPr>
      <w:r>
        <w:rPr>
          <w:rFonts w:hAnsi="Arial"/>
          <w:rFonts w:ascii="Arial"/>
          <w:sz w:val="24"/>
          <w:color w:val="black"/>
        </w:rPr>
        <w:t xml:space="preserve">i) Arma, servicio o profesiσn; </w:t>
      </w:r>
    </w:p>
    <w:p>
      <w:pPr>
        <w:jc w:val="both"/>
        <w:keepNext/>
        <w:outlineLvl w:val="1"/>
      </w:pPr>
      <w:rPr>
        <w:sz w:val="24"/>
        <w:b/>
        <w:color w:val="black"/>
      </w:rPr>
    </w:p>
    <w:p>
      <w:pPr>
        <w:jc w:val="both"/>
        <w:keepNext/>
        <w:outlineLvl w:val="1"/>
      </w:pPr>
      <w:r>
        <w:rPr>
          <w:rFonts w:hAnsi="Arial"/>
          <w:rFonts w:ascii="Arial"/>
          <w:sz w:val="24"/>
          <w:color w:val="black"/>
        </w:rPr>
        <w:t xml:space="preserve">j) Disposiciσn de ascenso, retiro o promociσn; </w:t>
      </w:r>
    </w:p>
    <w:p>
      <w:pPr>
        <w:jc w:val="both"/>
        <w:keepNext/>
        <w:outlineLvl w:val="1"/>
      </w:pPr>
      <w:rPr>
        <w:sz w:val="24"/>
        <w:b/>
        <w:color w:val="black"/>
      </w:rPr>
    </w:p>
    <w:p>
      <w:pPr>
        <w:jc w:val="both"/>
        <w:keepNext/>
        <w:outlineLvl w:val="1"/>
      </w:pPr>
      <w:r>
        <w:rPr>
          <w:rFonts w:hAnsi="Arial"/>
          <w:rFonts w:ascii="Arial"/>
          <w:sz w:val="24"/>
          <w:color w:val="black"/>
        </w:rPr>
        <w:t xml:space="preserve">k) Fecha de expediciσn; </w:t>
      </w:r>
    </w:p>
    <w:p>
      <w:pPr>
        <w:jc w:val="both"/>
        <w:keepNext/>
        <w:outlineLvl w:val="1"/>
      </w:pPr>
      <w:rPr>
        <w:sz w:val="24"/>
        <w:b/>
        <w:color w:val="black"/>
      </w:rPr>
    </w:p>
    <w:p>
      <w:pPr>
        <w:jc w:val="both"/>
        <w:keepNext/>
        <w:outlineLvl w:val="1"/>
      </w:pPr>
      <w:r>
        <w:rPr>
          <w:rFonts w:hAnsi="Arial"/>
          <w:rFonts w:ascii="Arial"/>
          <w:sz w:val="24"/>
          <w:color w:val="black"/>
        </w:rPr>
        <w:t xml:space="preserve">l) Firma, posfirma y sello del Jefe del Departamento de Personal o quien haga sus veces, para los que se encuentran en servicio activo, o del Director de Control Reservas del Ejιrcito Nacional, o su equivalente en las demαs Fuerzas para el personal en retiro o en reserva; </w:t>
      </w:r>
    </w:p>
    <w:p>
      <w:pPr>
        <w:jc w:val="both"/>
        <w:keepNext/>
        <w:outlineLvl w:val="1"/>
      </w:pPr>
      <w:rPr>
        <w:sz w:val="24"/>
        <w:b/>
        <w:color w:val="black"/>
      </w:rPr>
    </w:p>
    <w:p>
      <w:pPr>
        <w:jc w:val="both"/>
        <w:keepNext/>
        <w:outlineLvl w:val="1"/>
      </w:pPr>
      <w:r>
        <w:rPr>
          <w:rFonts w:hAnsi="Arial"/>
          <w:rFonts w:ascii="Arial"/>
          <w:sz w:val="24"/>
          <w:color w:val="black"/>
        </w:rPr>
        <w:t xml:space="preserve">m) Instrucciones especiales aplicables al documento. </w:t>
      </w:r>
    </w:p>
    <w:p>
      <w:pPr>
        <w:jc w:val="both"/>
        <w:keepNext/>
        <w:outlineLvl w:val="1"/>
      </w:pPr>
      <w:rPr>
        <w:sz w:val="24"/>
        <w:b/>
        <w:color w:val="black"/>
      </w:rPr>
    </w:p>
    <w:p>
      <w:pPr>
        <w:jc w:val="both"/>
        <w:keepNext/>
        <w:outlineLvl w:val="1"/>
      </w:pPr>
      <w:r>
        <w:rPr>
          <w:rFonts w:hAnsi="Arial"/>
          <w:rFonts w:ascii="Arial"/>
          <w:sz w:val="24"/>
          <w:color w:val="black"/>
        </w:rPr>
        <w:t xml:space="preserve">(Decreto 0284 de 2013 artνculo </w:t>
      </w:r>
      <w:r>
        <w:fldChar w:fldCharType="begin"/>
      </w:r>
      <w:r>
        <w:instrText>HYPERLINK "http://www.redjurista.com/document.aspx?ajcode=d0284013&amp;arts=4"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w:t>
      </w:r>
    </w:p>
    <w:p>
      <w:pPr>
        <w:jc w:val="both"/>
        <w:keepNext/>
      </w:pPr>
      <w:rPr>
        <w:color w:val="black"/>
      </w:rPr>
    </w:p>
    <w:p>
      <w:pPr>
        <w:jc w:val="both"/>
        <w:keepNext/>
        <w:outlineLvl w:val="1"/>
      </w:pPr>
      <w:r>
        <w:rPr>
          <w:rFonts w:hAnsi="Arial"/>
          <w:rFonts w:ascii="Arial"/>
          <w:sz w:val="24"/>
          <w:b/>
          <w:vanish/>
          <w:color w:val="black"/>
        </w:rPr>
        <w:t>&amp;$</w:t>
      </w:r>
      <w:bookmarkStart w:id="61160" w:name="2.3.1.4.15.6"/>
      <w:r>
        <w:rPr>
          <w:rFonts w:hAnsi="Arial"/>
          <w:rFonts w:ascii="Arial"/>
          <w:sz w:val="24"/>
          <w:color w:val="navy"/>
        </w:rPr>
        <w:t xml:space="preserve">ARTΝCULO 2.3.1.4.15.6. MODIFICACIΣN DOCUMENTO.</w:t>
      </w:r>
      <w:bookmarkEnd w:id="61160"/>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Los Oficiales, Suboficiales y Soldados Profesionales e Infantes de Marina Profesionales de las Fuerzas Militares que cambien de grado, bien sea por ascenso, retiro del servicio activo o promociσn, solicitarαn el cambio del documento de identificaciσn militar correspondiente a su nuevo estado. </w:t>
      </w:r>
    </w:p>
    <w:p>
      <w:pPr>
        <w:jc w:val="both"/>
        <w:keepNext/>
        <w:outlineLvl w:val="1"/>
      </w:pPr>
      <w:rPr>
        <w:sz w:val="24"/>
        <w:b/>
        <w:color w:val="black"/>
      </w:rPr>
    </w:p>
    <w:p>
      <w:pPr>
        <w:jc w:val="both"/>
        <w:keepNext/>
        <w:outlineLvl w:val="1"/>
      </w:pPr>
      <w:r>
        <w:rPr>
          <w:rFonts w:hAnsi="Arial"/>
          <w:rFonts w:ascii="Arial"/>
          <w:sz w:val="24"/>
          <w:color w:val="black"/>
        </w:rPr>
        <w:t xml:space="preserve">(Decreto 0284 de 2013 artνculo </w:t>
      </w:r>
      <w:r>
        <w:fldChar w:fldCharType="begin"/>
      </w:r>
      <w:r>
        <w:instrText>HYPERLINK "http://www.redjurista.com/document.aspx?ajcode=d0284013&amp;arts=5"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w:t>
      </w:r>
    </w:p>
    <w:p>
      <w:pPr>
        <w:jc w:val="both"/>
        <w:keepNext/>
      </w:pPr>
      <w:rPr>
        <w:color w:val="black"/>
      </w:rPr>
    </w:p>
    <w:p>
      <w:pPr>
        <w:jc w:val="both"/>
        <w:keepNext/>
        <w:outlineLvl w:val="1"/>
      </w:pPr>
      <w:r>
        <w:rPr>
          <w:rFonts w:hAnsi="Arial"/>
          <w:rFonts w:ascii="Arial"/>
          <w:sz w:val="24"/>
          <w:b/>
          <w:vanish/>
          <w:color w:val="black"/>
        </w:rPr>
        <w:t>&amp;$</w:t>
      </w:r>
      <w:bookmarkStart w:id="61161" w:name="2.3.1.4.15.7"/>
      <w:r>
        <w:rPr>
          <w:rFonts w:hAnsi="Arial"/>
          <w:rFonts w:ascii="Arial"/>
          <w:sz w:val="24"/>
          <w:color w:val="navy"/>
        </w:rPr>
        <w:t xml:space="preserve">ARTΝCULO 2.3.1.4.15.7. REGISTRO Y CONTROL.</w:t>
      </w:r>
      <w:bookmarkEnd w:id="61161"/>
      <w:r>
        <w:rPr>
          <w:rFonts w:hAnsi="Arial"/>
          <w:rFonts w:ascii="Arial"/>
          <w:sz w:val="24"/>
          <w:color w:val="black"/>
        </w:rPr>
        <w:t xml:space="preserve"> &lt;Artνculo modificado por el artνculo </w:t>
      </w:r>
      <w:r>
        <w:fldChar w:fldCharType="begin"/>
      </w:r>
      <w:r>
        <w:instrText>HYPERLINK "http://www.redjurista.com/document.aspx?ajcode=d0977018&amp;arts=1"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977 de 2018. El nuevo texto es el siguiente:&gt; El Comando de Reclutamiento y Control Reservas del Ejιrcito Nacional y sus equivalentes en la Armada Nacional y en la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llevarαn el registro y control correspondiente del personal en retiro y los Jefes de Departamento de personal de cada una de las fuerzas o quien haga sus veces del personal en actividad; las Escuelas de formaciσn de las Fuerzas Militares llevarαn el registro y control de la tarjeta de identificaciσn militar de los alumnos. </w:t>
      </w:r>
    </w:p>
    <w:p>
      <w:pPr>
        <w:jc w:val="both"/>
        <w:keepNext/>
        <w:outlineLvl w:val="1"/>
      </w:pPr>
      <w:rPr>
        <w:sz w:val="24"/>
        <w:b/>
        <w:color w:val="black"/>
      </w:rPr>
    </w:p>
    <w:p>
      <w:pPr>
        <w:jc w:val="both"/>
        <w:keepNext/>
        <w:outlineLvl w:val="1"/>
      </w:pPr>
      <w:r>
        <w:rPr>
          <w:rFonts w:hAnsi="Arial"/>
          <w:rFonts w:ascii="Arial"/>
          <w:sz w:val="24"/>
          <w:color w:val="black"/>
        </w:rPr>
        <w:t xml:space="preserve">(Decreto 0284 de 2013 artνculo </w:t>
      </w:r>
      <w:r>
        <w:fldChar w:fldCharType="begin"/>
      </w:r>
      <w:r>
        <w:instrText>HYPERLINK "http://www.redjurista.com/document.aspx?ajcode=d0284013&amp;arts=6"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w:t>
      </w:r>
    </w:p>
    <w:p>
      <w:pPr>
        <w:jc w:val="both"/>
        <w:keepNext/>
      </w:pPr>
      <w:rPr>
        <w:sz w:val="24"/>
        <w:color w:val="black"/>
      </w:rPr>
    </w:p>
    <w:p>
      <w:pPr>
        <w:jc w:val="center"/>
        <w:keepNext/>
        <w:outlineLvl w:val="1"/>
      </w:pPr>
      <w:r>
        <w:rPr>
          <w:rFonts w:hAnsi="Arial"/>
          <w:rFonts w:ascii="Arial"/>
          <w:sz w:val="24"/>
          <w:b/>
          <w:vanish/>
          <w:color w:val="black"/>
        </w:rPr>
        <w:t>&amp;$</w:t>
      </w:r>
      <w:bookmarkStart w:id="61162" w:name="SECCIÓN 2.3.1.4.16"/>
      <w:r>
        <w:rPr>
          <w:rFonts w:hAnsi="Arial"/>
          <w:rFonts w:ascii="Arial"/>
          <w:sz w:val="24"/>
          <w:color w:val="navy"/>
        </w:rPr>
        <w:t xml:space="preserve">SECCIΣN 16. </w:t>
      </w:r>
    </w:p>
    <w:p>
      <w:pPr>
        <w:jc w:val="center"/>
        <w:keepNext/>
        <w:outlineLvl w:val="1"/>
      </w:pPr>
      <w:r>
        <w:rPr>
          <w:rFonts w:hAnsi="Arial"/>
          <w:rFonts w:ascii="Arial"/>
          <w:sz w:val="24"/>
          <w:color w:val="navy"/>
        </w:rPr>
        <w:t xml:space="preserve">DISPOSICIONES SOBRE IDENTIFICACIΣN DEL PERSONAL AL SERVICIO DEL MINISTERIO DE DEFENSA NACIONAL.</w:t>
      </w:r>
      <w:bookmarkEnd w:id="61162"/>
      <w:r>
        <w:rPr>
          <w:rFonts w:hAnsi="Arial"/>
          <w:rFonts w:ascii="Arial"/>
          <w:sz w:val="24"/>
          <w:b/>
          <w:color w:val="black"/>
        </w:rPr>
        <w:t xml:space="preserve"> </w:t>
      </w:r>
    </w:p>
    <w:p>
      <w:pPr>
        <w:jc w:val="both"/>
        <w:keepNext/>
        <w:outlineLvl w:val="1"/>
      </w:pPr>
      <w:rPr>
        <w:sz w:val="24"/>
        <w:b/>
        <w:color w:val="black"/>
      </w:rPr>
    </w:p>
    <w:p>
      <w:pPr>
        <w:jc w:val="both"/>
        <w:keepNext/>
        <w:outlineLvl w:val="1"/>
      </w:pPr>
      <w:r>
        <w:rPr>
          <w:rFonts w:hAnsi="Arial"/>
          <w:rFonts w:ascii="Arial"/>
          <w:sz w:val="24"/>
          <w:b/>
          <w:vanish/>
          <w:color w:val="black"/>
        </w:rPr>
        <w:t>&amp;$</w:t>
      </w:r>
      <w:bookmarkStart w:id="61163" w:name="2.3.1.4.16.1"/>
      <w:r>
        <w:rPr>
          <w:rFonts w:hAnsi="Arial"/>
          <w:rFonts w:ascii="Arial"/>
          <w:sz w:val="24"/>
          <w:color w:val="navy"/>
        </w:rPr>
        <w:t xml:space="preserve">ARTΝCULO 2.3.1.4.16.1. SALVOCONDUCTO.</w:t>
      </w:r>
      <w:bookmarkEnd w:id="61163"/>
      <w:r>
        <w:rPr>
          <w:rFonts w:hAnsi="Arial"/>
          <w:rFonts w:ascii="Arial"/>
          <w:sz w:val="24"/>
          <w:color w:val="black"/>
        </w:rPr>
        <w:t xml:space="preserve"> La Cιdula Militar para Oficiales y Suboficiales en servicio activo, reemplaza el Salvoconducto para el porte de armas a que se refiere el Decreto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y normas que lo modifiquen.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 expediciσn de salvoconductos para porte de armas a Oficiales y Suboficiales en situaciσn de retiro o reserva, solamente requiere la presentaciσn de la cιdula militar y la comprobaciσn de la procedencia legal del arma. </w:t>
      </w:r>
    </w:p>
    <w:p>
      <w:pPr>
        <w:jc w:val="both"/>
        <w:keepNext/>
        <w:outlineLvl w:val="1"/>
      </w:pPr>
      <w:rPr>
        <w:sz w:val="24"/>
        <w:b/>
        <w:color w:val="black"/>
      </w:rPr>
    </w:p>
    <w:p>
      <w:pPr>
        <w:jc w:val="both"/>
        <w:keepNext/>
        <w:outlineLvl w:val="1"/>
      </w:pPr>
      <w:r>
        <w:rPr>
          <w:rFonts w:hAnsi="Arial"/>
          <w:rFonts w:ascii="Arial"/>
          <w:sz w:val="24"/>
          <w:color w:val="black"/>
        </w:rPr>
        <w:t xml:space="preserve">(Decreto 063 de 1991 artνculo </w:t>
      </w:r>
      <w:r>
        <w:fldChar w:fldCharType="begin"/>
      </w:r>
      <w:r>
        <w:instrText>HYPERLINK "http://www.redjurista.com/document.aspx?ajcode=d0063_91&amp;arts=3"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o)</w:t>
      </w:r>
    </w:p>
    <w:p>
      <w:pPr>
        <w:jc w:val="both"/>
      </w:pPr>
      <w:rPr>
        <w:color w:val="black"/>
      </w:rPr>
    </w:p>
    <w:p>
      <w:pPr>
        <w:jc w:val="both"/>
        <w:outlineLvl w:val="1"/>
      </w:pPr>
      <w:r>
        <w:rPr>
          <w:rFonts w:hAnsi="Arial"/>
          <w:rFonts w:ascii="Arial"/>
          <w:sz w:val="24"/>
          <w:b/>
          <w:vanish/>
          <w:color w:val="black"/>
        </w:rPr>
        <w:t>&amp;$</w:t>
      </w:r>
      <w:bookmarkStart w:id="61164" w:name="2.3.1.4.16.2"/>
      <w:r>
        <w:rPr>
          <w:rFonts w:hAnsi="Arial"/>
          <w:rFonts w:ascii="Arial"/>
          <w:sz w:val="24"/>
          <w:color w:val="navy"/>
        </w:rPr>
        <w:t xml:space="preserve">ARTΝCULO 2.3.1.4.16.2. TARJETA DE IDENTIDAD PARA EL PERSONAL CIVIL.</w:t>
      </w:r>
      <w:bookmarkEnd w:id="61164"/>
      <w:r>
        <w:rPr>
          <w:rFonts w:hAnsi="Arial"/>
          <w:rFonts w:ascii="Arial"/>
          <w:sz w:val="24"/>
          <w:color w:val="black"/>
        </w:rPr>
        <w:t xml:space="preserve"> Denomνnase “Tarjeta de Identidad para el personal civil” el documento que estαn obligados a portar los empleados pϊblicos y trabajadores oficiales al servicio del Ministerio de Defensa Nacional. </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documento de que trata este artνculo ϊnicamente presta mιrito para la identificaciσn ante las autoridades militares y no reemplaza la Tarjeta de Reservista. </w:t>
      </w:r>
    </w:p>
    <w:p>
      <w:pPr>
        <w:jc w:val="both"/>
        <w:outlineLvl w:val="1"/>
      </w:pPr>
      <w:rPr>
        <w:sz w:val="24"/>
        <w:b/>
        <w:color w:val="black"/>
      </w:rPr>
    </w:p>
    <w:p>
      <w:pPr>
        <w:jc w:val="both"/>
        <w:outlineLvl w:val="1"/>
      </w:pPr>
      <w:r>
        <w:rPr>
          <w:rFonts w:hAnsi="Arial"/>
          <w:rFonts w:ascii="Arial"/>
          <w:sz w:val="24"/>
          <w:color w:val="black"/>
        </w:rPr>
        <w:t xml:space="preserve">(Decreto 063 de 1991 artνculo </w:t>
      </w:r>
      <w:r>
        <w:fldChar w:fldCharType="begin"/>
      </w:r>
      <w:r>
        <w:instrText>HYPERLINK "http://www.redjurista.com/document.aspx?ajcode=d0063_91&amp;arts=5"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65" w:name="2.3.1.4.16.3"/>
      <w:r>
        <w:rPr>
          <w:rFonts w:hAnsi="Arial"/>
          <w:rFonts w:ascii="Arial"/>
          <w:sz w:val="24"/>
          <w:color w:val="navy"/>
        </w:rPr>
        <w:t xml:space="preserve">ARTΝCULO 2.3.1.4.16.3. COSTOS.</w:t>
      </w:r>
      <w:bookmarkEnd w:id="61165"/>
      <w:r>
        <w:rPr>
          <w:rFonts w:hAnsi="Arial"/>
          <w:rFonts w:ascii="Arial"/>
          <w:sz w:val="24"/>
          <w:b/>
          <w:color w:val="black"/>
        </w:rPr>
        <w:t xml:space="preserve"> </w:t>
      </w:r>
      <w:r>
        <w:rPr>
          <w:rFonts w:hAnsi="Arial"/>
          <w:rFonts w:ascii="Arial"/>
          <w:sz w:val="24"/>
          <w:color w:val="black"/>
        </w:rPr>
        <w:t xml:space="preserve">El costo de la expediciσn de los documentos de que trata el presente Decreto y de sus respectivos duplicados, serα fijado mediante disposiciσn que expida el Comando General de las Fuerzas Militares. </w:t>
      </w:r>
    </w:p>
    <w:p>
      <w:pPr>
        <w:jc w:val="both"/>
        <w:outlineLvl w:val="1"/>
      </w:pPr>
      <w:rPr>
        <w:sz w:val="24"/>
        <w:b/>
        <w:color w:val="black"/>
      </w:rPr>
    </w:p>
    <w:p>
      <w:pPr>
        <w:jc w:val="both"/>
        <w:outlineLvl w:val="1"/>
      </w:pPr>
      <w:r>
        <w:rPr>
          <w:rFonts w:hAnsi="Arial"/>
          <w:rFonts w:ascii="Arial"/>
          <w:sz w:val="24"/>
          <w:color w:val="black"/>
        </w:rPr>
        <w:t xml:space="preserve">(Decreto 063 de 1991 artνculo </w:t>
      </w:r>
      <w:r>
        <w:fldChar w:fldCharType="begin"/>
      </w:r>
      <w:r>
        <w:instrText>HYPERLINK "http://www.redjurista.com/document.aspx?ajcode=d0063_91&amp;arts=7"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66" w:name="2.3.1.4.16.4"/>
      <w:r>
        <w:rPr>
          <w:rFonts w:hAnsi="Arial"/>
          <w:rFonts w:ascii="Arial"/>
          <w:sz w:val="24"/>
          <w:color w:val="navy"/>
        </w:rPr>
        <w:t xml:space="preserve">ARTΝCULO 2.3.1.4.16.4. CAMBIO DEL DOCUMENTO DE IDENTIFICACIΣN MILITAR.</w:t>
      </w:r>
      <w:bookmarkEnd w:id="61166"/>
      <w:r>
        <w:rPr>
          <w:rFonts w:hAnsi="Arial"/>
          <w:rFonts w:ascii="Arial"/>
          <w:sz w:val="24"/>
          <w:b/>
          <w:color w:val="black"/>
        </w:rPr>
        <w:t xml:space="preserve"> </w:t>
      </w:r>
      <w:r>
        <w:rPr>
          <w:rFonts w:hAnsi="Arial"/>
          <w:rFonts w:ascii="Arial"/>
          <w:sz w:val="24"/>
          <w:color w:val="black"/>
        </w:rPr>
        <w:t xml:space="preserve">Los Oficiales y Suboficiales de las Fuerzas Militares y personal civil al servicio del Ministerio de Defensa Nacional que cambien de grado, bien sea por ascenso, retiro del servicio activo o promociσn, estαn obligados a solicitar el cambio del documento de identificaciσn militar correspondiente a su nuevo estado. </w:t>
      </w:r>
    </w:p>
    <w:p>
      <w:pPr>
        <w:jc w:val="both"/>
        <w:outlineLvl w:val="1"/>
      </w:pPr>
      <w:rPr>
        <w:sz w:val="24"/>
        <w:b/>
        <w:color w:val="black"/>
      </w:rPr>
    </w:p>
    <w:p>
      <w:pPr>
        <w:jc w:val="both"/>
        <w:outlineLvl w:val="1"/>
      </w:pPr>
      <w:r>
        <w:rPr>
          <w:rFonts w:hAnsi="Arial"/>
          <w:rFonts w:ascii="Arial"/>
          <w:sz w:val="24"/>
          <w:color w:val="black"/>
        </w:rPr>
        <w:t xml:space="preserve">(Decreto 063 de 1991 artνculo </w:t>
      </w:r>
      <w:r>
        <w:fldChar w:fldCharType="begin"/>
      </w:r>
      <w:r>
        <w:instrText>HYPERLINK "http://www.redjurista.com/document.aspx?ajcode=d0063_91&amp;arts=9"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w:t>
      </w:r>
    </w:p>
    <w:p>
      <w:pPr>
        <w:jc w:val="both"/>
      </w:pPr>
      <w:rPr>
        <w:color w:val="black"/>
      </w:rPr>
    </w:p>
    <w:p>
      <w:pPr>
        <w:jc w:val="both"/>
      </w:pPr>
      <w:r>
        <w:rPr>
          <w:rFonts w:hAnsi="Arial"/>
          <w:rFonts w:ascii="Arial"/>
          <w:sz w:val="24"/>
          <w:b/>
          <w:vanish/>
          <w:color w:val="black"/>
        </w:rPr>
        <w:t>&amp;$</w:t>
      </w:r>
      <w:bookmarkStart w:id="61167" w:name="2.3.1.4.16.5"/>
      <w:r>
        <w:rPr>
          <w:rFonts w:hAnsi="Arial"/>
          <w:rFonts w:ascii="Arial"/>
          <w:sz w:val="24"/>
          <w:color w:val="navy"/>
        </w:rPr>
        <w:t xml:space="preserve">ARTΝCULO 2.3.1.4.16.5. FONDO INTERNO.</w:t>
      </w:r>
      <w:bookmarkEnd w:id="61167"/>
      <w:r>
        <w:rPr>
          <w:rFonts w:hAnsi="Arial"/>
          <w:rFonts w:ascii="Arial"/>
          <w:sz w:val="24"/>
          <w:b/>
          <w:color w:val="black"/>
        </w:rPr>
        <w:t xml:space="preserve"> </w:t>
      </w:r>
      <w:r>
        <w:rPr>
          <w:rFonts w:hAnsi="Arial"/>
          <w:rFonts w:ascii="Arial"/>
          <w:sz w:val="24"/>
          <w:color w:val="black"/>
        </w:rPr>
        <w:t xml:space="preserve">Los dineros provenientes de los valores establecidos en el artνculo </w:t>
      </w:r>
      <w:r>
        <w:fldChar w:fldCharType="begin"/>
      </w:r>
      <w:r>
        <w:instrText>HYPERLINK "http://www.redjurista.com/document.aspx?ajcode=d1070015&amp;arts=2.3.1.4.16.3"</w:instrText>
      </w:r>
      <w:r>
        <w:fldChar w:fldCharType="separate"/>
      </w:r>
      <w:r>
        <w:rPr>
          <w:rFonts w:hAnsi="Arial"/>
          <w:rFonts w:ascii="Arial"/>
          <w:sz w:val="24"/>
          <w:u w:val="single"/>
          <w:color w:val="black"/>
        </w:rPr>
        <w:t>2.3.1.4.16.3</w:t>
      </w:r>
      <w:r>
        <w:fldChar w:fldCharType="end"/>
      </w:r>
      <w:r>
        <w:rPr>
          <w:rFonts w:hAnsi="Arial"/>
          <w:rFonts w:ascii="Arial"/>
          <w:sz w:val="24"/>
          <w:u w:val="none"/>
          <w:color w:val="black"/>
        </w:rPr>
        <w:t xml:space="preserve">, ingresarαn al Fondo Interno, Decreto </w:t>
      </w:r>
      <w:r>
        <w:fldChar w:fldCharType="begin"/>
      </w:r>
      <w:r>
        <w:instrText>HYPERLINK "http://www.redjurista.com/document.aspx?ajcode=d2350_71&amp;arts=INICIO"</w:instrText>
      </w:r>
      <w:r>
        <w:fldChar w:fldCharType="separate"/>
      </w:r>
      <w:r>
        <w:rPr>
          <w:rFonts w:hAnsi="Arial"/>
          <w:rFonts w:ascii="Arial"/>
          <w:sz w:val="24"/>
          <w:u w:val="single"/>
          <w:color w:val="black"/>
        </w:rPr>
        <w:t>2350</w:t>
      </w:r>
      <w:r>
        <w:fldChar w:fldCharType="end"/>
      </w:r>
      <w:r>
        <w:rPr>
          <w:rFonts w:hAnsi="Arial"/>
          <w:rFonts w:ascii="Arial"/>
          <w:sz w:val="24"/>
          <w:u w:val="none"/>
          <w:color w:val="black"/>
        </w:rPr>
        <w:t xml:space="preserve"> de 1971, de la Direcciσn de Reclutamiento de la respectiva Fuerza”. </w:t>
      </w:r>
    </w:p>
    <w:p>
      <w:pPr>
        <w:jc w:val="both"/>
        <w:outlineLvl w:val="1"/>
      </w:pPr>
      <w:rPr>
        <w:sz w:val="24"/>
        <w:b/>
        <w:color w:val="black"/>
      </w:rPr>
    </w:p>
    <w:p>
      <w:pPr>
        <w:jc w:val="both"/>
        <w:outlineLvl w:val="1"/>
      </w:pPr>
      <w:r>
        <w:rPr>
          <w:rFonts w:hAnsi="Arial"/>
          <w:rFonts w:ascii="Arial"/>
          <w:sz w:val="24"/>
          <w:color w:val="black"/>
        </w:rPr>
        <w:t xml:space="preserve">(Decreto 063 de 1991 artνculo </w:t>
      </w:r>
      <w:r>
        <w:fldChar w:fldCharType="begin"/>
      </w:r>
      <w:r>
        <w:instrText>HYPERLINK "http://www.redjurista.com/document.aspx?ajcode=d0063_91&amp;arts=10"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w:t>
      </w:r>
    </w:p>
    <w:p>
      <w:pPr>
        <w:jc w:val="both"/>
      </w:pPr>
      <w:rPr>
        <w:color w:val="black"/>
      </w:rPr>
    </w:p>
    <w:p>
      <w:pPr>
        <w:jc w:val="center"/>
      </w:pPr>
      <w:r>
        <w:rPr>
          <w:rFonts w:hAnsi="Arial"/>
          <w:rFonts w:ascii="Arial"/>
          <w:sz w:val="24"/>
          <w:vanish/>
          <w:color w:val="black"/>
        </w:rPr>
        <w:t>&amp;$</w:t>
      </w:r>
    </w:p>
    <w:p>
      <w:pPr>
        <w:jc w:val="center"/>
      </w:pPr>
      <w:bookmarkStart w:id="61168" w:name="CAPÍTULO 2.3.1.5"/>
      <w:r>
        <w:rPr>
          <w:rFonts w:hAnsi="Arial"/>
          <w:rFonts w:ascii="Arial"/>
          <w:sz w:val="24"/>
          <w:color w:val="navy"/>
        </w:rPr>
        <w:t xml:space="preserve">CAPΝTULO 5. </w:t>
      </w:r>
    </w:p>
    <w:p>
      <w:pPr>
        <w:jc w:val="center"/>
      </w:pPr>
      <w:r>
        <w:rPr>
          <w:rFonts w:hAnsi="Arial"/>
          <w:rFonts w:ascii="Arial"/>
          <w:sz w:val="24"/>
          <w:color w:val="navy"/>
        </w:rPr>
        <w:t xml:space="preserve">DESMINADO HUMANITARIO.</w:t>
      </w:r>
      <w:bookmarkEnd w:id="61168"/>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169" w:name="SECCIÓN 2.3.1.5.1"/>
      <w:r>
        <w:rPr>
          <w:rFonts w:hAnsi="Arial"/>
          <w:rFonts w:ascii="Arial"/>
          <w:sz w:val="24"/>
          <w:color w:val="navy"/>
        </w:rPr>
        <w:t xml:space="preserve">SECCIΣN 1. </w:t>
      </w:r>
    </w:p>
    <w:p>
      <w:pPr>
        <w:jc w:val="center"/>
      </w:pPr>
      <w:r>
        <w:rPr>
          <w:rFonts w:hAnsi="Arial"/>
          <w:rFonts w:ascii="Arial"/>
          <w:sz w:val="24"/>
          <w:color w:val="navy"/>
        </w:rPr>
        <w:t xml:space="preserve">DEL PROCEDIMIENTO E INSPECCIΣN.</w:t>
      </w:r>
      <w:bookmarkEnd w:id="6116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170" w:name="2.3.1.5.1.1"/>
      <w:r>
        <w:rPr>
          <w:rFonts w:hAnsi="Arial"/>
          <w:rFonts w:ascii="Arial"/>
          <w:sz w:val="24"/>
          <w:color w:val="navy"/>
        </w:rPr>
        <w:t xml:space="preserve">ARTΝCULO 2.3.1.5.1.1. </w:t>
      </w:r>
      <w:r>
        <w:rPr>
          <w:rFonts w:hAnsi="Arial"/>
          <w:rFonts w:ascii="Arial"/>
          <w:sz w:val="24"/>
          <w:i/>
          <w:color w:val="navy"/>
        </w:rPr>
        <w:t>REQUISITO.</w:t>
      </w:r>
      <w:bookmarkEnd w:id="61170"/>
      <w:r>
        <w:rPr>
          <w:rFonts w:hAnsi="Arial"/>
          <w:rFonts w:ascii="Arial"/>
          <w:sz w:val="24"/>
          <w:b/>
          <w:i/>
          <w:color w:val="black"/>
        </w:rPr>
        <w:t xml:space="preserve"> </w:t>
      </w:r>
      <w:r>
        <w:rPr>
          <w:rFonts w:hAnsi="Arial"/>
          <w:rFonts w:ascii="Arial"/>
          <w:sz w:val="24"/>
          <w:color w:val="black"/>
        </w:rPr>
        <w:t xml:space="preserve">El Comando General de las Fuerzas Militares adoptarα mediante acto administrativo, los procedimientos operacionales vigentes para las actividades de desminado humanitario que realiza las Fuerzas Militares. Estos procedimientos deberαn ajustarse a los principios y estαndares nacionales e internacionales aplicables que regulan las actividades de desminado humanitario.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procedimientos operacionales para las actividades de desminado humanitario que realiza el componente de las Fuerzas Militares destinado para tal fin deberαn elaborarse con el acompaρamiento y asesorνa tιcnica del Programa Presidencial para la Acciσn Integral contra Minas Antipersonal (PAICMA).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Anualmente y cuando se considere necesario el Comando General de las Fuerzas Militares deberα disponer la revisiσn evaluaciσn y actualizaciσn de los procedimientos operacionales vigentes para las actividades de desminado humanitario.</w:t>
      </w:r>
    </w:p>
    <w:p>
      <w:pPr>
        <w:jc w:val="both"/>
      </w:pPr>
      <w:rPr>
        <w:sz w:val="24"/>
        <w:color w:val="black"/>
      </w:rPr>
    </w:p>
    <w:p>
      <w:pPr>
        <w:jc w:val="both"/>
      </w:pPr>
      <w:r>
        <w:rPr>
          <w:rFonts w:hAnsi="Arial"/>
          <w:rFonts w:ascii="Arial"/>
          <w:sz w:val="24"/>
          <w:i/>
          <w:color w:val="black"/>
        </w:rPr>
        <w:t xml:space="preserve">(Decreto 007 de 2014 artνculo </w:t>
      </w:r>
      <w:r>
        <w:fldChar w:fldCharType="begin"/>
      </w:r>
      <w:r>
        <w:instrText>HYPERLINK "http://www.redjurista.com/document.aspx?ajcode=d0007014&amp;arts=1"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1" w:name="2.3.1.5.1.2"/>
      <w:r>
        <w:rPr>
          <w:rFonts w:hAnsi="Arial"/>
          <w:rFonts w:ascii="Arial"/>
          <w:sz w:val="24"/>
          <w:color w:val="navy"/>
        </w:rPr>
        <w:t xml:space="preserve">ARTΝCULO 2.3.1.5.1.2. </w:t>
      </w:r>
      <w:r>
        <w:rPr>
          <w:rFonts w:hAnsi="Arial"/>
          <w:rFonts w:ascii="Arial"/>
          <w:sz w:val="24"/>
          <w:i/>
          <w:color w:val="navy"/>
        </w:rPr>
        <w:t xml:space="preserve">LABORES DE MONITOREO.</w:t>
      </w:r>
      <w:bookmarkEnd w:id="61171"/>
      <w:r>
        <w:rPr>
          <w:rFonts w:hAnsi="Arial"/>
          <w:rFonts w:ascii="Arial"/>
          <w:sz w:val="24"/>
          <w:b/>
          <w:i/>
          <w:color w:val="black"/>
        </w:rPr>
        <w:t xml:space="preserve"> </w:t>
      </w:r>
      <w:r>
        <w:rPr>
          <w:rFonts w:hAnsi="Arial"/>
          <w:rFonts w:ascii="Arial"/>
          <w:sz w:val="24"/>
          <w:color w:val="black"/>
        </w:rPr>
        <w:t xml:space="preserve">Las labores de monitoreo con el fin de asegurar y controlar la calidad de las Actividades de Desminado Humanitario realizadas por las Fuerzas Militares, serαn efectuadas por las inspecciones generales de las Fuerzas Militares bajo la coordinaciσn de la Inspecciσn General del Comando General de las Fuerzas Militares y del Programa Presidencial para la Acciσn Integral contra Minas Antipersonal.</w:t>
      </w:r>
    </w:p>
    <w:p>
      <w:pPr>
        <w:jc w:val="both"/>
      </w:pPr>
      <w:rPr>
        <w:sz w:val="24"/>
        <w:color w:val="black"/>
      </w:rPr>
    </w:p>
    <w:p>
      <w:pPr>
        <w:jc w:val="both"/>
      </w:pPr>
      <w:r>
        <w:rPr>
          <w:rFonts w:hAnsi="Arial"/>
          <w:rFonts w:ascii="Arial"/>
          <w:sz w:val="24"/>
          <w:color w:val="black"/>
        </w:rPr>
        <w:t xml:space="preserve">El Ministerio de Defensa Nacional podrα suscribir acuerdos de cooperaciσn y asistencia tιcnica con organismos internacionales para su propσsito.</w:t>
      </w:r>
    </w:p>
    <w:p>
      <w:pPr>
        <w:jc w:val="both"/>
      </w:pPr>
      <w:rPr>
        <w:sz w:val="24"/>
        <w:color w:val="black"/>
      </w:rPr>
    </w:p>
    <w:p>
      <w:pPr>
        <w:jc w:val="both"/>
      </w:pPr>
      <w:r>
        <w:rPr>
          <w:rFonts w:hAnsi="Arial"/>
          <w:rFonts w:ascii="Arial"/>
          <w:sz w:val="24"/>
          <w:color w:val="black"/>
        </w:rPr>
        <w:t xml:space="preserve">La Defensorνa del Pueblo y la Procuradurνa General de la Naciσn podrαn desarrollar labores de acompaρamiento en el proceso de monitoreo, a fin de garantizar un enfoque de derechos y de protecciσn de la poblaciσn civil.</w:t>
      </w:r>
    </w:p>
    <w:p>
      <w:pPr>
        <w:jc w:val="both"/>
      </w:pPr>
      <w:rPr>
        <w:sz w:val="24"/>
        <w:color w:val="black"/>
      </w:rPr>
    </w:p>
    <w:p>
      <w:pPr>
        <w:jc w:val="both"/>
      </w:pPr>
      <w:r>
        <w:rPr>
          <w:rFonts w:hAnsi="Arial"/>
          <w:rFonts w:ascii="Arial"/>
          <w:sz w:val="24"/>
          <w:i/>
          <w:color w:val="black"/>
        </w:rPr>
        <w:t xml:space="preserve">(Decreto 007 de 2014 artνculo </w:t>
      </w:r>
      <w:r>
        <w:fldChar w:fldCharType="begin"/>
      </w:r>
      <w:r>
        <w:instrText>HYPERLINK "http://www.redjurista.com/document.aspx?ajcode=d0007014&amp;arts=2"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2" w:name="2.3.1.5.1.3"/>
      <w:r>
        <w:rPr>
          <w:rFonts w:hAnsi="Arial"/>
          <w:rFonts w:ascii="Arial"/>
          <w:sz w:val="24"/>
          <w:color w:val="navy"/>
        </w:rPr>
        <w:t xml:space="preserve">ARTΝCULO 2.3.1.5.1.3. </w:t>
      </w:r>
      <w:r>
        <w:rPr>
          <w:rFonts w:hAnsi="Arial"/>
          <w:rFonts w:ascii="Arial"/>
          <w:sz w:val="24"/>
          <w:i/>
          <w:color w:val="navy"/>
        </w:rPr>
        <w:t xml:space="preserve">DE LAS INSPECCIONES.</w:t>
      </w:r>
      <w:bookmarkEnd w:id="61172"/>
      <w:r>
        <w:rPr>
          <w:rFonts w:hAnsi="Arial"/>
          <w:rFonts w:ascii="Arial"/>
          <w:sz w:val="24"/>
          <w:b/>
          <w:i/>
          <w:color w:val="black"/>
        </w:rPr>
        <w:t xml:space="preserve"> </w:t>
      </w:r>
      <w:r>
        <w:rPr>
          <w:rFonts w:hAnsi="Arial"/>
          <w:rFonts w:ascii="Arial"/>
          <w:sz w:val="24"/>
          <w:color w:val="black"/>
        </w:rPr>
        <w:t xml:space="preserve">Las inspecciones de las Fuerzas Militares y la Inspecciσn General del Comando General de las Fuerzas Militares deberαn realizar inspecciones periσdicas a las actividades de desminado humanitario realizadas por el componente de las Fuerzas Militares con el fin de hacer seguimiento a las observaciones realizadas por el organismo de monitoreo y formular las recomendaciones tendientes a fortalecer la efectividad, eficacia y eficiencia de esta actividad.</w:t>
      </w:r>
    </w:p>
    <w:p>
      <w:pPr>
        <w:jc w:val="both"/>
      </w:pPr>
      <w:rPr>
        <w:sz w:val="24"/>
        <w:color w:val="black"/>
      </w:rPr>
    </w:p>
    <w:p>
      <w:pPr>
        <w:jc w:val="both"/>
      </w:pPr>
      <w:r>
        <w:rPr>
          <w:rFonts w:hAnsi="Arial"/>
          <w:rFonts w:ascii="Arial"/>
          <w:sz w:val="24"/>
          <w:i/>
          <w:color w:val="black"/>
        </w:rPr>
        <w:t xml:space="preserve">(Decreto 007 de 2014 artνculo </w:t>
      </w:r>
      <w:r>
        <w:fldChar w:fldCharType="begin"/>
      </w:r>
      <w:r>
        <w:instrText>HYPERLINK "http://www.redjurista.com/document.aspx?ajcode=d0007014&amp;arts=3"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3" w:name="2.3.1.5.1.4"/>
      <w:r>
        <w:rPr>
          <w:rFonts w:hAnsi="Arial"/>
          <w:rFonts w:ascii="Arial"/>
          <w:sz w:val="24"/>
          <w:color w:val="navy"/>
        </w:rPr>
        <w:t xml:space="preserve">ARTΝCULO 2.3.1.5.1.4. </w:t>
      </w:r>
      <w:r>
        <w:rPr>
          <w:rFonts w:hAnsi="Arial"/>
          <w:rFonts w:ascii="Arial"/>
          <w:sz w:val="24"/>
          <w:i/>
          <w:color w:val="navy"/>
        </w:rPr>
        <w:t>COORDINACIONES.</w:t>
      </w:r>
      <w:bookmarkEnd w:id="61173"/>
      <w:r>
        <w:rPr>
          <w:rFonts w:hAnsi="Arial"/>
          <w:rFonts w:ascii="Arial"/>
          <w:sz w:val="24"/>
          <w:b/>
          <w:i/>
          <w:color w:val="black"/>
        </w:rPr>
        <w:t xml:space="preserve"> </w:t>
      </w:r>
      <w:r>
        <w:rPr>
          <w:rFonts w:hAnsi="Arial"/>
          <w:rFonts w:ascii="Arial"/>
          <w:sz w:val="24"/>
          <w:color w:val="black"/>
        </w:rPr>
        <w:t xml:space="preserve">Las Fuerzas Militares, a travιs del Centro Nacional contra Artefactos Explosivos Improvisados y Minas en el Ejιrcito Nacional CENAM coordinarα con la Instancia Interinstitucional de Desminado Humanitario creada en el artνculo </w:t>
      </w:r>
      <w:r>
        <w:fldChar w:fldCharType="begin"/>
      </w:r>
      <w:r>
        <w:instrText>HYPERLINK "http://www.redjurista.com/document.aspx?ajcode=d1070015&amp;arts=2.3.1.5.1.1.6"</w:instrText>
      </w:r>
      <w:r>
        <w:fldChar w:fldCharType="separate"/>
      </w:r>
      <w:r>
        <w:rPr>
          <w:rFonts w:hAnsi="Arial"/>
          <w:rFonts w:ascii="Arial"/>
          <w:sz w:val="24"/>
          <w:u w:val="single"/>
          <w:color w:val="black"/>
        </w:rPr>
        <w:t>2.3.1.5.1.1.6</w:t>
      </w:r>
      <w:r>
        <w:fldChar w:fldCharType="end"/>
      </w:r>
      <w:r>
        <w:rPr>
          <w:rFonts w:hAnsi="Arial"/>
          <w:rFonts w:ascii="Arial"/>
          <w:sz w:val="24"/>
          <w:u w:val="none"/>
          <w:color w:val="black"/>
        </w:rPr>
        <w:t xml:space="preserve">., de la siguiente Subsecciσn, la intervenciσn en las zonas del territorio nacional en donde se adelantarαn progresivamente labores de desminado humanitario por parte del componente militar asignado para el efecto.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Instancia Interinstitucional de Desminado Humanitario podrα invitar a las sesiones, cuando lo considere necesario, al Director del Centro Nacional contra Artefactos Explosivos Improvisados y Minas en el Ejιrcito Nacional CENAM, para coordinar la intervenciσn del componente militar en las zonas del territorio nacional en donde se adelantarαn labores de desminado humanitario. La asistencia a las sesiones de la Instancia en que sea invitado el Director del Centro Nacional contra Artefactos Explosivos Improvisados y Minas en el Ejιrcito Nacional CENAM no podrα ser delegada.</w:t>
      </w:r>
    </w:p>
    <w:p>
      <w:pPr>
        <w:jc w:val="both"/>
      </w:pPr>
      <w:rPr>
        <w:sz w:val="24"/>
        <w:color w:val="black"/>
      </w:rPr>
    </w:p>
    <w:p>
      <w:pPr>
        <w:jc w:val="both"/>
      </w:pPr>
      <w:r>
        <w:rPr>
          <w:rFonts w:hAnsi="Arial"/>
          <w:rFonts w:ascii="Arial"/>
          <w:sz w:val="24"/>
          <w:i/>
          <w:color w:val="black"/>
        </w:rPr>
        <w:t xml:space="preserve">(Decreto 007 de 2014 artνculo </w:t>
      </w:r>
      <w:r>
        <w:fldChar w:fldCharType="begin"/>
      </w:r>
      <w:r>
        <w:instrText>HYPERLINK "http://www.redjurista.com/document.aspx?ajcode=d0007014&amp;arts=4"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174" w:name="SUBSECCIÓN 2.3.1.5.1.1"/>
      <w:r>
        <w:rPr>
          <w:rFonts w:hAnsi="Arial"/>
          <w:rFonts w:ascii="Arial"/>
          <w:sz w:val="24"/>
          <w:color w:val="navy"/>
        </w:rPr>
        <w:t xml:space="preserve">SUBSECCIΣN 1. </w:t>
      </w:r>
    </w:p>
    <w:p>
      <w:pPr>
        <w:jc w:val="center"/>
      </w:pPr>
      <w:r>
        <w:rPr>
          <w:rFonts w:hAnsi="Arial"/>
          <w:rFonts w:ascii="Arial"/>
          <w:sz w:val="24"/>
          <w:color w:val="navy"/>
        </w:rPr>
        <w:t xml:space="preserve">ORGANIZACIONES DE DESMINADO HUMANITARIO Y OTROS.</w:t>
      </w:r>
    </w:p>
    <w:p>
      <w:pPr>
        <w:jc w:val="center"/>
      </w:pPr>
      <w:bookmarkEnd w:id="61174"/>
    </w:p>
    <w:p>
      <w:pPr>
        <w:jc w:val="both"/>
      </w:pPr>
      <w:r>
        <w:rPr>
          <w:rFonts w:hAnsi="Arial"/>
          <w:rFonts w:ascii="Arial"/>
          <w:sz w:val="24"/>
          <w:vanish/>
          <w:color w:val="black"/>
        </w:rPr>
        <w:t>&amp;$</w:t>
      </w:r>
      <w:bookmarkStart w:id="61175" w:name="2.3.1.5.1.1.1"/>
      <w:r>
        <w:rPr>
          <w:rFonts w:hAnsi="Arial"/>
          <w:rFonts w:ascii="Arial"/>
          <w:sz w:val="24"/>
          <w:color w:val="navy"/>
        </w:rPr>
        <w:t xml:space="preserve">ARTΝCULO 2.3.1.5.1.1.1. </w:t>
      </w:r>
      <w:r>
        <w:rPr>
          <w:rFonts w:hAnsi="Arial"/>
          <w:rFonts w:ascii="Arial"/>
          <w:sz w:val="24"/>
          <w:i/>
          <w:color w:val="navy"/>
        </w:rPr>
        <w:t xml:space="preserve">ACTIVIDADES DE DESMINADO.</w:t>
      </w:r>
      <w:bookmarkEnd w:id="61175"/>
      <w:r>
        <w:rPr>
          <w:rFonts w:hAnsi="Arial"/>
          <w:rFonts w:ascii="Arial"/>
          <w:sz w:val="24"/>
          <w:b/>
          <w:i/>
          <w:color w:val="black"/>
        </w:rPr>
        <w:t xml:space="preserve"> </w:t>
      </w:r>
      <w:r>
        <w:rPr>
          <w:rFonts w:hAnsi="Arial"/>
          <w:rFonts w:ascii="Arial"/>
          <w:sz w:val="24"/>
          <w:color w:val="black"/>
        </w:rPr>
        <w:t xml:space="preserve">El Gobierno Nacional realizarα actividades de desminado humanitario en el territorio nacional, a travιs del Ministerio de Defensa Nacional, y demαs autoridades nacionales que tengan, o se les seρala esa funciσn. Subsidiariamente, las Organizaciones Civiles podrαn realizar las actividades de Desminado Humanitario que le sean asignadas por el Gobierno Nacional, conforme a esta Subsecciσn.</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6" w:name="2.3.1.5.1.1.2"/>
      <w:r>
        <w:rPr>
          <w:rFonts w:hAnsi="Arial"/>
          <w:rFonts w:ascii="Arial"/>
          <w:sz w:val="24"/>
          <w:color w:val="navy"/>
        </w:rPr>
        <w:t xml:space="preserve">ARTΝCULO 2.3.1.5.1.1.2. </w:t>
      </w:r>
      <w:r>
        <w:rPr>
          <w:rFonts w:hAnsi="Arial"/>
          <w:rFonts w:ascii="Arial"/>
          <w:sz w:val="24"/>
          <w:i/>
          <w:color w:val="navy"/>
        </w:rPr>
        <w:t>PROCESOS.</w:t>
      </w:r>
      <w:bookmarkEnd w:id="61176"/>
      <w:r>
        <w:rPr>
          <w:rFonts w:hAnsi="Arial"/>
          <w:rFonts w:ascii="Arial"/>
          <w:sz w:val="24"/>
          <w:b/>
          <w:i/>
          <w:color w:val="black"/>
        </w:rPr>
        <w:t xml:space="preserve"> </w:t>
      </w:r>
      <w:r>
        <w:rPr>
          <w:rFonts w:hAnsi="Arial"/>
          <w:rFonts w:ascii="Arial"/>
          <w:sz w:val="24"/>
          <w:color w:val="black"/>
        </w:rPr>
        <w:t xml:space="preserve">Los procesos de desminado humanitario se efectuarαn progresivamente en las zonas que se asignen, de acuerdo a estαndares que se adopten y sean elaborados sobre la base de los estαndares internacionales y los principios humanitarios hasta lograr que no existan minas antipersonal en el territorio colombiano.</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7" w:name="2.3.1.5.1.1.3"/>
      <w:r>
        <w:rPr>
          <w:rFonts w:hAnsi="Arial"/>
          <w:rFonts w:ascii="Arial"/>
          <w:sz w:val="24"/>
          <w:color w:val="navy"/>
        </w:rPr>
        <w:t xml:space="preserve">ARTΝCULO 2.3.1.5.1.1.3. </w:t>
      </w:r>
      <w:r>
        <w:rPr>
          <w:rFonts w:hAnsi="Arial"/>
          <w:rFonts w:ascii="Arial"/>
          <w:sz w:val="24"/>
          <w:i/>
          <w:color w:val="navy"/>
        </w:rPr>
        <w:t xml:space="preserve">ORGANIZACIONES CIVILES.</w:t>
      </w:r>
      <w:bookmarkEnd w:id="61177"/>
      <w:r>
        <w:rPr>
          <w:rFonts w:hAnsi="Arial"/>
          <w:rFonts w:ascii="Arial"/>
          <w:sz w:val="24"/>
          <w:b/>
          <w:i/>
          <w:color w:val="black"/>
        </w:rPr>
        <w:t xml:space="preserve"> </w:t>
      </w:r>
      <w:r>
        <w:rPr>
          <w:rFonts w:hAnsi="Arial"/>
          <w:rFonts w:ascii="Arial"/>
          <w:sz w:val="24"/>
          <w:color w:val="black"/>
        </w:rPr>
        <w:t xml:space="preserve">Para efectos de la presente Subsecciσn, se entenderαn como Organizaciones Civiles de Desminado Humanitario cualquier organizaciσn no gubernamental, nacional o internacional, cuyo objeto social sea el desarrollo de tareas o actividades de desminado humanitario, siempre que cumplan con los estαndares y se sometan a los procedimientos de certificaciσn y de aval contenidos en la presente Subsecciσn.</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78" w:name="2.3.1.5.1.1.4"/>
      <w:r>
        <w:rPr>
          <w:rFonts w:hAnsi="Arial"/>
          <w:rFonts w:ascii="Arial"/>
          <w:sz w:val="24"/>
          <w:color w:val="navy"/>
        </w:rPr>
        <w:t xml:space="preserve">ARTΝCULO 2.3.1.5.1.1.4. </w:t>
      </w:r>
      <w:r>
        <w:rPr>
          <w:rFonts w:hAnsi="Arial"/>
          <w:rFonts w:ascii="Arial"/>
          <w:sz w:val="24"/>
          <w:i/>
          <w:color w:val="navy"/>
        </w:rPr>
        <w:t>CERTIFICACIΣN.</w:t>
      </w:r>
      <w:bookmarkEnd w:id="61178"/>
      <w:r>
        <w:rPr>
          <w:rFonts w:hAnsi="Arial"/>
          <w:rFonts w:ascii="Arial"/>
          <w:sz w:val="24"/>
          <w:b/>
          <w:i/>
          <w:color w:val="black"/>
        </w:rPr>
        <w:t xml:space="preserve"> </w:t>
      </w:r>
      <w:r>
        <w:rPr>
          <w:rFonts w:hAnsi="Arial"/>
          <w:rFonts w:ascii="Arial"/>
          <w:sz w:val="24"/>
          <w:color w:val="black"/>
        </w:rPr>
        <w:t xml:space="preserve">El Ministerio de Defensa Nacional certificarα a las Organizaciones Civiles de Desminado Humanitario que cumplan con los estαndares de Desminado Humanitario, caso en el cual remitirα dicho certificado a la Secretarνa Tιcnica de la Comisiσn Intersectorial Nacional para la Acciσn contra Minas Antipersonal (Cinamap).</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certificaciσn que expida el Ministerio de Defensa Nacional tendrα una vigencia de doce (12) meses, cumplidos los cuales deberα ser renovada de conformidad con el respectivo estαndar.</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En caso de requerirse material explosivo, la certificaciσn que expida el Ministerio de Defensa Nacional, serα un requisito para ser presentado ante el Comando General de las Fuerzas Militares - Departamento Control Comercio de Armas, Municiones y Explosivos.</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179" w:name="2.3.1.5.1.1.5"/>
      <w:r>
        <w:rPr>
          <w:rFonts w:hAnsi="Arial"/>
          <w:rFonts w:ascii="Arial"/>
          <w:sz w:val="24"/>
          <w:color w:val="navy"/>
        </w:rPr>
        <w:t xml:space="preserve">ARTΝCULO 2.3.1.5.1.1.5. </w:t>
      </w:r>
      <w:r>
        <w:rPr>
          <w:rFonts w:hAnsi="Arial"/>
          <w:rFonts w:ascii="Arial"/>
          <w:sz w:val="24"/>
          <w:i/>
          <w:color w:val="navy"/>
        </w:rPr>
        <w:t xml:space="preserve">ESTUDIOS DE SOLICITUDES.</w:t>
      </w:r>
      <w:bookmarkEnd w:id="61179"/>
      <w:r>
        <w:rPr>
          <w:rFonts w:hAnsi="Arial"/>
          <w:rFonts w:ascii="Arial"/>
          <w:sz w:val="24"/>
          <w:b/>
          <w:i/>
          <w:color w:val="black"/>
        </w:rPr>
        <w:t xml:space="preserve"> </w:t>
      </w:r>
      <w:r>
        <w:rPr>
          <w:rFonts w:hAnsi="Arial"/>
          <w:rFonts w:ascii="Arial"/>
          <w:sz w:val="24"/>
          <w:color w:val="black"/>
        </w:rPr>
        <w:t xml:space="preserve">La Comisiσn Intersectorial Nacional para la Acciσn contra Minas Antipersonal estudiarα las solicitudes de aval de las Organizaciones Civiles de Desminado Humanitario, que previamente certificadas por el Ministerio de Defensa Nacional, le sean presentadas por la Secretarνa Tιcnica de la Cinamap.</w:t>
      </w:r>
    </w:p>
    <w:p>
      <w:pPr>
        <w:jc w:val="both"/>
      </w:pPr>
      <w:rPr>
        <w:sz w:val="24"/>
        <w:color w:val="black"/>
      </w:rPr>
    </w:p>
    <w:p>
      <w:pPr>
        <w:jc w:val="both"/>
      </w:pPr>
      <w:r>
        <w:rPr>
          <w:rFonts w:hAnsi="Arial"/>
          <w:rFonts w:ascii="Arial"/>
          <w:sz w:val="24"/>
          <w:color w:val="black"/>
        </w:rPr>
        <w:t xml:space="preserve">La Comisiσn intersectorial contra las Minas Antipersonal avalarα, potestativamente, las organizaciones civiles de Desminado Humanitario para que puedan realizar en el territorio nacional las actividades de desminado humanitario que le sean asignadas por la instancia Interinstitucional que trata la presente Subsecciσn.</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80" w:name="2.3.1.5.1.1.6"/>
      <w:r>
        <w:rPr>
          <w:rFonts w:hAnsi="Arial"/>
          <w:rFonts w:ascii="Arial"/>
          <w:sz w:val="24"/>
          <w:color w:val="navy"/>
        </w:rPr>
        <w:t xml:space="preserve">ARTΝCULO 2.3.1.5.1.1.6. </w:t>
      </w:r>
      <w:r>
        <w:rPr>
          <w:rFonts w:hAnsi="Arial"/>
          <w:rFonts w:ascii="Arial"/>
          <w:sz w:val="24"/>
          <w:i/>
          <w:color w:val="navy"/>
        </w:rPr>
        <w:t xml:space="preserve">INSTANCIA INTERINSTITUCIONAL.</w:t>
      </w:r>
      <w:bookmarkEnd w:id="61180"/>
      <w:r>
        <w:rPr>
          <w:rFonts w:hAnsi="Arial"/>
          <w:rFonts w:ascii="Arial"/>
          <w:sz w:val="24"/>
          <w:b/>
          <w:i/>
          <w:color w:val="black"/>
        </w:rPr>
        <w:t xml:space="preserve"> </w:t>
      </w:r>
      <w:r>
        <w:rPr>
          <w:rFonts w:hAnsi="Arial"/>
          <w:rFonts w:ascii="Arial"/>
          <w:sz w:val="24"/>
          <w:color w:val="black"/>
        </w:rPr>
        <w:t xml:space="preserve">En desarrollo del principio de coordinaciσn de la funciσn pϊblica se establecerα una Instancia Interinstitucional de Desminado Humanitario, integrada por el Ministro de Defensa Nacional, el Inspector General de las Fuerzas Militares y el Director del Programa Presidencial para la Acciσn Integral contra las Minas Antipersonal (Paicma). Dicha instancia cumplirα las siguientes funciones:</w:t>
      </w:r>
    </w:p>
    <w:p>
      <w:pPr>
        <w:jc w:val="both"/>
      </w:pPr>
      <w:rPr>
        <w:sz w:val="24"/>
        <w:color w:val="black"/>
      </w:rPr>
    </w:p>
    <w:p>
      <w:pPr>
        <w:jc w:val="both"/>
      </w:pPr>
      <w:r>
        <w:rPr>
          <w:rFonts w:hAnsi="Arial"/>
          <w:rFonts w:ascii="Arial"/>
          <w:sz w:val="24"/>
          <w:color w:val="black"/>
        </w:rPr>
        <w:t xml:space="preserve">1. Elaborar y modificar los estαndares de Desminado Humanitario, sobre la base de estαndares internacionales y los principios humanitarios.</w:t>
      </w:r>
    </w:p>
    <w:p>
      <w:pPr>
        <w:jc w:val="both"/>
      </w:pPr>
      <w:rPr>
        <w:sz w:val="24"/>
        <w:color w:val="black"/>
      </w:rPr>
    </w:p>
    <w:p>
      <w:pPr>
        <w:jc w:val="both"/>
      </w:pPr>
      <w:r>
        <w:rPr>
          <w:rFonts w:hAnsi="Arial"/>
          <w:rFonts w:ascii="Arial"/>
          <w:sz w:val="24"/>
          <w:color w:val="black"/>
        </w:rPr>
        <w:t xml:space="preserve">2. Recomendar al Ministerio de Defensa Nacional la certificaciσn de las Organizaciones Civiles de Desminado Humanitario, de acuerdo con el estαndar respectivo.</w:t>
      </w:r>
    </w:p>
    <w:p>
      <w:pPr>
        <w:jc w:val="both"/>
      </w:pPr>
      <w:rPr>
        <w:sz w:val="24"/>
        <w:color w:val="black"/>
      </w:rPr>
    </w:p>
    <w:p>
      <w:pPr>
        <w:jc w:val="both"/>
      </w:pPr>
      <w:r>
        <w:rPr>
          <w:rFonts w:hAnsi="Arial"/>
          <w:rFonts w:ascii="Arial"/>
          <w:sz w:val="24"/>
          <w:color w:val="black"/>
        </w:rPr>
        <w:t xml:space="preserve">3. Determinar las zonas del territorio nacional donde se realizarα progresivamente desminado humanitario.</w:t>
      </w:r>
    </w:p>
    <w:p>
      <w:pPr>
        <w:jc w:val="both"/>
      </w:pPr>
      <w:rPr>
        <w:sz w:val="24"/>
        <w:color w:val="black"/>
      </w:rPr>
    </w:p>
    <w:p>
      <w:pPr>
        <w:jc w:val="both"/>
      </w:pPr>
      <w:r>
        <w:rPr>
          <w:rFonts w:hAnsi="Arial"/>
          <w:rFonts w:ascii="Arial"/>
          <w:sz w:val="24"/>
          <w:color w:val="black"/>
        </w:rPr>
        <w:t xml:space="preserve">4. Asignar las actividades que en las diferentes etapas del desminado humanitario adelantarαn las Organizaciones Civiles de Desminado Humanitario que hayan sido avaladas por la Cinamap de acuerdo con el respectivo estαndar. Esta asignaciσn serα comunicada por el Programa Presidencial para la Acciσn Integral contra Minas Antipersonal (Paicma).</w:t>
      </w:r>
    </w:p>
    <w:p>
      <w:pPr>
        <w:jc w:val="both"/>
      </w:pPr>
      <w:rPr>
        <w:sz w:val="24"/>
        <w:color w:val="black"/>
      </w:rPr>
    </w:p>
    <w:p>
      <w:pPr>
        <w:jc w:val="both"/>
      </w:pPr>
      <w:r>
        <w:rPr>
          <w:rFonts w:hAnsi="Arial"/>
          <w:rFonts w:ascii="Arial"/>
          <w:sz w:val="24"/>
          <w:color w:val="black"/>
        </w:rPr>
        <w:t xml:space="preserve">5. Recomendar al Ministerio de Defensa Nacional la suspensiσn o no renovaciσn de las certificaciones expedidas a las Organizaciones Civiles de Desminado Humanitario, cuando haya lugar.</w:t>
      </w:r>
    </w:p>
    <w:p>
      <w:pPr>
        <w:jc w:val="both"/>
      </w:pPr>
      <w:rPr>
        <w:sz w:val="24"/>
        <w:color w:val="black"/>
      </w:rPr>
    </w:p>
    <w:p>
      <w:pPr>
        <w:jc w:val="both"/>
      </w:pPr>
      <w:r>
        <w:rPr>
          <w:rFonts w:hAnsi="Arial"/>
          <w:rFonts w:ascii="Arial"/>
          <w:sz w:val="24"/>
          <w:color w:val="black"/>
        </w:rPr>
        <w:t xml:space="preserve">6. Expedir su propio reglamento.</w:t>
      </w:r>
    </w:p>
    <w:p>
      <w:pPr>
        <w:jc w:val="both"/>
      </w:pPr>
      <w:rPr>
        <w:sz w:val="24"/>
        <w:color w:val="black"/>
      </w:rPr>
    </w:p>
    <w:p>
      <w:pPr>
        <w:jc w:val="both"/>
      </w:pPr>
      <w:r>
        <w:rPr>
          <w:rFonts w:hAnsi="Arial"/>
          <w:rFonts w:ascii="Arial"/>
          <w:sz w:val="24"/>
          <w:color w:val="black"/>
        </w:rPr>
        <w:t xml:space="preserve">7. Las demαs que sean compatibles con la naturaleza de las funciones asignadas por la presente Subsecciσn.</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Procurador General de la Naciσn o su delegado, el Defensor del Pueblo o su delegado, serαn invitados permanentes, con voz pero sin voto, a las sesiones de la Instancia Interinstitucional de Desminado Humanitario. Asimismo, a consideraciσn de sus miembros, mediante convocatoria de la Secretarνa Tιcnica, podrαn ser invitados a las sesiones organismos nacionales o internacionales que desarrollen actividades de acompaρamiento o monitoreo y cualquier otra organizaciσn, alcaldes y gobernadores.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Programa Presidencial para la Acciσn Integral contra las Minas Antipersonal (Paicma) ejercerα la Secretarνa Tιcnica de la Instancia Interinstitucional de Desminado Humanitario.</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81" w:name="2.3.1.5.1.1.7"/>
      <w:r>
        <w:rPr>
          <w:rFonts w:hAnsi="Arial"/>
          <w:rFonts w:ascii="Arial"/>
          <w:sz w:val="24"/>
          <w:color w:val="navy"/>
        </w:rPr>
        <w:t xml:space="preserve">ARTΝCULO 2.3.1.5.1.1.7. </w:t>
      </w:r>
      <w:r>
        <w:rPr>
          <w:rFonts w:hAnsi="Arial"/>
          <w:rFonts w:ascii="Arial"/>
          <w:sz w:val="24"/>
          <w:i/>
          <w:color w:val="navy"/>
        </w:rPr>
        <w:t>ESTΑNDARES.</w:t>
      </w:r>
      <w:bookmarkEnd w:id="61181"/>
      <w:r>
        <w:rPr>
          <w:rFonts w:hAnsi="Arial"/>
          <w:rFonts w:ascii="Arial"/>
          <w:sz w:val="24"/>
          <w:b/>
          <w:i/>
          <w:color w:val="black"/>
        </w:rPr>
        <w:t xml:space="preserve"> </w:t>
      </w:r>
      <w:r>
        <w:rPr>
          <w:rFonts w:hAnsi="Arial"/>
          <w:rFonts w:ascii="Arial"/>
          <w:sz w:val="24"/>
          <w:color w:val="black"/>
        </w:rPr>
        <w:t xml:space="preserve">El Ministerio de Defensa Nacional adoptarα y modificarα los Estαndares de Desminado Humanitario, de conformidad con las recomendaciones emitidas por la Instancia Interinstitucional de Desminado Humanitario.</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82" w:name="2.3.1.5.1.1.8"/>
      <w:r>
        <w:rPr>
          <w:rFonts w:hAnsi="Arial"/>
          <w:rFonts w:ascii="Arial"/>
          <w:sz w:val="24"/>
          <w:color w:val="navy"/>
        </w:rPr>
        <w:t xml:space="preserve">ARTΝCULO 2.3.1.5.1.1.8. </w:t>
      </w:r>
      <w:r>
        <w:rPr>
          <w:rFonts w:hAnsi="Arial"/>
          <w:rFonts w:ascii="Arial"/>
          <w:sz w:val="24"/>
          <w:i/>
          <w:color w:val="navy"/>
        </w:rPr>
        <w:t xml:space="preserve">TIPOS DE ESTΑNDAR.</w:t>
      </w:r>
      <w:bookmarkEnd w:id="61182"/>
      <w:r>
        <w:rPr>
          <w:rFonts w:hAnsi="Arial"/>
          <w:rFonts w:ascii="Arial"/>
          <w:sz w:val="24"/>
          <w:b/>
          <w:i/>
          <w:color w:val="black"/>
        </w:rPr>
        <w:t xml:space="preserve"> </w:t>
      </w:r>
      <w:r>
        <w:rPr>
          <w:rFonts w:hAnsi="Arial"/>
          <w:rFonts w:ascii="Arial"/>
          <w:sz w:val="24"/>
          <w:color w:val="black"/>
        </w:rPr>
        <w:t xml:space="preserve">Los Estαndares de Desminado Humanitario que serαn adoptados mediante resoluciσn por el Ministerio de Defensa Nacional, son:</w:t>
      </w:r>
    </w:p>
    <w:p>
      <w:pPr>
        <w:jc w:val="both"/>
      </w:pPr>
      <w:rPr>
        <w:sz w:val="24"/>
        <w:color w:val="black"/>
      </w:rPr>
    </w:p>
    <w:p>
      <w:pPr>
        <w:jc w:val="both"/>
      </w:pPr>
      <w:r>
        <w:rPr>
          <w:rFonts w:hAnsi="Arial"/>
          <w:rFonts w:ascii="Arial"/>
          <w:sz w:val="24"/>
          <w:color w:val="black"/>
        </w:rPr>
        <w:t xml:space="preserve">1. Estαndar de Acreditaciσn de Organizaciones Civiles de Desminado Humanitario.</w:t>
      </w:r>
    </w:p>
    <w:p>
      <w:pPr>
        <w:jc w:val="both"/>
      </w:pPr>
      <w:rPr>
        <w:sz w:val="24"/>
        <w:color w:val="black"/>
      </w:rPr>
    </w:p>
    <w:p>
      <w:pPr>
        <w:jc w:val="both"/>
      </w:pPr>
      <w:r>
        <w:rPr>
          <w:rFonts w:hAnsi="Arial"/>
          <w:rFonts w:ascii="Arial"/>
          <w:sz w:val="24"/>
          <w:color w:val="black"/>
        </w:rPr>
        <w:t xml:space="preserve">2. Estαndar de Asignaciσn de Actividades de Desminado Humanitario.</w:t>
      </w:r>
    </w:p>
    <w:p>
      <w:pPr>
        <w:jc w:val="both"/>
      </w:pPr>
      <w:rPr>
        <w:sz w:val="24"/>
        <w:color w:val="black"/>
      </w:rPr>
    </w:p>
    <w:p>
      <w:pPr>
        <w:jc w:val="both"/>
      </w:pPr>
      <w:r>
        <w:rPr>
          <w:rFonts w:hAnsi="Arial"/>
          <w:rFonts w:ascii="Arial"/>
          <w:sz w:val="24"/>
          <w:color w:val="black"/>
        </w:rPr>
        <w:t xml:space="preserve">3. Estαndar de Gestiσn de Calidad para las Actividades de Desminado Humanitario.</w:t>
      </w:r>
    </w:p>
    <w:p>
      <w:pPr>
        <w:jc w:val="both"/>
      </w:pPr>
      <w:rPr>
        <w:sz w:val="24"/>
        <w:color w:val="black"/>
      </w:rPr>
    </w:p>
    <w:p>
      <w:pPr>
        <w:jc w:val="both"/>
      </w:pPr>
      <w:r>
        <w:rPr>
          <w:rFonts w:hAnsi="Arial"/>
          <w:rFonts w:ascii="Arial"/>
          <w:sz w:val="24"/>
          <w:color w:val="black"/>
        </w:rPr>
        <w:t xml:space="preserve">4. Estαndar de Estudio No Tιcnico.</w:t>
      </w:r>
    </w:p>
    <w:p>
      <w:pPr>
        <w:jc w:val="both"/>
      </w:pPr>
      <w:rPr>
        <w:sz w:val="24"/>
        <w:color w:val="black"/>
      </w:rPr>
    </w:p>
    <w:p>
      <w:pPr>
        <w:jc w:val="both"/>
      </w:pPr>
      <w:r>
        <w:rPr>
          <w:rFonts w:hAnsi="Arial"/>
          <w:rFonts w:ascii="Arial"/>
          <w:sz w:val="24"/>
          <w:color w:val="black"/>
        </w:rPr>
        <w:t xml:space="preserve">5. Estαndar de Estudio Tιcnico.</w:t>
      </w:r>
    </w:p>
    <w:p>
      <w:pPr>
        <w:jc w:val="both"/>
      </w:pPr>
      <w:rPr>
        <w:sz w:val="24"/>
        <w:color w:val="black"/>
      </w:rPr>
    </w:p>
    <w:p>
      <w:pPr>
        <w:jc w:val="both"/>
      </w:pPr>
      <w:r>
        <w:rPr>
          <w:rFonts w:hAnsi="Arial"/>
          <w:rFonts w:ascii="Arial"/>
          <w:sz w:val="24"/>
          <w:color w:val="black"/>
        </w:rPr>
        <w:t xml:space="preserve">6. Estαndar de Limpieza en Αreas Minadas con Tιcnica Manual.</w:t>
      </w:r>
    </w:p>
    <w:p>
      <w:pPr>
        <w:jc w:val="both"/>
      </w:pPr>
      <w:rPr>
        <w:sz w:val="24"/>
        <w:color w:val="black"/>
      </w:rPr>
    </w:p>
    <w:p>
      <w:pPr>
        <w:jc w:val="both"/>
      </w:pPr>
      <w:r>
        <w:rPr>
          <w:rFonts w:hAnsi="Arial"/>
          <w:rFonts w:ascii="Arial"/>
          <w:sz w:val="24"/>
          <w:color w:val="black"/>
        </w:rPr>
        <w:t xml:space="preserve">Los demαs que se requieran para regular las actividades de desminado humanitario.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estαndares deberαn ser entendidos como las medidas necesarias y los requisitos mνnimos y previos para desarrollar actividades de desminado humanitario por parte de las organizaciones civiles.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Estαndares de Desminado Humanitario estarαn sujetos a la legislaciσn nacional vigente, deberα ser cumplida por las organizaciones civiles de desminado humanitario y, en particular, observarαn la normativa vigente en materia laboral, ambiental, penal, de seguridad industrial.</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En caso de requerirse explosivos y accesorios, se deberα dar cumplimiento a los requisitos establecidos en la normatividad vigente para la adquisiciσn, almacenamiento, transporte y uso final de los mismos y se someterαn a las sanciones legales que haya lugar, por su uso indebido o destinaciσn diferente que se haga de estos elementos, provenientes de dolo, negligencia o descuido en las medidas de control establecidas.</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Para efectos de autorizaciσn de material explosivo, por parte del comando general de las FF.MM. - Departamento Control Comercio de Armas, Municiones y Explosivos, a organizaciones civiles de desminado humanitario debidamente inscritas, se entenderα que la vigencia de la misma serα del 1o de enero hasta el 31 de diciembre de cada anualidad. En aquellos eventos en que la solicitud se haya efectuado en fecha diferente, se autorizarαn las cantidades justificadas del tiempo restante del respectivo aρo.</w:t>
      </w:r>
    </w:p>
    <w:p>
      <w:pPr>
        <w:jc w:val="both"/>
      </w:pPr>
      <w:rPr>
        <w:sz w:val="24"/>
        <w:color w:val="black"/>
      </w:rPr>
    </w:p>
    <w:p>
      <w:pPr>
        <w:jc w:val="both"/>
      </w:pPr>
      <w:r>
        <w:rPr>
          <w:rFonts w:hAnsi="Arial"/>
          <w:rFonts w:ascii="Arial"/>
          <w:sz w:val="24"/>
          <w:color w:val="navy"/>
        </w:rPr>
        <w:t xml:space="preserve">PARΑGRAFO 5o.</w:t>
      </w:r>
      <w:r>
        <w:rPr>
          <w:rFonts w:hAnsi="Arial"/>
          <w:rFonts w:ascii="Arial"/>
          <w:sz w:val="24"/>
          <w:b/>
          <w:color w:val="black"/>
        </w:rPr>
        <w:t xml:space="preserve"> </w:t>
      </w:r>
      <w:r>
        <w:rPr>
          <w:rFonts w:hAnsi="Arial"/>
          <w:rFonts w:ascii="Arial"/>
          <w:sz w:val="24"/>
          <w:color w:val="black"/>
        </w:rPr>
        <w:t xml:space="preserve">En caso de existir material sobrante al tιrmino de cada labor; este podrα ser cedido a otro proyecto o a otro usuario debidamente inscrito ante el comando general de las FF.MM. - Departamento Control Comercio de Armas, Municiones y Explosivos con las autorizaciones debidas o destruirlo in situ, con la veedurνa de la autoridad militar de la jurisdicciσn, levantando el acta correspondiente e informando de tal hecho al departamento control comercio de armas, municiones y explosivos, para lo de su cargo.</w:t>
      </w:r>
    </w:p>
    <w:p>
      <w:pPr>
        <w:jc w:val="both"/>
      </w:pPr>
      <w:rPr>
        <w:sz w:val="24"/>
        <w:color w:val="black"/>
      </w:rPr>
    </w:p>
    <w:p>
      <w:pPr>
        <w:jc w:val="both"/>
      </w:pPr>
      <w:r>
        <w:rPr>
          <w:rFonts w:hAnsi="Arial"/>
          <w:rFonts w:ascii="Arial"/>
          <w:sz w:val="24"/>
          <w:color w:val="navy"/>
        </w:rPr>
        <w:t xml:space="preserve">PARΑGRAFO 6o.</w:t>
      </w:r>
      <w:r>
        <w:rPr>
          <w:rFonts w:hAnsi="Arial"/>
          <w:rFonts w:ascii="Arial"/>
          <w:sz w:val="24"/>
          <w:b/>
          <w:color w:val="black"/>
        </w:rPr>
        <w:t xml:space="preserve"> </w:t>
      </w:r>
      <w:r>
        <w:rPr>
          <w:rFonts w:hAnsi="Arial"/>
          <w:rFonts w:ascii="Arial"/>
          <w:sz w:val="24"/>
          <w:color w:val="black"/>
        </w:rPr>
        <w:t xml:space="preserve">Los Estαndares de Desminado Humanitario no podrαn limitar las funciones constitucionales y legales del Ministerio de Defensa Nacional, la Fuerza Pϊblica y otros organismos de seguridad del Estado.</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183" w:name="2.3.1.5.1.1.9"/>
      <w:r>
        <w:rPr>
          <w:rFonts w:hAnsi="Arial"/>
          <w:rFonts w:ascii="Arial"/>
          <w:sz w:val="24"/>
          <w:color w:val="navy"/>
        </w:rPr>
        <w:t xml:space="preserve">ARTΝCULO 2.3.1.5.1.1.9. </w:t>
      </w:r>
      <w:r>
        <w:rPr>
          <w:rFonts w:hAnsi="Arial"/>
          <w:rFonts w:ascii="Arial"/>
          <w:sz w:val="24"/>
          <w:i/>
          <w:color w:val="navy"/>
        </w:rPr>
        <w:t xml:space="preserve">SUSPENSIΣN O NO RENOVACIΣN DE CERTIFICACIONES.</w:t>
      </w:r>
      <w:bookmarkEnd w:id="61183"/>
      <w:r>
        <w:rPr>
          <w:rFonts w:hAnsi="Arial"/>
          <w:rFonts w:ascii="Arial"/>
          <w:sz w:val="24"/>
          <w:b/>
          <w:i/>
          <w:color w:val="black"/>
        </w:rPr>
        <w:t xml:space="preserve"> </w:t>
      </w:r>
      <w:r>
        <w:rPr>
          <w:rFonts w:hAnsi="Arial"/>
          <w:rFonts w:ascii="Arial"/>
          <w:sz w:val="24"/>
          <w:color w:val="black"/>
        </w:rPr>
        <w:t xml:space="preserve">Cuando medien razones de defensa y seguridad nacional, se vulnere la Constituciσn Polνtica o la ley, o se incumplan los Estαndares de Desminado Humanitario, el Ministerio de Defensa Nacional, en cualquier momento, unilateralmente o por recomendaciσn de la Instancia Interinstitucional de Desminado Humanitario, podrα suspender o no renovar la certificaciσn expedida a las Organizaciones Civiles de Desminado Humanitario.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Ministerio de Defensa Nacional informarα, a travιs del Programa Presidencial de Acciσn Integral contra Minas Antipersonal (Paicma), la suspensiσn de la certificaciσn a la Comisiσn Intersectorial Nacional para la Acciσn contra Minas Antipersonal, para lo de su competencia, al igual que su no renovaciσn, del que deberα tambiιn informarse a la autoridad militar de la jurisdicciσn y al Comando General de las Fuerzas Militares Departamento Control Comercio de Armas, Municiones y Explosivos, para lo de su cargo.</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84" w:name="2.3.1.5.1.1.10"/>
      <w:r>
        <w:rPr>
          <w:rFonts w:hAnsi="Arial"/>
          <w:rFonts w:ascii="Arial"/>
          <w:sz w:val="24"/>
          <w:color w:val="navy"/>
        </w:rPr>
        <w:t xml:space="preserve">ARTΝCULO 2.3.1.5.1.1.10. </w:t>
      </w:r>
      <w:r>
        <w:rPr>
          <w:rFonts w:hAnsi="Arial"/>
          <w:rFonts w:ascii="Arial"/>
          <w:sz w:val="24"/>
          <w:i/>
          <w:color w:val="navy"/>
        </w:rPr>
        <w:t>COMPETENCIA.</w:t>
      </w:r>
      <w:bookmarkEnd w:id="61184"/>
      <w:r>
        <w:rPr>
          <w:rFonts w:hAnsi="Arial"/>
          <w:rFonts w:ascii="Arial"/>
          <w:sz w:val="24"/>
          <w:b/>
          <w:i/>
          <w:color w:val="black"/>
        </w:rPr>
        <w:t xml:space="preserve"> </w:t>
      </w:r>
      <w:r>
        <w:rPr>
          <w:rFonts w:hAnsi="Arial"/>
          <w:rFonts w:ascii="Arial"/>
          <w:sz w:val="24"/>
          <w:color w:val="black"/>
        </w:rPr>
        <w:t xml:space="preserve">Las actividades necesarias para realizar el Desminado Humanitario en el territorio nacional, que se asignarαn a las Organizaciones Civiles de Desminado Humanitario, son:</w:t>
      </w:r>
    </w:p>
    <w:p>
      <w:pPr>
        <w:jc w:val="both"/>
      </w:pPr>
      <w:rPr>
        <w:sz w:val="24"/>
        <w:color w:val="black"/>
      </w:rPr>
    </w:p>
    <w:p>
      <w:pPr>
        <w:jc w:val="both"/>
      </w:pPr>
      <w:r>
        <w:rPr>
          <w:rFonts w:hAnsi="Arial"/>
          <w:rFonts w:ascii="Arial"/>
          <w:sz w:val="24"/>
          <w:color w:val="black"/>
        </w:rPr>
        <w:t xml:space="preserve">1. Estudios no tιcnicos.</w:t>
      </w:r>
    </w:p>
    <w:p>
      <w:pPr>
        <w:jc w:val="both"/>
      </w:pPr>
      <w:rPr>
        <w:sz w:val="24"/>
        <w:color w:val="black"/>
      </w:rPr>
    </w:p>
    <w:p>
      <w:pPr>
        <w:jc w:val="both"/>
      </w:pPr>
      <w:r>
        <w:rPr>
          <w:rFonts w:hAnsi="Arial"/>
          <w:rFonts w:ascii="Arial"/>
          <w:sz w:val="24"/>
          <w:color w:val="black"/>
        </w:rPr>
        <w:t xml:space="preserve">2. Estudios tιcnicos.</w:t>
      </w:r>
    </w:p>
    <w:p>
      <w:pPr>
        <w:jc w:val="both"/>
      </w:pPr>
      <w:rPr>
        <w:sz w:val="24"/>
        <w:color w:val="black"/>
      </w:rPr>
    </w:p>
    <w:p>
      <w:pPr>
        <w:jc w:val="both"/>
      </w:pPr>
      <w:r>
        <w:rPr>
          <w:rFonts w:hAnsi="Arial"/>
          <w:rFonts w:ascii="Arial"/>
          <w:sz w:val="24"/>
          <w:color w:val="black"/>
        </w:rPr>
        <w:t xml:space="preserve">3. Limpieza en Αreas Minadas.</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185" w:name="2.3.1.5.1.1.11"/>
      <w:r>
        <w:rPr>
          <w:rFonts w:hAnsi="Arial"/>
          <w:rFonts w:ascii="Arial"/>
          <w:sz w:val="24"/>
          <w:color w:val="navy"/>
        </w:rPr>
        <w:t xml:space="preserve">ARTΝCULO 2.3.1.5.1.1.11. </w:t>
      </w:r>
      <w:r>
        <w:rPr>
          <w:rFonts w:hAnsi="Arial"/>
          <w:rFonts w:ascii="Arial"/>
          <w:sz w:val="24"/>
          <w:i/>
          <w:color w:val="navy"/>
        </w:rPr>
        <w:t xml:space="preserve">PROGRAMAS DE INFORMACIΣN.</w:t>
      </w:r>
      <w:bookmarkEnd w:id="61185"/>
      <w:r>
        <w:rPr>
          <w:rFonts w:hAnsi="Arial"/>
          <w:rFonts w:ascii="Arial"/>
          <w:sz w:val="24"/>
          <w:b/>
          <w:i/>
          <w:color w:val="black"/>
        </w:rPr>
        <w:t xml:space="preserve"> </w:t>
      </w:r>
      <w:r>
        <w:rPr>
          <w:rFonts w:hAnsi="Arial"/>
          <w:rFonts w:ascii="Arial"/>
          <w:sz w:val="24"/>
          <w:color w:val="black"/>
        </w:rPr>
        <w:t xml:space="preserve">El personal directivo, tιcnico, los lνderes de unidades de desminado y los desminadores de las Organizaciones Civiles de Desminado Humanitario deberαn asistir al Programa de Informaciσn relacionado con la contaminaciσn con minas antipersonal, artefactos explosivos improvisados, municiones sin explotar, que deberα ofrecer la Escuela de Ingenieros del Ejιrcito Nacional o quien haga sus veces.</w:t>
      </w:r>
    </w:p>
    <w:p>
      <w:pPr>
        <w:jc w:val="both"/>
      </w:pPr>
      <w:rPr>
        <w:sz w:val="24"/>
        <w:color w:val="black"/>
      </w:rPr>
    </w:p>
    <w:p>
      <w:pPr>
        <w:jc w:val="both"/>
      </w:pPr>
      <w:r>
        <w:rPr>
          <w:rFonts w:hAnsi="Arial"/>
          <w:rFonts w:ascii="Arial"/>
          <w:sz w:val="24"/>
          <w:color w:val="black"/>
        </w:rPr>
        <w:t xml:space="preserve">En todo caso, las Organizaciones Civiles de Desminado Humanitario, de manera exclusiva, serαn responsables de las obligaciones que se deriven de la realizaciσn de las Actividades de Desminado Humanitario que les sean asignadas.</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186" w:name="2.3.1.5.1.1.12"/>
      <w:r>
        <w:rPr>
          <w:rFonts w:hAnsi="Arial"/>
          <w:rFonts w:ascii="Arial"/>
          <w:sz w:val="24"/>
          <w:color w:val="navy"/>
        </w:rPr>
        <w:t xml:space="preserve">ARTΝCULO 2.3.1.5.1.1.12. </w:t>
      </w:r>
      <w:r>
        <w:rPr>
          <w:rFonts w:hAnsi="Arial"/>
          <w:rFonts w:ascii="Arial"/>
          <w:sz w:val="24"/>
          <w:i/>
          <w:color w:val="navy"/>
        </w:rPr>
        <w:t xml:space="preserve">IDENTIFICACIΣN DE ZONAS.</w:t>
      </w:r>
      <w:bookmarkEnd w:id="61186"/>
      <w:r>
        <w:rPr>
          <w:rFonts w:hAnsi="Arial"/>
          <w:rFonts w:ascii="Arial"/>
          <w:sz w:val="24"/>
          <w:b/>
          <w:i/>
          <w:color w:val="black"/>
        </w:rPr>
        <w:t xml:space="preserve"> </w:t>
      </w:r>
      <w:r>
        <w:rPr>
          <w:rFonts w:hAnsi="Arial"/>
          <w:rFonts w:ascii="Arial"/>
          <w:sz w:val="24"/>
          <w:color w:val="black"/>
        </w:rPr>
        <w:t xml:space="preserve">La Instancia Interinstitucional de Desminado Humanitario identificarα las zonas del territorio nacional susceptibles de ser objeto de desminado humanitario y su viabilidad bajo los siguientes criterios: seguridad; contaminaciσn con minas antipersonal de acuerdo a la informaciσn recopilada por el Programa Presidencial para la Acciσn Integral contra Minas Antipersonal; la informaciσn del Sistema de Alertas Tempranas de la Defensorνa del Pueblo y la informaciσn suministrada por el Comando General de las Fuerzas Militares.</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187" w:name="2.3.1.5.1.1.13"/>
      <w:r>
        <w:rPr>
          <w:rFonts w:hAnsi="Arial"/>
          <w:rFonts w:ascii="Arial"/>
          <w:sz w:val="24"/>
          <w:color w:val="navy"/>
        </w:rPr>
        <w:t xml:space="preserve">ARTΝCULO 2.3.1.5.1.1.13. </w:t>
      </w:r>
      <w:r>
        <w:rPr>
          <w:rFonts w:hAnsi="Arial"/>
          <w:rFonts w:ascii="Arial"/>
          <w:sz w:val="24"/>
          <w:i/>
          <w:color w:val="navy"/>
        </w:rPr>
        <w:t xml:space="preserve">COMPAΡΝAS ASEGURADORAS.</w:t>
      </w:r>
      <w:bookmarkEnd w:id="61187"/>
      <w:r>
        <w:rPr>
          <w:rFonts w:hAnsi="Arial"/>
          <w:rFonts w:ascii="Arial"/>
          <w:sz w:val="24"/>
          <w:b/>
          <w:i/>
          <w:color w:val="black"/>
        </w:rPr>
        <w:t xml:space="preserve"> </w:t>
      </w:r>
      <w:r>
        <w:rPr>
          <w:rFonts w:hAnsi="Arial"/>
          <w:rFonts w:ascii="Arial"/>
          <w:sz w:val="24"/>
          <w:color w:val="black"/>
        </w:rPr>
        <w:t xml:space="preserve">La Organizaciσn Civil de Desminado Humanitario a la que le sean asignadas Actividades de Desminado Humanitario, deberα contratar con una compaρνa aseguradora legalmente constituida en Colombia y vigilada por la Superintendencia Financiera de Colombia, para el personal asignado a tal labor en terreno, una pσliza de seguro que cubra los riesgos de muerte incluyendo actos violentos, desmembraciσn e incapacidad total y permanente, asociados a la actividad.</w:t>
      </w:r>
    </w:p>
    <w:p>
      <w:pPr>
        <w:jc w:val="both"/>
      </w:pPr>
      <w:rPr>
        <w:sz w:val="24"/>
        <w:color w:val="black"/>
      </w:rPr>
    </w:p>
    <w:p>
      <w:pPr>
        <w:jc w:val="both"/>
      </w:pPr>
      <w:r>
        <w:rPr>
          <w:rFonts w:hAnsi="Arial"/>
          <w:rFonts w:ascii="Arial"/>
          <w:sz w:val="24"/>
          <w:color w:val="black"/>
        </w:rPr>
        <w:t xml:space="preserve">La pσliza de que trata el presente artνculo deberα ser contratada sin perjuicio del cumplimiento de las obligaciones seρaladas por la legislaciσn laboral vigente respecto del personal que sea contratado por las Organizaciones Civiles para actividades de desminado humanitario, la cual deberα estar vigente por un tιrmino no inferior al tiempo que dure la actividad contratada.</w:t>
      </w:r>
    </w:p>
    <w:p>
      <w:pPr>
        <w:jc w:val="both"/>
      </w:pPr>
      <w:rPr>
        <w:sz w:val="24"/>
        <w:color w:val="black"/>
      </w:rPr>
    </w:p>
    <w:p>
      <w:pPr>
        <w:jc w:val="both"/>
      </w:pPr>
      <w:r>
        <w:rPr>
          <w:rFonts w:hAnsi="Arial"/>
          <w:rFonts w:ascii="Arial"/>
          <w:sz w:val="24"/>
          <w:color w:val="black"/>
        </w:rPr>
        <w:t xml:space="preserve">El Estado colombiano no asumirα responsabilidad alguna por las lesiones, daρos y demαs perjuicios que sufra el personal contratado por las Organizaciones Civiles que realiza actividades de desminado humanitario.</w:t>
      </w:r>
    </w:p>
    <w:p>
      <w:pPr>
        <w:jc w:val="both"/>
      </w:pPr>
      <w:rPr>
        <w:sz w:val="24"/>
        <w:color w:val="black"/>
      </w:rPr>
    </w:p>
    <w:p>
      <w:pPr>
        <w:jc w:val="both"/>
      </w:pPr>
      <w:r>
        <w:rPr>
          <w:rFonts w:hAnsi="Arial"/>
          <w:rFonts w:ascii="Arial"/>
          <w:sz w:val="24"/>
          <w:color w:val="black"/>
        </w:rPr>
        <w:t xml:space="preserve">Asν mismo, la Organizaciσn Civil de Desminado Humanitario a la que le sean asignadas Actividades de Desminado Humanitario, deberα contratar con una compaρνa aseguradora legalmente constituida en Colombia y vigilada por la Superintendencia Financiera de Colombia, una pσliza de seguro de Responsabilidad Civil Extracontractual que cubra a terceros en caso de una eventualidad asociada a dichas actividades, la cual deberα estar vigente por un tιrmino no inferior al tiempo que dure la ejecuciσn de la actividad de desminado humanitario.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pσliza de responsabilidad civil extracontractual deberα contemplar las siguientes condiciones:</w:t>
      </w:r>
    </w:p>
    <w:p>
      <w:pPr>
        <w:jc w:val="both"/>
      </w:pPr>
      <w:rPr>
        <w:sz w:val="24"/>
        <w:color w:val="black"/>
      </w:rPr>
    </w:p>
    <w:p>
      <w:pPr>
        <w:jc w:val="both"/>
      </w:pPr>
      <w:r>
        <w:rPr>
          <w:rFonts w:hAnsi="Arial"/>
          <w:rFonts w:ascii="Arial"/>
          <w:sz w:val="24"/>
          <w:color w:val="black"/>
        </w:rPr>
        <w:t xml:space="preserve">1. Cobertura expresa de los perjuicios que cause el asegurado tanto en la modalidad de daρo emergente, como en la modalidad de lucro cesante.</w:t>
      </w:r>
    </w:p>
    <w:p>
      <w:pPr>
        <w:jc w:val="both"/>
      </w:pPr>
      <w:rPr>
        <w:sz w:val="24"/>
        <w:color w:val="black"/>
      </w:rPr>
    </w:p>
    <w:p>
      <w:pPr>
        <w:jc w:val="both"/>
      </w:pPr>
      <w:r>
        <w:rPr>
          <w:rFonts w:hAnsi="Arial"/>
          <w:rFonts w:ascii="Arial"/>
          <w:sz w:val="24"/>
          <w:color w:val="black"/>
        </w:rPr>
        <w:t xml:space="preserve">2. Cobertura expresa de perjuicios extrapatrimoniales.</w:t>
      </w:r>
    </w:p>
    <w:p>
      <w:pPr>
        <w:jc w:val="both"/>
      </w:pPr>
      <w:rPr>
        <w:sz w:val="24"/>
        <w:color w:val="black"/>
      </w:rPr>
    </w:p>
    <w:p>
      <w:pPr>
        <w:jc w:val="both"/>
      </w:pPr>
      <w:r>
        <w:rPr>
          <w:rFonts w:hAnsi="Arial"/>
          <w:rFonts w:ascii="Arial"/>
          <w:sz w:val="24"/>
          <w:color w:val="black"/>
        </w:rPr>
        <w:t xml:space="preserve">3. El deducible mαximo serα del diez por ciento (10%) del valor de cada pιrdida.</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"http://www.redjurista.com/document.aspx?ajcode=d3750011&amp;arts=1"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1561 de 2013)</w:t>
      </w:r>
    </w:p>
    <w:p>
      <w:pPr>
        <w:jc w:val="both"/>
      </w:pPr>
      <w:rPr>
        <w:color w:val="black"/>
      </w:rPr>
    </w:p>
    <w:p>
      <w:pPr>
        <w:jc w:val="both"/>
      </w:pPr>
      <w:r>
        <w:rPr>
          <w:rFonts w:hAnsi="Arial"/>
          <w:rFonts w:ascii="Arial"/>
          <w:sz w:val="24"/>
          <w:vanish/>
          <w:color w:val="black"/>
        </w:rPr>
        <w:t>&amp;$</w:t>
      </w:r>
      <w:bookmarkStart w:id="61188" w:name="2.3.1.5.1.1.14"/>
      <w:r>
        <w:rPr>
          <w:rFonts w:hAnsi="Arial"/>
          <w:rFonts w:ascii="Arial"/>
          <w:sz w:val="24"/>
          <w:color w:val="navy"/>
        </w:rPr>
        <w:t xml:space="preserve">ARTΝCULO 2.3.1.5.1.1.14. </w:t>
      </w:r>
      <w:r>
        <w:rPr>
          <w:rFonts w:hAnsi="Arial"/>
          <w:rFonts w:ascii="Arial"/>
          <w:sz w:val="24"/>
          <w:i/>
          <w:color w:val="navy"/>
        </w:rPr>
        <w:t xml:space="preserve">VALORES ASEGURADOS.</w:t>
      </w:r>
      <w:bookmarkEnd w:id="61188"/>
      <w:r>
        <w:rPr>
          <w:rFonts w:hAnsi="Arial"/>
          <w:rFonts w:ascii="Arial"/>
          <w:sz w:val="24"/>
          <w:b/>
          <w:i/>
          <w:color w:val="black"/>
        </w:rPr>
        <w:t xml:space="preserve"> </w:t>
      </w:r>
      <w:r>
        <w:rPr>
          <w:rFonts w:hAnsi="Arial"/>
          <w:rFonts w:ascii="Arial"/>
          <w:sz w:val="24"/>
          <w:color w:val="black"/>
        </w:rPr>
        <w:t xml:space="preserve">Los valores asegurados mνnimos para los amparos de las pσlizas de que trata el artνculo </w:t>
      </w:r>
      <w:r>
        <w:fldChar w:fldCharType="begin"/>
      </w:r>
      <w:r>
        <w:instrText>HYPERLINK "http://www.redjurista.com/document.aspx?ajcode=d1070015&amp;arts=2.3.1.5.1.1.13"</w:instrText>
      </w:r>
      <w:r>
        <w:fldChar w:fldCharType="separate"/>
      </w:r>
      <w:r>
        <w:rPr>
          <w:rFonts w:hAnsi="Arial"/>
          <w:rFonts w:ascii="Arial"/>
          <w:sz w:val="24"/>
          <w:u w:val="single"/>
          <w:color w:val="black"/>
        </w:rPr>
        <w:t>2.3.1.5.1.1.13</w:t>
      </w:r>
      <w:r>
        <w:fldChar w:fldCharType="end"/>
      </w:r>
      <w:r>
        <w:rPr>
          <w:rFonts w:hAnsi="Arial"/>
          <w:rFonts w:ascii="Arial"/>
          <w:sz w:val="24"/>
          <w:u w:val="none"/>
          <w:color w:val="black"/>
        </w:rPr>
        <w:t xml:space="preserve"> de la presente Subsecciσn, serαn los siguientes:</w:t>
      </w:r>
    </w:p>
    <w:tbl>
      <w:tblGrid>
        <w:gridCol w:w="5680"/>
        <w:gridCol w:w="1640"/>
      </w:tblGrid>
      <w:tblPr>
        <w:tblW w:w="7327" w:type="dxa"/>
        <w:tblBorders/>
      </w:tblPr>
      <w:tr>
        <w:trPr/>
        <w:tc>
          <w:tcPr>
            <w:tcW w:w="5689" w:type="dxa"/>
            <w:tcMar/>
            <w:tcBorders/>
          </w:tcPr>
          <w:p>
            <w:pPr>
              <w:jc w:val="center"/>
            </w:pPr>
            <w:r>
              <w:rPr>
                <w:rFonts w:hAnsi="Arial"/>
                <w:rFonts w:ascii="Arial"/>
                <w:sz w:val="16"/>
                <w:b/>
                <w:color w:val="black"/>
              </w:rPr>
              <w:t/>
              <w:br w:type="textWrapping"/>
              <w:t>Pσliza</w:t>
            </w:r>
          </w:p>
        </w:tc>
        <w:tc>
          <w:tcPr>
            <w:tcW w:w="1638" w:type="dxa"/>
            <w:tcMar/>
            <w:tcBorders/>
          </w:tcPr>
          <w:p>
            <w:pPr>
              <w:jc w:val="center"/>
            </w:pPr>
            <w:r>
              <w:rPr>
                <w:rFonts w:hAnsi="Arial"/>
                <w:rFonts w:ascii="Arial"/>
                <w:sz w:val="16"/>
                <w:b/>
                <w:color w:val="black"/>
              </w:rPr>
              <w:t xml:space="preserve">Valores asegurados mνnimos</w:t>
            </w:r>
          </w:p>
        </w:tc>
      </w:tr>
      <w:tr>
        <w:trPr/>
        <w:tc>
          <w:tcPr>
            <w:tcW w:w="5689" w:type="dxa"/>
            <w:tcMar/>
            <w:tcBorders/>
          </w:tcPr>
          <w:p>
            <w:pPr>
              <w:jc w:val="both"/>
            </w:pPr>
            <w:r>
              <w:rPr>
                <w:rFonts w:hAnsi="Arial"/>
                <w:rFonts w:ascii="Arial"/>
                <w:sz w:val="16"/>
                <w:color w:val="black"/>
              </w:rPr>
              <w:t xml:space="preserve">Pσliza que cubra los riesgos de muerte incluyendo actos violentos, desmembraciσn e incapacidad total y permanente asociada a la actividad.</w:t>
            </w:r>
          </w:p>
        </w:tc>
        <w:tc>
          <w:tcPr>
            <w:tcW w:w="1638" w:type="dxa"/>
            <w:tcMar/>
            <w:tcBorders/>
          </w:tcPr>
          <w:p>
            <w:pPr>
              <w:jc w:val="center"/>
            </w:pPr>
            <w:r>
              <w:rPr>
                <w:rFonts w:hAnsi="Arial"/>
                <w:rFonts w:ascii="Arial"/>
                <w:sz w:val="16"/>
                <w:b/>
                <w:color w:val="black"/>
              </w:rPr>
              <w:t xml:space="preserve"/>
              <w:br w:type="textWrapping"/>
              <w:t>85 smlmv</w:t>
            </w:r>
          </w:p>
        </w:tc>
      </w:tr>
      <w:tr>
        <w:trPr/>
        <w:tc>
          <w:tcPr>
            <w:tcW w:w="5689" w:type="dxa"/>
            <w:tcMar/>
            <w:tcBorders/>
          </w:tcPr>
          <w:p>
            <w:pPr>
              <w:jc w:val="both"/>
            </w:pPr>
            <w:r>
              <w:rPr>
                <w:rFonts w:hAnsi="Arial"/>
                <w:rFonts w:ascii="Arial"/>
                <w:sz w:val="16"/>
                <w:color w:val="black"/>
              </w:rPr>
              <w:t xml:space="preserve"/>
              <w:br w:type="textWrapping"/>
              <w:t>Pσliza de seguro de Responsabilidad Civil extracontractual que cubra a terceros en caso de una eventualidad asociada a las actividades de desminado humanitario</w:t>
            </w:r>
          </w:p>
        </w:tc>
        <w:tc>
          <w:tcPr>
            <w:tcW w:w="1638" w:type="dxa"/>
            <w:tcMar/>
            <w:tcBorders/>
          </w:tcPr>
          <w:p>
            <w:pPr>
              <w:jc w:val="center"/>
            </w:pPr>
            <w:r>
              <w:rPr>
                <w:rFonts w:hAnsi="Arial"/>
                <w:rFonts w:ascii="Arial"/>
                <w:sz w:val="16"/>
                <w:b/>
                <w:color w:val="black"/>
              </w:rPr>
              <w:t xml:space="preserve"/>
              <w:br w:type="textWrapping"/>
              <w:t>1.200 smlmv</w:t>
            </w:r>
          </w:p>
        </w:tc>
      </w:tr>
    </w:tbl>
    <w:p>
      <w:rPr>
        <w:sz w:val="24"/>
        <w:color w:val="black"/>
      </w:rPr>
    </w:p>
    <w:p>
      <w:pPr>
        <w:jc w:val="both"/>
      </w:pPr>
      <w:r>
        <w:rPr>
          <w:rFonts w:hAnsi="Arial"/>
          <w:rFonts w:ascii="Arial"/>
          <w:sz w:val="24"/>
          <w:i/>
          <w:color w:val="black"/>
        </w:rPr>
        <w:t xml:space="preserve">(Decreto 1561 de 2013 artνculo </w:t>
      </w:r>
      <w:r>
        <w:fldChar w:fldCharType="begin"/>
      </w:r>
      <w:r>
        <w:instrText>HYPERLINK "http://www.redjurista.com/document.aspx?ajcode=d1561013&amp;arts=2"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89" w:name="2.3.1.5.1.1.15"/>
      <w:r>
        <w:rPr>
          <w:rFonts w:hAnsi="Arial"/>
          <w:rFonts w:ascii="Arial"/>
          <w:sz w:val="24"/>
          <w:color w:val="navy"/>
        </w:rPr>
        <w:t xml:space="preserve">ARTΝCULO 2.3.1.5.1.1.15. </w:t>
      </w:r>
      <w:r>
        <w:rPr>
          <w:rFonts w:hAnsi="Arial"/>
          <w:rFonts w:ascii="Arial"/>
          <w:sz w:val="24"/>
          <w:i/>
          <w:color w:val="navy"/>
        </w:rPr>
        <w:t>CUMPLIMIENTO.</w:t>
      </w:r>
      <w:bookmarkEnd w:id="61189"/>
      <w:r>
        <w:rPr>
          <w:rFonts w:hAnsi="Arial"/>
          <w:rFonts w:ascii="Arial"/>
          <w:sz w:val="24"/>
          <w:b/>
          <w:i/>
          <w:color w:val="black"/>
        </w:rPr>
        <w:t xml:space="preserve"> </w:t>
      </w:r>
      <w:r>
        <w:rPr>
          <w:rFonts w:hAnsi="Arial"/>
          <w:rFonts w:ascii="Arial"/>
          <w:sz w:val="24"/>
          <w:color w:val="black"/>
        </w:rPr>
        <w:t xml:space="preserve">La Secretarνa Tιcnica de la Instancia Interinstitucional de Desminado Humanitario, creada en el artνculo </w:t>
      </w:r>
      <w:r>
        <w:fldChar w:fldCharType="begin"/>
      </w:r>
      <w:r>
        <w:instrText>HYPERLINK "http://www.redjurista.com/document.aspx?ajcode=d1070015&amp;arts=2.3.1.5.1.1.6"</w:instrText>
      </w:r>
      <w:r>
        <w:fldChar w:fldCharType="separate"/>
      </w:r>
      <w:r>
        <w:rPr>
          <w:rFonts w:hAnsi="Arial"/>
          <w:rFonts w:ascii="Arial"/>
          <w:sz w:val="24"/>
          <w:u w:val="single"/>
          <w:color w:val="black"/>
        </w:rPr>
        <w:t>2.3.1.5.1.1.6</w:t>
      </w:r>
      <w:r>
        <w:fldChar w:fldCharType="end"/>
      </w:r>
      <w:r>
        <w:rPr>
          <w:rFonts w:hAnsi="Arial"/>
          <w:rFonts w:ascii="Arial"/>
          <w:sz w:val="24"/>
          <w:u w:val="none"/>
          <w:color w:val="black"/>
        </w:rPr>
        <w:t xml:space="preserve">., de esta Subsecciσn verificarα el cumplimento de los parαmetros mνnimos de las pσlizas de que trata el artνculo anterior, previo al inicio de las actividades de Desminado Humanitario por parte de las organizaciones civiles que se encuentren debidamente acreditadas.</w:t>
      </w:r>
    </w:p>
    <w:p>
      <w:pPr>
        <w:jc w:val="both"/>
      </w:pPr>
      <w:rPr>
        <w:sz w:val="24"/>
        <w:color w:val="black"/>
      </w:rPr>
    </w:p>
    <w:p>
      <w:pPr>
        <w:jc w:val="both"/>
      </w:pPr>
      <w:r>
        <w:rPr>
          <w:rFonts w:hAnsi="Arial"/>
          <w:rFonts w:ascii="Arial"/>
          <w:sz w:val="24"/>
          <w:i/>
          <w:color w:val="black"/>
        </w:rPr>
        <w:t xml:space="preserve">(Decreto 1561 de 2013 artνculo </w:t>
      </w:r>
      <w:r>
        <w:fldChar w:fldCharType="begin"/>
      </w:r>
      <w:r>
        <w:instrText>HYPERLINK "http://www.redjurista.com/document.aspx?ajcode=d1561013&amp;arts=3"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0" w:name="2.3.1.5.1.1.16"/>
      <w:r>
        <w:rPr>
          <w:rFonts w:hAnsi="Arial"/>
          <w:rFonts w:ascii="Arial"/>
          <w:sz w:val="24"/>
          <w:color w:val="navy"/>
        </w:rPr>
        <w:t xml:space="preserve">ARTΝCULO 2.3.1.5.1.1.16. </w:t>
      </w:r>
      <w:r>
        <w:rPr>
          <w:rFonts w:hAnsi="Arial"/>
          <w:rFonts w:ascii="Arial"/>
          <w:sz w:val="24"/>
          <w:i/>
          <w:color w:val="navy"/>
        </w:rPr>
        <w:t>MONITOREO.</w:t>
      </w:r>
      <w:bookmarkEnd w:id="61190"/>
      <w:r>
        <w:rPr>
          <w:rFonts w:hAnsi="Arial"/>
          <w:rFonts w:ascii="Arial"/>
          <w:sz w:val="24"/>
          <w:b/>
          <w:i/>
          <w:color w:val="black"/>
        </w:rPr>
        <w:t xml:space="preserve"> </w:t>
      </w:r>
      <w:r>
        <w:rPr>
          <w:rFonts w:hAnsi="Arial"/>
          <w:rFonts w:ascii="Arial"/>
          <w:sz w:val="24"/>
          <w:color w:val="black"/>
        </w:rPr>
        <w:t xml:space="preserve">Las labores de monitoreo con el fin de asegurar y controlar la calidad de las Actividades de Desminado Humanitario realizadas por las Organizaciones Civiles de Desminado Humanitario, serαn efectuadas por el Programa Presidencial de Acciσn Integral contra Minas Antipersonal (Paicma), el Ministerio de Defensa Nacional y la Inspecciσn General del Comando General de las Fuerzas Militares.</w:t>
      </w:r>
    </w:p>
    <w:p>
      <w:pPr>
        <w:jc w:val="both"/>
      </w:pPr>
      <w:rPr>
        <w:sz w:val="24"/>
        <w:color w:val="black"/>
      </w:rPr>
    </w:p>
    <w:p>
      <w:pPr>
        <w:jc w:val="both"/>
      </w:pPr>
      <w:r>
        <w:rPr>
          <w:rFonts w:hAnsi="Arial"/>
          <w:rFonts w:ascii="Arial"/>
          <w:sz w:val="24"/>
          <w:color w:val="black"/>
        </w:rPr>
        <w:t xml:space="preserve">El Gobierno Nacional podrα suscribir acuerdos de cooperaciσn y asistencia tιcnica con organismos internacionales para su propσsito.</w:t>
      </w:r>
    </w:p>
    <w:p>
      <w:pPr>
        <w:jc w:val="both"/>
      </w:pPr>
      <w:rPr>
        <w:sz w:val="24"/>
        <w:color w:val="black"/>
      </w:rPr>
    </w:p>
    <w:p>
      <w:pPr>
        <w:jc w:val="both"/>
      </w:pPr>
      <w:r>
        <w:rPr>
          <w:rFonts w:hAnsi="Arial"/>
          <w:rFonts w:ascii="Arial"/>
          <w:sz w:val="24"/>
          <w:color w:val="black"/>
        </w:rPr>
        <w:t xml:space="preserve">La Defensorνa del Pueblo y Procuradurνa General de la Naciσn podrαn desarrollar labores de acompaρamiento en el proceso de monitoreo, a fin de garantizar un enfoque de derechos y de protecciσn de la poblaciσn civil.</w:t>
      </w:r>
    </w:p>
    <w:p>
      <w:pPr>
        <w:jc w:val="both"/>
      </w:pPr>
      <w:rPr>
        <w:sz w:val="24"/>
        <w:color w:val="black"/>
      </w:rPr>
    </w:p>
    <w:p>
      <w:pPr>
        <w:jc w:val="both"/>
      </w:pPr>
      <w:r>
        <w:rPr>
          <w:rFonts w:hAnsi="Arial"/>
          <w:rFonts w:ascii="Arial"/>
          <w:sz w:val="24"/>
          <w:color w:val="black"/>
        </w:rPr>
        <w:t xml:space="preserve">Los informes producto del proceso de monitoreo serαn de carαcter pϊblico, para lo cual serαn publicados en pαgina web del Programa Presidencial de Acciσn Integral contra Minas Antipersonal (Paicma) y el Ministerio de Defensa Nacional.</w:t>
      </w:r>
    </w:p>
    <w:p>
      <w:pPr>
        <w:jc w:val="both"/>
      </w:pPr>
      <w:rPr>
        <w:sz w:val="24"/>
        <w:color w:val="black"/>
      </w:rPr>
    </w:p>
    <w:p>
      <w:pPr>
        <w:jc w:val="both"/>
      </w:pPr>
      <w:r>
        <w:rPr>
          <w:rFonts w:hAnsi="Arial"/>
          <w:rFonts w:ascii="Arial"/>
          <w:sz w:val="24"/>
          <w:i/>
          <w:color w:val="black"/>
        </w:rPr>
        <w:t xml:space="preserve">(Decreto 3750 de 2011 artνculo </w:t>
      </w:r>
      <w:r>
        <w:fldChar w:fldCharType="begin"/>
      </w:r>
      <w:r>
        <w:instrText>HYPERLINK "http://www.redjurista.com/document.aspx?ajcode=d3750011&amp;arts=14"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191" w:name="SECCIÓN 2.3.1.5.2"/>
      <w:r>
        <w:rPr>
          <w:rFonts w:hAnsi="Arial"/>
          <w:rFonts w:ascii="Arial"/>
          <w:sz w:val="24"/>
          <w:color w:val="navy"/>
        </w:rPr>
        <w:t xml:space="preserve">SECCIΣN 2. </w:t>
      </w:r>
    </w:p>
    <w:p>
      <w:pPr>
        <w:jc w:val="center"/>
      </w:pPr>
      <w:r>
        <w:rPr>
          <w:rFonts w:hAnsi="Arial"/>
          <w:rFonts w:ascii="Arial"/>
          <w:sz w:val="24"/>
          <w:color w:val="navy"/>
        </w:rPr>
        <w:t xml:space="preserve">IMPLEMENTACIΣN DEL ACUERDO SOBRE LIMPIEZA Y DESCONTAMINACIΣN DEL TERRITORIO DE LA PRESENCIA DE MINAS ANTIPERSONAL (MAP), ARTEFACTOS EXPLOSIVOS IMPROVISADOS (AEI) Y MUNICIONES SIN EXPLOTAR (MUSE) O RESTOS EXPLOSIVOS DE GUERRA (REG) EN GENERAL SUSCRITO EL 7 DE MARZO DE 2015 POR EL GOBIERNO NACIONAL.</w:t>
      </w:r>
      <w:bookmarkEnd w:id="61191"/>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1192" w:name="2.3.1.5.2.1"/>
      <w:r>
        <w:rPr>
          <w:rFonts w:hAnsi="Arial"/>
          <w:rFonts w:ascii="Arial"/>
          <w:sz w:val="24"/>
          <w:color w:val="navy"/>
        </w:rPr>
        <w:t xml:space="preserve">ARTΝCULO 2.3.1.5.2.1. </w:t>
      </w:r>
      <w:r>
        <w:rPr>
          <w:rFonts w:hAnsi="Arial"/>
          <w:rFonts w:ascii="Arial"/>
          <w:sz w:val="24"/>
          <w:i/>
          <w:color w:val="navy"/>
        </w:rPr>
        <w:t>OBJETO</w:t>
      </w:r>
      <w:r>
        <w:rPr>
          <w:rFonts w:hAnsi="Arial"/>
          <w:rFonts w:ascii="Arial"/>
          <w:sz w:val="24"/>
          <w:color w:val="navy"/>
        </w:rPr>
        <w:t>.</w:t>
      </w:r>
      <w:bookmarkEnd w:id="61192"/>
      <w:r>
        <w:rPr>
          <w:rFonts w:hAnsi="Arial"/>
          <w:rFonts w:ascii="Arial"/>
          <w:sz w:val="24"/>
          <w:b/>
          <w:color w:val="black"/>
        </w:rPr>
        <w:t xml:space="preserve"> </w:t>
      </w:r>
      <w:r>
        <w:rPr>
          <w:rFonts w:hAnsi="Arial"/>
          <w:rFonts w:ascii="Arial"/>
          <w:sz w:val="24"/>
          <w:color w:val="black"/>
        </w:rPr>
        <w:t xml:space="preserve">Por medio de la presente Secciσn se establecen las condiciones para implementar el "Acuerdo sobre Limpieza y Descontaminaciσn del territorio de la presencia de Minas Antipersonal (MAP), Artefactos Explosivos Improvisados (AEI) y Municiones sin Explotar (MUSE) o Restos Explosivos de Guerra (REG) en general", suscrito el 7 de marzo de 2015 por el Gobierno Nacional.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3" w:name="2.3.1.5.2.2"/>
      <w:r>
        <w:rPr>
          <w:rFonts w:hAnsi="Arial"/>
          <w:rFonts w:ascii="Arial"/>
          <w:sz w:val="24"/>
          <w:color w:val="navy"/>
        </w:rPr>
        <w:t xml:space="preserve">ARTΝCULO 2.3.1.5.2.2. </w:t>
      </w:r>
      <w:r>
        <w:rPr>
          <w:rFonts w:hAnsi="Arial"/>
          <w:rFonts w:ascii="Arial"/>
          <w:sz w:val="24"/>
          <w:i/>
          <w:color w:val="navy"/>
        </w:rPr>
        <w:t xml:space="preserve">EJECUCIΣN DEL PROYECTO PILOTO</w:t>
      </w:r>
      <w:r>
        <w:rPr>
          <w:rFonts w:hAnsi="Arial"/>
          <w:rFonts w:ascii="Arial"/>
          <w:sz w:val="24"/>
          <w:color w:val="navy"/>
        </w:rPr>
        <w:t>.</w:t>
      </w:r>
      <w:bookmarkEnd w:id="61193"/>
      <w:r>
        <w:rPr>
          <w:rFonts w:hAnsi="Arial"/>
          <w:rFonts w:ascii="Arial"/>
          <w:sz w:val="24"/>
          <w:b/>
          <w:color w:val="black"/>
        </w:rPr>
        <w:t xml:space="preserve"> </w:t>
      </w:r>
      <w:r>
        <w:rPr>
          <w:rFonts w:hAnsi="Arial"/>
          <w:rFonts w:ascii="Arial"/>
          <w:sz w:val="24"/>
          <w:color w:val="black"/>
        </w:rPr>
        <w:t xml:space="preserve">El proyecto piloto de limpieza y descontaminaciσn por MAP, AEI, MUSE o REG se llevarα a cabo por el Gobierno Nacional con el apoyo, liderazgo y coordinaciσn de la Ayuda Popular Noruega (APN), que deberα realizar el proceso de acreditaciσn de conformidad con las disposiciones contenidas en la presente Secciσn.</w:t>
      </w:r>
    </w:p>
    <w:p>
      <w:pPr>
        <w:jc w:val="both"/>
      </w:pPr>
      <w:rPr>
        <w:sz w:val="24"/>
        <w:color w:val="black"/>
      </w:rPr>
    </w:p>
    <w:p>
      <w:pPr>
        <w:jc w:val="both"/>
      </w:pPr>
      <w:r>
        <w:rPr>
          <w:rFonts w:hAnsi="Arial"/>
          <w:rFonts w:ascii="Arial"/>
          <w:sz w:val="24"/>
          <w:color w:val="black"/>
        </w:rPr>
        <w:t xml:space="preserve">Asν mismo, corresponderα al Gobierno Nacional de acuerdo a sus competencias y conforme y a la evaluaciσn que se realice en el marco del Acuerdo determinar la vigencia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194" w:name="SUBSECCIÓN 2.3.1.5.2.1"/>
      <w:r>
        <w:rPr>
          <w:rFonts w:hAnsi="Arial"/>
          <w:rFonts w:ascii="Arial"/>
          <w:sz w:val="24"/>
          <w:color w:val="navy"/>
        </w:rPr>
        <w:t xml:space="preserve">SUBSECCIΣN 1. </w:t>
      </w:r>
    </w:p>
    <w:p>
      <w:pPr>
        <w:jc w:val="center"/>
      </w:pPr>
      <w:r>
        <w:rPr>
          <w:rFonts w:hAnsi="Arial"/>
          <w:rFonts w:ascii="Arial"/>
          <w:sz w:val="24"/>
          <w:color w:val="navy"/>
        </w:rPr>
        <w:t xml:space="preserve">DE LOS REQUISITOS PARA LA ACREDITACIΣN DE LA AYUDA POPULAR NORUEGA (APN) PARA EL PROYECTO PILOTO.</w:t>
      </w:r>
      <w:bookmarkEnd w:id="6119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195" w:name="2.3.1.5.2.1.1"/>
      <w:r>
        <w:rPr>
          <w:rFonts w:hAnsi="Arial"/>
          <w:rFonts w:ascii="Arial"/>
          <w:sz w:val="24"/>
          <w:color w:val="navy"/>
        </w:rPr>
        <w:t xml:space="preserve">ARTΝCULO 2.3.1.5.2.1.1. </w:t>
      </w:r>
      <w:r>
        <w:rPr>
          <w:rFonts w:hAnsi="Arial"/>
          <w:rFonts w:ascii="Arial"/>
          <w:sz w:val="24"/>
          <w:i/>
          <w:color w:val="navy"/>
        </w:rPr>
        <w:t xml:space="preserve">PROCESO DE ACREDITACIΣN</w:t>
      </w:r>
      <w:r>
        <w:rPr>
          <w:rFonts w:hAnsi="Arial"/>
          <w:rFonts w:ascii="Arial"/>
          <w:sz w:val="24"/>
          <w:color w:val="navy"/>
        </w:rPr>
        <w:t>.</w:t>
      </w:r>
      <w:bookmarkEnd w:id="61195"/>
      <w:r>
        <w:rPr>
          <w:rFonts w:hAnsi="Arial"/>
          <w:rFonts w:ascii="Arial"/>
          <w:sz w:val="24"/>
          <w:b/>
          <w:color w:val="black"/>
        </w:rPr>
        <w:t xml:space="preserve"> </w:t>
      </w:r>
      <w:r>
        <w:rPr>
          <w:rFonts w:hAnsi="Arial"/>
          <w:rFonts w:ascii="Arial"/>
          <w:sz w:val="24"/>
          <w:color w:val="black"/>
        </w:rPr>
        <w:t xml:space="preserve">El proceso de acreditaciσn para el Proyecto Piloto estα conformado por tres fases: I. Documental, II. De aval y la III. De evaluaciσn operacional.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6" w:name="2.3.1.5.2.1.2"/>
      <w:r>
        <w:rPr>
          <w:rFonts w:hAnsi="Arial"/>
          <w:rFonts w:ascii="Arial"/>
          <w:sz w:val="24"/>
          <w:color w:val="navy"/>
        </w:rPr>
        <w:t xml:space="preserve">ARTΝCULO 2.3.1.5.2.1.2. </w:t>
      </w:r>
      <w:r>
        <w:rPr>
          <w:rFonts w:hAnsi="Arial"/>
          <w:rFonts w:ascii="Arial"/>
          <w:sz w:val="24"/>
          <w:i/>
          <w:color w:val="navy"/>
        </w:rPr>
        <w:t xml:space="preserve">FASE DOCUMENTAL</w:t>
      </w:r>
      <w:r>
        <w:rPr>
          <w:rFonts w:hAnsi="Arial"/>
          <w:rFonts w:ascii="Arial"/>
          <w:sz w:val="24"/>
          <w:color w:val="navy"/>
        </w:rPr>
        <w:t>.</w:t>
      </w:r>
      <w:bookmarkEnd w:id="61196"/>
      <w:r>
        <w:rPr>
          <w:rFonts w:hAnsi="Arial"/>
          <w:rFonts w:ascii="Arial"/>
          <w:sz w:val="24"/>
          <w:b/>
          <w:color w:val="black"/>
        </w:rPr>
        <w:t xml:space="preserve"> </w:t>
      </w:r>
      <w:r>
        <w:rPr>
          <w:rFonts w:hAnsi="Arial"/>
          <w:rFonts w:ascii="Arial"/>
          <w:sz w:val="24"/>
          <w:color w:val="black"/>
        </w:rPr>
        <w:t xml:space="preserve">La Fase Documental consiste en la evaluaciσn de documentaciσn relevante y apropiada suministrada por la Ayuda Popular Noruega (APN), con el fin de que la Direcciσn para la Acciσn Integral Contra Minas Antipersonal (DAICMA) determine la capacidad de la Organizaciσn en cuanto a su situaciσn jurνdica, la capacidad e idoneidad de su personal para desarrollar actividades de desminado humanitario, cumpliendo lo establecido en la presente Secciσn.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7" w:name="2.3.1.5.2.1.3"/>
      <w:r>
        <w:rPr>
          <w:rFonts w:hAnsi="Arial"/>
          <w:rFonts w:ascii="Arial"/>
          <w:sz w:val="24"/>
          <w:color w:val="navy"/>
        </w:rPr>
        <w:t xml:space="preserve">ARTΝCULO 2.3.1.5.2.1.3. </w:t>
      </w:r>
      <w:r>
        <w:rPr>
          <w:rFonts w:hAnsi="Arial"/>
          <w:rFonts w:ascii="Arial"/>
          <w:sz w:val="24"/>
          <w:i/>
          <w:color w:val="navy"/>
        </w:rPr>
        <w:t xml:space="preserve">REQUISITOS DE LA FASE DOCUMENTAL</w:t>
      </w:r>
      <w:r>
        <w:rPr>
          <w:rFonts w:hAnsi="Arial"/>
          <w:rFonts w:ascii="Arial"/>
          <w:sz w:val="24"/>
          <w:color w:val="navy"/>
        </w:rPr>
        <w:t>.</w:t>
      </w:r>
      <w:bookmarkEnd w:id="61197"/>
      <w:r>
        <w:rPr>
          <w:rFonts w:hAnsi="Arial"/>
          <w:rFonts w:ascii="Arial"/>
          <w:sz w:val="24"/>
          <w:b/>
          <w:color w:val="black"/>
        </w:rPr>
        <w:t xml:space="preserve"> </w:t>
      </w:r>
      <w:r>
        <w:rPr>
          <w:rFonts w:hAnsi="Arial"/>
          <w:rFonts w:ascii="Arial"/>
          <w:sz w:val="24"/>
          <w:color w:val="black"/>
        </w:rPr>
        <w:t xml:space="preserve">Los requisitos que deben acreditarse por la Organizaciσn en la fase documental son los siguientes:</w:t>
      </w:r>
    </w:p>
    <w:p>
      <w:pPr>
        <w:jc w:val="both"/>
      </w:pPr>
      <w:rPr>
        <w:sz w:val="24"/>
        <w:color w:val="black"/>
      </w:rPr>
    </w:p>
    <w:p>
      <w:pPr>
        <w:jc w:val="both"/>
      </w:pPr>
      <w:r>
        <w:rPr>
          <w:rFonts w:hAnsi="Arial"/>
          <w:rFonts w:ascii="Arial"/>
          <w:sz w:val="24"/>
          <w:color w:val="black"/>
        </w:rPr>
        <w:t xml:space="preserve">1. Solicitud escrita en la que manifieste entre otros, interιs de iniciar el trαmite de acreditaciσn e interιs y voluntariedad de participar mediante el desarrollo de actividades de desminado humanitario en el territorio nacional en el marco del Proyecto Piloto, donde especifique el nombre e identificaciσn del representante legal de la Organizaciσn o del apoderado designado para representarla, asν como la direcciσn en donde recibirαn correspondencia.</w:t>
      </w:r>
    </w:p>
    <w:p>
      <w:pPr>
        <w:jc w:val="both"/>
      </w:pPr>
      <w:rPr>
        <w:sz w:val="24"/>
        <w:color w:val="black"/>
      </w:rPr>
    </w:p>
    <w:p>
      <w:pPr>
        <w:jc w:val="both"/>
      </w:pPr>
      <w:r>
        <w:rPr>
          <w:rFonts w:hAnsi="Arial"/>
          <w:rFonts w:ascii="Arial"/>
          <w:sz w:val="24"/>
          <w:color w:val="black"/>
        </w:rPr>
        <w:t xml:space="preserve">2. Fotocopia del documento de identificaciσn del representante legal de la Organizaciσn o de su apoderado en Colombia.</w:t>
      </w:r>
    </w:p>
    <w:p>
      <w:pPr>
        <w:jc w:val="both"/>
      </w:pPr>
      <w:rPr>
        <w:sz w:val="24"/>
        <w:color w:val="black"/>
      </w:rPr>
    </w:p>
    <w:p>
      <w:pPr>
        <w:jc w:val="both"/>
      </w:pPr>
      <w:r>
        <w:rPr>
          <w:rFonts w:hAnsi="Arial"/>
          <w:rFonts w:ascii="Arial"/>
          <w:sz w:val="24"/>
          <w:color w:val="black"/>
        </w:rPr>
        <w:t xml:space="preserve">3. Documento que acredite la facultad expresa del representante legal, o del apoderado en Colombia, para actuar en nombre y representaciσn de la Organizaciσn.</w:t>
      </w:r>
    </w:p>
    <w:p>
      <w:pPr>
        <w:jc w:val="both"/>
      </w:pPr>
      <w:rPr>
        <w:sz w:val="24"/>
        <w:color w:val="black"/>
      </w:rPr>
    </w:p>
    <w:p>
      <w:pPr>
        <w:jc w:val="both"/>
      </w:pPr>
      <w:r>
        <w:rPr>
          <w:rFonts w:hAnsi="Arial"/>
          <w:rFonts w:ascii="Arial"/>
          <w:sz w:val="24"/>
          <w:color w:val="black"/>
        </w:rPr>
        <w:t xml:space="preserve">4. Si el representante legal o apoderado tiene restricciones para contraer obligaciones en nombre de la misma, deberα adjuntarse el documento de autorizaciσn expresa del σrgano competente.</w:t>
      </w:r>
    </w:p>
    <w:p>
      <w:pPr>
        <w:jc w:val="both"/>
      </w:pPr>
      <w:rPr>
        <w:sz w:val="24"/>
        <w:color w:val="black"/>
      </w:rPr>
    </w:p>
    <w:p>
      <w:pPr>
        <w:jc w:val="both"/>
      </w:pPr>
      <w:r>
        <w:rPr>
          <w:rFonts w:hAnsi="Arial"/>
          <w:rFonts w:ascii="Arial"/>
          <w:sz w:val="24"/>
          <w:color w:val="black"/>
        </w:rPr>
        <w:t xml:space="preserve">5. Certificaciσn en donde conste que el objeto social de la Organizaciσn, permite realizar actividades humanitarias o de desminado humanitario para las cuales solicitan ser Acreditados. En tal documento deberα constar la duraciσn de la organizaciσn, y el compromiso de mantenerla vigente durante su intervenciσn en el proyecto piloto.</w:t>
      </w:r>
    </w:p>
    <w:p>
      <w:pPr>
        <w:jc w:val="both"/>
      </w:pPr>
      <w:rPr>
        <w:sz w:val="24"/>
        <w:color w:val="black"/>
      </w:rPr>
    </w:p>
    <w:p>
      <w:pPr>
        <w:jc w:val="both"/>
      </w:pPr>
      <w:r>
        <w:rPr>
          <w:rFonts w:hAnsi="Arial"/>
          <w:rFonts w:ascii="Arial"/>
          <w:sz w:val="24"/>
          <w:color w:val="black"/>
        </w:rPr>
        <w:t xml:space="preserve">6. Manifestaciσn en la carta de solicitud de que trata el numeral 1o suscrita por el representante legal en la cual acepta que el Comando General de las Fuerzas Militares haga un Estudio de Seguridad a la Organizaciσn y a su personal. Esta carta debe venir acompaρada de un acta en que se demuestra que todo el personal de la Organizaciσn ha sido informado y acepta esta condiciσn.</w:t>
      </w:r>
    </w:p>
    <w:p>
      <w:pPr>
        <w:jc w:val="both"/>
      </w:pPr>
      <w:rPr>
        <w:sz w:val="24"/>
        <w:color w:val="black"/>
      </w:rPr>
    </w:p>
    <w:p>
      <w:pPr>
        <w:jc w:val="both"/>
      </w:pPr>
      <w:r>
        <w:rPr>
          <w:rFonts w:hAnsi="Arial"/>
          <w:rFonts w:ascii="Arial"/>
          <w:sz w:val="24"/>
          <w:color w:val="black"/>
        </w:rPr>
        <w:t xml:space="preserve">7. Manifestaciσn en la carta de solicitud de que trata el numeral 1 suscrita por el representante legal en la cual certifica la adhesiσn y respeto de la Organizaciσn a los principios humanitarios consignados en la Resoluciσn 46/182 de la Asamblea General de las Naciones Unidas, segϊn la cual, la asistencia humanitaria deberα proporcionarse de conformidad con los principios de humanidad, imparcialidad y neutralidad.</w:t>
      </w:r>
    </w:p>
    <w:p>
      <w:pPr>
        <w:jc w:val="both"/>
      </w:pPr>
      <w:rPr>
        <w:sz w:val="24"/>
        <w:color w:val="black"/>
      </w:rPr>
    </w:p>
    <w:p>
      <w:pPr>
        <w:jc w:val="both"/>
      </w:pPr>
      <w:r>
        <w:rPr>
          <w:rFonts w:hAnsi="Arial"/>
          <w:rFonts w:ascii="Arial"/>
          <w:sz w:val="24"/>
          <w:color w:val="black"/>
        </w:rPr>
        <w:t xml:space="preserve">8. Manifestaciσn en la carta de solicitud de que trata el numeral 1o en donde la Organizaciσn se compromete a no contratar a menores de edad, en cumplimiento de los pactos, convenios y convenciones internacionales ratificados por Colombia, segϊn lo establece la Constituciσn Polνtica de 1991 y demαs normas vigentes sobre la materia, en particular aquellas que consagran los derechos de los niρos.</w:t>
      </w:r>
    </w:p>
    <w:p>
      <w:pPr>
        <w:jc w:val="both"/>
      </w:pPr>
      <w:rPr>
        <w:sz w:val="24"/>
        <w:color w:val="black"/>
      </w:rPr>
    </w:p>
    <w:p>
      <w:pPr>
        <w:jc w:val="both"/>
      </w:pPr>
      <w:r>
        <w:rPr>
          <w:rFonts w:hAnsi="Arial"/>
          <w:rFonts w:ascii="Arial"/>
          <w:sz w:val="24"/>
          <w:color w:val="black"/>
        </w:rPr>
        <w:t xml:space="preserve">9. Carta suscrita por el representante legal donde manifiesta bajo la gravedad de juramento, que se entiende prestado con la presentaciσn de la solicitud de Acreditaciσn, que los recursos de la persona jurνdica o personas jurνdicas de la Organizaciσn y que componen su patrimonio o serαn asignados para la realizaciσn de las actividades de desminado humanitario no provienen de lavado de activos, financiaciσn del terrorismo, narcotrαfico, captaciσn ilegal de dineros y en general de cualquier actividad ilνcita; de igual manera manifestaciσn que los recursos recibidos en desarrollo de las actividades de desminado humanitario, no serαn destinados a ninguna de las actividades antes descritas.</w:t>
      </w:r>
    </w:p>
    <w:p>
      <w:pPr>
        <w:jc w:val="both"/>
      </w:pPr>
      <w:rPr>
        <w:sz w:val="24"/>
        <w:color w:val="black"/>
      </w:rPr>
    </w:p>
    <w:p>
      <w:pPr>
        <w:jc w:val="both"/>
      </w:pPr>
      <w:r>
        <w:rPr>
          <w:rFonts w:hAnsi="Arial"/>
          <w:rFonts w:ascii="Arial"/>
          <w:sz w:val="24"/>
          <w:color w:val="black"/>
        </w:rPr>
        <w:t xml:space="preserve">Para efectos de lo anterior, el representante legal autoriza expresamente a la Direcciσn para la Acciσn Integral contra Minas Antipersonal (DAICMA), para que consulte los listados, sistemas de informaciσn y bases de datos correspondientes y, de encontrar algϊn reporte, el DAICMA procederα a adelantar las acciones legales, de haber lugar a ellas. La Organizaciσn se obliga a realizar todas las actividades encaminadas a asegurar que todos sus socios, administradores, clientes, proveedores, empleados, etc., y los recursos de estos, no se encuentren relacionados o provengan, de actividades ilνcitas, particularmente, de las anteriormente enunciadas.</w:t>
      </w:r>
    </w:p>
    <w:p>
      <w:pPr>
        <w:jc w:val="both"/>
      </w:pPr>
      <w:rPr>
        <w:sz w:val="24"/>
        <w:color w:val="black"/>
      </w:rPr>
    </w:p>
    <w:p>
      <w:pPr>
        <w:jc w:val="both"/>
      </w:pPr>
      <w:r>
        <w:rPr>
          <w:rFonts w:hAnsi="Arial"/>
          <w:rFonts w:ascii="Arial"/>
          <w:sz w:val="24"/>
          <w:color w:val="black"/>
        </w:rPr>
        <w:t xml:space="preserve">10. Carta suscrita por el representante legal o el revisor fiscal, segϊn sea el caso, en la cual certifique que las personas jurνdicas que conforman la Organizaciσn se encuentran a Paz y Salvo por conceptos de pago de sus obligaciones con los sistemas de salud, riesgos profesionales, pensiones y aportes a las Cajas de Compensaciσn Familiar, Instituto Colombiano de Bienestar Familiar y Servicio Nacional de Aprendizaje, de todo el personal que se encuentra laborando dentro de la misma para dar cumplimiento a lo establecido en el artνculo </w:t>
      </w:r>
      <w:r>
        <w:fldChar w:fldCharType="begin"/>
      </w:r>
      <w:r>
        <w:instrText>HYPERLINK "http://www.redjurista.com/document.aspx?ajcode=l0789002&amp;arts=50"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789 de 2002 y la Ley </w:t>
      </w:r>
      <w:r>
        <w:fldChar w:fldCharType="begin"/>
      </w:r>
      <w:r>
        <w:instrText>HYPERLINK "http://www.redjurista.com/document.aspx?ajcode=l1150007&amp;arts=INICIO"</w:instrText>
      </w:r>
      <w:r>
        <w:fldChar w:fldCharType="separate"/>
      </w:r>
      <w:r>
        <w:rPr>
          <w:rFonts w:hAnsi="Arial"/>
          <w:rFonts w:ascii="Arial"/>
          <w:sz w:val="24"/>
          <w:u w:val="single"/>
          <w:color w:val="black"/>
        </w:rPr>
        <w:t>1150</w:t>
      </w:r>
      <w:r>
        <w:fldChar w:fldCharType="end"/>
      </w:r>
      <w:r>
        <w:rPr>
          <w:rFonts w:hAnsi="Arial"/>
          <w:rFonts w:ascii="Arial"/>
          <w:sz w:val="24"/>
          <w:u w:val="none"/>
          <w:color w:val="black"/>
        </w:rPr>
        <w:t xml:space="preserve"> de 2007.</w:t>
      </w:r>
    </w:p>
    <w:p>
      <w:pPr>
        <w:jc w:val="both"/>
      </w:pPr>
      <w:rPr>
        <w:sz w:val="24"/>
        <w:color w:val="black"/>
      </w:rPr>
    </w:p>
    <w:p>
      <w:pPr>
        <w:jc w:val="both"/>
      </w:pPr>
      <w:r>
        <w:rPr>
          <w:rFonts w:hAnsi="Arial"/>
          <w:rFonts w:ascii="Arial"/>
          <w:sz w:val="24"/>
          <w:color w:val="black"/>
        </w:rPr>
        <w:t xml:space="preserve">En caso de presentar acuerdo de pago con las entidades recaudadoras respecto de alguna de las obligaciones mencionadas deberα manifestar que existe el acuerdo y que se encuentra al dνa en el cumplimiento del mismo. En este evento, se deberα anexar certificaciσn expedida por la entidad con la cual existe el acuerdo de pago.</w:t>
      </w:r>
    </w:p>
    <w:p>
      <w:pPr>
        <w:jc w:val="both"/>
      </w:pPr>
      <w:rPr>
        <w:sz w:val="24"/>
        <w:color w:val="black"/>
      </w:rPr>
    </w:p>
    <w:p>
      <w:pPr>
        <w:jc w:val="both"/>
      </w:pPr>
      <w:r>
        <w:rPr>
          <w:rFonts w:hAnsi="Arial"/>
          <w:rFonts w:ascii="Arial"/>
          <w:sz w:val="24"/>
          <w:color w:val="black"/>
        </w:rPr>
        <w:t xml:space="preserve">11. Estructura de la Organizaciσn en Colombia (Organigrama detallado de la Organizaciσn), en el cual se identifique con nombres propios su grupo gerencial y administrativo.</w:t>
      </w:r>
    </w:p>
    <w:p>
      <w:pPr>
        <w:jc w:val="both"/>
      </w:pPr>
      <w:rPr>
        <w:sz w:val="24"/>
        <w:color w:val="black"/>
      </w:rPr>
    </w:p>
    <w:p>
      <w:pPr>
        <w:jc w:val="both"/>
      </w:pPr>
      <w:r>
        <w:rPr>
          <w:rFonts w:hAnsi="Arial"/>
          <w:rFonts w:ascii="Arial"/>
          <w:sz w:val="24"/>
          <w:color w:val="black"/>
        </w:rPr>
        <w:t xml:space="preserve">12. Hojas de vida con certificaciones del personal de la Organizaciσn presentado en el numeral anterior, dσnde se especifique su experiencia en actividades de desminado humanitario y la funciσn o las funciones que desarrollarνan en el marco del proyecto piloto.</w:t>
      </w:r>
    </w:p>
    <w:p>
      <w:pPr>
        <w:jc w:val="both"/>
      </w:pPr>
      <w:rPr>
        <w:sz w:val="24"/>
        <w:color w:val="black"/>
      </w:rPr>
    </w:p>
    <w:p>
      <w:pPr>
        <w:jc w:val="both"/>
      </w:pPr>
      <w:r>
        <w:rPr>
          <w:rFonts w:hAnsi="Arial"/>
          <w:rFonts w:ascii="Arial"/>
          <w:sz w:val="24"/>
          <w:color w:val="black"/>
        </w:rPr>
        <w:t xml:space="preserve">13. Contrato laboral con que estα vinculado el personal presentado por la Organizaciσn. El objeto del contrato laboral deberα demostrar que las personas que participarαn en el desminado humanitario han consentido a hacerlo de manera libre e informada.</w:t>
      </w:r>
    </w:p>
    <w:p>
      <w:pPr>
        <w:jc w:val="both"/>
      </w:pPr>
      <w:rPr>
        <w:sz w:val="24"/>
        <w:color w:val="black"/>
      </w:rPr>
    </w:p>
    <w:p>
      <w:pPr>
        <w:jc w:val="both"/>
      </w:pPr>
      <w:r>
        <w:rPr>
          <w:rFonts w:hAnsi="Arial"/>
          <w:rFonts w:ascii="Arial"/>
          <w:sz w:val="24"/>
          <w:color w:val="black"/>
        </w:rPr>
        <w:t xml:space="preserve">Corresponderα a la Direcciσn para la Acciσn Integral contra Minas Antipersonal (DAICMA) verificar el cumplimiento de los requisitos seρalados en el presente artνculo y emitir la certificaciσn correspondiente a la Fase Documental del proceso de acreditaciσn de que trata la presente Secciσn.</w:t>
      </w:r>
    </w:p>
    <w:p>
      <w:pPr>
        <w:jc w:val="both"/>
      </w:pPr>
      <w:rPr>
        <w:sz w:val="24"/>
        <w:color w:val="black"/>
      </w:rPr>
    </w:p>
    <w:p>
      <w:pPr>
        <w:jc w:val="both"/>
      </w:pPr>
      <w:r>
        <w:rPr>
          <w:rFonts w:hAnsi="Arial"/>
          <w:rFonts w:ascii="Arial"/>
          <w:sz w:val="24"/>
          <w:color w:val="black"/>
        </w:rPr>
        <w:t xml:space="preserve">La Organizaciσn deberα radicar la documentaciσn anterior, impresa y numerada en original y dos (2) copias, en la oficina de correspondencia del Departamento Administrativo de la Presidencia de la Repϊblica, Calle 7 No 6-54 de la ciudad de Bogotα, dirigida a la Direcciσn para la Acciσn Integral contra Minas Antipersonal (DAICMA) tanto el original como las copias deberαn ir acompaρadas de un disco compacto (CD) con toda la informaciσn relacionada, debidamente organizada, en formato digital.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8" w:name="2.3.1.5.2.1.4"/>
      <w:r>
        <w:rPr>
          <w:rFonts w:hAnsi="Arial"/>
          <w:rFonts w:ascii="Arial"/>
          <w:sz w:val="24"/>
          <w:color w:val="navy"/>
        </w:rPr>
        <w:t xml:space="preserve">ARTΝCULO 2.3.1.5.2.1.4. </w:t>
      </w:r>
      <w:r>
        <w:rPr>
          <w:rFonts w:hAnsi="Arial"/>
          <w:rFonts w:ascii="Arial"/>
          <w:sz w:val="24"/>
          <w:i/>
          <w:color w:val="navy"/>
        </w:rPr>
        <w:t xml:space="preserve">TΙRMINOS PARA SURTIR LA FASE DOCUMENTAL</w:t>
      </w:r>
      <w:r>
        <w:rPr>
          <w:rFonts w:hAnsi="Arial"/>
          <w:rFonts w:ascii="Arial"/>
          <w:sz w:val="24"/>
          <w:color w:val="navy"/>
        </w:rPr>
        <w:t>.</w:t>
      </w:r>
      <w:bookmarkEnd w:id="61198"/>
      <w:r>
        <w:rPr>
          <w:rFonts w:hAnsi="Arial"/>
          <w:rFonts w:ascii="Arial"/>
          <w:sz w:val="24"/>
          <w:b/>
          <w:color w:val="black"/>
        </w:rPr>
        <w:t xml:space="preserve"> </w:t>
      </w:r>
      <w:r>
        <w:rPr>
          <w:rFonts w:hAnsi="Arial"/>
          <w:rFonts w:ascii="Arial"/>
          <w:sz w:val="24"/>
          <w:color w:val="black"/>
        </w:rPr>
        <w:t xml:space="preserve">La Direcciσn para la Acciσn Integral contra las Minas Antipersonal (DAICMA) evaluarα la solicitud de la Organizaciσn y certificarα el cumplimiento de los requisitos de la Fase Documental en el tιrmino de tres (3) dνas hαbiles, contados a partir del dνa hαbil siguiente a la recepciσn de la documentaciσn.</w:t>
      </w:r>
    </w:p>
    <w:p>
      <w:pPr>
        <w:jc w:val="both"/>
      </w:pPr>
      <w:rPr>
        <w:sz w:val="24"/>
        <w:color w:val="black"/>
      </w:rPr>
    </w:p>
    <w:p>
      <w:pPr>
        <w:jc w:val="both"/>
      </w:pPr>
      <w:r>
        <w:rPr>
          <w:rFonts w:hAnsi="Arial"/>
          <w:rFonts w:ascii="Arial"/>
          <w:sz w:val="24"/>
          <w:color w:val="black"/>
        </w:rPr>
        <w:t xml:space="preserve">En caso de requerirse documentaciσn adicional o completar informaciσn que deba ser suministrada por la Organizaciσn, la Direcciσn para la Acciσn Integral contra las Minas Antipersonal (DAICMA) solicitarα por una sola vez a la Organizaciσn completar la informaciσn con el fin de continuar con el proceso de acreditaciσn.</w:t>
      </w:r>
    </w:p>
    <w:p>
      <w:pPr>
        <w:jc w:val="both"/>
      </w:pPr>
      <w:rPr>
        <w:sz w:val="24"/>
        <w:color w:val="black"/>
      </w:rPr>
    </w:p>
    <w:p>
      <w:pPr>
        <w:jc w:val="both"/>
      </w:pPr>
      <w:r>
        <w:rPr>
          <w:rFonts w:hAnsi="Arial"/>
          <w:rFonts w:ascii="Arial"/>
          <w:sz w:val="24"/>
          <w:color w:val="black"/>
        </w:rPr>
        <w:t xml:space="preserve">El tιrmino que tiene la Organizaciσn para adicionar o completar la informaciσn solicitada por la Direcciσn para la Acciσn Integral contra las Minas Antipersonal (DAICMA) es de cinco (5) dνas hαbiles. La Direcciσn para la Acciσn Integral contra las Minas Antipersonal (DAICMA) contarα con un tιrmino adicional de tres (3) dνas hαbiles para la evaluaciσn de la documentaciσn y para la expediciσn de la certificaciσn del cumplimiento de los requisitos correspondientes a la fase documental del proceso de acreditaciσn.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199" w:name="2.3.1.5.2.1.5"/>
      <w:r>
        <w:rPr>
          <w:rFonts w:hAnsi="Arial"/>
          <w:rFonts w:ascii="Arial"/>
          <w:sz w:val="24"/>
          <w:color w:val="navy"/>
        </w:rPr>
        <w:t xml:space="preserve">ARTΝCULO 2.3.1.5.2.1.5. </w:t>
      </w:r>
      <w:r>
        <w:rPr>
          <w:rFonts w:hAnsi="Arial"/>
          <w:rFonts w:ascii="Arial"/>
          <w:sz w:val="24"/>
          <w:i/>
          <w:color w:val="navy"/>
        </w:rPr>
        <w:t xml:space="preserve">CERTIFICACIΣN DE LA FASE DOCUMENTAL</w:t>
      </w:r>
      <w:r>
        <w:rPr>
          <w:rFonts w:hAnsi="Arial"/>
          <w:rFonts w:ascii="Arial"/>
          <w:sz w:val="24"/>
          <w:color w:val="navy"/>
        </w:rPr>
        <w:t>.</w:t>
      </w:r>
      <w:bookmarkEnd w:id="61199"/>
      <w:r>
        <w:rPr>
          <w:rFonts w:hAnsi="Arial"/>
          <w:rFonts w:ascii="Arial"/>
          <w:sz w:val="24"/>
          <w:b/>
          <w:color w:val="black"/>
        </w:rPr>
        <w:t xml:space="preserve"> </w:t>
      </w:r>
      <w:r>
        <w:rPr>
          <w:rFonts w:hAnsi="Arial"/>
          <w:rFonts w:ascii="Arial"/>
          <w:sz w:val="24"/>
          <w:color w:val="black"/>
        </w:rPr>
        <w:t xml:space="preserve">La Direcciσn para la Acciσn Integral contra las Minas Antipersonal (DAICMA) certificarα a la Organizaciσn una vez se verifique el cumplimiento de los requisitos de acreditaciσn de la fase documental que trata el artνculo </w:t>
      </w:r>
      <w:r>
        <w:fldChar w:fldCharType="begin"/>
      </w:r>
      <w:r>
        <w:instrText>HYPERLINK "http://www.redjurista.com/document.aspx?ajcode=d1070015&amp;arts=2.3.1.5.2.1.3"</w:instrText>
      </w:r>
      <w:r>
        <w:fldChar w:fldCharType="separate"/>
      </w:r>
      <w:r>
        <w:rPr>
          <w:rFonts w:hAnsi="Arial"/>
          <w:rFonts w:ascii="Arial"/>
          <w:sz w:val="24"/>
          <w:b/>
          <w:u w:val="single"/>
          <w:color w:val="black"/>
        </w:rPr>
        <w:t>2.3.1.5.2.1.3</w:t>
      </w:r>
      <w:r>
        <w:fldChar w:fldCharType="end"/>
      </w:r>
      <w:r>
        <w:rPr>
          <w:rFonts w:hAnsi="Arial"/>
          <w:rFonts w:ascii="Arial"/>
          <w:sz w:val="24"/>
          <w:b/>
          <w:u w:val="none"/>
          <w:color w:val="black"/>
        </w:rPr>
        <w:t xml:space="preserve">. </w:t>
      </w:r>
      <w:r>
        <w:rPr>
          <w:rFonts w:hAnsi="Arial"/>
          <w:rFonts w:ascii="Arial"/>
          <w:sz w:val="24"/>
          <w:u w:val="none"/>
          <w:color w:val="black"/>
        </w:rPr>
        <w:t xml:space="preserve">de la presente Secciσn y convocarα en su calidad de secretarνa tιcnica, en un tιrmino no mayor a cinco (5) dνas hαbiles, a una sesiσn extraordinaria de la Comisiσn Intersectorial Nacional para la Acciσn contra Minas Antipersonal (CINAMAP).</w:t>
      </w:r>
    </w:p>
    <w:p>
      <w:pPr>
        <w:jc w:val="both"/>
      </w:pPr>
      <w:rPr>
        <w:sz w:val="24"/>
        <w:color w:val="black"/>
      </w:rPr>
    </w:p>
    <w:p>
      <w:pPr>
        <w:jc w:val="both"/>
      </w:pPr>
      <w:r>
        <w:rPr>
          <w:rFonts w:hAnsi="Arial"/>
          <w:rFonts w:ascii="Arial"/>
          <w:sz w:val="24"/>
          <w:color w:val="black"/>
        </w:rPr>
        <w:t xml:space="preserve">Esta certificaciσn no autoriza a realizar tareas de Desminado Humanitario, hasta tanto las unidades de trabajo de la Organizaciσn no hayan cumplido con los requisitos de la Fase de Evaluaciσn del Proceso de Acreditaciσn previsto en la presente Secciσn para la implementaciσn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200" w:name="2.3.1.5.2.1.6"/>
      <w:r>
        <w:rPr>
          <w:rFonts w:hAnsi="Arial"/>
          <w:rFonts w:ascii="Arial"/>
          <w:sz w:val="24"/>
          <w:color w:val="navy"/>
        </w:rPr>
        <w:t xml:space="preserve">ARTΝCULO 2.3.1.5.2.1.6. </w:t>
      </w:r>
      <w:r>
        <w:rPr>
          <w:rFonts w:hAnsi="Arial"/>
          <w:rFonts w:ascii="Arial"/>
          <w:sz w:val="24"/>
          <w:i/>
          <w:color w:val="navy"/>
        </w:rPr>
        <w:t xml:space="preserve">FASE DE AVAL DE LA CINAMAP</w:t>
      </w:r>
      <w:r>
        <w:rPr>
          <w:rFonts w:hAnsi="Arial"/>
          <w:rFonts w:ascii="Arial"/>
          <w:sz w:val="24"/>
          <w:color w:val="navy"/>
        </w:rPr>
        <w:t>.</w:t>
      </w:r>
      <w:bookmarkEnd w:id="61200"/>
      <w:r>
        <w:rPr>
          <w:rFonts w:hAnsi="Arial"/>
          <w:rFonts w:ascii="Arial"/>
          <w:sz w:val="24"/>
          <w:b/>
          <w:color w:val="black"/>
        </w:rPr>
        <w:t xml:space="preserve"> </w:t>
      </w:r>
      <w:r>
        <w:rPr>
          <w:rFonts w:hAnsi="Arial"/>
          <w:rFonts w:ascii="Arial"/>
          <w:sz w:val="24"/>
          <w:color w:val="black"/>
        </w:rPr>
        <w:t xml:space="preserve">La Fase del Proceso de Acreditaciσn que sigue despuιs de la certificaciσn del cumplimiento de los requisitos previstos para la fase documental corresponde a la fase de Aval por parte de la Comisiσn Intersectorial Nacional para la Acciσn contra las Minas Antipersonal (CINAMAP).</w:t>
      </w:r>
    </w:p>
    <w:p>
      <w:pPr>
        <w:jc w:val="both"/>
      </w:pPr>
      <w:rPr>
        <w:sz w:val="24"/>
        <w:color w:val="black"/>
      </w:rPr>
    </w:p>
    <w:p>
      <w:pPr>
        <w:jc w:val="both"/>
      </w:pPr>
      <w:r>
        <w:rPr>
          <w:rFonts w:hAnsi="Arial"/>
          <w:rFonts w:ascii="Arial"/>
          <w:sz w:val="24"/>
          <w:color w:val="black"/>
        </w:rPr>
        <w:t xml:space="preserve">Corresponderα a la Comisiσn Intersectorial Nacional para la Acciσn contra las Minas Antipersonal (CINAMAP) emitir el Aval a la Organizaciσn Ayuda Popular Noruega para la ejecuciσn del proyecto piloto de que trata la presente Secciσn.</w:t>
      </w:r>
    </w:p>
    <w:p>
      <w:pPr>
        <w:jc w:val="both"/>
      </w:pPr>
      <w:rPr>
        <w:sz w:val="24"/>
        <w:color w:val="black"/>
      </w:rPr>
    </w:p>
    <w:p>
      <w:pPr>
        <w:jc w:val="both"/>
      </w:pPr>
      <w:r>
        <w:rPr>
          <w:rFonts w:hAnsi="Arial"/>
          <w:rFonts w:ascii="Arial"/>
          <w:sz w:val="24"/>
          <w:color w:val="black"/>
        </w:rPr>
        <w:t xml:space="preserve">Este aval no autoriza a realizar tareas de Desminado Humanitario, hasta tanto el personal de las unidades de trabajo de la Organizaciσn no hayan cumplido con los requisitos de la Fase de Evaluaciσn del Proceso de Acreditaciσn previsto en la presente Secciσn para la implementaciσn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201" w:name="2.3.1.5.2.1.7"/>
      <w:r>
        <w:rPr>
          <w:rFonts w:hAnsi="Arial"/>
          <w:rFonts w:ascii="Arial"/>
          <w:sz w:val="24"/>
          <w:color w:val="navy"/>
        </w:rPr>
        <w:t xml:space="preserve">ARTΝCULO 2.3.1.5.2.1.7. </w:t>
      </w:r>
      <w:r>
        <w:rPr>
          <w:rFonts w:hAnsi="Arial"/>
          <w:rFonts w:ascii="Arial"/>
          <w:sz w:val="24"/>
          <w:i/>
          <w:color w:val="navy"/>
        </w:rPr>
        <w:t xml:space="preserve">FASE DE EVALUACIΣN DE LA CAPACIDAD OPERACIONAL</w:t>
      </w:r>
      <w:r>
        <w:rPr>
          <w:rFonts w:hAnsi="Arial"/>
          <w:rFonts w:ascii="Arial"/>
          <w:sz w:val="24"/>
          <w:color w:val="navy"/>
        </w:rPr>
        <w:t>.</w:t>
      </w:r>
      <w:bookmarkEnd w:id="61201"/>
      <w:r>
        <w:rPr>
          <w:rFonts w:hAnsi="Arial"/>
          <w:rFonts w:ascii="Arial"/>
          <w:sz w:val="24"/>
          <w:b/>
          <w:color w:val="black"/>
        </w:rPr>
        <w:t xml:space="preserve"> </w:t>
      </w:r>
      <w:r>
        <w:rPr>
          <w:rFonts w:hAnsi="Arial"/>
          <w:rFonts w:ascii="Arial"/>
          <w:sz w:val="24"/>
          <w:color w:val="black"/>
        </w:rPr>
        <w:t xml:space="preserve">Por la naturaleza de este Proyecto Piloto, la evaluaciσn de la capacidad operacional serα realizada por la Direcciσn para la Acciσn Integral contra Minas Antipersonal y la Inspecciσn General de las Fuerzas Militares al personal entrenado por la Organizaciσn Civil de Desminado Humanitario para desarrollar las actividades para las cuales se solicita la acreditaciσn.</w:t>
      </w:r>
    </w:p>
    <w:p>
      <w:pPr>
        <w:jc w:val="both"/>
      </w:pPr>
      <w:rPr>
        <w:sz w:val="24"/>
        <w:color w:val="black"/>
      </w:rPr>
    </w:p>
    <w:p>
      <w:pPr>
        <w:jc w:val="both"/>
      </w:pPr>
      <w:r>
        <w:rPr>
          <w:rFonts w:hAnsi="Arial"/>
          <w:rFonts w:ascii="Arial"/>
          <w:sz w:val="24"/>
          <w:color w:val="black"/>
        </w:rPr>
        <w:t xml:space="preserve">Esta evaluaciσn verifica que cada una de las unidades de la Organizaciσn Civil de Desminado Humanitario ha sido entrenada y dotada para realizar las actividades de desminado humanitario, de manera idσnea, segura, eficiente y eficaz, siguiendo los Procedimientos Operacionales aplicables al Plan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202" w:name="2.3.1.5.2.1.8"/>
      <w:r>
        <w:rPr>
          <w:rFonts w:hAnsi="Arial"/>
          <w:rFonts w:ascii="Arial"/>
          <w:sz w:val="24"/>
          <w:color w:val="navy"/>
        </w:rPr>
        <w:t xml:space="preserve">ARTΝCULO 2.3.1.5.2.1.8. </w:t>
      </w:r>
      <w:r>
        <w:rPr>
          <w:rFonts w:hAnsi="Arial"/>
          <w:rFonts w:ascii="Arial"/>
          <w:sz w:val="24"/>
          <w:i/>
          <w:color w:val="navy"/>
        </w:rPr>
        <w:t xml:space="preserve">SUSCRIPCIΣN DE PΣLIZAS PARA DESARROLLAR ACTIVIDADES DE DESMINADO HUMANITARIO.</w:t>
      </w:r>
      <w:bookmarkEnd w:id="61202"/>
      <w:r>
        <w:rPr>
          <w:rFonts w:hAnsi="Arial"/>
          <w:rFonts w:ascii="Arial"/>
          <w:sz w:val="24"/>
          <w:b/>
          <w:i/>
          <w:color w:val="black"/>
        </w:rPr>
        <w:t xml:space="preserve"> </w:t>
      </w:r>
      <w:r>
        <w:rPr>
          <w:rFonts w:hAnsi="Arial"/>
          <w:rFonts w:ascii="Arial"/>
          <w:sz w:val="24"/>
          <w:color w:val="black"/>
        </w:rPr>
        <w:t xml:space="preserve">Previo al inicio de actividades de desminado humanitario en el marco del Proyecto Piloto, el Gobierno Nacional a travιs de la Direcciσn para la Acciσn Integral contra Minas Antipersonal coordinarα la solicitud a La Previsora de Seguros la expediciσn de las Pσlizas de que trata la Secciσn 1 de este Capνtulo. Estas pσlizas tambiιn podrαn ser financiadas con recursos de Cooperaciσn Internacional.</w:t>
      </w:r>
    </w:p>
    <w:p>
      <w:pPr>
        <w:jc w:val="both"/>
      </w:pPr>
      <w:rPr>
        <w:sz w:val="24"/>
        <w:color w:val="black"/>
      </w:rPr>
    </w:p>
    <w:p>
      <w:pPr>
        <w:jc w:val="both"/>
      </w:pPr>
      <w:r>
        <w:rPr>
          <w:rFonts w:hAnsi="Arial"/>
          <w:rFonts w:ascii="Arial"/>
          <w:sz w:val="24"/>
          <w:color w:val="black"/>
        </w:rPr>
        <w:t xml:space="preserve">La pσliza que ampara riesgo de muerte e incapacidad total y permanente asociada a las actividades de desminado humanitario se suscribirα respecto de todo el personal civil que participe en el Proyecto Piloto.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personal militar del Batallσn de Desminado Humanitario (BIDES) que intervenga en el Proyecto Piloto continuarα con la pσliza que ampara riesgo de muerte e incapacidad total y permanente que se encuentra vigente para el desarrollo de actividades de desminado humanitario por parte de la capacidad nacional.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Direcciσn para la Acciσn Integral contra Minas Antipersonal verificarα el cumplimiento de los parαmetros mνnimos de las pσlizas de que trata la Secciσn 1 de este Capνtulo, previo al inicio de las actividades de Desminado Humanitario en el marco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03" w:name="2.3.1.5.2.1.9"/>
      <w:r>
        <w:rPr>
          <w:rFonts w:hAnsi="Arial"/>
          <w:rFonts w:ascii="Arial"/>
          <w:sz w:val="24"/>
          <w:color w:val="navy"/>
        </w:rPr>
        <w:t xml:space="preserve">ARTΝCULO 2.3.1.5.2.1.9. </w:t>
      </w:r>
      <w:r>
        <w:rPr>
          <w:rFonts w:hAnsi="Arial"/>
          <w:rFonts w:ascii="Arial"/>
          <w:sz w:val="24"/>
          <w:i/>
          <w:color w:val="navy"/>
        </w:rPr>
        <w:t xml:space="preserve">PARTICIPACIΣN DE ORGANIZACIONES CIVILES EN EL PROYECTO PILOTO.</w:t>
      </w:r>
      <w:bookmarkEnd w:id="61203"/>
      <w:r>
        <w:rPr>
          <w:rFonts w:hAnsi="Arial"/>
          <w:rFonts w:ascii="Arial"/>
          <w:sz w:val="24"/>
          <w:b/>
          <w:i/>
          <w:color w:val="black"/>
        </w:rPr>
        <w:t xml:space="preserve"> </w:t>
      </w:r>
      <w:r>
        <w:rPr>
          <w:rFonts w:hAnsi="Arial"/>
          <w:rFonts w:ascii="Arial"/>
          <w:sz w:val="24"/>
          <w:color w:val="black"/>
        </w:rPr>
        <w:t xml:space="preserve">La participaciσn de otras Organizaciones Civiles de Desminado Humanitario (OCDH) en el Proyecto Piloto de desminado humanitario, adoptado como medida de desescalamiento del conflicto armado interno estα sujeta a la autorizaciσn del Gobierno Nacional.</w:t>
      </w:r>
    </w:p>
    <w:p>
      <w:pPr>
        <w:jc w:val="both"/>
      </w:pPr>
      <w:rPr>
        <w:sz w:val="24"/>
        <w:color w:val="black"/>
      </w:rPr>
    </w:p>
    <w:p>
      <w:pPr>
        <w:jc w:val="both"/>
      </w:pPr>
      <w:r>
        <w:rPr>
          <w:rFonts w:hAnsi="Arial"/>
          <w:rFonts w:ascii="Arial"/>
          <w:sz w:val="24"/>
          <w:color w:val="black"/>
        </w:rPr>
        <w:t xml:space="preserve">A medida de que avance la implementaciσn del Proyecto Piloto de desminado humanitario, el Gobierno Nacional podrα autorizar, previa suscripciσn de un Acuerdo, el ingreso de otras Organizaciones al proyecto piloto de desminado humanitario.</w:t>
      </w:r>
    </w:p>
    <w:p>
      <w:pPr>
        <w:jc w:val="both"/>
      </w:pPr>
      <w:rPr>
        <w:sz w:val="24"/>
        <w:color w:val="black"/>
      </w:rPr>
    </w:p>
    <w:p>
      <w:pPr>
        <w:jc w:val="both"/>
      </w:pPr>
      <w:r>
        <w:rPr>
          <w:rFonts w:hAnsi="Arial"/>
          <w:rFonts w:ascii="Arial"/>
          <w:sz w:val="24"/>
          <w:color w:val="black"/>
        </w:rPr>
        <w:t xml:space="preserve">Las normas dispuestas en la presente Secciσn solo aplican para las Organizaciones Civiles de Desminado Humanitario (OCDH) que estιn autorizadas por el Gobierno para participar en 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04" w:name="2.3.1.5.2.1.10"/>
      <w:r>
        <w:rPr>
          <w:rFonts w:hAnsi="Arial"/>
          <w:rFonts w:ascii="Arial"/>
          <w:sz w:val="24"/>
          <w:color w:val="navy"/>
        </w:rPr>
        <w:t xml:space="preserve">ARTΝCULO 2.3.1.5.2.1.10. </w:t>
      </w:r>
      <w:r>
        <w:rPr>
          <w:rFonts w:hAnsi="Arial"/>
          <w:rFonts w:ascii="Arial"/>
          <w:sz w:val="24"/>
          <w:i/>
          <w:color w:val="navy"/>
        </w:rPr>
        <w:t xml:space="preserve">SUSPENSIΣN O RETIRO DE LA ACREDITACIΣN EN EL PROYECTO PILOTO.</w:t>
      </w:r>
      <w:bookmarkEnd w:id="61204"/>
      <w:r>
        <w:rPr>
          <w:rFonts w:hAnsi="Arial"/>
          <w:rFonts w:ascii="Arial"/>
          <w:sz w:val="24"/>
          <w:b/>
          <w:i/>
          <w:color w:val="black"/>
        </w:rPr>
        <w:t xml:space="preserve"> </w:t>
      </w:r>
      <w:r>
        <w:rPr>
          <w:rFonts w:hAnsi="Arial"/>
          <w:rFonts w:ascii="Arial"/>
          <w:sz w:val="24"/>
          <w:color w:val="black"/>
        </w:rPr>
        <w:t xml:space="preserve">Cuando medien razones de defensa y seguridad nacional, se vulnere la Constituciσn Polνtica o la Ley, o se incumplan los procedimientos operacionales, unilateralmente, el Gobierno Nacional podrα suspender o retirar la acreditaciσn otorgada a una Organizaciσn en el marco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05" w:name="2.3.1.5.2.1.11"/>
      <w:r>
        <w:rPr>
          <w:rFonts w:hAnsi="Arial"/>
          <w:rFonts w:ascii="Arial"/>
          <w:sz w:val="24"/>
          <w:color w:val="navy"/>
        </w:rPr>
        <w:t xml:space="preserve">ARTΝCULO 2.3.1.5.2.1.11. </w:t>
      </w:r>
      <w:r>
        <w:rPr>
          <w:rFonts w:hAnsi="Arial"/>
          <w:rFonts w:ascii="Arial"/>
          <w:sz w:val="24"/>
          <w:i/>
          <w:color w:val="navy"/>
        </w:rPr>
        <w:t xml:space="preserve">INTERVENCIONES DE DESMINADO HUMANITARIO EN EL TERRITORIO NACIONAL.</w:t>
      </w:r>
      <w:bookmarkEnd w:id="61205"/>
      <w:r>
        <w:rPr>
          <w:rFonts w:hAnsi="Arial"/>
          <w:rFonts w:ascii="Arial"/>
          <w:sz w:val="24"/>
          <w:b/>
          <w:i/>
          <w:color w:val="black"/>
        </w:rPr>
        <w:t xml:space="preserve"> </w:t>
      </w:r>
      <w:r>
        <w:rPr>
          <w:rFonts w:hAnsi="Arial"/>
          <w:rFonts w:ascii="Arial"/>
          <w:sz w:val="24"/>
          <w:color w:val="black"/>
        </w:rPr>
        <w:t xml:space="preserve">Las intervenciones con actividades de desminado humanitario en el territorio nacional que no se circunscriban al Proyecto Piloto de desminado humanitario deberαn realizarse de conformidad con los Estαndares Nacionales de Desminado Humanitario, las disposiciones contenidas en la Secciσn 1 de este Capνtulo y demαs normas que los modifiquen o adicionen.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206" w:name="SUBSECCIÓN 2.3.1.5.2.2"/>
      <w:r>
        <w:rPr>
          <w:rFonts w:hAnsi="Arial"/>
          <w:rFonts w:ascii="Arial"/>
          <w:sz w:val="24"/>
          <w:color w:val="navy"/>
        </w:rPr>
        <w:t xml:space="preserve">SUBSECCIΣN 2. </w:t>
      </w:r>
    </w:p>
    <w:p>
      <w:pPr>
        <w:jc w:val="center"/>
      </w:pPr>
      <w:r>
        <w:rPr>
          <w:rFonts w:hAnsi="Arial"/>
          <w:rFonts w:ascii="Arial"/>
          <w:sz w:val="24"/>
          <w:color w:val="navy"/>
        </w:rPr>
        <w:t xml:space="preserve">DE LA IMPLEMENTACIΣN Y EJECUCIΣN DEL PROYECTO PILOTO DE DESMINADO HUMANITARIO.</w:t>
      </w:r>
      <w:bookmarkEnd w:id="6120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207" w:name="2.3.1.5.2.2.1"/>
      <w:r>
        <w:rPr>
          <w:rFonts w:hAnsi="Arial"/>
          <w:rFonts w:ascii="Arial"/>
          <w:sz w:val="24"/>
          <w:color w:val="navy"/>
        </w:rPr>
        <w:t xml:space="preserve">ARTΝCULO 2.3.1.5.2.2.1. </w:t>
      </w:r>
      <w:r>
        <w:rPr>
          <w:rFonts w:hAnsi="Arial"/>
          <w:rFonts w:ascii="Arial"/>
          <w:sz w:val="24"/>
          <w:i/>
          <w:color w:val="navy"/>
        </w:rPr>
        <w:t xml:space="preserve">ΑREAS DE INTERVENCIΣN DEL PROYECTO PILOTO</w:t>
      </w:r>
      <w:r>
        <w:rPr>
          <w:rFonts w:hAnsi="Arial"/>
          <w:rFonts w:ascii="Arial"/>
          <w:sz w:val="24"/>
          <w:color w:val="navy"/>
        </w:rPr>
        <w:t>.</w:t>
      </w:r>
      <w:bookmarkEnd w:id="61207"/>
      <w:r>
        <w:rPr>
          <w:rFonts w:hAnsi="Arial"/>
          <w:rFonts w:ascii="Arial"/>
          <w:sz w:val="24"/>
          <w:b/>
          <w:color w:val="black"/>
        </w:rPr>
        <w:t xml:space="preserve"> </w:t>
      </w:r>
      <w:r>
        <w:rPr>
          <w:rFonts w:hAnsi="Arial"/>
          <w:rFonts w:ascii="Arial"/>
          <w:sz w:val="24"/>
          <w:color w:val="black"/>
        </w:rPr>
        <w:t xml:space="preserve">Las αreas que serαn objeto de intervenciσn del proyecto piloto de que trata la presente Secciσn serαn informadas a la Ayuda Popular Noruega (APN) y al Batallσn de Desminado Humanitario (BIDES), a travιs de la Direcciσn para la Acciσn Integral contra Minas Antipersonal.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08" w:name="2.3.1.5.2.2.2"/>
      <w:r>
        <w:rPr>
          <w:rFonts w:hAnsi="Arial"/>
          <w:rFonts w:ascii="Arial"/>
          <w:sz w:val="24"/>
          <w:color w:val="navy"/>
        </w:rPr>
        <w:t xml:space="preserve">ARTΝCULO 2.3.1.5.2.2.2. </w:t>
      </w:r>
      <w:r>
        <w:rPr>
          <w:rFonts w:hAnsi="Arial"/>
          <w:rFonts w:ascii="Arial"/>
          <w:sz w:val="24"/>
          <w:i/>
          <w:color w:val="navy"/>
        </w:rPr>
        <w:t xml:space="preserve">PRINCIPIOS PARA LA EJECUCIΣN DEL PROYECTO PILOTO</w:t>
      </w:r>
      <w:r>
        <w:rPr>
          <w:rFonts w:hAnsi="Arial"/>
          <w:rFonts w:ascii="Arial"/>
          <w:sz w:val="24"/>
          <w:color w:val="navy"/>
        </w:rPr>
        <w:t>.</w:t>
      </w:r>
      <w:bookmarkEnd w:id="61208"/>
      <w:r>
        <w:rPr>
          <w:rFonts w:hAnsi="Arial"/>
          <w:rFonts w:ascii="Arial"/>
          <w:sz w:val="24"/>
          <w:b/>
          <w:color w:val="black"/>
        </w:rPr>
        <w:t xml:space="preserve"> </w:t>
      </w:r>
      <w:r>
        <w:rPr>
          <w:rFonts w:hAnsi="Arial"/>
          <w:rFonts w:ascii="Arial"/>
          <w:sz w:val="24"/>
          <w:color w:val="black"/>
        </w:rPr>
        <w:t xml:space="preserve">El proyecto piloto de Desminado Humanitario se realizarα atendiendo los principios de focalizaciσn y gradualidad de conformidad con lo seρalado en la presente Secciσn.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09" w:name="2.3.1.5.2.2.3"/>
      <w:r>
        <w:rPr>
          <w:rFonts w:hAnsi="Arial"/>
          <w:rFonts w:ascii="Arial"/>
          <w:sz w:val="24"/>
          <w:color w:val="navy"/>
        </w:rPr>
        <w:t xml:space="preserve">ARTΝCULO 2.3.1.5.2.2.3. </w:t>
      </w:r>
      <w:r>
        <w:rPr>
          <w:rFonts w:hAnsi="Arial"/>
          <w:rFonts w:ascii="Arial"/>
          <w:sz w:val="24"/>
          <w:i/>
          <w:color w:val="navy"/>
        </w:rPr>
        <w:t xml:space="preserve">PRINCIPIO DE FOCALIZACIΣN</w:t>
      </w:r>
      <w:r>
        <w:rPr>
          <w:rFonts w:hAnsi="Arial"/>
          <w:rFonts w:ascii="Arial"/>
          <w:sz w:val="24"/>
          <w:color w:val="navy"/>
        </w:rPr>
        <w:t>.</w:t>
      </w:r>
      <w:bookmarkEnd w:id="61209"/>
      <w:r>
        <w:rPr>
          <w:rFonts w:hAnsi="Arial"/>
          <w:rFonts w:ascii="Arial"/>
          <w:sz w:val="24"/>
          <w:b/>
          <w:color w:val="black"/>
        </w:rPr>
        <w:t xml:space="preserve"> </w:t>
      </w:r>
      <w:r>
        <w:rPr>
          <w:rFonts w:hAnsi="Arial"/>
          <w:rFonts w:ascii="Arial"/>
          <w:sz w:val="24"/>
          <w:color w:val="black"/>
        </w:rPr>
        <w:t xml:space="preserve">El principio de focalizaciσn implica que el proyecto piloto de Desminado Humanitario se ejecute ϊnicamente en las αreas de intervenciσn, de acuerdo a lo seρalado en el Artνculo </w:t>
      </w:r>
      <w:r>
        <w:fldChar w:fldCharType="begin"/>
      </w:r>
      <w:r>
        <w:instrText>HYPERLINK "http://www.redjurista.com/document.aspx?ajcode=d1070015&amp;arts=2.3.1.5.2.2.1"</w:instrText>
      </w:r>
      <w:r>
        <w:fldChar w:fldCharType="separate"/>
      </w:r>
      <w:r>
        <w:rPr>
          <w:rFonts w:hAnsi="Arial"/>
          <w:rFonts w:ascii="Arial"/>
          <w:sz w:val="24"/>
          <w:b/>
          <w:u w:val="single"/>
          <w:color w:val="black"/>
        </w:rPr>
        <w:t>2.3.1.5.2.2.1</w:t>
      </w:r>
      <w:r>
        <w:fldChar w:fldCharType="end"/>
      </w:r>
      <w:r>
        <w:rPr>
          <w:rFonts w:hAnsi="Arial"/>
          <w:rFonts w:ascii="Arial"/>
          <w:sz w:val="24"/>
          <w:b/>
          <w:u w:val="none"/>
          <w:color w:val="black"/>
        </w:rPr>
        <w:t xml:space="preserve">. </w:t>
      </w:r>
      <w:r>
        <w:rPr>
          <w:rFonts w:hAnsi="Arial"/>
          <w:rFonts w:ascii="Arial"/>
          <w:sz w:val="24"/>
          <w:u w:val="none"/>
          <w:color w:val="black"/>
        </w:rPr>
        <w:t xml:space="preserve">de la presente Secciσn.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0" w:name="2.3.1.5.2.2.4"/>
      <w:r>
        <w:rPr>
          <w:rFonts w:hAnsi="Arial"/>
          <w:rFonts w:ascii="Arial"/>
          <w:sz w:val="24"/>
          <w:color w:val="navy"/>
        </w:rPr>
        <w:t xml:space="preserve">ARTΝCULO 2.3.1.5.2.2.4. </w:t>
      </w:r>
      <w:r>
        <w:rPr>
          <w:rFonts w:hAnsi="Arial"/>
          <w:rFonts w:ascii="Arial"/>
          <w:sz w:val="24"/>
          <w:i/>
          <w:color w:val="navy"/>
        </w:rPr>
        <w:t xml:space="preserve">PRINCIPIO DE GRADUALIDAD</w:t>
      </w:r>
      <w:r>
        <w:rPr>
          <w:rFonts w:hAnsi="Arial"/>
          <w:rFonts w:ascii="Arial"/>
          <w:sz w:val="24"/>
          <w:color w:val="navy"/>
        </w:rPr>
        <w:t>.</w:t>
      </w:r>
      <w:bookmarkEnd w:id="61210"/>
      <w:r>
        <w:rPr>
          <w:rFonts w:hAnsi="Arial"/>
          <w:rFonts w:ascii="Arial"/>
          <w:sz w:val="24"/>
          <w:b/>
          <w:color w:val="black"/>
        </w:rPr>
        <w:t xml:space="preserve"> </w:t>
      </w:r>
      <w:r>
        <w:rPr>
          <w:rFonts w:hAnsi="Arial"/>
          <w:rFonts w:ascii="Arial"/>
          <w:sz w:val="24"/>
          <w:color w:val="black"/>
        </w:rPr>
        <w:t xml:space="preserve">El principio de gradualidad requiere para la implementaciσn del proyecto piloto estar sujeto a las capacidades que en materia tιcnica posea la Ayuda Popular Noruega (APN) y el Batallσn de Desminado Humanitario (BIDES) para desarrollar intervenciones efectivas y escalonadas.</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1" w:name="2.3.1.5.2.2.5"/>
      <w:r>
        <w:rPr>
          <w:rFonts w:hAnsi="Arial"/>
          <w:rFonts w:ascii="Arial"/>
          <w:sz w:val="24"/>
          <w:color w:val="navy"/>
        </w:rPr>
        <w:t xml:space="preserve">ARTΝCULO 2.3.1.5.2.2.5. </w:t>
      </w:r>
      <w:r>
        <w:rPr>
          <w:rFonts w:hAnsi="Arial"/>
          <w:rFonts w:ascii="Arial"/>
          <w:sz w:val="24"/>
          <w:i/>
          <w:color w:val="navy"/>
        </w:rPr>
        <w:t xml:space="preserve">PROCEDIMIENTOS OPERACIONALES</w:t>
      </w:r>
      <w:r>
        <w:rPr>
          <w:rFonts w:hAnsi="Arial"/>
          <w:rFonts w:ascii="Arial"/>
          <w:sz w:val="24"/>
          <w:color w:val="navy"/>
        </w:rPr>
        <w:t>.</w:t>
      </w:r>
      <w:bookmarkEnd w:id="61211"/>
      <w:r>
        <w:rPr>
          <w:rFonts w:hAnsi="Arial"/>
          <w:rFonts w:ascii="Arial"/>
          <w:sz w:val="24"/>
          <w:b/>
          <w:color w:val="black"/>
        </w:rPr>
        <w:t xml:space="preserve"> </w:t>
      </w:r>
      <w:r>
        <w:rPr>
          <w:rFonts w:hAnsi="Arial"/>
          <w:rFonts w:ascii="Arial"/>
          <w:sz w:val="24"/>
          <w:color w:val="black"/>
        </w:rPr>
        <w:t xml:space="preserve">Los procedimientos operacionales aplicables al proyecto piloto de desminado humanitario de que trata la presente Secciσn son los acordados tιcnicamente y de acuerdo a Estαndares Internacionales por la Ayuda Popular Noruega (APN) y el Batallσn de Desminado Humanitario (BIDES), y adoptados mediante acto administrativo por el Comando General de las Fuerzas Militares.</w:t>
      </w:r>
    </w:p>
    <w:p>
      <w:pPr>
        <w:jc w:val="both"/>
      </w:pPr>
      <w:rPr>
        <w:sz w:val="24"/>
        <w:color w:val="black"/>
      </w:rPr>
    </w:p>
    <w:p>
      <w:pPr>
        <w:jc w:val="both"/>
      </w:pPr>
      <w:r>
        <w:rPr>
          <w:rFonts w:hAnsi="Arial"/>
          <w:rFonts w:ascii="Arial"/>
          <w:sz w:val="24"/>
          <w:color w:val="black"/>
        </w:rPr>
        <w:t xml:space="preserve">El Comando General de las Fuerzas Militares deberα adoptar mediante acto administrativo la enmienda o enmiendas necesarias para la adecuaciσn de los procedimientos operacionales al proyecto piloto de que trata la presente Secciσn.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2" w:name="2.3.1.5.2.2.6"/>
      <w:r>
        <w:rPr>
          <w:rFonts w:hAnsi="Arial"/>
          <w:rFonts w:ascii="Arial"/>
          <w:sz w:val="24"/>
          <w:color w:val="navy"/>
        </w:rPr>
        <w:t xml:space="preserve">ARTΝCULO 2.3.1.5.2.2.6. </w:t>
      </w:r>
      <w:r>
        <w:rPr>
          <w:rFonts w:hAnsi="Arial"/>
          <w:rFonts w:ascii="Arial"/>
          <w:sz w:val="24"/>
          <w:i/>
          <w:color w:val="navy"/>
        </w:rPr>
        <w:t xml:space="preserve">LABORES DE MONITOREO EN EL PROYECTO PILOTO</w:t>
      </w:r>
      <w:r>
        <w:rPr>
          <w:rFonts w:hAnsi="Arial"/>
          <w:rFonts w:ascii="Arial"/>
          <w:sz w:val="24"/>
          <w:color w:val="navy"/>
        </w:rPr>
        <w:t>.</w:t>
      </w:r>
      <w:bookmarkEnd w:id="61212"/>
      <w:r>
        <w:rPr>
          <w:rFonts w:hAnsi="Arial"/>
          <w:rFonts w:ascii="Arial"/>
          <w:sz w:val="24"/>
          <w:b/>
          <w:color w:val="black"/>
        </w:rPr>
        <w:t xml:space="preserve"> </w:t>
      </w:r>
      <w:r>
        <w:rPr>
          <w:rFonts w:hAnsi="Arial"/>
          <w:rFonts w:ascii="Arial"/>
          <w:sz w:val="24"/>
          <w:color w:val="black"/>
        </w:rPr>
        <w:t xml:space="preserve">Las labores de monitoreo con el fin de asegurar y controlar la calidad de las actividades de desminado humanitario realizadas en el marco del proyecto piloto serαn efectuadas por la Direcciσn para la Acciσn Integral contra las Minas Antipersonal en coordinaciσn con la Inspecciσn General del Comando General de las Fuerzas Militares.</w:t>
      </w:r>
    </w:p>
    <w:p>
      <w:pPr>
        <w:jc w:val="both"/>
      </w:pPr>
      <w:rPr>
        <w:sz w:val="24"/>
        <w:color w:val="black"/>
      </w:rPr>
    </w:p>
    <w:p>
      <w:pPr>
        <w:jc w:val="both"/>
      </w:pPr>
      <w:r>
        <w:rPr>
          <w:rFonts w:hAnsi="Arial"/>
          <w:rFonts w:ascii="Arial"/>
          <w:sz w:val="24"/>
          <w:color w:val="black"/>
        </w:rPr>
        <w:t xml:space="preserve">El Gobierno Nacional podrα suscribir acuerdos de cooperaciσn y asistencia tιcnica con organismos nacionales o internacionales para este propσsito.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3" w:name="2.3.1.5.2.2.7"/>
      <w:r>
        <w:rPr>
          <w:rFonts w:hAnsi="Arial"/>
          <w:rFonts w:ascii="Arial"/>
          <w:sz w:val="24"/>
          <w:color w:val="navy"/>
        </w:rPr>
        <w:t xml:space="preserve">ARTΝCULO 2.3.1.5.2.2.7. </w:t>
      </w:r>
      <w:r>
        <w:rPr>
          <w:rFonts w:hAnsi="Arial"/>
          <w:rFonts w:ascii="Arial"/>
          <w:sz w:val="24"/>
          <w:i/>
          <w:color w:val="navy"/>
        </w:rPr>
        <w:t xml:space="preserve">LABORES DE VERIFICACIΣN EN EL PROYECTO PILOTO</w:t>
      </w:r>
      <w:r>
        <w:rPr>
          <w:rFonts w:hAnsi="Arial"/>
          <w:rFonts w:ascii="Arial"/>
          <w:sz w:val="24"/>
          <w:color w:val="navy"/>
        </w:rPr>
        <w:t>.</w:t>
      </w:r>
      <w:bookmarkEnd w:id="61213"/>
      <w:r>
        <w:rPr>
          <w:rFonts w:hAnsi="Arial"/>
          <w:rFonts w:ascii="Arial"/>
          <w:sz w:val="24"/>
          <w:b/>
          <w:color w:val="black"/>
        </w:rPr>
        <w:t xml:space="preserve"> </w:t>
      </w:r>
      <w:r>
        <w:rPr>
          <w:rFonts w:hAnsi="Arial"/>
          <w:rFonts w:ascii="Arial"/>
          <w:sz w:val="24"/>
          <w:color w:val="black"/>
        </w:rPr>
        <w:t xml:space="preserve">La Organizaciσn Civil de Desminado Humanitario (OCDH) realizarα la verificaciσn de las operaciones de limpieza y descontaminaciσn o despeje de acuerdo con las mejores prαcticas y estαndares internacionales en el marco del proyecto piloto.</w:t>
      </w:r>
    </w:p>
    <w:p>
      <w:pPr>
        <w:jc w:val="both"/>
      </w:pPr>
      <w:rPr>
        <w:sz w:val="24"/>
        <w:color w:val="black"/>
      </w:rPr>
    </w:p>
    <w:p>
      <w:pPr>
        <w:jc w:val="both"/>
      </w:pPr>
      <w:r>
        <w:rPr>
          <w:rFonts w:hAnsi="Arial"/>
          <w:rFonts w:ascii="Arial"/>
          <w:sz w:val="24"/>
          <w:color w:val="black"/>
        </w:rPr>
        <w:t xml:space="preserve">La labor de verificaciσn en el marco del Proyecto Piloto se realizarα con el acompaρamiento de los delegados que se han determinado en el Acuerdo suscrito por el Gobierno Nacional.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4" w:name="2.3.1.5.2.2.8"/>
      <w:r>
        <w:rPr>
          <w:rFonts w:hAnsi="Arial"/>
          <w:rFonts w:ascii="Arial"/>
          <w:sz w:val="24"/>
          <w:color w:val="navy"/>
        </w:rPr>
        <w:t xml:space="preserve">ARTΝCULO 2.3.1.5.2.2.8. </w:t>
      </w:r>
      <w:r>
        <w:rPr>
          <w:rFonts w:hAnsi="Arial"/>
          <w:rFonts w:ascii="Arial"/>
          <w:sz w:val="24"/>
          <w:i/>
          <w:color w:val="navy"/>
        </w:rPr>
        <w:t xml:space="preserve">CONFORMACIΣN DE EQUIPOS DE TRABAJO EN EL PROYECTO PILOTO.</w:t>
      </w:r>
      <w:bookmarkEnd w:id="61214"/>
      <w:r>
        <w:rPr>
          <w:rFonts w:hAnsi="Arial"/>
          <w:rFonts w:ascii="Arial"/>
          <w:sz w:val="24"/>
          <w:b/>
          <w:i/>
          <w:color w:val="black"/>
        </w:rPr>
        <w:t xml:space="preserve"> </w:t>
      </w:r>
      <w:r>
        <w:rPr>
          <w:rFonts w:hAnsi="Arial"/>
          <w:rFonts w:ascii="Arial"/>
          <w:sz w:val="24"/>
          <w:color w:val="black"/>
        </w:rPr>
        <w:t xml:space="preserve">Para la ejecuciσn del Proyecto Piloto se conformarαn los equipos que para el efecto se hayan previsto en el Acuerdo suscrito por el Gobierno Nacional. La composiciσn de los mismos es la determinada por el Acuerdo suscrito por el Gobierno Nacional.</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5" w:name="2.3.1.5.2.2.9"/>
      <w:r>
        <w:rPr>
          <w:rFonts w:hAnsi="Arial"/>
          <w:rFonts w:ascii="Arial"/>
          <w:sz w:val="24"/>
          <w:color w:val="navy"/>
        </w:rPr>
        <w:t xml:space="preserve">ARTΝCULO 2.3.1.5.2.2.9. </w:t>
      </w:r>
      <w:r>
        <w:rPr>
          <w:rFonts w:hAnsi="Arial"/>
          <w:rFonts w:ascii="Arial"/>
          <w:sz w:val="24"/>
          <w:i/>
          <w:color w:val="navy"/>
        </w:rPr>
        <w:t xml:space="preserve">DIΑLOGO COMUNITARIO</w:t>
      </w:r>
      <w:r>
        <w:rPr>
          <w:rFonts w:hAnsi="Arial"/>
          <w:rFonts w:ascii="Arial"/>
          <w:sz w:val="24"/>
          <w:color w:val="navy"/>
        </w:rPr>
        <w:t>.</w:t>
      </w:r>
      <w:bookmarkEnd w:id="61215"/>
      <w:r>
        <w:rPr>
          <w:rFonts w:hAnsi="Arial"/>
          <w:rFonts w:ascii="Arial"/>
          <w:sz w:val="24"/>
          <w:b/>
          <w:color w:val="black"/>
        </w:rPr>
        <w:t xml:space="preserve"> </w:t>
      </w:r>
      <w:r>
        <w:rPr>
          <w:rFonts w:hAnsi="Arial"/>
          <w:rFonts w:ascii="Arial"/>
          <w:sz w:val="24"/>
          <w:color w:val="black"/>
        </w:rPr>
        <w:t xml:space="preserve">Durante la implementaciσn del proceso de limpieza y descontaminaciσn se mantendrα un diαlogo continuo estrecho entre la Agencia Popular Noruega (APN) y las comunidades para crear confianza en la calidad de las operaciones de limpieza y descontaminaciσn o despeje, y se proporcionarα el intercambio de informaciσn relacionada con MAP, AEI y MUSE o REG por parte de las comunidades a los equipos multitarea.</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6" w:name="2.3.1.5.2.2.10"/>
      <w:r>
        <w:rPr>
          <w:rFonts w:hAnsi="Arial"/>
          <w:rFonts w:ascii="Arial"/>
          <w:sz w:val="24"/>
          <w:color w:val="navy"/>
        </w:rPr>
        <w:t xml:space="preserve">ARTΝCULO 2.3.1.5.2.2.10. </w:t>
      </w:r>
      <w:r>
        <w:rPr>
          <w:rFonts w:hAnsi="Arial"/>
          <w:rFonts w:ascii="Arial"/>
          <w:sz w:val="24"/>
          <w:i/>
          <w:color w:val="navy"/>
        </w:rPr>
        <w:t xml:space="preserve">AUTORIZACIΣN AYUDA POPULAR NORUEGA (APN)</w:t>
      </w:r>
      <w:r>
        <w:rPr>
          <w:rFonts w:hAnsi="Arial"/>
          <w:rFonts w:ascii="Arial"/>
          <w:sz w:val="24"/>
          <w:color w:val="navy"/>
        </w:rPr>
        <w:t>.</w:t>
      </w:r>
      <w:bookmarkEnd w:id="61216"/>
      <w:r>
        <w:rPr>
          <w:rFonts w:hAnsi="Arial"/>
          <w:rFonts w:ascii="Arial"/>
          <w:sz w:val="24"/>
          <w:b/>
          <w:color w:val="black"/>
        </w:rPr>
        <w:t xml:space="preserve"> </w:t>
      </w:r>
      <w:r>
        <w:rPr>
          <w:rFonts w:hAnsi="Arial"/>
          <w:rFonts w:ascii="Arial"/>
          <w:sz w:val="24"/>
          <w:color w:val="black"/>
        </w:rPr>
        <w:t xml:space="preserve">El Gobierno Nacional a travιs de la Oficina del Alto Comisionado para la Paz, y de conformidad con lo previsto en el artνculo </w:t>
      </w:r>
      <w:r>
        <w:fldChar w:fldCharType="begin"/>
      </w:r>
      <w:r>
        <w:instrText>HYPERLINK "http://www.redjurista.com/document.aspx?ajcode=l0418_97&amp;arts=10"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418 de 1997 modificada y prorrogada por la Ley </w:t>
      </w:r>
      <w:r>
        <w:fldChar w:fldCharType="begin"/>
      </w:r>
      <w:r>
        <w:instrText>HYPERLINK "http://www.redjurista.com/document.aspx?ajcode=l1738014&amp;arts=INICIO"</w:instrText>
      </w:r>
      <w:r>
        <w:fldChar w:fldCharType="separate"/>
      </w:r>
      <w:r>
        <w:rPr>
          <w:rFonts w:hAnsi="Arial"/>
          <w:rFonts w:ascii="Arial"/>
          <w:sz w:val="24"/>
          <w:u w:val="single"/>
          <w:color w:val="black"/>
        </w:rPr>
        <w:t>1738</w:t>
      </w:r>
      <w:r>
        <w:fldChar w:fldCharType="end"/>
      </w:r>
      <w:r>
        <w:rPr>
          <w:rFonts w:hAnsi="Arial"/>
          <w:rFonts w:ascii="Arial"/>
          <w:sz w:val="24"/>
          <w:u w:val="none"/>
          <w:color w:val="black"/>
        </w:rPr>
        <w:t xml:space="preserve"> de 2014, autorizarα al personal acreditado de la Ayuda Popular Noruega (APN), previo cumplimiento de los requisitos seρalados en la presente Secciσn, a mantener diαlogo o interlocuciσn, con el personal necesario, para el desarrollo del proyecto piloto de Desminado Humanitario, incluso respecto de personal que sea miembro de grupos armados organizados al margen de la ley.</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7" w:name="2.3.1.5.2.2.11"/>
      <w:r>
        <w:rPr>
          <w:rFonts w:hAnsi="Arial"/>
          <w:rFonts w:ascii="Arial"/>
          <w:sz w:val="24"/>
          <w:color w:val="navy"/>
        </w:rPr>
        <w:t xml:space="preserve">ARTΝCULO 2.3.1.5.2.2.1. &lt;SIC, 11&gt; </w:t>
      </w:r>
      <w:r>
        <w:rPr>
          <w:rFonts w:hAnsi="Arial"/>
          <w:rFonts w:ascii="Arial"/>
          <w:sz w:val="24"/>
          <w:i/>
          <w:color w:val="navy"/>
        </w:rPr>
        <w:t xml:space="preserve">AUTORIZACIΣN SERVIDORES PΪBLICOS</w:t>
      </w:r>
      <w:r>
        <w:rPr>
          <w:rFonts w:hAnsi="Arial"/>
          <w:rFonts w:ascii="Arial"/>
          <w:sz w:val="24"/>
          <w:color w:val="navy"/>
        </w:rPr>
        <w:t>.</w:t>
      </w:r>
      <w:bookmarkEnd w:id="61217"/>
      <w:r>
        <w:rPr>
          <w:rFonts w:hAnsi="Arial"/>
          <w:rFonts w:ascii="Arial"/>
          <w:sz w:val="24"/>
          <w:b/>
          <w:color w:val="black"/>
        </w:rPr>
        <w:t xml:space="preserve"> </w:t>
      </w:r>
      <w:r>
        <w:rPr>
          <w:rFonts w:hAnsi="Arial"/>
          <w:rFonts w:ascii="Arial"/>
          <w:sz w:val="24"/>
          <w:color w:val="black"/>
        </w:rPr>
        <w:t xml:space="preserve">El Gobierno Nacional a travιs de la Oficina del Alto Comisionado para la Paz, y de conformidad con lo previsto en el artνculo </w:t>
      </w:r>
      <w:r>
        <w:fldChar w:fldCharType="begin"/>
      </w:r>
      <w:r>
        <w:instrText>HYPERLINK "http://www.redjurista.com/document.aspx?ajcode=l0418_97&amp;arts=8"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418 de 1997 modificada y prorrogada por la Ley </w:t>
      </w:r>
      <w:r>
        <w:fldChar w:fldCharType="begin"/>
      </w:r>
      <w:r>
        <w:instrText>HYPERLINK "http://www.redjurista.com/document.aspx?ajcode=l1738014&amp;arts=INICIO"</w:instrText>
      </w:r>
      <w:r>
        <w:fldChar w:fldCharType="separate"/>
      </w:r>
      <w:r>
        <w:rPr>
          <w:rFonts w:hAnsi="Arial"/>
          <w:rFonts w:ascii="Arial"/>
          <w:sz w:val="24"/>
          <w:u w:val="single"/>
          <w:color w:val="black"/>
        </w:rPr>
        <w:t>1738</w:t>
      </w:r>
      <w:r>
        <w:fldChar w:fldCharType="end"/>
      </w:r>
      <w:r>
        <w:rPr>
          <w:rFonts w:hAnsi="Arial"/>
          <w:rFonts w:ascii="Arial"/>
          <w:sz w:val="24"/>
          <w:u w:val="none"/>
          <w:color w:val="black"/>
        </w:rPr>
        <w:t xml:space="preserve"> de 2014, "por medio de la cual se prorroga la Ley </w:t>
      </w:r>
      <w:r>
        <w:fldChar w:fldCharType="begin"/>
      </w:r>
      <w:r>
        <w:instrText>HYPERLINK "http://www.redjurista.com/document.aspx?ajcode=l0418_97&amp;arts=INICIO"</w:instrText>
      </w:r>
      <w:r>
        <w:fldChar w:fldCharType="separate"/>
      </w:r>
      <w:r>
        <w:rPr>
          <w:rFonts w:hAnsi="Arial"/>
          <w:rFonts w:ascii="Arial"/>
          <w:sz w:val="24"/>
          <w:u w:val="single"/>
          <w:color w:val="black"/>
        </w:rPr>
        <w:t>418</w:t>
      </w:r>
      <w:r>
        <w:fldChar w:fldCharType="end"/>
      </w:r>
      <w:r>
        <w:rPr>
          <w:rFonts w:hAnsi="Arial"/>
          <w:rFonts w:ascii="Arial"/>
          <w:sz w:val="24"/>
          <w:u w:val="none"/>
          <w:color w:val="black"/>
        </w:rPr>
        <w:t xml:space="preserve"> de 1997, prorrogada y modificada por las Leyes </w:t>
      </w:r>
      <w:r>
        <w:fldChar w:fldCharType="begin"/>
      </w:r>
      <w:r>
        <w:instrText>HYPERLINK "http://www.redjurista.com/document.aspx?ajcode=l0548_99&amp;arts=INICIO"</w:instrText>
      </w:r>
      <w:r>
        <w:fldChar w:fldCharType="separate"/>
      </w:r>
      <w:r>
        <w:rPr>
          <w:rFonts w:hAnsi="Arial"/>
          <w:rFonts w:ascii="Arial"/>
          <w:sz w:val="24"/>
          <w:u w:val="single"/>
          <w:color w:val="black"/>
        </w:rPr>
        <w:t>548</w:t>
      </w:r>
      <w:r>
        <w:fldChar w:fldCharType="end"/>
      </w:r>
      <w:r>
        <w:rPr>
          <w:rFonts w:hAnsi="Arial"/>
          <w:rFonts w:ascii="Arial"/>
          <w:sz w:val="24"/>
          <w:u w:val="none"/>
          <w:color w:val="black"/>
        </w:rPr>
        <w:t xml:space="preserve"> de 1999, </w:t>
      </w:r>
      <w:r>
        <w:fldChar w:fldCharType="begin"/>
      </w:r>
      <w:r>
        <w:instrText>HYPERLINK "http://www.redjurista.com/document.aspx?ajcode=l0782002&amp;arts=INICIO"</w:instrText>
      </w:r>
      <w:r>
        <w:fldChar w:fldCharType="separate"/>
      </w:r>
      <w:r>
        <w:rPr>
          <w:rFonts w:hAnsi="Arial"/>
          <w:rFonts w:ascii="Arial"/>
          <w:sz w:val="24"/>
          <w:u w:val="single"/>
          <w:color w:val="black"/>
        </w:rPr>
        <w:t>782</w:t>
      </w:r>
      <w:r>
        <w:fldChar w:fldCharType="end"/>
      </w:r>
      <w:r>
        <w:rPr>
          <w:rFonts w:hAnsi="Arial"/>
          <w:rFonts w:ascii="Arial"/>
          <w:sz w:val="24"/>
          <w:u w:val="none"/>
          <w:color w:val="black"/>
        </w:rPr>
        <w:t xml:space="preserve"> de 2002, </w:t>
      </w:r>
      <w:r>
        <w:fldChar w:fldCharType="begin"/>
      </w:r>
      <w:r>
        <w:instrText>HYPERLINK "http://www.redjurista.com/document.aspx?ajcode=l1106006&amp;arts=INICIO"</w:instrText>
      </w:r>
      <w:r>
        <w:fldChar w:fldCharType="separate"/>
      </w:r>
      <w:r>
        <w:rPr>
          <w:rFonts w:hAnsi="Arial"/>
          <w:rFonts w:ascii="Arial"/>
          <w:sz w:val="24"/>
          <w:u w:val="single"/>
          <w:color w:val="black"/>
        </w:rPr>
        <w:t>1106</w:t>
      </w:r>
      <w:r>
        <w:fldChar w:fldCharType="end"/>
      </w:r>
      <w:r>
        <w:rPr>
          <w:rFonts w:hAnsi="Arial"/>
          <w:rFonts w:ascii="Arial"/>
          <w:sz w:val="24"/>
          <w:u w:val="none"/>
          <w:color w:val="black"/>
        </w:rPr>
        <w:t xml:space="preserve"> de 2006 y </w:t>
      </w:r>
      <w:r>
        <w:fldChar w:fldCharType="begin"/>
      </w:r>
      <w:r>
        <w:instrText>HYPERLINK "http://www.redjurista.com/document.aspx?ajcode=l1421010&amp;arts=INICIO"</w:instrText>
      </w:r>
      <w:r>
        <w:fldChar w:fldCharType="separate"/>
      </w:r>
      <w:r>
        <w:rPr>
          <w:rFonts w:hAnsi="Arial"/>
          <w:rFonts w:ascii="Arial"/>
          <w:sz w:val="24"/>
          <w:u w:val="single"/>
          <w:color w:val="black"/>
        </w:rPr>
        <w:t>1421</w:t>
      </w:r>
      <w:r>
        <w:fldChar w:fldCharType="end"/>
      </w:r>
      <w:r>
        <w:rPr>
          <w:rFonts w:hAnsi="Arial"/>
          <w:rFonts w:ascii="Arial"/>
          <w:sz w:val="24"/>
          <w:u w:val="none"/>
          <w:color w:val="black"/>
        </w:rPr>
        <w:t xml:space="preserve"> de 2010", autorizarα al personal tιcnico designado por el Comando General de las Fuerzas Militares y la Direcciσn para la Acciσn Integral contra Minas Antipersonal a mantener diαlogo o interlocuciσn, con el personal necesario, para el desarrollo del proyecto piloto de Desminado Humanitario, incluso respecto de personal que sea miembro de Organizaciones Armadas al Margen de la Ley.</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8" w:name="2.3.1.5.2.2.12"/>
      <w:r>
        <w:rPr>
          <w:rFonts w:hAnsi="Arial"/>
          <w:rFonts w:ascii="Arial"/>
          <w:sz w:val="24"/>
          <w:color w:val="navy"/>
        </w:rPr>
        <w:t xml:space="preserve">ARTΝCULO 2.3.1.5.2.2.12. </w:t>
      </w:r>
      <w:r>
        <w:rPr>
          <w:rFonts w:hAnsi="Arial"/>
          <w:rFonts w:ascii="Arial"/>
          <w:sz w:val="24"/>
          <w:i/>
          <w:color w:val="navy"/>
        </w:rPr>
        <w:t xml:space="preserve">SEGURIDAD DE LOS PARTICIPANTES EN EL PROYECTO PILOTO.</w:t>
      </w:r>
      <w:bookmarkEnd w:id="61218"/>
      <w:r>
        <w:rPr>
          <w:rFonts w:hAnsi="Arial"/>
          <w:rFonts w:ascii="Arial"/>
          <w:sz w:val="24"/>
          <w:b/>
          <w:i/>
          <w:color w:val="black"/>
        </w:rPr>
        <w:t xml:space="preserve"> </w:t>
      </w:r>
      <w:r>
        <w:rPr>
          <w:rFonts w:hAnsi="Arial"/>
          <w:rFonts w:ascii="Arial"/>
          <w:sz w:val="24"/>
          <w:color w:val="black"/>
        </w:rPr>
        <w:t xml:space="preserve">El Gobierno Nacional, a travιs de la Fuerza Pϊblica, y de conformidad con lo dispuesto en el artνculo </w:t>
      </w:r>
      <w:r>
        <w:fldChar w:fldCharType="begin"/>
      </w:r>
      <w:r>
        <w:instrText>HYPERLINK "http://www.redjurista.com/document.aspx?ajcode=l0418_97&amp;arts=8"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418 de 1997 modificada y prorrogada por la Ley </w:t>
      </w:r>
      <w:r>
        <w:fldChar w:fldCharType="begin"/>
      </w:r>
      <w:r>
        <w:instrText>HYPERLINK "http://www.redjurista.com/document.aspx?ajcode=l1738014&amp;arts=INICIO"</w:instrText>
      </w:r>
      <w:r>
        <w:fldChar w:fldCharType="separate"/>
      </w:r>
      <w:r>
        <w:rPr>
          <w:rFonts w:hAnsi="Arial"/>
          <w:rFonts w:ascii="Arial"/>
          <w:sz w:val="24"/>
          <w:u w:val="single"/>
          <w:color w:val="black"/>
        </w:rPr>
        <w:t>1738</w:t>
      </w:r>
      <w:r>
        <w:fldChar w:fldCharType="end"/>
      </w:r>
      <w:r>
        <w:rPr>
          <w:rFonts w:hAnsi="Arial"/>
          <w:rFonts w:ascii="Arial"/>
          <w:sz w:val="24"/>
          <w:u w:val="none"/>
          <w:color w:val="black"/>
        </w:rPr>
        <w:t xml:space="preserve"> de 2014 implementarα las medidas de seguridad a que haya lugar para las personas que participen en la ejecuciσn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19" w:name="2.3.1.5.2.2.13"/>
      <w:r>
        <w:rPr>
          <w:rFonts w:hAnsi="Arial"/>
          <w:rFonts w:ascii="Arial"/>
          <w:sz w:val="24"/>
          <w:color w:val="navy"/>
        </w:rPr>
        <w:t xml:space="preserve">ARTΝCULO 2.3.1.5.2.2.13. </w:t>
      </w:r>
      <w:r>
        <w:rPr>
          <w:rFonts w:hAnsi="Arial"/>
          <w:rFonts w:ascii="Arial"/>
          <w:sz w:val="24"/>
          <w:i/>
          <w:color w:val="navy"/>
        </w:rPr>
        <w:t xml:space="preserve">ACOMPAΡAMIENTO MΙDICO EN EL PROYECTO PILOTO</w:t>
      </w:r>
      <w:r>
        <w:rPr>
          <w:rFonts w:hAnsi="Arial"/>
          <w:rFonts w:ascii="Arial"/>
          <w:sz w:val="24"/>
          <w:color w:val="navy"/>
        </w:rPr>
        <w:t>.</w:t>
      </w:r>
      <w:bookmarkEnd w:id="61219"/>
      <w:r>
        <w:rPr>
          <w:rFonts w:hAnsi="Arial"/>
          <w:rFonts w:ascii="Arial"/>
          <w:sz w:val="24"/>
          <w:b/>
          <w:color w:val="black"/>
        </w:rPr>
        <w:t xml:space="preserve"> </w:t>
      </w:r>
      <w:r>
        <w:rPr>
          <w:rFonts w:hAnsi="Arial"/>
          <w:rFonts w:ascii="Arial"/>
          <w:sz w:val="24"/>
          <w:color w:val="black"/>
        </w:rPr>
        <w:t xml:space="preserve">El Gobierno Nacional coordinarα con las entidades competentes la participaciσn de los profesionales de la salud necesarios para que se haga acompaρamiento al desarrollo del Proyecto Piloto.</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220" w:name="2.3.1.5.2.2.14"/>
      <w:r>
        <w:rPr>
          <w:rFonts w:hAnsi="Arial"/>
          <w:rFonts w:ascii="Arial"/>
          <w:sz w:val="24"/>
          <w:color w:val="navy"/>
        </w:rPr>
        <w:t xml:space="preserve">ARTΝCULO 2.3.1.5.2.2.14. </w:t>
      </w:r>
      <w:r>
        <w:rPr>
          <w:rFonts w:hAnsi="Arial"/>
          <w:rFonts w:ascii="Arial"/>
          <w:sz w:val="24"/>
          <w:i/>
          <w:color w:val="navy"/>
        </w:rPr>
        <w:t xml:space="preserve">RECURSOS DE COOPERACIΣN INTERNACIONAL PARA EL PROYECTO PILOTO.</w:t>
      </w:r>
      <w:bookmarkEnd w:id="61220"/>
      <w:r>
        <w:rPr>
          <w:rFonts w:hAnsi="Arial"/>
          <w:rFonts w:ascii="Arial"/>
          <w:sz w:val="24"/>
          <w:b/>
          <w:i/>
          <w:color w:val="black"/>
        </w:rPr>
        <w:t xml:space="preserve"> </w:t>
      </w:r>
      <w:r>
        <w:rPr>
          <w:rFonts w:hAnsi="Arial"/>
          <w:rFonts w:ascii="Arial"/>
          <w:sz w:val="24"/>
          <w:color w:val="black"/>
        </w:rPr>
        <w:t xml:space="preserve">La Direcciσn de Acciσn Integral contra Minas Antipersonal en coordinaciσn con la Agencia Presidencial para la Cooperaciσn gestionarα recursos provenientes de cooperaciσn internacional para el fortalecimiento y desarrollo del proyecto piloto de desminado humanitario de que trata la presente Secciσn.</w:t>
      </w:r>
    </w:p>
    <w:p>
      <w:pPr>
        <w:jc w:val="both"/>
      </w:pPr>
      <w:rPr>
        <w:sz w:val="24"/>
        <w:color w:val="black"/>
      </w:rPr>
    </w:p>
    <w:p>
      <w:pPr>
        <w:jc w:val="both"/>
      </w:pPr>
      <w:r>
        <w:rPr>
          <w:rFonts w:hAnsi="Arial"/>
          <w:rFonts w:ascii="Arial"/>
          <w:sz w:val="24"/>
          <w:i/>
          <w:color w:val="black"/>
        </w:rPr>
        <w:t xml:space="preserve">(Decreto 1019 de 2015, artνculo </w:t>
      </w:r>
      <w:r>
        <w:fldChar w:fldCharType="begin"/>
      </w:r>
      <w:r>
        <w:instrText>HYPERLINK "http://www.redjurista.com/document.aspx?ajcode=d1019015&amp;arts=27"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1221" w:name="CAPÍTULO 2.3.1.6"/>
      <w:r>
        <w:rPr>
          <w:rFonts w:hAnsi="Arial"/>
          <w:rFonts w:ascii="Arial"/>
          <w:sz w:val="24"/>
          <w:color w:val="navy"/>
        </w:rPr>
        <w:t xml:space="preserve">CAPΝTULO 6. </w:t>
      </w:r>
    </w:p>
    <w:p>
      <w:pPr>
        <w:jc w:val="center"/>
      </w:pPr>
      <w:r>
        <w:rPr>
          <w:rFonts w:hAnsi="Arial"/>
          <w:rFonts w:ascii="Arial"/>
          <w:sz w:val="24"/>
          <w:color w:val="navy"/>
        </w:rPr>
        <w:t xml:space="preserve">DISTINCIΣN “RESERVISTA DE HONOR”.</w:t>
      </w:r>
      <w:bookmarkEnd w:id="61221"/>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61222" w:name="2.3.1.6.1"/>
      <w:r>
        <w:rPr>
          <w:rFonts w:hAnsi="Arial"/>
          <w:rFonts w:ascii="Arial"/>
          <w:sz w:val="24"/>
          <w:color w:val="navy"/>
        </w:rPr>
        <w:t xml:space="preserve">ARTΝCULO 2.3.1.6.1. </w:t>
      </w:r>
      <w:r>
        <w:rPr>
          <w:rFonts w:hAnsi="Arial"/>
          <w:rFonts w:ascii="Arial"/>
          <w:sz w:val="24"/>
          <w:i/>
          <w:color w:val="navy"/>
        </w:rPr>
        <w:t>CONFORMACIΣN</w:t>
      </w:r>
      <w:r>
        <w:rPr>
          <w:rFonts w:hAnsi="Arial"/>
          <w:rFonts w:ascii="Arial"/>
          <w:sz w:val="24"/>
          <w:color w:val="navy"/>
        </w:rPr>
        <w:t>.</w:t>
      </w:r>
      <w:bookmarkEnd w:id="6122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El Escalafσn de Reservistas de Honor estarα conformado por la lista de Oficiales, Suboficiales, Soldados, Grumetes, Infantes, Agentes y Agentes Auxiliares de las Fuerzas Militares y de la Policνa Nacional respectivamente, que reϊnan los requisitos contemplados en el artνculo </w:t>
      </w:r>
      <w:r>
        <w:fldChar w:fldCharType="begin"/>
      </w:r>
      <w:r>
        <w:instrText>HYPERLINK "http://www.redjurista.com/document.aspx?ajcode=l0014_90&amp;arts=1"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14 de 1990 y en los Estatutos de Carrera correspondientes. </w:t>
      </w:r>
    </w:p>
    <w:p>
      <w:pPr>
        <w:jc w:val="both"/>
      </w:pPr>
      <w:rPr>
        <w:color w:val="black"/>
      </w:rPr>
    </w:p>
    <w:p>
      <w:pPr>
        <w:jc w:val="both"/>
      </w:pPr>
      <w:r>
        <w:rPr>
          <w:rFonts w:hAnsi="Arial"/>
          <w:rFonts w:ascii="Arial"/>
          <w:sz w:val="24"/>
          <w:b/>
          <w:vanish/>
          <w:color w:val="black"/>
        </w:rPr>
        <w:t>&amp;$</w:t>
      </w:r>
      <w:bookmarkStart w:id="61223" w:name="2.3.1.6.2"/>
      <w:r>
        <w:rPr>
          <w:rFonts w:hAnsi="Arial"/>
          <w:rFonts w:ascii="Arial"/>
          <w:sz w:val="24"/>
          <w:color w:val="navy"/>
        </w:rPr>
        <w:t xml:space="preserve">ARTΝCULO 2.3.1.6.2. </w:t>
      </w:r>
      <w:r>
        <w:rPr>
          <w:rFonts w:hAnsi="Arial"/>
          <w:rFonts w:ascii="Arial"/>
          <w:sz w:val="24"/>
          <w:i/>
          <w:color w:val="navy"/>
        </w:rPr>
        <w:t xml:space="preserve">REMISIΣN DE INFORMACIΣN.</w:t>
      </w:r>
      <w:bookmarkEnd w:id="6122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Para los efectos del artνculo </w:t>
      </w:r>
      <w:r>
        <w:fldChar w:fldCharType="begin"/>
      </w:r>
      <w:r>
        <w:instrText>HYPERLINK "http://www.redjurista.com/document.aspx?ajcode=l0014_90&amp;arts=2"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14 de 1990, los Establecimientos de Educaciσn Bαsica y Capacitaciσn, los de Educaciσn Superior, Educaciσn Especial y Capacitaciσn Tecnolσgica, informarαn en el mes de agosto de cada aρo, al Ministerio de Defensa Nacional a travιs de la Comisiσn del Escalafσn de Reservas de Honor, sobre el nϊmero e identidad de los reservistas que hayan sido admitidos en dichas instituciones. </w:t>
      </w:r>
    </w:p>
    <w:p>
      <w:pPr>
        <w:jc w:val="both"/>
      </w:pPr>
      <w:rPr>
        <w:color w:val="black"/>
      </w:rPr>
    </w:p>
    <w:p>
      <w:pPr>
        <w:jc w:val="both"/>
      </w:pPr>
      <w:r>
        <w:rPr>
          <w:rFonts w:hAnsi="Arial"/>
          <w:rFonts w:ascii="Arial"/>
          <w:sz w:val="24"/>
          <w:b/>
          <w:vanish/>
          <w:color w:val="black"/>
        </w:rPr>
        <w:t>&amp;$</w:t>
      </w:r>
      <w:bookmarkStart w:id="61224" w:name="2.3.1.6.3"/>
      <w:r>
        <w:rPr>
          <w:rFonts w:hAnsi="Arial"/>
          <w:rFonts w:ascii="Arial"/>
          <w:sz w:val="24"/>
          <w:color w:val="navy"/>
        </w:rPr>
        <w:t xml:space="preserve">ARTΝCULO 2.3.1.6.3. </w:t>
      </w:r>
      <w:r>
        <w:rPr>
          <w:rFonts w:hAnsi="Arial"/>
          <w:rFonts w:ascii="Arial"/>
          <w:sz w:val="24"/>
          <w:i/>
          <w:color w:val="navy"/>
        </w:rPr>
        <w:t xml:space="preserve">MAYORES PLAZOS.</w:t>
      </w:r>
      <w:bookmarkEnd w:id="6122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Los mayores plazos a que se refiere el numeral 3 del artνculo </w:t>
      </w:r>
      <w:r>
        <w:fldChar w:fldCharType="begin"/>
      </w:r>
      <w:r>
        <w:instrText>HYPERLINK "http://www.redjurista.com/document.aspx?ajcode=l0014_90&amp;arts=2"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14 de 1990 serαn los siguientes: a) Un 50% mαs, del establecido en la respectiva entidad crediticia para las obligaciones denominadas de corto plazo; b) Un 30% mαs, del establecido en la respectiva entidad crediticia para las obligaciones denominadas de mediano plazo; c) Un 20% mαs, del establecido en la respectiva entidad crediticia para las obligaciones denominadas de largo plazo. </w:t>
      </w:r>
    </w:p>
    <w:p>
      <w:pPr>
        <w:jc w:val="both"/>
      </w:pPr>
      <w:rPr>
        <w:color w:val="black"/>
      </w:rPr>
    </w:p>
    <w:p>
      <w:pPr>
        <w:jc w:val="both"/>
      </w:pPr>
      <w:r>
        <w:rPr>
          <w:rFonts w:hAnsi="Arial"/>
          <w:rFonts w:ascii="Arial"/>
          <w:sz w:val="24"/>
          <w:b/>
          <w:vanish/>
          <w:color w:val="black"/>
        </w:rPr>
        <w:t>&amp;$</w:t>
      </w:r>
      <w:bookmarkStart w:id="61225" w:name="2.3.1.6.4"/>
      <w:r>
        <w:rPr>
          <w:rFonts w:hAnsi="Arial"/>
          <w:rFonts w:ascii="Arial"/>
          <w:sz w:val="24"/>
          <w:color w:val="navy"/>
        </w:rPr>
        <w:t xml:space="preserve">ARTΝCULO 2.3.1.6.4. </w:t>
      </w:r>
      <w:r>
        <w:rPr>
          <w:rFonts w:hAnsi="Arial"/>
          <w:rFonts w:ascii="Arial"/>
          <w:sz w:val="24"/>
          <w:i/>
          <w:color w:val="navy"/>
        </w:rPr>
        <w:t xml:space="preserve">BOLETERΝA ESPECTΑCULOS PΪBLICOS</w:t>
      </w:r>
      <w:r>
        <w:rPr>
          <w:rFonts w:hAnsi="Arial"/>
          <w:rFonts w:ascii="Arial"/>
          <w:sz w:val="24"/>
          <w:color w:val="navy"/>
        </w:rPr>
        <w:t>.</w:t>
      </w:r>
      <w:bookmarkEnd w:id="6122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Para cada uno de los espectαculos pϊblicos que se presenten en escenarios de carαcter oficial o centros culturales de igual naturaleza los responsables de los mismos destinarαn el 1% de la boleterνa de cada funciσn, presentaciσn o evento para los Reservistas de Honor, distribuidos equitativamente en las diferentes categorνas y clasificaciones establecidas por el empresario o responsable de la presentaciσn, en el recinto. </w:t>
      </w:r>
    </w:p>
    <w:p>
      <w:pPr>
        <w:jc w:val="both"/>
      </w:pPr>
      <w:rPr>
        <w:color w:val="black"/>
      </w:rPr>
    </w:p>
    <w:p>
      <w:pPr>
        <w:jc w:val="both"/>
      </w:pPr>
      <w:r>
        <w:rPr>
          <w:rFonts w:hAnsi="Arial"/>
          <w:rFonts w:ascii="Arial"/>
          <w:sz w:val="24"/>
          <w:b/>
          <w:vanish/>
          <w:color w:val="black"/>
        </w:rPr>
        <w:t>&amp;$</w:t>
      </w:r>
      <w:bookmarkStart w:id="61226" w:name="2.3.1.6.5"/>
      <w:r>
        <w:rPr>
          <w:rFonts w:hAnsi="Arial"/>
          <w:rFonts w:ascii="Arial"/>
          <w:sz w:val="24"/>
          <w:color w:val="navy"/>
        </w:rPr>
        <w:t xml:space="preserve">ARTΝCULO 2.3.1.6.5. </w:t>
      </w:r>
      <w:r>
        <w:rPr>
          <w:rFonts w:hAnsi="Arial"/>
          <w:rFonts w:ascii="Arial"/>
          <w:sz w:val="24"/>
          <w:i/>
          <w:color w:val="navy"/>
        </w:rPr>
        <w:t xml:space="preserve">REUNIONES COMISIΣN DEL ESCALAFΣN DE RESERVAS DE HONOR</w:t>
      </w:r>
      <w:r>
        <w:rPr>
          <w:rFonts w:hAnsi="Arial"/>
          <w:rFonts w:ascii="Arial"/>
          <w:sz w:val="24"/>
          <w:color w:val="navy"/>
        </w:rPr>
        <w:t>.</w:t>
      </w:r>
      <w:bookmarkEnd w:id="61226"/>
      <w:r>
        <w:rPr>
          <w:rFonts w:hAnsi="Arial"/>
          <w:rFonts w:ascii="Arial"/>
          <w:sz w:val="24"/>
          <w:color w:val="black"/>
        </w:rPr>
        <w:t xml:space="preserve"> &lt;Artνculo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La Comisiσn del Escalafσn de Reservas de Honor se reunirα trimestralmente en forma ordinaria y en forma extraordinaria, cuando lo solicite cualquiera de sus miembros. De cada reuniσn deberα levantarse el acta respectiva. </w:t>
      </w:r>
    </w:p>
    <w:p>
      <w:pPr>
        <w:jc w:val="both"/>
      </w:pPr>
      <w:rPr>
        <w:color w:val="black"/>
      </w:rPr>
    </w:p>
    <w:p>
      <w:pPr>
        <w:jc w:val="both"/>
      </w:pPr>
      <w:r>
        <w:rPr>
          <w:rFonts w:hAnsi="Arial"/>
          <w:rFonts w:ascii="Arial"/>
          <w:sz w:val="24"/>
          <w:b/>
          <w:vanish/>
          <w:color w:val="black"/>
        </w:rPr>
        <w:t>&amp;$</w:t>
      </w:r>
      <w:bookmarkStart w:id="61227" w:name="2.3.1.6.6"/>
      <w:r>
        <w:rPr>
          <w:rFonts w:hAnsi="Arial"/>
          <w:rFonts w:ascii="Arial"/>
          <w:sz w:val="24"/>
          <w:color w:val="navy"/>
        </w:rPr>
        <w:t xml:space="preserve">ARTΝCULO 2.3.1.6.6. </w:t>
      </w:r>
      <w:r>
        <w:rPr>
          <w:rFonts w:hAnsi="Arial"/>
          <w:rFonts w:ascii="Arial"/>
          <w:sz w:val="24"/>
          <w:i/>
          <w:color w:val="navy"/>
        </w:rPr>
        <w:t xml:space="preserve">PRESIDENCIA COMISIΣN</w:t>
      </w:r>
      <w:r>
        <w:rPr>
          <w:rFonts w:hAnsi="Arial"/>
          <w:rFonts w:ascii="Arial"/>
          <w:sz w:val="24"/>
          <w:color w:val="navy"/>
        </w:rPr>
        <w:t>.</w:t>
      </w:r>
      <w:bookmarkEnd w:id="6122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La Comisiσn serα presidida por el Jefe del Estado Mayor Conjunto, podrα sesionar con la mitad mαs uno de sus integrantes y sus decisiones se tomarαn por mayorνa absoluta, debiendo expedir su reglamento interno. </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Jefes o Directores de Personal de las Fuerzas Militares y de la Policνa Nacional ejercerαn la funciσn de Secretarios de la Comisiσn, por perνodos anuales en el siguiente orden: Ejιrcito, Armada, Fuerza Aιrea y Policνa Nacional. </w:t>
      </w:r>
    </w:p>
    <w:p>
      <w:pPr>
        <w:jc w:val="both"/>
      </w:pPr>
      <w:rPr>
        <w:color w:val="black"/>
      </w:rPr>
    </w:p>
    <w:p>
      <w:pPr>
        <w:jc w:val="both"/>
      </w:pPr>
      <w:r>
        <w:rPr>
          <w:rFonts w:hAnsi="Arial"/>
          <w:rFonts w:ascii="Arial"/>
          <w:sz w:val="24"/>
          <w:b/>
          <w:vanish/>
          <w:color w:val="black"/>
        </w:rPr>
        <w:t>&amp;$</w:t>
      </w:r>
      <w:bookmarkStart w:id="61228" w:name="2.3.1.6.7"/>
      <w:r>
        <w:rPr>
          <w:rFonts w:hAnsi="Arial"/>
          <w:rFonts w:ascii="Arial"/>
          <w:sz w:val="24"/>
          <w:color w:val="navy"/>
        </w:rPr>
        <w:t xml:space="preserve">ARTΝCULO 2.3.1.6.7. </w:t>
      </w:r>
      <w:r>
        <w:rPr>
          <w:rFonts w:hAnsi="Arial"/>
          <w:rFonts w:ascii="Arial"/>
          <w:sz w:val="24"/>
          <w:i/>
          <w:color w:val="navy"/>
        </w:rPr>
        <w:t xml:space="preserve">FUNCIONES DE LAS DEPENDENCIAS DE PRESTACIONES SOCIALES DEL MINISTERIO DE DEFENSA Y POLICΝA NACIONAL</w:t>
      </w:r>
      <w:r>
        <w:rPr>
          <w:rFonts w:hAnsi="Arial"/>
          <w:rFonts w:ascii="Arial"/>
          <w:sz w:val="24"/>
          <w:color w:val="navy"/>
        </w:rPr>
        <w:t>.</w:t>
      </w:r>
      <w:bookmarkEnd w:id="6122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Para el cumplimiento de lo dispuesto en el artνculo </w:t>
      </w:r>
      <w:r>
        <w:fldChar w:fldCharType="begin"/>
      </w:r>
      <w:r>
        <w:instrText>HYPERLINK "http://www.redjurista.com/document.aspx?ajcode=l0014_90&amp;arts=6"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14 de 1990, los Grupos de Prestaciones Sociales del Ministerio de Defensa y la Policνa Nacional o dependencias que hagan sus veces, tendrαn las siguientes funciones: 1. Llevar un kαrdex actualizado del personal que integra el Escalafσn de Reservistas de Honor incluyendo todos los datos personales, familiares, laborales y acadιmicos. 2. Expedir las certificaciones que soliciten los Reservistas de Honor. 3. Por su conducto tramitar todas las solicitudes, quejas e inquietudes de los Reservistas de Honor para la debida aplicaciσn de la Ley </w:t>
      </w:r>
      <w:r>
        <w:fldChar w:fldCharType="begin"/>
      </w:r>
      <w:r>
        <w:instrText>HYPERLINK "http://www.redjurista.com/document.aspx?ajcode=l0014_90&amp;arts=INICIO"</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1990.</w:t>
      </w:r>
    </w:p>
    <w:p>
      <w:pPr>
        <w:jc w:val="both"/>
      </w:pPr>
      <w:rPr>
        <w:color w:val="black"/>
      </w:rPr>
    </w:p>
    <w:p>
      <w:pPr>
        <w:jc w:val="both"/>
      </w:pPr>
      <w:r>
        <w:rPr>
          <w:rFonts w:hAnsi="Arial"/>
          <w:rFonts w:ascii="Arial"/>
          <w:sz w:val="24"/>
          <w:b/>
          <w:vanish/>
          <w:color w:val="black"/>
        </w:rPr>
        <w:t>&amp;$</w:t>
      </w:r>
      <w:bookmarkStart w:id="61229" w:name="2.3.1.6.8"/>
      <w:r>
        <w:rPr>
          <w:rFonts w:hAnsi="Arial"/>
          <w:rFonts w:ascii="Arial"/>
          <w:sz w:val="24"/>
          <w:color w:val="navy"/>
        </w:rPr>
        <w:t xml:space="preserve">ARTΝCULO 2.3.1.6.8. </w:t>
      </w:r>
      <w:r>
        <w:rPr>
          <w:rFonts w:hAnsi="Arial"/>
          <w:rFonts w:ascii="Arial"/>
          <w:sz w:val="24"/>
          <w:i/>
          <w:color w:val="navy"/>
        </w:rPr>
        <w:t xml:space="preserve">PRESENTACIΣN SOLICITUD</w:t>
      </w:r>
      <w:r>
        <w:rPr>
          <w:rFonts w:hAnsi="Arial"/>
          <w:rFonts w:ascii="Arial"/>
          <w:sz w:val="24"/>
          <w:color w:val="navy"/>
        </w:rPr>
        <w:t>.</w:t>
      </w:r>
      <w:bookmarkEnd w:id="612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El personal de que trata este Capνtulo, retirado con anterioridad a la vigencia del Decreto nϊmero </w:t>
      </w:r>
      <w:r>
        <w:fldChar w:fldCharType="begin"/>
      </w:r>
      <w:r>
        <w:instrText>HYPERLINK "http://www.redjurista.com/document.aspx?ajcode=d1073_90&amp;arts=INICIO"</w:instrText>
      </w:r>
      <w:r>
        <w:fldChar w:fldCharType="separate"/>
      </w:r>
      <w:r>
        <w:rPr>
          <w:rFonts w:hAnsi="Arial"/>
          <w:rFonts w:ascii="Arial"/>
          <w:sz w:val="24"/>
          <w:u w:val="single"/>
          <w:color w:val="black"/>
        </w:rPr>
        <w:t>1073</w:t>
      </w:r>
      <w:r>
        <w:fldChar w:fldCharType="end"/>
      </w:r>
      <w:r>
        <w:rPr>
          <w:rFonts w:hAnsi="Arial"/>
          <w:rFonts w:ascii="Arial"/>
          <w:sz w:val="24"/>
          <w:u w:val="none"/>
          <w:color w:val="black"/>
        </w:rPr>
        <w:t xml:space="preserve"> de 1990, y que tuviere definida su situaciσn prestacional, deberα presentar solicitud de inscripciσn a travιs de la respectiva Fuerza o Direcciσn General de la Policνa Nacional segϊn el caso. </w:t>
      </w:r>
    </w:p>
    <w:p>
      <w:pPr>
        <w:jc w:val="both"/>
      </w:pPr>
      <w:rPr>
        <w:color w:val="black"/>
      </w:rPr>
    </w:p>
    <w:p>
      <w:pPr>
        <w:jc w:val="both"/>
      </w:pPr>
      <w:r>
        <w:rPr>
          <w:rFonts w:hAnsi="Arial"/>
          <w:rFonts w:ascii="Arial"/>
          <w:sz w:val="24"/>
          <w:b/>
          <w:vanish/>
          <w:color w:val="black"/>
        </w:rPr>
        <w:t>&amp;$</w:t>
      </w:r>
      <w:bookmarkStart w:id="61230" w:name="2.3.1.6.9"/>
      <w:r>
        <w:rPr>
          <w:rFonts w:hAnsi="Arial"/>
          <w:rFonts w:ascii="Arial"/>
          <w:sz w:val="24"/>
          <w:color w:val="navy"/>
        </w:rPr>
        <w:t xml:space="preserve">ARTΝCULO 2.3.1.6.9. </w:t>
      </w:r>
      <w:r>
        <w:rPr>
          <w:rFonts w:hAnsi="Arial"/>
          <w:rFonts w:ascii="Arial"/>
          <w:sz w:val="24"/>
          <w:i/>
          <w:color w:val="navy"/>
        </w:rPr>
        <w:t xml:space="preserve">FUNCIONES COMANDOS FUERZAS MILITARES Y DIRECCIΣN POLICΝA NACIONAL</w:t>
      </w:r>
      <w:r>
        <w:rPr>
          <w:rFonts w:hAnsi="Arial"/>
          <w:rFonts w:ascii="Arial"/>
          <w:sz w:val="24"/>
          <w:color w:val="navy"/>
        </w:rPr>
        <w:t>.</w:t>
      </w:r>
      <w:bookmarkEnd w:id="61230"/>
      <w:r>
        <w:rPr>
          <w:rFonts w:hAnsi="Arial"/>
          <w:rFonts w:ascii="Arial"/>
          <w:sz w:val="24"/>
          <w:color w:val="black"/>
        </w:rPr>
        <w:t xml:space="preserve"> &lt;Artνculo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Son funciones de los Comandos de Fuerza y la Direcciσn General de la Policνa Nacional las siguientes: </w:t>
      </w:r>
    </w:p>
    <w:p>
      <w:pPr>
        <w:jc w:val="both"/>
      </w:pPr>
      <w:rPr>
        <w:sz w:val="24"/>
        <w:color w:val="black"/>
      </w:rPr>
    </w:p>
    <w:p>
      <w:pPr>
        <w:jc w:val="both"/>
      </w:pPr>
      <w:r>
        <w:rPr>
          <w:rFonts w:hAnsi="Arial"/>
          <w:rFonts w:ascii="Arial"/>
          <w:sz w:val="24"/>
          <w:color w:val="black"/>
        </w:rPr>
        <w:t xml:space="preserve">1. Estudiar y tramitar las solicitudes de ingreso al Escalafσn de Reservistas de Honor que formulen los interesados o los Grupos de Prestaciones Sociales del Ministerio de Defensa y Policνa Nacional o dependencias que hagan sus veces, del personal que acredite los presupuestos legales. </w:t>
      </w:r>
    </w:p>
    <w:p>
      <w:pPr>
        <w:jc w:val="both"/>
      </w:pPr>
      <w:rPr>
        <w:sz w:val="24"/>
        <w:color w:val="black"/>
      </w:rPr>
    </w:p>
    <w:p>
      <w:pPr>
        <w:jc w:val="both"/>
      </w:pPr>
      <w:r>
        <w:rPr>
          <w:rFonts w:hAnsi="Arial"/>
          <w:rFonts w:ascii="Arial"/>
          <w:sz w:val="24"/>
          <w:color w:val="black"/>
        </w:rPr>
        <w:t xml:space="preserve">2. Presentar a la Comisiσn de Reservas de Honor, con los documentos legales respectivos, las propuestas de inclusiσn en el Escalafσn, con indicaciσn de la Unidad Tαctica Militar o Departamento de Policνa mαs cercano, para efectos de requerimientos, ubicaciσn y protocolarios de los reservistas. </w:t>
      </w:r>
    </w:p>
    <w:p>
      <w:pPr>
        <w:jc w:val="both"/>
      </w:pPr>
      <w:rPr>
        <w:sz w:val="24"/>
        <w:color w:val="black"/>
      </w:rPr>
    </w:p>
    <w:p>
      <w:pPr>
        <w:jc w:val="both"/>
      </w:pPr>
      <w:r>
        <w:rPr>
          <w:rFonts w:hAnsi="Arial"/>
          <w:rFonts w:ascii="Arial"/>
          <w:sz w:val="24"/>
          <w:color w:val="black"/>
        </w:rPr>
        <w:t xml:space="preserve">3. Con base en la recomendaciσn de la Comisiσn, proyectar la resoluciσn ministerial correspondiente. </w:t>
      </w:r>
    </w:p>
    <w:p>
      <w:pPr>
        <w:jc w:val="both"/>
      </w:pPr>
      <w:rPr>
        <w:sz w:val="24"/>
        <w:color w:val="black"/>
      </w:rPr>
    </w:p>
    <w:p>
      <w:pPr>
        <w:jc w:val="both"/>
      </w:pPr>
      <w:r>
        <w:rPr>
          <w:rFonts w:hAnsi="Arial"/>
          <w:rFonts w:ascii="Arial"/>
          <w:sz w:val="24"/>
          <w:color w:val="black"/>
        </w:rPr>
        <w:t xml:space="preserve">4. Expedir la credencial que acredite la calidad de Reservista de Honor y el Diploma correspondiente, segϊn modelos que adopte el Ministerio de Defensa. </w:t>
      </w:r>
    </w:p>
    <w:p>
      <w:pPr>
        <w:jc w:val="both"/>
      </w:pPr>
      <w:rPr>
        <w:sz w:val="24"/>
        <w:color w:val="black"/>
      </w:rPr>
    </w:p>
    <w:p>
      <w:pPr>
        <w:jc w:val="both"/>
      </w:pPr>
      <w:r>
        <w:rPr>
          <w:rFonts w:hAnsi="Arial"/>
          <w:rFonts w:ascii="Arial"/>
          <w:sz w:val="24"/>
          <w:color w:val="black"/>
        </w:rPr>
        <w:t xml:space="preserve">5. Con fines estadνsticos reportar las novedades que se presenten, a los Grupos de Prestaciones Sociales del Ministerio de Defensa y Policνa Nacional o dependencias que hagan sus veces, segϊn el caso. </w:t>
      </w:r>
    </w:p>
    <w:p>
      <w:pPr>
        <w:jc w:val="both"/>
      </w:pPr>
      <w:rPr>
        <w:sz w:val="24"/>
        <w:color w:val="black"/>
      </w:rPr>
    </w:p>
    <w:p>
      <w:pPr>
        <w:jc w:val="both"/>
      </w:pPr>
      <w:r>
        <w:rPr>
          <w:rFonts w:hAnsi="Arial"/>
          <w:rFonts w:ascii="Arial"/>
          <w:sz w:val="24"/>
          <w:color w:val="black"/>
        </w:rPr>
        <w:t xml:space="preserve">6. El Comando General de las Fuerzas Militares elabora, controla y actualiza el Escalafσn de Reservistas de Honor. </w:t>
      </w:r>
    </w:p>
    <w:p>
      <w:pPr>
        <w:jc w:val="both"/>
      </w:pPr>
      <w:rPr>
        <w:color w:val="black"/>
      </w:rPr>
    </w:p>
    <w:p>
      <w:pPr>
        <w:jc w:val="both"/>
      </w:pPr>
      <w:r>
        <w:rPr>
          <w:rFonts w:hAnsi="Arial"/>
          <w:rFonts w:ascii="Arial"/>
          <w:sz w:val="24"/>
          <w:b/>
          <w:vanish/>
          <w:color w:val="black"/>
        </w:rPr>
        <w:t>&amp;$</w:t>
      </w:r>
      <w:bookmarkStart w:id="61231" w:name="2.3.1.6.10"/>
      <w:r>
        <w:rPr>
          <w:rFonts w:hAnsi="Arial"/>
          <w:rFonts w:ascii="Arial"/>
          <w:sz w:val="24"/>
          <w:color w:val="navy"/>
        </w:rPr>
        <w:t xml:space="preserve">ARTΝCULO 2.3.1.6.10. </w:t>
      </w:r>
      <w:r>
        <w:rPr>
          <w:rFonts w:hAnsi="Arial"/>
          <w:rFonts w:ascii="Arial"/>
          <w:sz w:val="24"/>
          <w:i/>
          <w:color w:val="navy"/>
        </w:rPr>
        <w:t xml:space="preserve">AUTORIDADES MΙDICAS COMPETENTES</w:t>
      </w:r>
      <w:r>
        <w:rPr>
          <w:rFonts w:hAnsi="Arial"/>
          <w:rFonts w:ascii="Arial"/>
          <w:sz w:val="24"/>
          <w:color w:val="navy"/>
        </w:rPr>
        <w:t>.</w:t>
      </w:r>
      <w:bookmarkEnd w:id="6123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Son autoridades mιdicas competentes para determinar la disminuciσn de la capacidad sicofνsica, las seρaladas en el Decreto-ley </w:t>
      </w:r>
      <w:r>
        <w:fldChar w:fldCharType="begin"/>
      </w:r>
      <w:r>
        <w:instrText>HYPERLINK "http://www.redjurista.com/document.aspx?ajcode=d0094_89&amp;arts=INICIO"</w:instrText>
      </w:r>
      <w:r>
        <w:fldChar w:fldCharType="separate"/>
      </w:r>
      <w:r>
        <w:rPr>
          <w:rFonts w:hAnsi="Arial"/>
          <w:rFonts w:ascii="Arial"/>
          <w:sz w:val="24"/>
          <w:u w:val="single"/>
          <w:color w:val="black"/>
        </w:rPr>
        <w:t>94</w:t>
      </w:r>
      <w:r>
        <w:fldChar w:fldCharType="end"/>
      </w:r>
      <w:r>
        <w:rPr>
          <w:rFonts w:hAnsi="Arial"/>
          <w:rFonts w:ascii="Arial"/>
          <w:sz w:val="24"/>
          <w:u w:val="none"/>
          <w:color w:val="black"/>
        </w:rPr>
        <w:t xml:space="preserve"> de 1989, Decreto-ley </w:t>
      </w:r>
      <w:r>
        <w:fldChar w:fldCharType="begin"/>
      </w:r>
      <w:r>
        <w:instrText>HYPERLINK "http://www.redjurista.com/document.aspx?ajcode=d1796000&amp;arts=INICIO"</w:instrText>
      </w:r>
      <w:r>
        <w:fldChar w:fldCharType="separate"/>
      </w:r>
      <w:r>
        <w:rPr>
          <w:rFonts w:hAnsi="Arial"/>
          <w:rFonts w:ascii="Arial"/>
          <w:sz w:val="24"/>
          <w:u w:val="single"/>
          <w:color w:val="black"/>
        </w:rPr>
        <w:t>1796</w:t>
      </w:r>
      <w:r>
        <w:fldChar w:fldCharType="end"/>
      </w:r>
      <w:r>
        <w:rPr>
          <w:rFonts w:hAnsi="Arial"/>
          <w:rFonts w:ascii="Arial"/>
          <w:sz w:val="24"/>
          <w:u w:val="none"/>
          <w:color w:val="black"/>
        </w:rPr>
        <w:t xml:space="preserve"> de 2000, y las normas que los modifiquen o adicionen.</w:t>
      </w:r>
    </w:p>
    <w:p>
      <w:pPr>
        <w:jc w:val="both"/>
      </w:pPr>
      <w:rPr>
        <w:color w:val="black"/>
      </w:rPr>
    </w:p>
    <w:p>
      <w:pPr>
        <w:jc w:val="both"/>
      </w:pPr>
      <w:r>
        <w:rPr>
          <w:rFonts w:hAnsi="Arial"/>
          <w:rFonts w:ascii="Arial"/>
          <w:sz w:val="24"/>
          <w:b/>
          <w:vanish/>
          <w:color w:val="black"/>
        </w:rPr>
        <w:t>&amp;$</w:t>
      </w:r>
      <w:bookmarkStart w:id="61232" w:name="2.3.1.6.11"/>
      <w:r>
        <w:rPr>
          <w:rFonts w:hAnsi="Arial"/>
          <w:rFonts w:ascii="Arial"/>
          <w:sz w:val="24"/>
          <w:color w:val="navy"/>
        </w:rPr>
        <w:t xml:space="preserve">ARTΝCULO 2.3.1.6.11. </w:t>
      </w:r>
      <w:r>
        <w:rPr>
          <w:rFonts w:hAnsi="Arial"/>
          <w:rFonts w:ascii="Arial"/>
          <w:sz w:val="24"/>
          <w:i/>
          <w:color w:val="navy"/>
        </w:rPr>
        <w:t xml:space="preserve">PERSONAL CON SANCIΣN DE SEPARACIΣN ABSOLUTA.</w:t>
      </w:r>
      <w:bookmarkEnd w:id="61232"/>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879 de 2016. El nuevo texto es el siguiente:&gt; En ningϊn caso podrα inscribirse en el Escalafσn de “Reservistas de Honor” al personal que haya sido separado en forma absoluta de las Fuerzas Militares o de la Policνa Nacional. </w:t>
      </w:r>
    </w:p>
    <w:p>
      <w:pPr>
        <w:jc w:val="center"/>
      </w:pPr>
      <w:rPr>
        <w:sz w:val="24"/>
        <w:color w:val="black"/>
      </w:rPr>
    </w:p>
    <w:p>
      <w:pPr>
        <w:jc w:val="center"/>
      </w:pPr>
      <w:r>
        <w:rPr>
          <w:rFonts w:hAnsi="Arial"/>
          <w:rFonts w:ascii="Arial"/>
          <w:sz w:val="24"/>
          <w:vanish/>
          <w:color w:val="black"/>
        </w:rPr>
        <w:t>&amp;$</w:t>
      </w:r>
      <w:bookmarkStart w:id="61233" w:name="CAPÍTULO 2.3.1.7"/>
      <w:r>
        <w:rPr>
          <w:rFonts w:hAnsi="Arial"/>
          <w:rFonts w:ascii="Arial"/>
          <w:sz w:val="24"/>
          <w:color w:val="navy"/>
        </w:rPr>
        <w:t xml:space="preserve">CAPΝTULO 7. </w:t>
      </w:r>
    </w:p>
    <w:p>
      <w:pPr>
        <w:jc w:val="center"/>
      </w:pPr>
      <w:r>
        <w:rPr>
          <w:rFonts w:hAnsi="Arial"/>
          <w:rFonts w:ascii="Arial"/>
          <w:sz w:val="24"/>
          <w:color w:val="navy"/>
        </w:rPr>
        <w:t>DISTINTIVOS.</w:t>
      </w:r>
      <w:bookmarkEnd w:id="61233"/>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61234" w:name="2.3.1.7.1"/>
      <w:r>
        <w:rPr>
          <w:rFonts w:hAnsi="Arial"/>
          <w:rFonts w:ascii="Arial"/>
          <w:sz w:val="24"/>
          <w:color w:val="navy"/>
        </w:rPr>
        <w:t xml:space="preserve">ARTΝCULO 2.3.1.7.1. USO DE DISTINTIVOS.</w:t>
      </w:r>
      <w:bookmarkEnd w:id="61234"/>
      <w:r>
        <w:rPr>
          <w:rFonts w:hAnsi="Arial"/>
          <w:rFonts w:ascii="Arial"/>
          <w:sz w:val="24"/>
          <w:color w:val="black"/>
        </w:rPr>
        <w:t xml:space="preserve"> &lt;Artνculo adicionado por el artνculo </w:t>
      </w:r>
      <w:r>
        <w:fldChar w:fldCharType="begin"/>
      </w:r>
      <w:r>
        <w:instrText>HYPERLINK "http://www.redjurista.com/document.aspx?ajcode=d0697019&amp;arts=1"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697 de 2019. El nuevo texto es el siguiente:&gt; El otorgamiento y uso de los distintivos del personal de las Fuerzas Militares se regirα por el reglamento que sobre el particular expida el Comandante General de las Fuerzas Militares.</w:t>
      </w:r>
    </w:p>
    <w:p>
      <w:pPr>
        <w:jc w:val="both"/>
      </w:pPr>
      <w:rPr>
        <w:sz w:val="24"/>
        <w:color w:val="black"/>
      </w:rPr>
    </w:p>
    <w:p>
      <w:pPr>
        <w:jc w:val="center"/>
      </w:pPr>
      <w:r>
        <w:rPr>
          <w:rFonts w:hAnsi="Arial"/>
          <w:rFonts w:ascii="Arial"/>
          <w:sz w:val="24"/>
          <w:b/>
          <w:vanish/>
          <w:color w:val="black"/>
        </w:rPr>
        <w:t>&amp;$</w:t>
      </w:r>
      <w:bookmarkStart w:id="61235" w:name="CAPÍTULO 2.3.1.8"/>
      <w:r>
        <w:rPr>
          <w:rFonts w:hAnsi="Arial"/>
          <w:rFonts w:ascii="Arial"/>
          <w:sz w:val="24"/>
          <w:color w:val="navy"/>
        </w:rPr>
        <w:t xml:space="preserve">CAPΝTULO 8. </w:t>
      </w:r>
    </w:p>
    <w:p>
      <w:pPr>
        <w:jc w:val="center"/>
      </w:pPr>
      <w:r>
        <w:rPr>
          <w:rFonts w:hAnsi="Arial"/>
          <w:rFonts w:ascii="Arial"/>
          <w:sz w:val="24"/>
          <w:color w:val="navy"/>
        </w:rPr>
        <w:t xml:space="preserve">ACREDITACIΣN, HONORES Y BENEFICIOS PARA LOS VETERANOS Y AL NΪCLEO FAMILIAR DE LA FUERZA PΪBLICA DEFINIDOS EN LA LEY 1979 DE 2019.</w:t>
      </w:r>
      <w:bookmarkEnd w:id="61235"/>
      <w:r>
        <w:rPr>
          <w:rFonts w:hAnsi="Arial"/>
          <w:rFonts w:ascii="Arial"/>
          <w:sz w:val="24"/>
          <w:b/>
          <w:color w:val="black"/>
        </w:rPr>
        <w:t xml:space="preserve"> </w:t>
      </w:r>
    </w:p>
    <w:p>
      <w:pPr>
        <w:jc w:val="center"/>
      </w:pPr>
      <w:r>
        <w:rPr>
          <w:rFonts w:hAnsi="Arial"/>
          <w:rFonts w:ascii="Arial"/>
          <w:sz w:val="24"/>
          <w:b/>
          <w:color w:val="black"/>
        </w:rPr>
        <w:t xml:space="preserve">&lt;Ley </w:t>
      </w:r>
      <w:r>
        <w:fldChar w:fldCharType="begin"/>
      </w:r>
      <w:r>
        <w:instrText>HYPERLINK "http://www.redjurista.com/document.aspx?ajcode=l1979019&amp;arts=inicio"</w:instrText>
      </w:r>
      <w:r>
        <w:fldChar w:fldCharType="separate"/>
      </w:r>
      <w:r>
        <w:rPr>
          <w:rFonts w:hAnsi="Arial"/>
          <w:rFonts w:ascii="Arial"/>
          <w:sz w:val="24"/>
          <w:b/>
          <w:u w:val="single"/>
          <w:color w:val="black"/>
        </w:rPr>
        <w:t>1979</w:t>
      </w:r>
      <w:r>
        <w:fldChar w:fldCharType="end"/>
      </w:r>
      <w:r>
        <w:rPr>
          <w:rFonts w:hAnsi="Arial"/>
          <w:rFonts w:ascii="Arial"/>
          <w:sz w:val="24"/>
          <w:b/>
          <w:u w:val="none"/>
          <w:color w:val="black"/>
        </w:rPr>
        <w:t xml:space="preserve"> de 2019&gt;</w:t>
      </w:r>
    </w:p>
    <w:p>
      <w:pPr>
        <w:jc w:val="both"/>
      </w:pPr>
      <w:rPr>
        <w:color w:val="black"/>
      </w:rPr>
    </w:p>
    <w:p>
      <w:pPr>
        <w:jc w:val="center"/>
      </w:pPr>
      <w:r>
        <w:rPr>
          <w:rFonts w:hAnsi="Arial"/>
          <w:rFonts w:ascii="Arial"/>
          <w:sz w:val="24"/>
          <w:b/>
          <w:vanish/>
          <w:color w:val="black"/>
        </w:rPr>
        <w:t>&amp;$</w:t>
      </w:r>
      <w:bookmarkStart w:id="61236" w:name="SECCIÓN 2.3.1.8.1"/>
      <w:r>
        <w:rPr>
          <w:rFonts w:hAnsi="Arial"/>
          <w:rFonts w:ascii="Arial"/>
          <w:sz w:val="24"/>
          <w:color w:val="navy"/>
        </w:rPr>
        <w:t xml:space="preserve">SECCIΣN 1. </w:t>
        <w:br w:type="textWrapping"/>
        <w:t>ACREDITACIΣN.</w:t>
      </w:r>
      <w:bookmarkEnd w:id="6123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1237" w:name="2.3.1.8.1.1"/>
      <w:r>
        <w:rPr>
          <w:rFonts w:hAnsi="Arial"/>
          <w:rFonts w:ascii="Arial"/>
          <w:sz w:val="24"/>
          <w:color w:val="navy"/>
        </w:rPr>
        <w:t xml:space="preserve">ARTΝCULO 2.3.1.8.1.1. ACREDITACIΣN DE LA CALIDAD DE VETERANO Y BENEFICIARIO.</w:t>
      </w:r>
      <w:bookmarkEnd w:id="61237"/>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La calidad de Veterano y Beneficiario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serα acreditada sin costo alguno por el Ministerio de Defensa Nacional - Direcciσn de Bienestar Sectorial y Salud o la instancia que la reemplace o asuma sus funciones, a solicitud del personal que haga parte de la poblaciσn seρalada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color w:val="black"/>
      </w:rPr>
      <w:br w:type="page"/>
    </w:p>
    <w:p>
      <w:pPr>
        <w:jc w:val="both"/>
      </w:pPr>
      <w:r>
        <w:rPr>
          <w:rFonts w:hAnsi="Arial"/>
          <w:rFonts w:ascii="Arial"/>
          <w:sz w:val="24"/>
          <w:color w:val="navy"/>
        </w:rPr>
        <w:t>PARΑGRAFO.</w:t>
      </w:r>
      <w:r>
        <w:rPr>
          <w:rFonts w:hAnsi="Arial"/>
          <w:rFonts w:ascii="Arial"/>
          <w:sz w:val="24"/>
          <w:color w:val="black"/>
        </w:rPr>
        <w:t xml:space="preserve"> La acreditaciσn de beneficiario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solo podrα ser utilizada por el titular.</w:t>
      </w:r>
    </w:p>
    <w:p>
      <w:pPr>
        <w:jc w:val="both"/>
      </w:pPr>
      <w:rPr>
        <w:color w:val="black"/>
      </w:rPr>
    </w:p>
    <w:p>
      <w:pPr>
        <w:jc w:val="both"/>
      </w:pPr>
      <w:r>
        <w:rPr>
          <w:rFonts w:hAnsi="Arial"/>
          <w:rFonts w:ascii="Arial"/>
          <w:sz w:val="24"/>
          <w:b/>
          <w:vanish/>
          <w:color w:val="black"/>
        </w:rPr>
        <w:t>&amp;$</w:t>
      </w:r>
      <w:bookmarkStart w:id="61238" w:name="2.3.1.8.1.2"/>
      <w:r>
        <w:rPr>
          <w:rFonts w:hAnsi="Arial"/>
          <w:rFonts w:ascii="Arial"/>
          <w:sz w:val="24"/>
          <w:color w:val="navy"/>
        </w:rPr>
        <w:t xml:space="preserve">ARTΝCULO 2.3.1.8.1.2. DOCUMENTOS PARA LA ACREDITACIΣN.</w:t>
      </w:r>
      <w:bookmarkEnd w:id="61238"/>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Para efectos de acreditar la condiciσn de Veterano y Beneficiario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los interesados podrαn presentar por el medio que dispongan, copia del acto administrativo por el cual se le reconoce asignaciσn de retiro, pensiσn de invalidez o pensiσn de sobrevivencia.</w:t>
      </w:r>
    </w:p>
    <w:p>
      <w:pPr>
        <w:jc w:val="both"/>
      </w:pPr>
      <w:rPr>
        <w:sz w:val="24"/>
        <w:b/>
        <w:color w:val="black"/>
      </w:rPr>
    </w:p>
    <w:p>
      <w:pPr>
        <w:jc w:val="both"/>
      </w:pPr>
      <w:r>
        <w:rPr>
          <w:rFonts w:hAnsi="Arial"/>
          <w:rFonts w:ascii="Arial"/>
          <w:sz w:val="24"/>
          <w:color w:val="black"/>
        </w:rPr>
        <w:t xml:space="preserve">Para quienes participaron en nombre de la Repϊblica de Colombia en conflictos internacionales, podrαn presentar constancia emitida por el Comando General de las Fuerzas Militares.</w:t>
      </w:r>
    </w:p>
    <w:p>
      <w:pPr>
        <w:jc w:val="both"/>
      </w:pPr>
      <w:rPr>
        <w:sz w:val="24"/>
        <w:b/>
        <w:color w:val="black"/>
      </w:rPr>
    </w:p>
    <w:p>
      <w:pPr>
        <w:jc w:val="both"/>
      </w:pPr>
      <w:r>
        <w:rPr>
          <w:rFonts w:hAnsi="Arial"/>
          <w:rFonts w:ascii="Arial"/>
          <w:sz w:val="24"/>
          <w:color w:val="black"/>
        </w:rPr>
        <w:t xml:space="preserve">Los miembros de la Fuerza Pϊblica que sean reconocidos como vνctimas conforme a la Ley </w:t>
      </w:r>
      <w:r>
        <w:fldChar w:fldCharType="begin"/>
      </w:r>
      <w:r>
        <w:instrText>HYPERLINK "http://www.redjurista.com/document.aspx?ajcode=l1448011&amp;arts=INICIO"</w:instrText>
      </w:r>
      <w:r>
        <w:fldChar w:fldCharType="separate"/>
      </w:r>
      <w:r>
        <w:rPr>
          <w:rFonts w:hAnsi="Arial"/>
          <w:rFonts w:ascii="Arial"/>
          <w:sz w:val="24"/>
          <w:u w:val="single"/>
          <w:color w:val="black"/>
        </w:rPr>
        <w:t>1448</w:t>
      </w:r>
      <w:r>
        <w:fldChar w:fldCharType="end"/>
      </w:r>
      <w:r>
        <w:rPr>
          <w:rFonts w:hAnsi="Arial"/>
          <w:rFonts w:ascii="Arial"/>
          <w:sz w:val="24"/>
          <w:u w:val="none"/>
          <w:color w:val="black"/>
        </w:rPr>
        <w:t xml:space="preserve"> de 2011, podrαn presentar copia de la Resoluciσn de Inclusiσn en el Registro Ϊnico de Vνctimas - “RUV', expedida por la Unidad para la Atenciσn y Reparaciσn Integral a las Vνctimas o la Instancia que la reemplace o asuma sus funciones y el documento de identificaciσn correspondiente.</w:t>
      </w:r>
    </w:p>
    <w:p>
      <w:pPr>
        <w:jc w:val="both"/>
      </w:pPr>
      <w:rPr>
        <w:sz w:val="24"/>
        <w:b/>
        <w:color w:val="black"/>
      </w:rPr>
    </w:p>
    <w:p>
      <w:pPr>
        <w:jc w:val="both"/>
      </w:pPr>
      <w:r>
        <w:rPr>
          <w:rFonts w:hAnsi="Arial"/>
          <w:rFonts w:ascii="Arial"/>
          <w:sz w:val="24"/>
          <w:color w:val="black"/>
        </w:rPr>
        <w:t xml:space="preserve">Al momento de solicitar la acreditaciσn, el Veterano o el Nϊcleo Familiar del Veterano, podrαn presentar certificado de antecedentes disciplinarios y penales, con el fin de verificar que el Veterano o el Veterano Postumo no haya sido condenado penalmente por la comisiσn de delitos dolosos o sancionados disciplinariamente por conductas gravνsimas en actos ajenos al servicio, en los tιrminos del artνculo </w:t>
      </w:r>
      <w:r>
        <w:fldChar w:fldCharType="begin"/>
      </w:r>
      <w:r>
        <w:instrText>HYPERLINK "http://www.redjurista.com/document.aspx?ajcode=l1979019&amp;arts=25"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Para todos los efectos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la presentaciσn de la acreditaciσn emitida por el Ministerio de Defensa Nacional, serα Suficiente para acceder a los beneficios establecidos en la Ley. Lo anterior, sin perjuicio de las condiciones, restricciones y demαs documentos adicionales que las entidades pϊblicas requieran.</w:t>
      </w:r>
    </w:p>
    <w:p>
      <w:pPr>
        <w:jc w:val="both"/>
      </w:pPr>
      <w:rPr>
        <w:color w:val="black"/>
      </w:rPr>
    </w:p>
    <w:p>
      <w:pPr>
        <w:jc w:val="both"/>
      </w:pPr>
      <w:r>
        <w:rPr>
          <w:rFonts w:hAnsi="Arial"/>
          <w:rFonts w:ascii="Arial"/>
          <w:sz w:val="24"/>
          <w:b/>
          <w:vanish/>
          <w:color w:val="black"/>
        </w:rPr>
        <w:t>&amp;$</w:t>
      </w:r>
      <w:bookmarkStart w:id="61239" w:name="2.3.1.8.1.3"/>
      <w:r>
        <w:rPr>
          <w:rFonts w:hAnsi="Arial"/>
          <w:rFonts w:ascii="Arial"/>
          <w:sz w:val="24"/>
          <w:color w:val="navy"/>
        </w:rPr>
        <w:t xml:space="preserve">ARTΝCULO 2.3.1.8.1.3. RECURSOS EN ACTUACIΣN ADMINISTRATIVA.</w:t>
      </w:r>
      <w:bookmarkEnd w:id="61239"/>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recurso de reposiciσn contra el acto administrativo que resuelve la acreditaciσn, serα presentado ante el Director (a) de Bienestar Sectorial y Salud del Ministerio de Defensa Nacional o quien haga sus veces, y el recurso de apelaciσn serα resuelto por el Viceminjstro (a) para el Grupo Social Empresarial del Sector Defensa "GSED" y Bienestar del Ministerio de Defensa Nacional, en los tιrminos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both"/>
      </w:pPr>
      <w:rPr>
        <w:color w:val="black"/>
      </w:rPr>
    </w:p>
    <w:p>
      <w:pPr>
        <w:jc w:val="both"/>
      </w:pPr>
      <w:r>
        <w:rPr>
          <w:rFonts w:hAnsi="Arial"/>
          <w:rFonts w:ascii="Arial"/>
          <w:sz w:val="24"/>
          <w:b/>
          <w:vanish/>
          <w:color w:val="black"/>
        </w:rPr>
        <w:t>&amp;$</w:t>
      </w:r>
      <w:bookmarkStart w:id="61240" w:name="2.3.1.8.1.4"/>
      <w:r>
        <w:rPr>
          <w:rFonts w:hAnsi="Arial"/>
          <w:rFonts w:ascii="Arial"/>
          <w:sz w:val="24"/>
          <w:color w:val="navy"/>
        </w:rPr>
        <w:t xml:space="preserve">ARTΝCULO 2.3.1.8.1.4. REGISTRO ΪNICO DE VETERANOS (BASE DE DATOS CONSOLIDADA).</w:t>
      </w:r>
      <w:bookmarkEnd w:id="61240"/>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La estructuraciσn, consolidaciσn, suministro y actualizaciσn del Registro Ϊnico de Veteranos (Base de datos consolidada) donde se Ingresarα la Informaciσn de los Veteranos y Beneficiarios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estarα a cargo del Ministerio de Defensa Nacional - Direcciσn de Bienestar Sectorial y Salud o la Instancia que la reemplace o asuma sus funciones.</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En virtud de lo dispuesto en el artνculo </w:t>
      </w:r>
      <w:r>
        <w:fldChar w:fldCharType="begin"/>
      </w:r>
      <w:r>
        <w:instrText>HYPERLINK "http://www.redjurista.com/document.aspx?ajcode=l1581012&amp;arts=10"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1581 de 2012, la Direcciσn de Bienestar Sectorial y Salud del Ministerio de Defensa Nacional, coordinarα el Intercambio de Informaciσn para la estructuraciσn, consolidaciσn, suministro y actualizaciσn permanente del Registro Ϊnico de Veteranos, con sujeciσn a la normativa vigente en materia de Transparencia y Acceso a la Informaciσn y Seguridad de la Informaciσn.</w:t>
      </w:r>
    </w:p>
    <w:p>
      <w:pPr>
        <w:jc w:val="center"/>
      </w:pPr>
      <w:rPr>
        <w:sz w:val="24"/>
        <w:color w:val="black"/>
      </w:rPr>
    </w:p>
    <w:p>
      <w:pPr>
        <w:jc w:val="center"/>
      </w:pPr>
      <w:r>
        <w:rPr>
          <w:rFonts w:hAnsi="Arial"/>
          <w:rFonts w:ascii="Arial"/>
          <w:sz w:val="24"/>
          <w:vanish/>
          <w:color w:val="black"/>
        </w:rPr>
        <w:t>&amp;$</w:t>
      </w:r>
      <w:bookmarkStart w:id="61241" w:name="SECCIÓN 2.3.1.8.2"/>
      <w:r>
        <w:rPr>
          <w:rFonts w:hAnsi="Arial"/>
          <w:rFonts w:ascii="Arial"/>
          <w:sz w:val="24"/>
          <w:color w:val="navy"/>
        </w:rPr>
        <w:t xml:space="preserve">SECCIΣN 2. </w:t>
        <w:br w:type="textWrapping"/>
        <w:t>HONORES.</w:t>
      </w:r>
      <w:bookmarkEnd w:id="61241"/>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1242" w:name="2.3.1.8.2.1"/>
      <w:r>
        <w:rPr>
          <w:rFonts w:hAnsi="Arial"/>
          <w:rFonts w:ascii="Arial"/>
          <w:sz w:val="24"/>
          <w:color w:val="navy"/>
        </w:rPr>
        <w:t xml:space="preserve">ARTΝCULO 2.3.1.8.2.1. HONORES EN ACTOS, CEREMONIAS Y EVENTOS PΪBLICOS Y MASIVOS.</w:t>
      </w:r>
      <w:bookmarkEnd w:id="61242"/>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La entidad de carαcter pϊblico que presida los actos o procedimientos conmemorativos y honores a los beneficiarios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deberα articularse con la Fuerza Pϊblica de su Jurisdicciσn y podrα contar con la participaciσn de un delegado del Consejo de Veteranos.</w:t>
      </w:r>
    </w:p>
    <w:p>
      <w:pPr>
        <w:jc w:val="both"/>
      </w:pPr>
      <w:rPr>
        <w:color w:val="black"/>
      </w:rPr>
    </w:p>
    <w:p>
      <w:pPr>
        <w:jc w:val="both"/>
      </w:pPr>
      <w:r>
        <w:rPr>
          <w:rFonts w:hAnsi="Arial"/>
          <w:rFonts w:ascii="Arial"/>
          <w:sz w:val="24"/>
          <w:b/>
          <w:vanish/>
          <w:color w:val="black"/>
        </w:rPr>
        <w:t>&amp;$</w:t>
      </w:r>
      <w:bookmarkStart w:id="61243" w:name="2.3.1.8.2.2"/>
      <w:r>
        <w:rPr>
          <w:rFonts w:hAnsi="Arial"/>
          <w:rFonts w:ascii="Arial"/>
          <w:sz w:val="24"/>
          <w:color w:val="navy"/>
        </w:rPr>
        <w:t xml:space="preserve">ARTΝCULO 2.3.1.8.2.2. MONUMENTO EN CONMEMORACIΣN Y HONRA DE LOS VETERANOS.</w:t>
      </w:r>
      <w:bookmarkEnd w:id="61243"/>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Para la construcciσn e Instalaciσn del monumento que conmemore y honre a los Veteranos, la autoridad municipal o distrital de la Capital del Departamento, coordinarα con la Fuerza Pϊblica de su jurisdicciσn y un delegado del Consejo de Veteranos, el tema a resaltar en el monumento.</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El dνa que se descubra el monumento en honor a los Veteranos, se realizarα un acto, ceremonia o evento pϊblico con la participaciσn de las autoridades civiles municipales o distritales, militares y la comunidad en general.</w:t>
      </w:r>
    </w:p>
    <w:p>
      <w:pPr>
        <w:jc w:val="both"/>
      </w:pPr>
      <w:rPr>
        <w:color w:val="black"/>
      </w:rPr>
    </w:p>
    <w:p>
      <w:pPr>
        <w:jc w:val="both"/>
      </w:pPr>
      <w:r>
        <w:rPr>
          <w:rFonts w:hAnsi="Arial"/>
          <w:rFonts w:ascii="Arial"/>
          <w:sz w:val="24"/>
          <w:b/>
          <w:vanish/>
          <w:color w:val="black"/>
        </w:rPr>
        <w:t>&amp;$</w:t>
      </w:r>
      <w:bookmarkStart w:id="61244" w:name="2.3.1.8.2.3"/>
      <w:r>
        <w:rPr>
          <w:rFonts w:hAnsi="Arial"/>
          <w:rFonts w:ascii="Arial"/>
          <w:sz w:val="24"/>
          <w:color w:val="navy"/>
        </w:rPr>
        <w:t xml:space="preserve">ARTΝCULO 2.3.1.8.2.3. DΝA DEL VETERANO.</w:t>
      </w:r>
      <w:bookmarkEnd w:id="61244"/>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10 de octubre de cada aρo, en todo el territorio nacional se celebrarα el dνa del Veterano con la realizaciσn de un acto, ceremonia o evento pϊblico en las plazas pϊblicas de cada municipio o distrito especial, liderado por las autoridades civiles con la participaciσn de los comandantes militares y de policνa de su jurisdicciσn y de un delegado del Consejo de Veteranos.</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El Comando General de las Fuerzas Militares y la Direcciσn General de la Policνa Nacional deberαn instaurar dentro de su calendario de ceremonias militares y policiales el dνa del Veterano.</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El Ministerio de Defensa Nacional, el Comando General de las Fuerzas Militares y la Policνa Nacional, deberαn articularse con el fin de organizar la ceremonia que se desarrollarα en el Municipio que sea definido y que contarα con la presencia del seρor Ministro de Defensa Nacional y la Cϊpula Militar y de la Policνa Nacional, articulaciσn en la cual tambiιn participarα un delegado del Consejo de Veteranos.</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El nϊcleo familiar definido en el literal b)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recibirα un reconocimiento de parte del Gobierno Nacional, que consiste en los honores establecidos en el artνculo </w:t>
      </w:r>
      <w:r>
        <w:fldChar w:fldCharType="begin"/>
      </w:r>
      <w:r>
        <w:instrText>HYPERLINK "http://www.redjurista.com/document.aspx?ajcode=l1979019&amp;arts=5"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1979 de 2019, en igual de condiciones que los Veteranos.</w:t>
      </w:r>
    </w:p>
    <w:p>
      <w:pPr>
        <w:jc w:val="both"/>
      </w:pPr>
      <w:rPr>
        <w:sz w:val="24"/>
        <w:b/>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Las entidades del Orden Nacional deberαn Izar el Pabellσn Nacional como exaltaciσn a los Veteranos.</w:t>
      </w:r>
    </w:p>
    <w:p>
      <w:pPr>
        <w:jc w:val="both"/>
      </w:pPr>
      <w:rPr>
        <w:color w:val="black"/>
      </w:rPr>
    </w:p>
    <w:p>
      <w:pPr>
        <w:jc w:val="both"/>
      </w:pPr>
      <w:r>
        <w:rPr>
          <w:rFonts w:hAnsi="Arial"/>
          <w:rFonts w:ascii="Arial"/>
          <w:sz w:val="24"/>
          <w:b/>
          <w:vanish/>
          <w:color w:val="black"/>
        </w:rPr>
        <w:t>&amp;$</w:t>
      </w:r>
      <w:bookmarkStart w:id="61245" w:name="2.3.1.8.2.4"/>
      <w:r>
        <w:rPr>
          <w:rFonts w:hAnsi="Arial"/>
          <w:rFonts w:ascii="Arial"/>
          <w:sz w:val="24"/>
          <w:color w:val="navy"/>
        </w:rPr>
        <w:t xml:space="preserve">ARTΝCULO 2.3.1.8.2.4. HONORES EN PΑGINAS WEB DE MEDIOS MASIVOS DE COMUNICACIΣN Y PLATAFORMAS DIGITALES.</w:t>
      </w:r>
      <w:bookmarkEnd w:id="61245"/>
      <w:r>
        <w:rPr>
          <w:rFonts w:hAnsi="Arial"/>
          <w:rFonts w:ascii="Arial"/>
          <w:sz w:val="24"/>
          <w:color w:val="black"/>
        </w:rPr>
        <w:t xml:space="preserve"> &lt;Ver Notas del Editor&gt;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Ministerio de Defensa Nacional - Direcciσn de Comunicaciσn Sectorial - elaborarα y proporcionarα un banner, pop-up o pieza digital con el material audiovisual alusivo a la importancia de los Veteranos de la Fuerza Pϊblica, por lo menos una se dispondrα previo a la conmemoraciσn de su dνa, material que serα puesto a disposiciσn a travιs de la pαgina web del Ministerio de Defensa Nacional, a los canales pϊblicos y privados de televisiσn, emisoras de radio pϊblicas y privadas y medios impresos y digitales, conforme a lo establecido en la Ley.</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Se realizarαn un mνnimo de 4 piezas al aρo, las cuales serαn publicadas en la pαgina web del Ministerio de Defensa Nacional. Una vez dichas piezas sean publicadas, el Ministerio de Defensa Nacional habilitarα un espacio en su pαgina web para que los canales pϊblicos y privados de televisiσn, emisoras de radio pϊblicas y privadas y medios impresos y digitales, puedan descargar el banner, pop-up o pieza digital con el material audiovisual y grαfico, alusivo a la importancia de los Veteranos, para que sea publicado voluntariamente por los medios de comunicaciσn dentro del mes siguiente a la publicaciσn de las piezas en la pαgina web antes referida, de conformidad con los lineamientos o la metodologνa definida por la Direcciσn de Comunicaciσn Sectorial del Ministerio de Defensa Nacional.</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uso de las piezas comunicacionales proporcionadas o suministradas por el Ministerio de Defensa Nacional - Direcciσn de Comunicaciσn Sectorial es voluntario, sin embargo, los canales pϊblicos y privados de televisiσn, emisoras de radio pϊblicas y privadas, medios impresos y plaformas digitales deberαn dar cumplimiento a lo dispuesto en el artνculo </w:t>
      </w:r>
      <w:r>
        <w:fldChar w:fldCharType="begin"/>
      </w:r>
      <w:r>
        <w:instrText>HYPERLINK "http://www.redjurista.com/document.aspx?ajcode=l1979019&amp;arts=6"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1979 de 2019.</w:t>
      </w:r>
    </w:p>
    <w:p>
      <w:pPr>
        <w:jc w:val="both"/>
      </w:pPr>
      <w:rPr>
        <w:color w:val="black"/>
      </w:rPr>
    </w:p>
    <w:p>
      <w:pPr>
        <w:jc w:val="both"/>
      </w:pPr>
      <w:r>
        <w:rPr>
          <w:rFonts w:hAnsi="Arial"/>
          <w:rFonts w:ascii="Arial"/>
          <w:sz w:val="24"/>
          <w:b/>
          <w:vanish/>
          <w:color w:val="black"/>
        </w:rPr>
        <w:t>&amp;$</w:t>
      </w:r>
      <w:bookmarkStart w:id="61246" w:name="2.3.1.8.2.5"/>
      <w:r>
        <w:rPr>
          <w:rFonts w:hAnsi="Arial"/>
          <w:rFonts w:ascii="Arial"/>
          <w:sz w:val="24"/>
          <w:color w:val="navy"/>
        </w:rPr>
        <w:t xml:space="preserve">ARTΝCULO 2.3.1.8.2.5. PRESERVACIΣN DE LA MEMORIA HISTΣRICA.</w:t>
      </w:r>
      <w:bookmarkEnd w:id="61246"/>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Ministerio de Defensa Nacional - Direcciσn de Derechos Humanos y Derecho Internacional Humanitario - Comando General de las Fuerzas Militares - Departamento de Apoyo a la Transiciσn y Direcciσn de Derechos Humanos y de Derecho Internacional Humanitario y de la Subdirecciσn General de la Policνa Nacional - Αrea de Historia, Memoria Histσrica y Vνctimas o las dependencias que hagan sus veces, prestarαn el acompaρamiento requerido al Centro Nacional de Memoria Histσrica o a la entidad que lo sustituya, para la disposiciσn de un espacio en el Museo de Memoria de Colombia donde se incorpore la memoria de los Veteranos considerados vνctimas en los tιrminos del artνculo </w:t>
      </w:r>
      <w:r>
        <w:fldChar w:fldCharType="begin"/>
      </w:r>
      <w:r>
        <w:instrText>HYPERLINK "http://www.redjurista.com/document.aspx?ajcode=l1448011&amp;arts=3"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1448 de 2011.</w:t>
      </w:r>
    </w:p>
    <w:p>
      <w:pPr>
        <w:jc w:val="both"/>
      </w:pPr>
      <w:rPr>
        <w:color w:val="black"/>
      </w:rPr>
    </w:p>
    <w:p>
      <w:pPr>
        <w:jc w:val="both"/>
      </w:pPr>
      <w:r>
        <w:rPr>
          <w:rFonts w:hAnsi="Arial"/>
          <w:rFonts w:ascii="Arial"/>
          <w:sz w:val="24"/>
          <w:b/>
          <w:vanish/>
          <w:color w:val="black"/>
        </w:rPr>
        <w:t>&amp;$</w:t>
      </w:r>
      <w:bookmarkStart w:id="61247" w:name="2.3.1.8.2.6"/>
      <w:r>
        <w:rPr>
          <w:rFonts w:hAnsi="Arial"/>
          <w:rFonts w:ascii="Arial"/>
          <w:sz w:val="24"/>
          <w:color w:val="navy"/>
        </w:rPr>
        <w:t xml:space="preserve">ARTΝCULO 2.3.1.8.2.6. PROGRAMA DE DERECHOS HUMANOS Y MEMORIA HISTΣRICA.</w:t>
      </w:r>
      <w:bookmarkEnd w:id="61247"/>
      <w:r>
        <w:rPr>
          <w:rFonts w:hAnsi="Arial"/>
          <w:rFonts w:ascii="Arial"/>
          <w:sz w:val="24"/>
          <w:color w:val="black"/>
        </w:rPr>
        <w:t xml:space="preserve"> &lt;Ver Notas del Editor&gt;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Coordνnese, a travιs del Ministerio de Defensa Nacional - Direcciσn de Derechos Humanos y Derecho Internacional Humanitario - Comando General de las Fuerzas Militares - Departamento de Apoyo a la Transiciσn y Direcciσn de Derechos Humanos y de Derecho Internacional Humanitario y de la Subdirecciσn General de la Policνa Nacional - Αrea de Historia, Memoria Histσrica y Vνctimas, o quien asuma sus funciones, el apoyo requerido por el Centro Nacional de Memoria Histσrica o a la entidad que lo sustituya, para la incorporaciσn de un acαpite especifico relativo a los Veteranos considerados vνctimas en los tιrminos del artνculo </w:t>
      </w:r>
      <w:r>
        <w:fldChar w:fldCharType="begin"/>
      </w:r>
      <w:r>
        <w:instrText>HYPERLINK "http://www.redjurista.com/document.aspx?ajcode=l1448011&amp;arts=3"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1448 de 2011 en el Programa de Derechos Humanos y Memoria Histσrica o al que lo modifique o sustituya, todo ello con el alcance y finalidades previstos en el artνculo </w:t>
      </w:r>
      <w:r>
        <w:fldChar w:fldCharType="begin"/>
      </w:r>
      <w:r>
        <w:instrText>HYPERLINK "http://www.redjurista.com/document.aspx?ajcode=l1448011&amp;arts=144"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1448 de 2011.</w:t>
      </w:r>
    </w:p>
    <w:p>
      <w:pPr>
        <w:jc w:val="both"/>
      </w:pPr>
      <w:rPr>
        <w:color w:val="black"/>
      </w:rPr>
    </w:p>
    <w:p>
      <w:pPr>
        <w:jc w:val="both"/>
      </w:pPr>
      <w:r>
        <w:rPr>
          <w:rFonts w:hAnsi="Arial"/>
          <w:rFonts w:ascii="Arial"/>
          <w:sz w:val="24"/>
          <w:b/>
          <w:vanish/>
          <w:color w:val="black"/>
        </w:rPr>
        <w:t>&amp;$</w:t>
      </w:r>
      <w:bookmarkStart w:id="61248" w:name="2.3.1.8.2.7"/>
      <w:r>
        <w:rPr>
          <w:rFonts w:hAnsi="Arial"/>
          <w:rFonts w:ascii="Arial"/>
          <w:sz w:val="24"/>
          <w:color w:val="navy"/>
        </w:rPr>
        <w:t xml:space="preserve">ARTΝCULO 2.3.1.8.2.7. PROGRAMA PARA LA PRESERVACIΣN Y DIFUSIΣN DE LAS MEMORIAS DE LOS VETERANOS.</w:t>
      </w:r>
      <w:bookmarkEnd w:id="61248"/>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Coordνnese entre el Ministerio de Defensa Nacional - Direcciσn de Capital Humano, Comando General de las Fuerza Militares, Comandos del Ejιrcito Nacional, Armada Nacional y Fuerza Aιrea Colombiana</w:t>
      </w:r>
      <w:r>
        <w:rPr>
          <w:rFonts w:hAnsi="Arial"/>
          <w:rFonts w:ascii="Arial"/>
          <w:sz w:val="24"/>
          <w:vertAlign w:val="superscript"/>
          <w:u w:val="none"/>
          <w:color w:val="black"/>
        </w:rPr>
        <w:t>&lt;</w:t>
      </w:r>
      <w:r>
        <w:fldChar w:fldCharType="begin"/>
      </w:r>
      <w:r>
        <w:instrText>HYPERLINK "http://www.redjurista.com/document.aspx?ajcode=d1070015&amp;arts=np1"</w:instrText>
      </w:r>
      <w:r>
        <w:fldChar w:fldCharType="separate"/>
      </w:r>
      <w:r>
        <w:rPr>
          <w:rFonts w:hAnsi="Arial"/>
          <w:rFonts w:ascii="Arial"/>
          <w:sz w:val="24"/>
          <w:vertAlign w:val="superscript"/>
          <w:u w:val="single"/>
          <w:color w:val="black"/>
        </w:rPr>
        <w:t>1</w:t>
      </w:r>
      <w:r>
        <w:fldChar w:fldCharType="end"/>
      </w:r>
      <w:r>
        <w:rPr>
          <w:rFonts w:hAnsi="Arial"/>
          <w:rFonts w:ascii="Arial"/>
          <w:sz w:val="24"/>
          <w:vertAlign w:val="superscript"/>
          <w:u w:val="none"/>
          <w:color w:val="black"/>
        </w:rPr>
        <w:t>&gt;</w:t>
      </w:r>
      <w:r>
        <w:rPr>
          <w:rFonts w:hAnsi="Arial"/>
          <w:rFonts w:ascii="Arial"/>
          <w:sz w:val="24"/>
          <w:u w:val="none"/>
          <w:color w:val="black"/>
        </w:rPr>
        <w:t xml:space="preserve">, la Direcciσn General de la Policνa Nacional y un representante del Consejo de Veteranos, el diseρo de un programa para la preservaciσn y difusiσn de las memorias de los Veteranos de la Fuerza Pϊblica y el pιnsum acadιmico de una cαtedra que promueva el aprendizaje y estudio de las mismas, en las escuelas de formaciσn militar y policial.</w:t>
      </w:r>
    </w:p>
    <w:p>
      <w:pPr>
        <w:jc w:val="both"/>
      </w:pPr>
      <w:rPr>
        <w:color w:val="black"/>
      </w:rPr>
    </w:p>
    <w:p>
      <w:pPr>
        <w:jc w:val="both"/>
      </w:pPr>
      <w:r>
        <w:rPr>
          <w:rFonts w:hAnsi="Arial"/>
          <w:rFonts w:ascii="Arial"/>
          <w:sz w:val="24"/>
          <w:b/>
          <w:vanish/>
          <w:color w:val="black"/>
        </w:rPr>
        <w:t>&amp;$</w:t>
      </w:r>
      <w:bookmarkStart w:id="61249" w:name="2.3.1.8.2.8"/>
      <w:r>
        <w:rPr>
          <w:rFonts w:hAnsi="Arial"/>
          <w:rFonts w:ascii="Arial"/>
          <w:sz w:val="24"/>
          <w:color w:val="navy"/>
        </w:rPr>
        <w:t xml:space="preserve">ARTΝCULO 2.3.1.8.2.8. IMPLEMENTACIΣN DE LAS MEMORIAS DE LOS VETERANOS DE LA FUERZA PΪBLICA.</w:t>
      </w:r>
      <w:bookmarkEnd w:id="61249"/>
      <w:r>
        <w:rPr>
          <w:rFonts w:hAnsi="Arial"/>
          <w:rFonts w:ascii="Arial"/>
          <w:sz w:val="24"/>
          <w:color w:val="black"/>
        </w:rPr>
        <w:t xml:space="preserve"> En la implementaciσn del artνculo </w:t>
      </w:r>
      <w:r>
        <w:fldChar w:fldCharType="begin"/>
      </w:r>
      <w:r>
        <w:instrText>HYPERLINK "http://www.redjurista.com/document.aspx?ajcode=l1979019&amp;arts=9"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Ley 1979 de 2019, se atenderα lo preceptuado en el parαgrafo del artνculo </w:t>
      </w:r>
      <w:r>
        <w:fldChar w:fldCharType="begin"/>
      </w:r>
      <w:r>
        <w:instrText>HYPERLINK "http://www.redjurista.com/document.aspx?ajcode=l1448011&amp;arts=143"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 la Ley 1448 de 2011.</w:t>
      </w:r>
    </w:p>
    <w:p>
      <w:pPr>
        <w:jc w:val="center"/>
      </w:pPr>
      <w:rPr>
        <w:sz w:val="24"/>
        <w:b/>
        <w:color w:val="black"/>
      </w:rPr>
    </w:p>
    <w:p>
      <w:pPr>
        <w:jc w:val="center"/>
      </w:pPr>
      <w:r>
        <w:rPr>
          <w:rFonts w:hAnsi="Arial"/>
          <w:rFonts w:ascii="Arial"/>
          <w:sz w:val="24"/>
          <w:b/>
          <w:vanish/>
          <w:color w:val="black"/>
        </w:rPr>
        <w:t>&amp;$</w:t>
      </w:r>
      <w:bookmarkStart w:id="61250" w:name="SECCIÓN 2.3.1.8.3"/>
      <w:r>
        <w:rPr>
          <w:rFonts w:hAnsi="Arial"/>
          <w:rFonts w:ascii="Arial"/>
          <w:sz w:val="24"/>
          <w:color w:val="navy"/>
        </w:rPr>
        <w:t xml:space="preserve">SECCIΣN 3. </w:t>
        <w:br w:type="textWrapping"/>
        <w:t>BENEFICIOS.</w:t>
      </w:r>
      <w:bookmarkEnd w:id="61250"/>
      <w:r>
        <w:rPr>
          <w:rFonts w:hAnsi="Arial"/>
          <w:rFonts w:ascii="Arial"/>
          <w:sz w:val="24"/>
          <w:b/>
          <w:color w:val="black"/>
        </w:rPr>
        <w:t xml:space="preserve"> </w:t>
      </w:r>
    </w:p>
    <w:p>
      <w:pPr>
        <w:jc w:val="center"/>
      </w:pPr>
      <w:rPr>
        <w:sz w:val="24"/>
        <w:b/>
        <w:color w:val="black"/>
      </w:rPr>
    </w:p>
    <w:p>
      <w:pPr>
        <w:jc w:val="both"/>
      </w:pPr>
      <w:r>
        <w:rPr>
          <w:rFonts w:hAnsi="Arial"/>
          <w:rFonts w:ascii="Arial"/>
          <w:sz w:val="24"/>
          <w:b/>
          <w:vanish/>
          <w:color w:val="black"/>
        </w:rPr>
        <w:t>&amp;$</w:t>
      </w:r>
      <w:bookmarkStart w:id="61251" w:name="2.3.1.8.3"/>
      <w:r>
        <w:rPr>
          <w:rFonts w:hAnsi="Arial"/>
          <w:rFonts w:ascii="Arial"/>
          <w:sz w:val="24"/>
          <w:color w:val="navy"/>
        </w:rPr>
        <w:t xml:space="preserve">ARTΝCULO 2.3.1.8.3.</w:t>
      </w:r>
      <w:bookmarkEnd w:id="6125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Ministerio de Defensa Nacional - Direcciσn de Bienestar Sectorial y Salud o la instancia que la reemplace o asuma sus funciones, gestionarα alianzas o convenios con entidades privadas de carαcter deportivo, musical, teatral y artνstico, en general, con el fin de que estos otorguen descuentos a los beneficiarios estipulados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acceder a los beneficios el Veterano y beneficiario presentarα ante la entidad pϊblica o privada la acreditaciσn de que trata el artνculo </w:t>
      </w:r>
      <w:r>
        <w:fldChar w:fldCharType="begin"/>
      </w:r>
      <w:r>
        <w:instrText>HYPERLINK "http://www.redjurista.com/document.aspx?ajcode=l1979019&amp;arts=4"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1979 de 2019.</w:t>
      </w:r>
    </w:p>
    <w:p>
      <w:pPr>
        <w:jc w:val="both"/>
      </w:pPr>
      <w:rPr>
        <w:color w:val="black"/>
      </w:rPr>
    </w:p>
    <w:p>
      <w:pPr>
        <w:jc w:val="center"/>
      </w:pPr>
      <w:r>
        <w:rPr>
          <w:rFonts w:hAnsi="Arial"/>
          <w:rFonts w:ascii="Arial"/>
          <w:sz w:val="24"/>
          <w:b/>
          <w:vanish/>
          <w:color w:val="black"/>
        </w:rPr>
        <w:t>&amp;$</w:t>
      </w:r>
      <w:bookmarkStart w:id="61252" w:name="SUBSECCIÓN 2.3.1.8.3.1"/>
      <w:r>
        <w:rPr>
          <w:rFonts w:hAnsi="Arial"/>
          <w:rFonts w:ascii="Arial"/>
          <w:sz w:val="24"/>
          <w:color w:val="navy"/>
        </w:rPr>
        <w:t xml:space="preserve">SUBSECCIΣN 1. </w:t>
      </w:r>
    </w:p>
    <w:p>
      <w:pPr>
        <w:jc w:val="center"/>
      </w:pPr>
      <w:r>
        <w:rPr>
          <w:rFonts w:hAnsi="Arial"/>
          <w:rFonts w:ascii="Arial"/>
          <w:sz w:val="24"/>
          <w:color w:val="navy"/>
        </w:rPr>
        <w:t xml:space="preserve">BENEFICIOS CAJA PROMOTORA DE VIVIENDA MILITAR Y DE POLICIA.</w:t>
      </w:r>
      <w:bookmarkEnd w:id="61252"/>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1253" w:name="2.3.1.8.3.1.1"/>
      <w:r>
        <w:rPr>
          <w:rFonts w:hAnsi="Arial"/>
          <w:rFonts w:ascii="Arial"/>
          <w:sz w:val="24"/>
          <w:color w:val="navy"/>
        </w:rPr>
        <w:t xml:space="preserve">ARTΝCULO 2.3.1.8.3.1.1. AFILIACIΣN VOLUNTARIA A LA CAJA PROMOTORA DE VIVIENDA MILITAR Y DE POLICΝA.</w:t>
      </w:r>
      <w:bookmarkEnd w:id="61253"/>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Conforme a lo seρalado en el artνculo </w:t>
      </w:r>
      <w:r>
        <w:fldChar w:fldCharType="begin"/>
      </w:r>
      <w:r>
        <w:instrText>HYPERLINK "http://www.redjurista.com/document.aspx?ajcode=l1979019&amp;arts=19"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1979 de 2019, los Veteranos de la Fuerza Pϊblica que cuenten con asignaciσn de retiro o pensiσn de invalidez podrαn solicitar su afiliaciσn a la Caja Promotora de Vivienda Militar y de Policνa, para acceder a los servicios financieros ofrecidos por la Entidad.</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La Caja Promotora de Vivienda Militar y de Policνa ofrecerα como servicios financieros a los afiliados voluntarios, lνneas de ahorro y crιdito aprobados por la Junta Directiva, en concordancia con las disposiciones de la Superintendencia Financiera de Colombia. Para el caso del ahorro, el reconocimiento de intereses se sujetarα a lo dispuesto en el artνculo </w:t>
      </w:r>
      <w:r>
        <w:fldChar w:fldCharType="begin"/>
      </w:r>
      <w:r>
        <w:instrText>HYPERLINK "http://www.redjurista.com/document.aspx?ajcode=d0353_94&amp;arts=22"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Ley 353 de 1994 modificado por el artνculo </w:t>
      </w:r>
      <w:r>
        <w:fldChar w:fldCharType="begin"/>
      </w:r>
      <w:r>
        <w:instrText>HYPERLINK "http://www.redjurista.com/document.aspx?ajcode=l0973005&amp;arts=13"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973 de 2005 y demαs normas que la modifiquen, adicionen o sustituyan.</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Los servicios financieros que la Caja Promotora de Vivienda Militar y de Policνa determine para los afiliados voluntarios seρalados en el presente artνculo, no se harαn extensivos en caso del fallecimiento del Veterano. Lo anterior, sin perjuicio del derecho que les asiste a sus beneficiarios de reclamar los ahorros e intereses causados en el transcurso de la afiliaciσn.</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Los afiliados voluntarios de que trata este artνculo no podrαn acceder en ninguna de sus modalidades al subsidio de vivienda que otorga el Estado a travιs de la Caja Promotora de Vivienda Militar y de Policνa. La afiliaciσn voluntaria que reglamenta el presente artνculo se realiza exclusivamente para acceder a servicios de carαcter financiero.</w:t>
      </w:r>
    </w:p>
    <w:p>
      <w:pPr>
        <w:jc w:val="both"/>
      </w:pPr>
      <w:rPr>
        <w:sz w:val="24"/>
        <w:b/>
        <w:color w:val="black"/>
      </w:rPr>
    </w:p>
    <w:p>
      <w:pPr>
        <w:jc w:val="both"/>
      </w:pPr>
      <w:r>
        <w:rPr>
          <w:rFonts w:hAnsi="Arial"/>
          <w:rFonts w:ascii="Arial"/>
          <w:sz w:val="24"/>
          <w:color w:val="navy"/>
        </w:rPr>
        <w:t xml:space="preserve">PARΑGRAFO 4o.</w:t>
      </w:r>
      <w:r>
        <w:rPr>
          <w:rFonts w:hAnsi="Arial"/>
          <w:rFonts w:ascii="Arial"/>
          <w:sz w:val="24"/>
          <w:color w:val="black"/>
        </w:rPr>
        <w:t xml:space="preserve"> La Caja Promotora de Vivienda Militar y de Policνa establecerα las condiciones, requisitos y polνticas financieras para acceder a los servicios que la Entidad disponga.</w:t>
      </w:r>
    </w:p>
    <w:p>
      <w:pPr>
        <w:jc w:val="both"/>
      </w:pPr>
      <w:rPr>
        <w:color w:val="black"/>
      </w:rPr>
    </w:p>
    <w:p>
      <w:pPr>
        <w:jc w:val="both"/>
      </w:pPr>
      <w:r>
        <w:rPr>
          <w:rFonts w:hAnsi="Arial"/>
          <w:rFonts w:ascii="Arial"/>
          <w:sz w:val="24"/>
          <w:b/>
          <w:vanish/>
          <w:color w:val="black"/>
        </w:rPr>
        <w:t>&amp;$</w:t>
      </w:r>
      <w:bookmarkStart w:id="61254" w:name="2.3.1.8.3.1.2"/>
      <w:r>
        <w:rPr>
          <w:rFonts w:hAnsi="Arial"/>
          <w:rFonts w:ascii="Arial"/>
          <w:sz w:val="24"/>
          <w:color w:val="navy"/>
        </w:rPr>
        <w:t xml:space="preserve">ARTΝCULO 2.3.1.8.3.1.2. DESAFILIACIΣN.</w:t>
      </w:r>
      <w:bookmarkEnd w:id="61254"/>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afiliado voluntario podrα solicitar su desafiliaciσn en cualquier momento a la Caja Promotora de Vivienda Militar y de Policνa, en los tιrminos establecidos por la Entidad.</w:t>
      </w:r>
    </w:p>
    <w:p>
      <w:pPr>
        <w:jc w:val="center"/>
      </w:pPr>
      <w:rPr>
        <w:sz w:val="24"/>
        <w:b/>
        <w:color w:val="black"/>
      </w:rPr>
    </w:p>
    <w:p>
      <w:pPr>
        <w:jc w:val="center"/>
      </w:pPr>
      <w:r>
        <w:rPr>
          <w:rFonts w:hAnsi="Arial"/>
          <w:rFonts w:ascii="Arial"/>
          <w:sz w:val="24"/>
          <w:b/>
          <w:vanish/>
          <w:color w:val="black"/>
        </w:rPr>
        <w:t>&amp;$</w:t>
      </w:r>
      <w:bookmarkStart w:id="61255" w:name="SUBSECCIÓN 2.3.1.8.3.2"/>
      <w:r>
        <w:rPr>
          <w:rFonts w:hAnsi="Arial"/>
          <w:rFonts w:ascii="Arial"/>
          <w:sz w:val="24"/>
          <w:color w:val="navy"/>
        </w:rPr>
        <w:t xml:space="preserve">SUBSECCIΣN 2. </w:t>
      </w:r>
    </w:p>
    <w:p>
      <w:pPr>
        <w:jc w:val="center"/>
      </w:pPr>
      <w:r>
        <w:rPr>
          <w:rFonts w:hAnsi="Arial"/>
          <w:rFonts w:ascii="Arial"/>
          <w:sz w:val="24"/>
          <w:color w:val="navy"/>
        </w:rPr>
        <w:t xml:space="preserve">BENEFICIOS EN LA LIQUIDACIΣN DE LA PENSIΣN DE INVALIDEZ.</w:t>
      </w:r>
      <w:bookmarkEnd w:id="6125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61256" w:name="2.3.1.8.3.2.1"/>
      <w:r>
        <w:rPr>
          <w:rFonts w:hAnsi="Arial"/>
          <w:rFonts w:ascii="Arial"/>
          <w:sz w:val="24"/>
          <w:color w:val="navy"/>
        </w:rPr>
        <w:t xml:space="preserve">ARTΝCULO 2.3.1.8.3.2.1. CAMPO DE APLICACIΣN.</w:t>
      </w:r>
      <w:bookmarkEnd w:id="61256"/>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Las disposiciones aquν contenidas se aplicarαn al personal pensionado por Invalidez, en las categorνas de Soldados Profesionales e Infantes de Marina Profesionales, Soldados que prestaron el servicio militar obligatorio en las Fuerzas Militares, Auxiliares y Patrulleros de la Policνa Nacional, en los tιrminos que se seρalan en el presente decreto.</w:t>
      </w:r>
    </w:p>
    <w:p>
      <w:pPr>
        <w:jc w:val="both"/>
      </w:pPr>
      <w:rPr>
        <w:color w:val="black"/>
      </w:rPr>
    </w:p>
    <w:p>
      <w:pPr>
        <w:jc w:val="both"/>
      </w:pPr>
      <w:r>
        <w:rPr>
          <w:rFonts w:hAnsi="Arial"/>
          <w:rFonts w:ascii="Arial"/>
          <w:sz w:val="24"/>
          <w:b/>
          <w:vanish/>
          <w:color w:val="black"/>
        </w:rPr>
        <w:t>&amp;$</w:t>
      </w:r>
      <w:bookmarkStart w:id="61257" w:name="2.3.1.8.3.2.2"/>
      <w:r>
        <w:rPr>
          <w:rFonts w:hAnsi="Arial"/>
          <w:rFonts w:ascii="Arial"/>
          <w:sz w:val="24"/>
          <w:color w:val="navy"/>
        </w:rPr>
        <w:t xml:space="preserve">ARTΝCULO 2.3.1.8.3.2.2. INCREMENTO DE LA PENSIΣN DE INVALIDEZ PARA SOLDADOS PROFESIONALES E INFANTES DE MARINA PROFESIONALES.</w:t>
      </w:r>
      <w:bookmarkEnd w:id="61257"/>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personal de Soldados Profesionales e Infantes de Marina Profesionales, que tenga como mνnimo un 50% de disminuciσn de la capacidad laboral, originada en combate o en accidente relacionado con el mismo, o por acciσn directa del enemigo, en tareas de mantenimiento o restablecimiento del orden pϊblico o en conflicto internacional, tendrα derecho a partir del 25 de julio de 2019, a que la pensiσn de invalidez, se Incremente al ϊltimo salario devengado por el uniformado estando en servicio activo.</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Para el personal de que trata el presente artνculo, que se pensione por invalidez con posterioridad al 25 de julio de 2019, el incremento pensional se harα efectivo a partir de la fecha de causaciσn del derecho a la pensiσn de invalidez.</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Para efectos del presente artνculo se entiende como salario, el siguiente:</w:t>
      </w:r>
    </w:p>
    <w:p>
      <w:pPr>
        <w:jc w:val="both"/>
      </w:pPr>
      <w:rPr>
        <w:sz w:val="24"/>
        <w:b/>
        <w:color w:val="black"/>
      </w:rPr>
    </w:p>
    <w:p>
      <w:pPr>
        <w:jc w:val="both"/>
      </w:pPr>
      <w:r>
        <w:rPr>
          <w:rFonts w:hAnsi="Arial"/>
          <w:rFonts w:ascii="Arial"/>
          <w:sz w:val="24"/>
          <w:color w:val="black"/>
        </w:rPr>
        <w:t xml:space="preserve">1. Salario mensual en los tιrminos del inciso primero del artνculo </w:t>
      </w:r>
      <w:r>
        <w:fldChar w:fldCharType="begin"/>
      </w:r>
      <w:r>
        <w:instrText>HYPERLINK "http://www.redjurista.com/document.aspx?ajcode=d1794000&amp;arts=1"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Decreto Ley 1794 de 2000.</w:t>
      </w:r>
    </w:p>
    <w:p>
      <w:pPr>
        <w:jc w:val="both"/>
      </w:pPr>
      <w:rPr>
        <w:sz w:val="24"/>
        <w:b/>
        <w:color w:val="black"/>
      </w:rPr>
    </w:p>
    <w:p>
      <w:pPr>
        <w:jc w:val="both"/>
      </w:pPr>
      <w:r>
        <w:rPr>
          <w:rFonts w:hAnsi="Arial"/>
          <w:rFonts w:ascii="Arial"/>
          <w:sz w:val="24"/>
          <w:color w:val="black"/>
        </w:rPr>
        <w:t xml:space="preserve">2. Prima de antigόedad en el porcentaje devengado a la fecha de retiro del servicio en los tιrminos del artνculo </w:t>
      </w:r>
      <w:r>
        <w:fldChar w:fldCharType="begin"/>
      </w:r>
      <w:r>
        <w:instrText>HYPERLINK "http://www.redjurista.com/document.aspx?ajcode=d0794000&amp;arts=2"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del Decreto Ley 794 de 2000.</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En adiciσn a las partidas especνficamente seρaladas en este artνculo, ninguna de las demαs primas, subsidios, bonificaciones, serαn computables para efectos del incremento pensional.</w:t>
      </w:r>
    </w:p>
    <w:p>
      <w:pPr>
        <w:jc w:val="both"/>
      </w:pPr>
      <w:rPr>
        <w:color w:val="black"/>
      </w:rPr>
    </w:p>
    <w:p>
      <w:pPr>
        <w:jc w:val="both"/>
      </w:pPr>
      <w:r>
        <w:rPr>
          <w:rFonts w:hAnsi="Arial"/>
          <w:rFonts w:ascii="Arial"/>
          <w:sz w:val="24"/>
          <w:b/>
          <w:vanish/>
          <w:color w:val="black"/>
        </w:rPr>
        <w:t>&amp;$</w:t>
      </w:r>
      <w:bookmarkStart w:id="61258" w:name="2.3.1.8.3.2.3"/>
      <w:r>
        <w:rPr>
          <w:rFonts w:hAnsi="Arial"/>
          <w:rFonts w:ascii="Arial"/>
          <w:sz w:val="24"/>
          <w:color w:val="navy"/>
        </w:rPr>
        <w:t xml:space="preserve">ARTΝCULO 2.3.1.8.3.2.3. INCREMENTO DE LA PENSIΣN DE INVALIDEZ PARA SOLDADOS EN EL SERVICIO MILITAR OBLIGATORIO EN LAS FUERZAS MILITARES.</w:t>
      </w:r>
      <w:bookmarkEnd w:id="61258"/>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personal de Soldados que prestσ el servicio militar obligatorio en las Fuerzas Militares, que tenga como mνnimo un 50% de disminuciσn de la capacidad laboral, originada en combate o en accidente relacionado con el mismo, o por acciσn directa del enemigo, en tareas de mantenimiento o restablecimiento del orden pϊblico o en conflicto internacional, tendrα derecho a partir del 25 de julio de 2019, a que la pensiσn de invalidez se incremente al cien por ciento (100%) del salario bαsico devengado, en servicio activo, por un cabo tercero o su equivalente en las Fuerzas Militares.</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Para el personal de que trata el presente artνculo, que se pensione por invalidez con posterioridad al 25 de julio de 2019, el incremento pensional se harα efectivo a partir de la fecha de causaciσn del derecho a la pensiσn de invalidez.</w:t>
      </w:r>
    </w:p>
    <w:p>
      <w:pPr>
        <w:jc w:val="both"/>
      </w:pPr>
      <w:rPr>
        <w:color w:val="black"/>
      </w:rPr>
    </w:p>
    <w:p>
      <w:pPr>
        <w:jc w:val="both"/>
      </w:pPr>
      <w:r>
        <w:rPr>
          <w:rFonts w:hAnsi="Arial"/>
          <w:rFonts w:ascii="Arial"/>
          <w:sz w:val="24"/>
          <w:b/>
          <w:vanish/>
          <w:color w:val="black"/>
        </w:rPr>
        <w:t>&amp;$</w:t>
      </w:r>
      <w:bookmarkStart w:id="61259" w:name="2.3.1.8.3.2.4"/>
      <w:r>
        <w:rPr>
          <w:rFonts w:hAnsi="Arial"/>
          <w:rFonts w:ascii="Arial"/>
          <w:sz w:val="24"/>
          <w:color w:val="navy"/>
        </w:rPr>
        <w:t xml:space="preserve">ARTΝCULO 2.3.1.8.3.2.4. INCREMENTO DE LA PENSIΣN DE INVALIDEZ PARA PATRULLEROS DE LA POLICΝA NACIONAL.</w:t>
      </w:r>
      <w:bookmarkEnd w:id="61259"/>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personal de Patrulleros de la Policνa Nacional, que sea beneficiario de la Pensiσn por invalidez, cuya disminuciσn de la capacidad laboral sea igual o superior a un cincuenta por ciento (50%) e inferior a un setenta y cinco por ciento (75%), originada por actos meritorios, acciσn directa del enemigo, en tareas de mantenimiento o restablecimiento del orden pϊblico o en conflicto internacional, tendrα derecho a que el pago de la pensiσn mensual de invalidez se incremente con las partidas computables segϊn lo previsto en los Decretos </w:t>
      </w:r>
      <w:r>
        <w:fldChar w:fldCharType="begin"/>
      </w:r>
      <w:r>
        <w:instrText>HYPERLINK "http://www.redjurista.com/document.aspx?ajcode=d4433004&amp;arts=INICIO"</w:instrText>
      </w:r>
      <w:r>
        <w:fldChar w:fldCharType="separate"/>
      </w:r>
      <w:r>
        <w:rPr>
          <w:rFonts w:hAnsi="Arial"/>
          <w:rFonts w:ascii="Arial"/>
          <w:sz w:val="24"/>
          <w:u w:val="single"/>
          <w:color w:val="black"/>
        </w:rPr>
        <w:t>4433</w:t>
      </w:r>
      <w:r>
        <w:fldChar w:fldCharType="end"/>
      </w:r>
      <w:r>
        <w:rPr>
          <w:rFonts w:hAnsi="Arial"/>
          <w:rFonts w:ascii="Arial"/>
          <w:sz w:val="24"/>
          <w:u w:val="none"/>
          <w:color w:val="black"/>
        </w:rPr>
        <w:t xml:space="preserve"> de 2004 y </w:t>
      </w:r>
      <w:r>
        <w:fldChar w:fldCharType="begin"/>
      </w:r>
      <w:r>
        <w:instrText>HYPERLINK "http://www.redjurista.com/document.aspx?ajcode=d1858012&amp;arts=INICIO"</w:instrText>
      </w:r>
      <w:r>
        <w:fldChar w:fldCharType="separate"/>
      </w:r>
      <w:r>
        <w:rPr>
          <w:rFonts w:hAnsi="Arial"/>
          <w:rFonts w:ascii="Arial"/>
          <w:sz w:val="24"/>
          <w:u w:val="single"/>
          <w:color w:val="black"/>
        </w:rPr>
        <w:t>1858</w:t>
      </w:r>
      <w:r>
        <w:fldChar w:fldCharType="end"/>
      </w:r>
      <w:r>
        <w:rPr>
          <w:rFonts w:hAnsi="Arial"/>
          <w:rFonts w:ascii="Arial"/>
          <w:sz w:val="24"/>
          <w:u w:val="none"/>
          <w:color w:val="black"/>
        </w:rPr>
        <w:t xml:space="preserve"> de 2012, en el setenta y cinco por ciento (75%).</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El personal de Patrulleros de la Policνa Nacional, que sea beneficiario de la Pensiσn por invalidez, con anterioridad a la entrada en vigencia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el incremento pensional se realizarα a partir del 25 de julio de 2019.</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El personal de Patrulleros de la Policνa Nacional, que sea beneficiario de la Pensiσn por invalidez, con posterioridad al 25 de julio de 2019, el incremento pensional se realizarα a partir de la fecha fiscal que disponga el reconocimiento pensional.</w:t>
      </w:r>
    </w:p>
    <w:p>
      <w:pPr>
        <w:jc w:val="both"/>
      </w:pPr>
      <w:rPr>
        <w:color w:val="black"/>
      </w:rPr>
    </w:p>
    <w:p>
      <w:pPr>
        <w:jc w:val="both"/>
      </w:pPr>
      <w:r>
        <w:rPr>
          <w:rFonts w:hAnsi="Arial"/>
          <w:rFonts w:ascii="Arial"/>
          <w:sz w:val="24"/>
          <w:b/>
          <w:vanish/>
          <w:color w:val="black"/>
        </w:rPr>
        <w:t>&amp;$</w:t>
      </w:r>
      <w:bookmarkStart w:id="61260" w:name="2.3.1.8.3.2.5"/>
      <w:r>
        <w:rPr>
          <w:rFonts w:hAnsi="Arial"/>
          <w:rFonts w:ascii="Arial"/>
          <w:sz w:val="24"/>
          <w:color w:val="navy"/>
        </w:rPr>
        <w:t xml:space="preserve">ARTΝCULO 2.3.1.8.3.2.5. INCREMENTO DE LA PENSIΣN DE INVALIDEZ PARA AUXILIARES DE POLICΝA EN LA POLICΝA NACIONAL.</w:t>
      </w:r>
      <w:bookmarkEnd w:id="61260"/>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personal de Auxiliares de Policνa en la Policνa Nacional, que haya sido pensionado por invalidez y tenga como mνnimo un cincuenta por ciento (50%) de disminuciσn de la capacidad laboral, originada en el servicio como consecuencia de actos meritorios del mismo, en combate o en accidente relacionado con el mismo, o por acciσn directa del enemigo, en tareas de mantenimiento o restablecimiento del orden pϊblico o en conflicto internacional, tendrα derecho a partir del 25 de julio de 2019, a que la pensiσn de invalidez se incremente al cien por ciento (100%) del salario bαsico devengado, en servicio activo, por un cabo segundo de la Policνa Nacional.</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El personal de Auxiliares de Policνa en la Policνa Nacional, que sea beneficiario de la Pensiσn por invalidez, con posterioridad al 25 de julio de 2019, el incremento pensional se realizarα a partir de la fecha fiscal que disponga el reconocimiento pensional.</w:t>
      </w:r>
    </w:p>
    <w:p>
      <w:pPr>
        <w:jc w:val="both"/>
      </w:pPr>
      <w:rPr>
        <w:color w:val="black"/>
      </w:rPr>
    </w:p>
    <w:p>
      <w:pPr>
        <w:jc w:val="both"/>
      </w:pPr>
      <w:r>
        <w:rPr>
          <w:rFonts w:hAnsi="Arial"/>
          <w:rFonts w:ascii="Arial"/>
          <w:sz w:val="24"/>
          <w:b/>
          <w:vanish/>
          <w:color w:val="black"/>
        </w:rPr>
        <w:t>&amp;$</w:t>
      </w:r>
      <w:bookmarkStart w:id="61261" w:name="2.3.1.8.3.2.6"/>
      <w:r>
        <w:rPr>
          <w:rFonts w:hAnsi="Arial"/>
          <w:rFonts w:ascii="Arial"/>
          <w:sz w:val="24"/>
          <w:color w:val="navy"/>
        </w:rPr>
        <w:t xml:space="preserve">ARTΝCULO 2.3.1.8.3.2.6. COMPATIBILIDAD DEL INCREMENTO PENSIONAL.</w:t>
      </w:r>
      <w:bookmarkEnd w:id="61261"/>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incremento previsto en el presente Decreto, es compatible con los incrementos consagrados en el artνculo </w:t>
      </w:r>
      <w:r>
        <w:fldChar w:fldCharType="begin"/>
      </w:r>
      <w:r>
        <w:instrText>HYPERLINK "http://www.redjurista.com/document.aspx?ajcode=d4433004&amp;arts=31"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Decreto 4433 de 2004.</w:t>
      </w:r>
    </w:p>
    <w:p>
      <w:pPr>
        <w:jc w:val="both"/>
      </w:pPr>
      <w:rPr>
        <w:color w:val="black"/>
      </w:rPr>
    </w:p>
    <w:p>
      <w:pPr>
        <w:jc w:val="both"/>
      </w:pPr>
      <w:r>
        <w:rPr>
          <w:rFonts w:hAnsi="Arial"/>
          <w:rFonts w:ascii="Arial"/>
          <w:sz w:val="24"/>
          <w:b/>
          <w:vanish/>
          <w:color w:val="black"/>
        </w:rPr>
        <w:t>&amp;$</w:t>
      </w:r>
      <w:bookmarkStart w:id="61262" w:name="2.3.1.8.3.2.7"/>
      <w:r>
        <w:rPr>
          <w:rFonts w:hAnsi="Arial"/>
          <w:rFonts w:ascii="Arial"/>
          <w:sz w:val="24"/>
          <w:color w:val="navy"/>
        </w:rPr>
        <w:t xml:space="preserve">ARTΝCULO 2.3.1.8.3.2.7. PAGO DEL INCREMENTO.</w:t>
      </w:r>
      <w:bookmarkEnd w:id="61262"/>
      <w:r>
        <w:rPr>
          <w:rFonts w:hAnsi="Arial"/>
          <w:rFonts w:ascii="Arial"/>
          <w:sz w:val="24"/>
          <w:color w:val="black"/>
        </w:rPr>
        <w:t xml:space="preserve"> &lt;Artνculo adicionado por el artνculo </w:t>
      </w:r>
      <w:r>
        <w:fldChar w:fldCharType="begin"/>
      </w:r>
      <w:r>
        <w:instrText>HYPERLINK "http://www.redjurista.com/document.aspx?ajcode=d1345020&amp;arts=4"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1345 de 2020. El nuevo texto es el siguiente:&gt; El beneficio en la liquidaciσn de la pensiσn de invalidez, fijada en el artνculo </w:t>
      </w:r>
      <w:r>
        <w:fldChar w:fldCharType="begin"/>
      </w:r>
      <w:r>
        <w:instrText>HYPERLINK "http://www.redjurista.com/document.aspx?ajcode=l1979019&amp;arts=23"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1979 de 2019, ϊnicamente se reconocerα y pagarα a solicitud de parte.</w:t>
      </w:r>
    </w:p>
    <w:p>
      <w:pPr>
        <w:jc w:val="center"/>
      </w:pPr>
      <w:rPr>
        <w:sz w:val="24"/>
        <w:b/>
        <w:color w:val="black"/>
      </w:rPr>
    </w:p>
    <w:p>
      <w:pPr>
        <w:jc w:val="center"/>
      </w:pPr>
      <w:r>
        <w:rPr>
          <w:rFonts w:hAnsi="Arial"/>
          <w:rFonts w:ascii="Arial"/>
          <w:sz w:val="24"/>
          <w:b/>
          <w:vanish/>
          <w:color w:val="black"/>
        </w:rPr>
        <w:t>&amp;$</w:t>
      </w:r>
      <w:bookmarkStart w:id="61263" w:name="SUBSECCIÓN 2.3.1.8.3.3"/>
      <w:r>
        <w:rPr>
          <w:rFonts w:hAnsi="Arial"/>
          <w:rFonts w:ascii="Arial"/>
          <w:sz w:val="24"/>
          <w:color w:val="navy"/>
        </w:rPr>
        <w:t xml:space="preserve">SUBSECCIΣN 3. </w:t>
      </w:r>
    </w:p>
    <w:p>
      <w:pPr>
        <w:jc w:val="center"/>
      </w:pPr>
      <w:r>
        <w:rPr>
          <w:rFonts w:hAnsi="Arial"/>
          <w:rFonts w:ascii="Arial"/>
          <w:sz w:val="24"/>
          <w:color w:val="navy"/>
        </w:rPr>
        <w:t xml:space="preserve">BENEFICIO EN TRANSPORTE PΪBLICO URBANO.</w:t>
      </w:r>
      <w:bookmarkEnd w:id="6126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64" w:name="2.3.1.8.3.3.1"/>
      <w:r>
        <w:rPr>
          <w:rFonts w:hAnsi="Arial"/>
          <w:rFonts w:ascii="Arial"/>
          <w:sz w:val="24"/>
          <w:color w:val="navy"/>
        </w:rPr>
        <w:t xml:space="preserve">ARTΝCULO 2.3.1.8.3.3.1. BENEFICIOS EN TRANSPORTE PΪBLICO URBANO.</w:t>
      </w:r>
      <w:bookmarkEnd w:id="61264"/>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Ministerio de Defensa Nacional - Direcciσn de Bienestar Sectorial y Salud gestionarα con las entidades territoriales del orden distrital y municipal, convenios u otras modalidades de vinculaciσn jurνdica, para otorgar al grupo poblacional referenciado en el literal a)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descuentos en las tarifas de los sistemas integrados de transporte masivo, conforme a la reglamentaciσn que expida para tal fin los Concejos municipales y distritales.</w:t>
        <w:tab/>
        <w:t/>
      </w:r>
    </w:p>
    <w:p>
      <w:pPr>
        <w:jc w:val="center"/>
      </w:pPr>
      <w:rPr>
        <w:sz w:val="24"/>
        <w:b/>
        <w:color w:val="black"/>
      </w:rPr>
    </w:p>
    <w:p>
      <w:pPr>
        <w:jc w:val="center"/>
      </w:pPr>
      <w:r>
        <w:rPr>
          <w:rFonts w:hAnsi="Arial"/>
          <w:rFonts w:ascii="Arial"/>
          <w:sz w:val="24"/>
          <w:b/>
          <w:vanish/>
          <w:color w:val="black"/>
        </w:rPr>
        <w:t>&amp;$</w:t>
      </w:r>
      <w:bookmarkStart w:id="61265" w:name="SUBSECCIÓN 2.3.1.8.3.4"/>
      <w:r>
        <w:rPr>
          <w:rFonts w:hAnsi="Arial"/>
          <w:rFonts w:ascii="Arial"/>
          <w:sz w:val="24"/>
          <w:color w:val="navy"/>
        </w:rPr>
        <w:t xml:space="preserve">SUBSECCIΣN 4. </w:t>
        <w:br w:type="textWrapping"/>
        <w:t>BENEFICIOS EN SALUD.</w:t>
      </w:r>
      <w:bookmarkEnd w:id="6126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66" w:name="2.3.1.8.3.4.1"/>
      <w:r>
        <w:rPr>
          <w:rFonts w:hAnsi="Arial"/>
          <w:rFonts w:ascii="Arial"/>
          <w:sz w:val="24"/>
          <w:color w:val="navy"/>
        </w:rPr>
        <w:t xml:space="preserve">ARTΝCULO 2.3.1.8.3.4.1. ATENCIΣN AL VETERANO.</w:t>
      </w:r>
      <w:bookmarkEnd w:id="61266"/>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Conforme a lo seρalado en el numeral 2 del artνculo </w:t>
      </w:r>
      <w:r>
        <w:fldChar w:fldCharType="begin"/>
      </w:r>
      <w:r>
        <w:instrText>HYPERLINK "http://www.redjurista.com/document.aspx?ajcode=l1979019&amp;arts=18"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1979 de 2019, los Veteranos que hayan quedado con secuelas fνsicas o psicolσgicas, con ocasiσn de un conflicto armado de orden nacional o internacional, tendrαn todas las garantνas para su recuperaciσn Integral, el acceso a dicho beneficio serα cubierto en su totalidad por el Estado.</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acceso a los beneficios de que trata el numeral 2 del artνculo </w:t>
      </w:r>
      <w:r>
        <w:fldChar w:fldCharType="begin"/>
      </w:r>
      <w:r>
        <w:instrText>HYPERLINK "http://www.redjurista.com/document.aspx?ajcode=l1979019&amp;arts=18"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1979 de 2019, se harα a travιs de los servicios de salud que brindan el Sistema de Salud de las Fuerzas Militares y de Policνa y el Sistema General de Seguridad Social en Salud, dependiendo del rιgimen al que se encuentre afiliada la persona a quien se le reconoce la condiciσn de Veterano. La afiliaciσn es excluyente y en ningϊn caso podrα existir cobertura simultαnea por los dos Sistemas.</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afiliaciσn al Sistema General de Seguridad. Social en Salud de los Veteranos de que trata el artνculo </w:t>
      </w:r>
      <w:r>
        <w:fldChar w:fldCharType="begin"/>
      </w:r>
      <w:r>
        <w:instrText>HYPERLINK "http://www.redjurista.com/document.aspx?ajcode=l1979019&amp;arts=18"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1979 de 2019, se realizarα al Rιgimen Subsidiado, siempre y cuando no se encuentren, cubiertos por el Sistema de Salud de las Fuerzas Militares y de la Policνa Nacional u otro rιgimen exceptuado y/o especial y no reϊnan las condiciones para pertenecer al rιgimen contributivo. El listado censal de esta poblaciσn serα elaborado por el Ministerio de Defensa Nacional a travιs del Registro Ϊnico de Veteranos.</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Los servicios de salud que se. brinden para la recuperaciσn integral de secuelas fνsicas o psicolσgicas de la poblaciσn a que hace referencia el numeral 2 del artνculo </w:t>
      </w:r>
      <w:r>
        <w:fldChar w:fldCharType="begin"/>
      </w:r>
      <w:r>
        <w:instrText>HYPERLINK "http://www.redjurista.com/document.aspx?ajcode=l1979019&amp;arts=18"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1979 de 2019, estarαn exceptuados de copagos, cuotas moderadoras o cualquier otro pago compartido.</w:t>
      </w:r>
    </w:p>
    <w:p>
      <w:pPr>
        <w:jc w:val="both"/>
      </w:pPr>
      <w:rPr>
        <w:sz w:val="24"/>
        <w:b/>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En cumplimiento de lo ordenado por el parαgrafo del artνculo </w:t>
      </w:r>
      <w:r>
        <w:fldChar w:fldCharType="begin"/>
      </w:r>
      <w:r>
        <w:instrText>HYPERLINK "http://www.redjurista.com/document.aspx?ajcode=l1979019&amp;arts=18"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1979 de 2019, se adopta la Polνtica Nacional de Salud Mental establecida en la Resoluciσn </w:t>
      </w:r>
      <w:r>
        <w:fldChar w:fldCharType="begin"/>
      </w:r>
      <w:r>
        <w:instrText>HYPERLINK "http://www.redjurista.com/document.aspx?ajcode=r_msps_4886_2018&amp;arts=INICIO"</w:instrText>
      </w:r>
      <w:r>
        <w:fldChar w:fldCharType="separate"/>
      </w:r>
      <w:r>
        <w:rPr>
          <w:rFonts w:hAnsi="Arial"/>
          <w:rFonts w:ascii="Arial"/>
          <w:sz w:val="24"/>
          <w:u w:val="single"/>
          <w:color w:val="black"/>
        </w:rPr>
        <w:t>4886</w:t>
      </w:r>
      <w:r>
        <w:fldChar w:fldCharType="end"/>
      </w:r>
      <w:r>
        <w:rPr>
          <w:rFonts w:hAnsi="Arial"/>
          <w:rFonts w:ascii="Arial"/>
          <w:sz w:val="24"/>
          <w:u w:val="none"/>
          <w:color w:val="black"/>
        </w:rPr>
        <w:t xml:space="preserve"> de 2018 expedida por el Ministerio de Salud y Protecciσn Social o la norma que la modifique o sustituya. En consecuencia, los beneficiarios de la mencionada Ley serαn atendidos en forma integral en salud mental conforme a lo determinado en dicha polνtica indistintamente del Rιgimen de Salud al cual se encuentren afiliados.</w:t>
      </w:r>
    </w:p>
    <w:p>
      <w:pPr>
        <w:jc w:val="both"/>
      </w:pPr>
      <w:rPr>
        <w:sz w:val="24"/>
        <w:b/>
        <w:color w:val="black"/>
      </w:rPr>
    </w:p>
    <w:p>
      <w:pPr>
        <w:jc w:val="center"/>
      </w:pPr>
      <w:r>
        <w:rPr>
          <w:rFonts w:hAnsi="Arial"/>
          <w:rFonts w:ascii="Arial"/>
          <w:sz w:val="24"/>
          <w:b/>
          <w:vanish/>
          <w:color w:val="black"/>
        </w:rPr>
        <w:t>&amp;$</w:t>
      </w:r>
      <w:bookmarkStart w:id="61267" w:name="SUBSECCIÓN 2.3.1.8.3.5"/>
      <w:r>
        <w:rPr>
          <w:rFonts w:hAnsi="Arial"/>
          <w:rFonts w:ascii="Arial"/>
          <w:sz w:val="24"/>
          <w:color w:val="navy"/>
        </w:rPr>
        <w:t xml:space="preserve">SUBSECCIΣN 5. </w:t>
        <w:br w:type="textWrapping"/>
        <w:t>BENEFICIOS SOCIALES.</w:t>
      </w:r>
      <w:bookmarkEnd w:id="6126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68" w:name="2.3.1.8.3.5.1"/>
      <w:r>
        <w:rPr>
          <w:rFonts w:hAnsi="Arial"/>
          <w:rFonts w:ascii="Arial"/>
          <w:sz w:val="24"/>
          <w:color w:val="navy"/>
        </w:rPr>
        <w:t xml:space="preserve">ARTΝCULO 2.3.1.8.3.5.1. ENTRADA GRATUITA A MUSEOS.</w:t>
      </w:r>
      <w:bookmarkEnd w:id="61268"/>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Para que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puedan ingresar de manera gratuita a los museos de propiedad de la Naciσn, deberαn presentar personalmente la acreditaciσn expedida por el Ministerio de Defensa Nacional - Direcciσn de Bienestar Sectorial y Salud o la instancia que la reemplace o asuma sus funciones.</w:t>
      </w:r>
    </w:p>
    <w:p>
      <w:pPr>
        <w:jc w:val="both"/>
      </w:pPr>
      <w:rPr>
        <w:color w:val="black"/>
      </w:rPr>
    </w:p>
    <w:p>
      <w:pPr>
        <w:jc w:val="both"/>
      </w:pPr>
      <w:r>
        <w:rPr>
          <w:rFonts w:hAnsi="Arial"/>
          <w:rFonts w:ascii="Arial"/>
          <w:sz w:val="24"/>
          <w:b/>
          <w:vanish/>
          <w:color w:val="black"/>
        </w:rPr>
        <w:t>&amp;$</w:t>
      </w:r>
      <w:bookmarkStart w:id="61269" w:name="2.3.1.8.3.5.2"/>
      <w:r>
        <w:rPr>
          <w:rFonts w:hAnsi="Arial"/>
          <w:rFonts w:ascii="Arial"/>
          <w:sz w:val="24"/>
          <w:color w:val="navy"/>
        </w:rPr>
        <w:t xml:space="preserve">ARTΝCULO 2.3.1.8.3.5.2. ENTRADA EVENTOS.</w:t>
      </w:r>
      <w:bookmarkEnd w:id="61269"/>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Los alcaldes distritales y municipales podrαn otorgar el ingreso gratuito al personal indicado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a los eventos considerados de entretenimiento, recreativos, deportivos, culturales, artνsticos y teatrales que se realicen en escenarios de propiedad del Municipio o Distrito.</w:t>
      </w:r>
    </w:p>
    <w:p>
      <w:pPr>
        <w:jc w:val="both"/>
      </w:pPr>
      <w:rPr>
        <w:color w:val="black"/>
      </w:rPr>
    </w:p>
    <w:p>
      <w:pPr>
        <w:jc w:val="both"/>
      </w:pPr>
      <w:r>
        <w:rPr>
          <w:rFonts w:hAnsi="Arial"/>
          <w:rFonts w:ascii="Arial"/>
          <w:sz w:val="24"/>
          <w:b/>
          <w:vanish/>
          <w:color w:val="black"/>
        </w:rPr>
        <w:t>&amp;$</w:t>
      </w:r>
      <w:bookmarkStart w:id="61270" w:name="2.3.1.8.3.5.3"/>
      <w:r>
        <w:rPr>
          <w:rFonts w:hAnsi="Arial"/>
          <w:rFonts w:ascii="Arial"/>
          <w:sz w:val="24"/>
          <w:color w:val="navy"/>
        </w:rPr>
        <w:t xml:space="preserve">ARTΝCULO 2.3.1.8.3.5.3. ATENCIΣN AL VETERANO.</w:t>
      </w:r>
      <w:bookmarkEnd w:id="61270"/>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entidades pϊblicas que tengan servicio de atenciσn al pϊblico, deberαn establecer una ventanilla preferencial o adaptar la existente, para la atenciσn a este grupo poblacional con el fin de facilitar y agilizar las gestiones que realicen.</w:t>
      </w:r>
    </w:p>
    <w:p>
      <w:pPr>
        <w:jc w:val="both"/>
      </w:pPr>
      <w:rPr>
        <w:sz w:val="24"/>
        <w:b/>
        <w:color w:val="black"/>
      </w:rPr>
    </w:p>
    <w:p>
      <w:pPr>
        <w:jc w:val="both"/>
      </w:pPr>
      <w:r>
        <w:rPr>
          <w:rFonts w:hAnsi="Arial"/>
          <w:rFonts w:ascii="Arial"/>
          <w:sz w:val="24"/>
          <w:color w:val="black"/>
        </w:rPr>
        <w:t xml:space="preserve">En caso de no contar con ventanilla o fila preferencial, se deberα privilegiar la atenciσn de los Veteranos en las ventanillas o filas habilitadas.</w:t>
      </w:r>
    </w:p>
    <w:p>
      <w:pPr>
        <w:jc w:val="both"/>
      </w:pPr>
      <w:rPr>
        <w:color w:val="black"/>
      </w:rPr>
    </w:p>
    <w:p>
      <w:pPr>
        <w:jc w:val="both"/>
      </w:pPr>
      <w:r>
        <w:rPr>
          <w:rFonts w:hAnsi="Arial"/>
          <w:rFonts w:ascii="Arial"/>
          <w:sz w:val="24"/>
          <w:b/>
          <w:vanish/>
          <w:color w:val="black"/>
        </w:rPr>
        <w:t>&amp;$</w:t>
      </w:r>
      <w:bookmarkStart w:id="61271" w:name="2.3.1.8.3.5.4"/>
      <w:r>
        <w:rPr>
          <w:rFonts w:hAnsi="Arial"/>
          <w:rFonts w:ascii="Arial"/>
          <w:sz w:val="24"/>
          <w:color w:val="navy"/>
        </w:rPr>
        <w:t xml:space="preserve">ARTΝCULO 2.3.1.8.3.5.4. VENTANILLA O FILA PREFERENCIAL.</w:t>
      </w:r>
      <w:bookmarkEnd w:id="61271"/>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En los aeropuertos operados por la Unidad Administrativa Especial de Aeronαutica Civil, por las gobernaciones o por los municipios, o por particulares en los que se preste atenciσn al pϊblico en general, se deberα identificar y seρalizar una ventanilla o fila preferencial para la atenciσn de los Veteranos, que podrα coincidir con las dispuestas para las mujeres gestantes, personas con discapacidad o de la tercera edad.</w:t>
      </w:r>
    </w:p>
    <w:p>
      <w:pPr>
        <w:jc w:val="both"/>
      </w:pPr>
      <w:rPr>
        <w:sz w:val="24"/>
        <w:b/>
        <w:color w:val="black"/>
      </w:rPr>
    </w:p>
    <w:p>
      <w:pPr>
        <w:jc w:val="both"/>
      </w:pPr>
      <w:r>
        <w:rPr>
          <w:rFonts w:hAnsi="Arial"/>
          <w:rFonts w:ascii="Arial"/>
          <w:sz w:val="24"/>
          <w:color w:val="black"/>
        </w:rPr>
        <w:t xml:space="preserve">En caso de no contar con ventanilla o fila preferencial, se deberα privilegiar la atenciσn de los Veteranos en las ventanillas o filas habilitadas.</w:t>
      </w:r>
    </w:p>
    <w:p>
      <w:pPr>
        <w:jc w:val="both"/>
      </w:pPr>
      <w:rPr>
        <w:color w:val="black"/>
      </w:rPr>
    </w:p>
    <w:p>
      <w:pPr>
        <w:jc w:val="both"/>
      </w:pPr>
      <w:r>
        <w:rPr>
          <w:rFonts w:hAnsi="Arial"/>
          <w:rFonts w:ascii="Arial"/>
          <w:sz w:val="24"/>
          <w:b/>
          <w:vanish/>
          <w:color w:val="black"/>
        </w:rPr>
        <w:t>&amp;$</w:t>
      </w:r>
      <w:bookmarkStart w:id="61272" w:name="2.3.1.8.3.5.5"/>
      <w:r>
        <w:rPr>
          <w:rFonts w:hAnsi="Arial"/>
          <w:rFonts w:ascii="Arial"/>
          <w:sz w:val="24"/>
          <w:color w:val="navy"/>
        </w:rPr>
        <w:t xml:space="preserve">ARTΝCULO 2.3.1.8.3.5.5. PRIORIDAD EN EL EMBARQUE.</w:t>
      </w:r>
      <w:bookmarkEnd w:id="61272"/>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empresas de servicios aιreos comerciales que operen en territorio colombiano, al momento de realizar el embarque deberαn dar prioridad a los Veteranos, efecto para el cual podrαn habilitar una fila de acceso preferencial que podrα coincidir con la de las mujeres gestantes, personas con discapacidad o de la tercera edad; o, si por la disposiciσn del espacio esto no es posible, se les podrα convocar en un llamado Inicial para embarcar previamente a los demαs pasajeros; este llamado podrα coincidir con el efectuado a los miembros de los otros grupos poblacionales ya referidos.</w:t>
      </w:r>
    </w:p>
    <w:p>
      <w:pPr>
        <w:jc w:val="both"/>
      </w:pPr>
      <w:rPr>
        <w:color w:val="black"/>
      </w:rPr>
    </w:p>
    <w:p>
      <w:pPr>
        <w:jc w:val="both"/>
      </w:pPr>
      <w:r>
        <w:rPr>
          <w:rFonts w:hAnsi="Arial"/>
          <w:rFonts w:ascii="Arial"/>
          <w:sz w:val="24"/>
          <w:b/>
          <w:vanish/>
          <w:color w:val="black"/>
        </w:rPr>
        <w:t>&amp;$</w:t>
      </w:r>
      <w:bookmarkStart w:id="61273" w:name="2.3.1.8.3.5.6"/>
      <w:r>
        <w:rPr>
          <w:rFonts w:hAnsi="Arial"/>
          <w:rFonts w:ascii="Arial"/>
          <w:sz w:val="24"/>
          <w:color w:val="navy"/>
        </w:rPr>
        <w:t xml:space="preserve">ARTΝCULO 2.3.1.8.3.5.6. SALUDO EL DΝA DEL VETERANO.</w:t>
      </w:r>
      <w:bookmarkEnd w:id="61273"/>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empresas de servicios aιreos comerciales colombianas, el dνa 10 de octubre de cada aρo, deberαn informar sobrι el dνa cνvico del Veterano a los pasajeros y exaltar en cada vuelo la labor de los Veteranos con el siguiente anuncio a travιs de los sistemas de altavoz en las aeronaves: “Saludamos en su dνa a todos los Veteranos del Ejιrcito Nacional, la Armada Nacional, la Fuerza Aιrea, colombiana y la Policνa Nacional de Colombia, como muestra de gratitud por su entrega en bien de la Patria".</w:t>
      </w:r>
    </w:p>
    <w:p>
      <w:pPr>
        <w:jc w:val="both"/>
      </w:pPr>
      <w:rPr>
        <w:color w:val="black"/>
      </w:rPr>
    </w:p>
    <w:p>
      <w:pPr>
        <w:jc w:val="both"/>
      </w:pPr>
      <w:r>
        <w:rPr>
          <w:rFonts w:hAnsi="Arial"/>
          <w:rFonts w:ascii="Arial"/>
          <w:sz w:val="24"/>
          <w:b/>
          <w:vanish/>
          <w:color w:val="black"/>
        </w:rPr>
        <w:t>&amp;$</w:t>
      </w:r>
      <w:bookmarkStart w:id="61274" w:name="2.3.1.8.3.5.7"/>
      <w:r>
        <w:rPr>
          <w:rFonts w:hAnsi="Arial"/>
          <w:rFonts w:ascii="Arial"/>
          <w:sz w:val="24"/>
          <w:color w:val="navy"/>
        </w:rPr>
        <w:t xml:space="preserve">ARTΝCULO 2.3.1.8.3.5.7. EXENCIΣN TASA AEROPORTUARIA.</w:t>
      </w:r>
      <w:bookmarkEnd w:id="61274"/>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Los Veteranos podrαn ser eximidos del pago de la tasa aeroportuaria en los aeropuertos administrados por la Unidad Administrativa Especial de Aeronαutica Civil conforme a la reglamentaciσn que esta autoridad expida.</w:t>
      </w:r>
    </w:p>
    <w:p>
      <w:pPr>
        <w:jc w:val="both"/>
      </w:pPr>
      <w:rPr>
        <w:color w:val="black"/>
      </w:rPr>
    </w:p>
    <w:p>
      <w:pPr>
        <w:jc w:val="center"/>
      </w:pPr>
      <w:r>
        <w:rPr>
          <w:rFonts w:hAnsi="Arial"/>
          <w:rFonts w:ascii="Arial"/>
          <w:sz w:val="24"/>
          <w:b/>
          <w:vanish/>
          <w:color w:val="black"/>
        </w:rPr>
        <w:t>&amp;$</w:t>
      </w:r>
      <w:bookmarkStart w:id="61275" w:name="SUBSECCIÓN 2.3.1.8.3.6"/>
      <w:r>
        <w:rPr>
          <w:rFonts w:hAnsi="Arial"/>
          <w:rFonts w:ascii="Arial"/>
          <w:sz w:val="24"/>
          <w:color w:val="navy"/>
        </w:rPr>
        <w:t xml:space="preserve">SUBSECCIΣN 6. </w:t>
      </w:r>
    </w:p>
    <w:p>
      <w:pPr>
        <w:jc w:val="center"/>
      </w:pPr>
      <w:r>
        <w:rPr>
          <w:rFonts w:hAnsi="Arial"/>
          <w:rFonts w:ascii="Arial"/>
          <w:sz w:val="24"/>
          <w:color w:val="navy"/>
        </w:rPr>
        <w:t xml:space="preserve">BENEFICIOS EN PROGRAMAS ASISTENCIALES.</w:t>
      </w:r>
      <w:bookmarkEnd w:id="6127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76" w:name="2.3.1.8.3.6.1"/>
      <w:r>
        <w:rPr>
          <w:rFonts w:hAnsi="Arial"/>
          <w:rFonts w:ascii="Arial"/>
          <w:sz w:val="24"/>
          <w:color w:val="navy"/>
        </w:rPr>
        <w:t xml:space="preserve">ARTΝCULO 2.3.1.8.3.6.1. PROGRAMAS DE EMPRENDIMIENTO.</w:t>
      </w:r>
      <w:bookmarkEnd w:id="61276"/>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entidades del Gobierno nacional que conforman la Comisiσn intersectorial para la Atenciσn Integral al Veterano que desarrollen programas de emprendimiento, incluirαn dentro de estos programas, criterios de priorizaciσn para la poblaciσn de que trata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sin perjuicio de la focalizaciσn especνfica de aquellos programas que por ley estιn orientados a otras poblaciones prioritarias.</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propuestas presentadas deberαn cumplir con la totalidad de requisitos y documentaciσn exigida en cada uno de los programas, asν como, cumplir con el proceso de evaluaciσn que haya sido definido en el programa al que los Veteranos apliquen.</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Ministerio de Agricultura y Desarrollo Rural priorizarα dentro de sus programas de apoyos, capacitaciσn e incentivos a los beneficiarios de que trata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w:t>
      </w:r>
    </w:p>
    <w:p>
      <w:pPr>
        <w:jc w:val="both"/>
      </w:pPr>
      <w:rPr>
        <w:color w:val="black"/>
      </w:rPr>
    </w:p>
    <w:p>
      <w:pPr>
        <w:jc w:val="both"/>
      </w:pPr>
      <w:r>
        <w:rPr>
          <w:rFonts w:hAnsi="Arial"/>
          <w:rFonts w:ascii="Arial"/>
          <w:sz w:val="24"/>
          <w:b/>
          <w:vanish/>
          <w:color w:val="black"/>
        </w:rPr>
        <w:t>&amp;$</w:t>
      </w:r>
      <w:bookmarkStart w:id="61277" w:name="2.3.1.8.3.6.2"/>
      <w:r>
        <w:rPr>
          <w:rFonts w:hAnsi="Arial"/>
          <w:rFonts w:ascii="Arial"/>
          <w:sz w:val="24"/>
          <w:color w:val="navy"/>
        </w:rPr>
        <w:t xml:space="preserve">ARTΝCULO 2.3.1.8.3.6.2. SUBSIDIO FAMILIAR DE VIVIENDA.</w:t>
      </w:r>
      <w:bookmarkEnd w:id="61277"/>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Gobierno nacional a travιs del Ministerio de Vivienda, Ciudad y Territorio, prestarα acompaρamiento social a los Veteranos y su nϊcleo familiar definidos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con el fin de facilitar su postulaciσn y la asignaciσn del subsidio familiar de vivienda en todas sus modalidades.</w:t>
      </w:r>
    </w:p>
    <w:p>
      <w:pPr>
        <w:jc w:val="both"/>
      </w:pPr>
      <w:rPr>
        <w:color w:val="black"/>
      </w:rPr>
    </w:p>
    <w:p>
      <w:pPr>
        <w:jc w:val="both"/>
      </w:pPr>
      <w:r>
        <w:rPr>
          <w:rFonts w:hAnsi="Arial"/>
          <w:rFonts w:ascii="Arial"/>
          <w:sz w:val="24"/>
          <w:b/>
          <w:vanish/>
          <w:color w:val="black"/>
        </w:rPr>
        <w:t>&amp;$</w:t>
      </w:r>
      <w:bookmarkStart w:id="61278" w:name="2.3.1.8.3.6.3"/>
      <w:r>
        <w:rPr>
          <w:rFonts w:hAnsi="Arial"/>
          <w:rFonts w:ascii="Arial"/>
          <w:sz w:val="24"/>
          <w:color w:val="navy"/>
        </w:rPr>
        <w:t xml:space="preserve">ARTΝCULO 2.3.1.8.3.6.3. OFERTA INSTITUCIONAL.</w:t>
      </w:r>
      <w:bookmarkEnd w:id="61278"/>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entidades del Sistema Nacional de Atenciσn y Reparaciσn Integral a las Vνctimas (SNARIV), dispondrαn de oferta institucional dirigida a aquellos miembros de la Fuerza Pϊblica que sean vνctimas en los tιrminos del artνculo </w:t>
      </w:r>
      <w:r>
        <w:fldChar w:fldCharType="begin"/>
      </w:r>
      <w:r>
        <w:instrText>HYPERLINK "http://www.redjurista.com/document.aspx?ajcode=l1448011&amp;arts=3"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1448 de 2011, por hechos ocurridos en servicio activo, en razσn y con ocasiσn del mismo, para lo cual la Unidad para la Atenciσn y Reparaciσn Integral a las Vνctimas cσmo coordinadora del SNARIV, adelantarα la articulaciσn de la misma para promover el acceso efectivo a este grupo poblacional.</w:t>
      </w:r>
    </w:p>
    <w:p>
      <w:pPr>
        <w:jc w:val="center"/>
      </w:pPr>
      <w:rPr>
        <w:sz w:val="24"/>
        <w:b/>
        <w:color w:val="black"/>
      </w:rPr>
    </w:p>
    <w:p>
      <w:pPr>
        <w:jc w:val="center"/>
      </w:pPr>
      <w:r>
        <w:rPr>
          <w:rFonts w:hAnsi="Arial"/>
          <w:rFonts w:ascii="Arial"/>
          <w:sz w:val="24"/>
          <w:b/>
          <w:vanish/>
          <w:color w:val="black"/>
        </w:rPr>
        <w:t>&amp;$</w:t>
      </w:r>
      <w:bookmarkStart w:id="61279" w:name="SUBSECCIÓN 2.3.1.8.3.7"/>
      <w:r>
        <w:rPr>
          <w:rFonts w:hAnsi="Arial"/>
          <w:rFonts w:ascii="Arial"/>
          <w:sz w:val="24"/>
          <w:color w:val="navy"/>
        </w:rPr>
        <w:t xml:space="preserve">SUBSECCIΣN 7. </w:t>
      </w:r>
    </w:p>
    <w:p>
      <w:pPr>
        <w:jc w:val="center"/>
      </w:pPr>
      <w:r>
        <w:rPr>
          <w:rFonts w:hAnsi="Arial"/>
          <w:rFonts w:ascii="Arial"/>
          <w:sz w:val="24"/>
          <w:color w:val="navy"/>
        </w:rPr>
        <w:t xml:space="preserve">BENEFICIOS EN IMPORTACIΣN.</w:t>
      </w:r>
      <w:bookmarkEnd w:id="6127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80" w:name="2.3.1.8.3.7.1"/>
      <w:r>
        <w:rPr>
          <w:rFonts w:hAnsi="Arial"/>
          <w:rFonts w:ascii="Arial"/>
          <w:sz w:val="24"/>
          <w:color w:val="navy"/>
        </w:rPr>
        <w:t xml:space="preserve">ARTΝCULO 2.3.1.8.3.7.1. IMPORTACIΣN VEHΝCULOS.</w:t>
      </w:r>
      <w:bookmarkEnd w:id="61280"/>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Para acceder al beneficio de importaciσn de un (1) vehνculo nuevo con caracterνsticas especiales acordes con su limitaciσn fνsica o incapacidad permanente, los Veteranos deberαn presentar ademαs de los documentos soporte que establece el artνculo </w:t>
      </w:r>
      <w:r>
        <w:fldChar w:fldCharType="begin"/>
      </w:r>
      <w:r>
        <w:instrText>HYPERLINK "http://www.redjurista.com/document.aspx?ajcode=d1165019&amp;arts=177"</w:instrText>
      </w:r>
      <w:r>
        <w:fldChar w:fldCharType="separate"/>
      </w:r>
      <w:r>
        <w:rPr>
          <w:rFonts w:hAnsi="Arial"/>
          <w:rFonts w:ascii="Arial"/>
          <w:sz w:val="24"/>
          <w:u w:val="single"/>
          <w:color w:val="black"/>
        </w:rPr>
        <w:t>177</w:t>
      </w:r>
      <w:r>
        <w:fldChar w:fldCharType="end"/>
      </w:r>
      <w:r>
        <w:rPr>
          <w:rFonts w:hAnsi="Arial"/>
          <w:rFonts w:ascii="Arial"/>
          <w:sz w:val="24"/>
          <w:u w:val="none"/>
          <w:color w:val="black"/>
        </w:rPr>
        <w:t xml:space="preserve"> del Decreto 1165 de 2019 o las normas que lo modifiquen, sustituyan, adicionen o derogue, los siguientes documentos:</w:t>
      </w:r>
    </w:p>
    <w:p>
      <w:pPr>
        <w:jc w:val="both"/>
      </w:pPr>
      <w:rPr>
        <w:sz w:val="24"/>
        <w:b/>
        <w:color w:val="black"/>
      </w:rPr>
    </w:p>
    <w:p>
      <w:pPr>
        <w:jc w:val="both"/>
      </w:pPr>
      <w:r>
        <w:rPr>
          <w:rFonts w:hAnsi="Arial"/>
          <w:rFonts w:ascii="Arial"/>
          <w:sz w:val="24"/>
          <w:color w:val="black"/>
        </w:rPr>
        <w:t xml:space="preserve">1. Certificaciσn expedida por el Ministerio de Defensa Nacional que lo acredite como Veterano.</w:t>
      </w:r>
    </w:p>
    <w:p>
      <w:pPr>
        <w:jc w:val="both"/>
      </w:pPr>
      <w:rPr>
        <w:sz w:val="24"/>
        <w:b/>
        <w:color w:val="black"/>
      </w:rPr>
    </w:p>
    <w:p>
      <w:pPr>
        <w:jc w:val="both"/>
      </w:pPr>
      <w:r>
        <w:rPr>
          <w:rFonts w:hAnsi="Arial"/>
          <w:rFonts w:ascii="Arial"/>
          <w:sz w:val="24"/>
          <w:color w:val="black"/>
        </w:rPr>
        <w:t xml:space="preserve">2. Certificaciσn de discapacidad expedida por las Direcciones de Sanidad de las Fuerzas Militares y/o la Direcciσn de Sanidad de la Policνa Nacional, o quien haga sus veces de conformidad con lo dispuesto en la Resoluciσn </w:t>
      </w:r>
      <w:r>
        <w:fldChar w:fldCharType="begin"/>
      </w:r>
      <w:r>
        <w:instrText>HYPERLINK "http://www.redjurista.com/document.aspx?ajcode=r_msps_0113_2020&amp;arts=INICIO"</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2020 proferida por el Ministerio de Salud y Protecciσn Social, o normas que lo modifiquen, sustituyan o adicionen</w:t>
      </w:r>
    </w:p>
    <w:p>
      <w:pPr>
        <w:jc w:val="both"/>
      </w:pPr>
      <w:rPr>
        <w:sz w:val="24"/>
        <w:b/>
        <w:color w:val="black"/>
      </w:rPr>
    </w:p>
    <w:p>
      <w:pPr>
        <w:jc w:val="both"/>
      </w:pPr>
      <w:r>
        <w:rPr>
          <w:rFonts w:hAnsi="Arial"/>
          <w:rFonts w:ascii="Arial"/>
          <w:sz w:val="24"/>
          <w:color w:val="black"/>
        </w:rPr>
        <w:t xml:space="preserve">3. Registro de Importaciσn expedido por el Ministerio de Comercio, Industria y Turismo.</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Hasta tanto las Direcciones de Sanidad de las Fuerzas Militares y/o la Direcciσn de Sanidad de la Policνa Nacional, reglamenten y cuenten con los equipos multidisciplinarios de conformidad con la normatividad vigente, estos certificados de discapacidad serαn expedidos por los mιdicos tratantes.</w:t>
      </w:r>
    </w:p>
    <w:p>
      <w:pPr>
        <w:jc w:val="both"/>
      </w:pPr>
      <w:rPr>
        <w:color w:val="black"/>
      </w:rPr>
    </w:p>
    <w:p>
      <w:pPr>
        <w:jc w:val="both"/>
      </w:pPr>
      <w:r>
        <w:rPr>
          <w:rFonts w:hAnsi="Arial"/>
          <w:rFonts w:ascii="Arial"/>
          <w:sz w:val="24"/>
          <w:b/>
          <w:vanish/>
          <w:color w:val="black"/>
        </w:rPr>
        <w:t>&amp;$</w:t>
      </w:r>
      <w:bookmarkStart w:id="61281" w:name="2.3.1.8.3.7.2"/>
      <w:r>
        <w:rPr>
          <w:rFonts w:hAnsi="Arial"/>
          <w:rFonts w:ascii="Arial"/>
          <w:sz w:val="24"/>
          <w:color w:val="navy"/>
        </w:rPr>
        <w:t xml:space="preserve">ARTΝCULO 2.3.1.8.3.7.2. ENAJENACIΣN DEL VEHΝCULO.</w:t>
      </w:r>
      <w:bookmarkEnd w:id="61281"/>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vehνculo importado no podrα ser enajenado por el titular antes de los cinco (5) aρos, contados a partir de la fecha de la matrνcula.</w:t>
      </w:r>
    </w:p>
    <w:p>
      <w:pPr>
        <w:jc w:val="both"/>
      </w:pPr>
      <w:rPr>
        <w:color w:val="black"/>
      </w:rPr>
    </w:p>
    <w:p>
      <w:pPr>
        <w:jc w:val="both"/>
      </w:pPr>
      <w:r>
        <w:rPr>
          <w:rFonts w:hAnsi="Arial"/>
          <w:rFonts w:ascii="Arial"/>
          <w:sz w:val="24"/>
          <w:b/>
          <w:vanish/>
          <w:color w:val="black"/>
        </w:rPr>
        <w:t>&amp;$</w:t>
      </w:r>
      <w:bookmarkStart w:id="61282" w:name="2.3.1.8.3.7.3"/>
      <w:r>
        <w:rPr>
          <w:rFonts w:hAnsi="Arial"/>
          <w:rFonts w:ascii="Arial"/>
          <w:sz w:val="24"/>
          <w:color w:val="navy"/>
        </w:rPr>
        <w:t xml:space="preserve">ARTΝCULO 2.3.1.8.3.7.3. CARACTERΝSTICAS DEL VEHΝCULO.</w:t>
      </w:r>
      <w:bookmarkEnd w:id="61282"/>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vehνculo que pretende importar el Veterano de la Fuerza Pϊblica, deberα cumplir con las caracterνsticas especiales acordes con su limitaciσn fνsica o incapacidad permanente contemplado en el certificado de discapacidad expedido por las Direcciones de Sanidad de las Fuerzas Militares y/o la Direcciσn de Sanidad de la Policνa Nacional, o quien haga sus Veces.</w:t>
      </w:r>
    </w:p>
    <w:p>
      <w:pPr>
        <w:jc w:val="both"/>
      </w:pPr>
      <w:rPr>
        <w:color w:val="black"/>
      </w:rPr>
    </w:p>
    <w:p>
      <w:pPr>
        <w:jc w:val="both"/>
      </w:pPr>
      <w:r>
        <w:rPr>
          <w:rFonts w:hAnsi="Arial"/>
          <w:rFonts w:ascii="Arial"/>
          <w:sz w:val="24"/>
          <w:b/>
          <w:vanish/>
          <w:color w:val="black"/>
        </w:rPr>
        <w:t>&amp;$</w:t>
      </w:r>
      <w:bookmarkStart w:id="61283" w:name="2.3.1.8.3.7.4"/>
      <w:r>
        <w:rPr>
          <w:rFonts w:hAnsi="Arial"/>
          <w:rFonts w:ascii="Arial"/>
          <w:sz w:val="24"/>
          <w:color w:val="navy"/>
        </w:rPr>
        <w:t xml:space="preserve">ARTΝCULO 2.3.1.8.3.7.4. IMPORTACIΣN DE ELEMENTOS MΙDICOS, TECNOLΣGICOS, ESTΙTICOS O COSMΙTICOS.</w:t>
      </w:r>
      <w:bookmarkEnd w:id="61283"/>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Para efectos de la importaciσn de elementos mιdicos, tecnolσgicos, estιticos o cosmιticos, deberα obtenerse la correspondiente certificaciσn que acredite al Veterano como importador, asν como la certificaciσn de discapacidad la cual serα expedida por las Direcciones de Sanidad de las Fuerzas Militares y/o la Direcciσn de Sanidad de la Policνa Nacional, o quien haga sus veces de conformidad con lo dispuesto en la Resoluciσn </w:t>
      </w:r>
      <w:r>
        <w:fldChar w:fldCharType="begin"/>
      </w:r>
      <w:r>
        <w:instrText>HYPERLINK "http://www.redjurista.com/document.aspx?ajcode=r_msps_0113_2020&amp;arts=INICIO"</w:instrText>
      </w:r>
      <w:r>
        <w:fldChar w:fldCharType="separate"/>
      </w:r>
      <w:r>
        <w:rPr>
          <w:rFonts w:hAnsi="Arial"/>
          <w:rFonts w:ascii="Arial"/>
          <w:sz w:val="24"/>
          <w:u w:val="single"/>
          <w:color w:val="black"/>
        </w:rPr>
        <w:t>113</w:t>
      </w:r>
      <w:r>
        <w:fldChar w:fldCharType="end"/>
      </w:r>
      <w:r>
        <w:rPr>
          <w:rFonts w:hAnsi="Arial"/>
          <w:rFonts w:ascii="Arial"/>
          <w:sz w:val="24"/>
          <w:u w:val="none"/>
          <w:color w:val="black"/>
        </w:rPr>
        <w:t xml:space="preserve"> de 2020 proferida por el Ministerio de Salud y Protecciσn Social, o las normas que la modifiquen, sustituyan o adicionen. Dicha certificaciσn serα el documento soporte adicional a los seρalados en el artνculo </w:t>
      </w:r>
      <w:r>
        <w:fldChar w:fldCharType="begin"/>
      </w:r>
      <w:r>
        <w:instrText>HYPERLINK "http://www.redjurista.com/document.aspx?ajcode=d1165019&amp;arts=177"</w:instrText>
      </w:r>
      <w:r>
        <w:fldChar w:fldCharType="separate"/>
      </w:r>
      <w:r>
        <w:rPr>
          <w:rFonts w:hAnsi="Arial"/>
          <w:rFonts w:ascii="Arial"/>
          <w:sz w:val="24"/>
          <w:u w:val="single"/>
          <w:color w:val="black"/>
        </w:rPr>
        <w:t>177</w:t>
      </w:r>
      <w:r>
        <w:fldChar w:fldCharType="end"/>
      </w:r>
      <w:r>
        <w:rPr>
          <w:rFonts w:hAnsi="Arial"/>
          <w:rFonts w:ascii="Arial"/>
          <w:sz w:val="24"/>
          <w:u w:val="none"/>
          <w:color w:val="black"/>
        </w:rPr>
        <w:t xml:space="preserve"> del Decreto 1165 de 2019 o las normas que lo modifiquen, sustituyan, adicionen o deroguen.</w:t>
      </w:r>
    </w:p>
    <w:p>
      <w:pPr>
        <w:jc w:val="both"/>
      </w:pPr>
      <w:rPr>
        <w:sz w:val="24"/>
        <w:b/>
        <w:color w:val="black"/>
      </w:rPr>
    </w:p>
    <w:p>
      <w:pPr>
        <w:jc w:val="both"/>
      </w:pPr>
      <w:r>
        <w:rPr>
          <w:rFonts w:hAnsi="Arial"/>
          <w:rFonts w:ascii="Arial"/>
          <w:sz w:val="24"/>
          <w:color w:val="black"/>
        </w:rPr>
        <w:t xml:space="preserve">La pertinencia del uso de los elementos mιdicos, tecnolσgicos, estιticos o cosmιticos que contribuyan a su rehabilitaciσn integral en caso que asν se requiera por parte del Veterano, deberα quedar determinada en el certificado de discapacidad correspondiente.</w:t>
      </w:r>
    </w:p>
    <w:p>
      <w:pPr>
        <w:jc w:val="both"/>
      </w:pPr>
      <w:rPr>
        <w:color w:val="black"/>
      </w:rPr>
    </w:p>
    <w:p>
      <w:pPr>
        <w:jc w:val="both"/>
      </w:pPr>
      <w:r>
        <w:rPr>
          <w:rFonts w:hAnsi="Arial"/>
          <w:rFonts w:ascii="Arial"/>
          <w:sz w:val="24"/>
          <w:b/>
          <w:vanish/>
          <w:color w:val="black"/>
        </w:rPr>
        <w:t>&amp;$</w:t>
      </w:r>
      <w:bookmarkStart w:id="61284" w:name="2.3.1.8.3.7.5"/>
      <w:r>
        <w:rPr>
          <w:rFonts w:hAnsi="Arial"/>
          <w:rFonts w:ascii="Arial"/>
          <w:sz w:val="24"/>
          <w:color w:val="navy"/>
        </w:rPr>
        <w:t xml:space="preserve">ARTΝCULO 2.3.1.8.3.7.5. SANCIONES EN MATERIA ADUANERA.</w:t>
      </w:r>
      <w:bookmarkEnd w:id="61284"/>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incumplimiento de lo previsto en la presente secciσn en materia aduanera, darα lugar a la imposiciσn de las sanciones previstas en el Decreto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normas que lo modifiquen, adicionen, sustituyan o deroguen.</w:t>
      </w:r>
    </w:p>
    <w:p>
      <w:pPr>
        <w:jc w:val="center"/>
      </w:pPr>
      <w:rPr>
        <w:sz w:val="24"/>
        <w:b/>
        <w:color w:val="black"/>
      </w:rPr>
    </w:p>
    <w:p>
      <w:pPr>
        <w:jc w:val="center"/>
      </w:pPr>
      <w:r>
        <w:rPr>
          <w:rFonts w:hAnsi="Arial"/>
          <w:rFonts w:ascii="Arial"/>
          <w:sz w:val="24"/>
          <w:b/>
          <w:vanish/>
          <w:color w:val="black"/>
        </w:rPr>
        <w:t>&amp;$</w:t>
      </w:r>
      <w:bookmarkStart w:id="61285" w:name="SUBSECCIÓN 2.3.1.8.3.8"/>
      <w:r>
        <w:rPr>
          <w:rFonts w:hAnsi="Arial"/>
          <w:rFonts w:ascii="Arial"/>
          <w:sz w:val="24"/>
          <w:color w:val="navy"/>
        </w:rPr>
        <w:t xml:space="preserve">SUBSECCIΣN 8. </w:t>
      </w:r>
    </w:p>
    <w:p>
      <w:pPr>
        <w:jc w:val="center"/>
      </w:pPr>
      <w:r>
        <w:rPr>
          <w:rFonts w:hAnsi="Arial"/>
          <w:rFonts w:ascii="Arial"/>
          <w:sz w:val="24"/>
          <w:color w:val="navy"/>
        </w:rPr>
        <w:t xml:space="preserve">BENEFICIOS INTEGRALES SECTOR PRIVADO.</w:t>
      </w:r>
      <w:bookmarkEnd w:id="6128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86" w:name="2.3.1.8.3.8.1"/>
      <w:r>
        <w:rPr>
          <w:rFonts w:hAnsi="Arial"/>
          <w:rFonts w:ascii="Arial"/>
          <w:sz w:val="24"/>
          <w:color w:val="navy"/>
        </w:rPr>
        <w:t xml:space="preserve">ARTΝCULO 2.3.1.8.3.8.1. BENEFICIOS INTEGRALES SECTOR PRIVADO.</w:t>
      </w:r>
      <w:bookmarkEnd w:id="61286"/>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Ministerio de Defensa Nacional en coordinaciσn con el Ministerio de Comercio, Industria y Turismo, concertarα con el Sector Privado, beneficios integrales para el personal consagrado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 La materializaciσn del otorgamiento de los beneficiarios de la Ley, se realizarα a travιs de alianzas, convenios u otras modalidades de vinculaciσn jurνdica.</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efecto del presente Decreto, entiιndase por Beneficios Integrales, las acciones que potencien los factores que contribuyan al fortalecimiento de la calidad de vida de los Veteranos de la Fuerza Pϊblica y sus familias, establecidos en la Polνtica Integral de Bienestar del Sector Defensa, o aquellas que la modifiquen, sustituyen o adicionen.</w:t>
      </w:r>
    </w:p>
    <w:p>
      <w:pPr>
        <w:jc w:val="center"/>
      </w:pPr>
      <w:rPr>
        <w:sz w:val="24"/>
        <w:b/>
        <w:color w:val="black"/>
      </w:rPr>
    </w:p>
    <w:p>
      <w:pPr>
        <w:jc w:val="center"/>
      </w:pPr>
      <w:r>
        <w:rPr>
          <w:rFonts w:hAnsi="Arial"/>
          <w:rFonts w:ascii="Arial"/>
          <w:sz w:val="24"/>
          <w:b/>
          <w:vanish/>
          <w:color w:val="black"/>
        </w:rPr>
        <w:t>&amp;$</w:t>
      </w:r>
      <w:bookmarkStart w:id="61287" w:name="SUBSECCIÓN 2.3.1.8.3.9"/>
      <w:r>
        <w:rPr>
          <w:rFonts w:hAnsi="Arial"/>
          <w:rFonts w:ascii="Arial"/>
          <w:sz w:val="24"/>
          <w:color w:val="navy"/>
        </w:rPr>
        <w:t xml:space="preserve">SUBSECCIΣN 9. </w:t>
        <w:br w:type="textWrapping"/>
        <w:t>BENEFICIOS CREDITICIOS.</w:t>
      </w:r>
      <w:bookmarkEnd w:id="6128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88" w:name="2.3.1.8.3.9.1"/>
      <w:r>
        <w:rPr>
          <w:rFonts w:hAnsi="Arial"/>
          <w:rFonts w:ascii="Arial"/>
          <w:sz w:val="24"/>
          <w:color w:val="navy"/>
        </w:rPr>
        <w:t xml:space="preserve">ARTΝCULO 2.3.1.8.3.9.1. BENEFICIOS CREDITICIOS.</w:t>
      </w:r>
      <w:bookmarkEnd w:id="61288"/>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Las entidades bancadas, cooperativas de crιdito y demαs entidades del sector financiero podrαn otorgar una lνnea de crιdito especial con tasas de interιs preferencial para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Direcciσn de Bienestar Sectorial y Salud del Ministerio de Defensa Nacional o quien asuma sus funciones, suscribirα convenios u otras modalidades de vinculaciσn jurνdica, con las entidades del sector financiero para el otorgamiento de las lνneas de crιdito con tasas de interιs preferencial para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center"/>
      </w:pPr>
      <w:r>
        <w:rPr>
          <w:rFonts w:hAnsi="Arial"/>
          <w:rFonts w:ascii="Arial"/>
          <w:sz w:val="24"/>
          <w:b/>
          <w:vanish/>
          <w:color w:val="black"/>
        </w:rPr>
        <w:t>&amp;$</w:t>
      </w:r>
      <w:bookmarkStart w:id="61289" w:name="SUBSECCIÓN 2.3.1.8.3.10"/>
      <w:r>
        <w:rPr>
          <w:rFonts w:hAnsi="Arial"/>
          <w:rFonts w:ascii="Arial"/>
          <w:sz w:val="24"/>
          <w:color w:val="navy"/>
        </w:rPr>
        <w:t xml:space="preserve">SUBSECCIΣN 10. </w:t>
      </w:r>
    </w:p>
    <w:p>
      <w:pPr>
        <w:jc w:val="center"/>
      </w:pPr>
      <w:r>
        <w:rPr>
          <w:rFonts w:hAnsi="Arial"/>
          <w:rFonts w:ascii="Arial"/>
          <w:sz w:val="24"/>
          <w:color w:val="navy"/>
        </w:rPr>
        <w:t xml:space="preserve">DESCUENTO EN EL TRΑMITE DE ACTUALIZACIΣN DE LOS REGISTROS DE ARMAS DE FUEGO Y PERMISOS VENCIDOS.</w:t>
      </w:r>
      <w:bookmarkEnd w:id="6128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90" w:name="2.3.1.8.3.10.1"/>
      <w:r>
        <w:rPr>
          <w:rFonts w:hAnsi="Arial"/>
          <w:rFonts w:ascii="Arial"/>
          <w:sz w:val="24"/>
          <w:color w:val="navy"/>
        </w:rPr>
        <w:t xml:space="preserve">ARTΝCULO 2.3.1.8.3.10.1. DESCUENTO.</w:t>
      </w:r>
      <w:bookmarkEnd w:id="61290"/>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En el trαmite de Actualizaciσn de los Registros de Armas de Fuego y Permisos Vencidos, el descuento otorgado por la Ley, se realizarα sobre el valor de papelerνa.</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acceder al descuento la Industria Militar de Colombia “INDUMIL" o la entidad que la reemplace o asuma sus funciones, solicitarα el documento que acredite al beneficiario como Veterano.</w:t>
      </w:r>
    </w:p>
    <w:p>
      <w:pPr>
        <w:jc w:val="center"/>
      </w:pPr>
      <w:rPr>
        <w:sz w:val="24"/>
        <w:b/>
        <w:color w:val="black"/>
      </w:rPr>
    </w:p>
    <w:p>
      <w:pPr>
        <w:jc w:val="center"/>
      </w:pPr>
      <w:r>
        <w:rPr>
          <w:rFonts w:hAnsi="Arial"/>
          <w:rFonts w:ascii="Arial"/>
          <w:sz w:val="24"/>
          <w:b/>
          <w:vanish/>
          <w:color w:val="black"/>
        </w:rPr>
        <w:t>&amp;$</w:t>
      </w:r>
      <w:bookmarkStart w:id="61291" w:name="SECCIÓN 2.3.1.8.2.8"/>
      <w:r>
        <w:rPr>
          <w:rFonts w:hAnsi="Arial"/>
          <w:rFonts w:ascii="Arial"/>
          <w:sz w:val="24"/>
          <w:color w:val="navy"/>
        </w:rPr>
        <w:t xml:space="preserve">SECCIΣN 4. </w:t>
      </w:r>
    </w:p>
    <w:p>
      <w:pPr>
        <w:jc w:val="center"/>
      </w:pPr>
      <w:r>
        <w:rPr>
          <w:rFonts w:hAnsi="Arial"/>
          <w:rFonts w:ascii="Arial"/>
          <w:sz w:val="24"/>
          <w:color w:val="navy"/>
        </w:rPr>
        <w:t xml:space="preserve">APROPIACIΣN RECURSOS REGISTRO ΪNICO DE VETERANO Y DΝA DEL VETERANO.</w:t>
      </w:r>
      <w:bookmarkEnd w:id="61291"/>
      <w:r>
        <w:rPr>
          <w:rFonts w:hAnsi="Arial"/>
          <w:rFonts w:ascii="Arial"/>
          <w:sz w:val="24"/>
          <w:b/>
          <w:color w:val="black"/>
        </w:rPr>
        <w:t xml:space="preserve"> </w:t>
        <w:br w:type="textWrapping"/>
        <w:t/>
      </w:r>
    </w:p>
    <w:p>
      <w:pPr>
        <w:jc w:val="both"/>
      </w:pPr>
      <w:r>
        <w:rPr>
          <w:rFonts w:hAnsi="Arial"/>
          <w:rFonts w:ascii="Arial"/>
          <w:sz w:val="24"/>
          <w:b/>
          <w:vanish/>
          <w:color w:val="black"/>
        </w:rPr>
        <w:t>&amp;$</w:t>
      </w:r>
      <w:bookmarkStart w:id="61292" w:name="2.3.1.8.3.2.8"/>
      <w:r>
        <w:rPr>
          <w:rFonts w:hAnsi="Arial"/>
          <w:rFonts w:ascii="Arial"/>
          <w:sz w:val="24"/>
          <w:color w:val="navy"/>
        </w:rPr>
        <w:t xml:space="preserve">ARTΝCULO 2.3.1.8.3.2.8. APROPIACIΣN DE RECURSOS.</w:t>
      </w:r>
      <w:bookmarkEnd w:id="61292"/>
      <w:r>
        <w:rPr>
          <w:rFonts w:hAnsi="Arial"/>
          <w:rFonts w:ascii="Arial"/>
          <w:sz w:val="24"/>
          <w:color w:val="black"/>
        </w:rPr>
        <w:t xml:space="preserve"> El Ministerio de Defensa Nacional apropiarα los recursos presuspuestales necesarios para la implementaciσn de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 en lo referente al Registro Ϊnico de Veterano y al Dνa del Veterano.</w:t>
      </w:r>
    </w:p>
    <w:p>
      <w:pPr>
        <w:jc w:val="center"/>
      </w:pPr>
      <w:rPr>
        <w:sz w:val="24"/>
        <w:b/>
        <w:color w:val="black"/>
      </w:rPr>
    </w:p>
    <w:p>
      <w:pPr>
        <w:jc w:val="center"/>
      </w:pPr>
      <w:r>
        <w:rPr>
          <w:rFonts w:hAnsi="Arial"/>
          <w:rFonts w:ascii="Arial"/>
          <w:sz w:val="24"/>
          <w:b/>
          <w:vanish/>
          <w:color w:val="black"/>
        </w:rPr>
        <w:t>&amp;$</w:t>
      </w:r>
      <w:bookmarkStart w:id="61293" w:name="SECCIÓN 2.3.1.8.5"/>
      <w:r>
        <w:rPr>
          <w:rFonts w:hAnsi="Arial"/>
          <w:rFonts w:ascii="Arial"/>
          <w:sz w:val="24"/>
          <w:color w:val="navy"/>
        </w:rPr>
        <w:t xml:space="preserve">SECCIΣN 5. </w:t>
      </w:r>
    </w:p>
    <w:p>
      <w:pPr>
        <w:jc w:val="center"/>
      </w:pPr>
      <w:r>
        <w:rPr>
          <w:rFonts w:hAnsi="Arial"/>
          <w:rFonts w:ascii="Arial"/>
          <w:sz w:val="24"/>
          <w:color w:val="navy"/>
        </w:rPr>
        <w:t xml:space="preserve">COMISIΣN INTERSECTORIAL PARA LA ATENCIΣN INTEGRAL AL VETERANO.</w:t>
      </w:r>
      <w:bookmarkEnd w:id="6129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94" w:name="2.3.1.8.5.1"/>
      <w:r>
        <w:rPr>
          <w:rFonts w:hAnsi="Arial"/>
          <w:rFonts w:ascii="Arial"/>
          <w:sz w:val="24"/>
          <w:color w:val="navy"/>
        </w:rPr>
        <w:t xml:space="preserve">ARTΝCULO 2.3.1.8.5.1. OBJETO.</w:t>
      </w:r>
      <w:bookmarkEnd w:id="61294"/>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 presente Secciσn tiene como objeto reglamentar las funciones de la Comisiσn intersectorial para la Atenciσn Integral al Veterano y su Secretarνa Tιcnica, de conformidad con lo previsto en el artνculo </w:t>
      </w:r>
      <w:r>
        <w:fldChar w:fldCharType="begin"/>
      </w:r>
      <w:r>
        <w:instrText>HYPERLINK "http://www.redjurista.com/document.aspx?ajcode=l1979019&amp;arts=26"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1979 de 2019.</w:t>
      </w:r>
    </w:p>
    <w:p>
      <w:pPr>
        <w:jc w:val="both"/>
      </w:pPr>
      <w:rPr>
        <w:color w:val="black"/>
      </w:rPr>
    </w:p>
    <w:p>
      <w:pPr>
        <w:jc w:val="both"/>
      </w:pPr>
      <w:r>
        <w:rPr>
          <w:rFonts w:hAnsi="Arial"/>
          <w:rFonts w:ascii="Arial"/>
          <w:sz w:val="24"/>
          <w:b/>
          <w:vanish/>
          <w:color w:val="black"/>
        </w:rPr>
        <w:t>&amp;$</w:t>
      </w:r>
      <w:bookmarkStart w:id="61295" w:name="2.3.1.8.5.2"/>
      <w:r>
        <w:rPr>
          <w:rFonts w:hAnsi="Arial"/>
          <w:rFonts w:ascii="Arial"/>
          <w:sz w:val="24"/>
          <w:color w:val="navy"/>
        </w:rPr>
        <w:t xml:space="preserve">ARTΝCULO 2.3.1.8.5.2. FUNCIONES.</w:t>
      </w:r>
      <w:bookmarkEnd w:id="61295"/>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 Comisiσn intersectorial para la Atenciσn Integral al Veterano creada mediante el artνculo </w:t>
      </w:r>
      <w:r>
        <w:fldChar w:fldCharType="begin"/>
      </w:r>
      <w:r>
        <w:instrText>HYPERLINK "http://www.redjurista.com/document.aspx?ajcode=l1979019&amp;arts=26"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1979 de 2019, es el σrgano de consulta, diseρo, deliberaciσn, coordinaciσn, orientaciσn que tendrα las siguientes funciones:</w:t>
      </w:r>
    </w:p>
    <w:p>
      <w:pPr>
        <w:jc w:val="both"/>
      </w:pPr>
      <w:rPr>
        <w:sz w:val="24"/>
        <w:b/>
        <w:color w:val="black"/>
      </w:rPr>
    </w:p>
    <w:p>
      <w:pPr>
        <w:jc w:val="both"/>
      </w:pPr>
      <w:r>
        <w:rPr>
          <w:rFonts w:hAnsi="Arial"/>
          <w:rFonts w:ascii="Arial"/>
          <w:sz w:val="24"/>
          <w:color w:val="black"/>
        </w:rPr>
        <w:t xml:space="preserve">1. Hacer seguimiento al cumplimiento de las estrategias, acciones, mecanismos, medidas sociales y de polνtica pϊblica en favor de los Veteranos.</w:t>
      </w:r>
    </w:p>
    <w:p>
      <w:pPr>
        <w:jc w:val="both"/>
      </w:pPr>
      <w:rPr>
        <w:sz w:val="24"/>
        <w:b/>
        <w:color w:val="black"/>
      </w:rPr>
    </w:p>
    <w:p>
      <w:pPr>
        <w:jc w:val="both"/>
      </w:pPr>
      <w:r>
        <w:rPr>
          <w:rFonts w:hAnsi="Arial"/>
          <w:rFonts w:ascii="Arial"/>
          <w:sz w:val="24"/>
          <w:color w:val="black"/>
        </w:rPr>
        <w:t xml:space="preserve">2. Coordinar e impulsar las estrategias, acciones, mecanismos, medidas sociales y de polνtica pϊblica en favor de los Veteranos.</w:t>
      </w:r>
    </w:p>
    <w:p>
      <w:pPr>
        <w:jc w:val="both"/>
      </w:pPr>
      <w:rPr>
        <w:sz w:val="24"/>
        <w:b/>
        <w:color w:val="black"/>
      </w:rPr>
    </w:p>
    <w:p>
      <w:pPr>
        <w:jc w:val="both"/>
      </w:pPr>
      <w:r>
        <w:rPr>
          <w:rFonts w:hAnsi="Arial"/>
          <w:rFonts w:ascii="Arial"/>
          <w:sz w:val="24"/>
          <w:color w:val="black"/>
        </w:rPr>
        <w:t xml:space="preserve">3. Diseρar los distintos arreglos institucionales, polνticas pϊblicas y programas sociales dirigidos a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black"/>
        </w:rPr>
        <w:t xml:space="preserve">4. Diseρar la ruta de atenciσn para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black"/>
        </w:rPr>
        <w:t xml:space="preserve">5. Presentar, un informe pϊblico anual de la implementaciσn de los arreglos institucionales, polνticas pϊblicas y programas sociales en favor de los beneficiarios estipulados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color w:val="black"/>
      </w:rPr>
    </w:p>
    <w:p>
      <w:pPr>
        <w:jc w:val="both"/>
      </w:pPr>
      <w:r>
        <w:rPr>
          <w:rFonts w:hAnsi="Arial"/>
          <w:rFonts w:ascii="Arial"/>
          <w:sz w:val="24"/>
          <w:color w:val="black"/>
        </w:rPr>
        <w:t xml:space="preserve">6. Evaluar por lo menos cada dos (2) aρos los distintos arreglos institucionales, polνticas pϊblicas y programas sociales dirigidos a los beneficiarios del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black"/>
        </w:rPr>
        <w:t xml:space="preserve">7. Activar canales de consulta entre las diferentes entidades pϊblicas nacionales y territoriales y el Consejo de Veteranos.</w:t>
      </w:r>
    </w:p>
    <w:p>
      <w:pPr>
        <w:jc w:val="both"/>
      </w:pPr>
      <w:rPr>
        <w:sz w:val="24"/>
        <w:b/>
        <w:color w:val="black"/>
      </w:rPr>
    </w:p>
    <w:p>
      <w:pPr>
        <w:jc w:val="both"/>
      </w:pPr>
      <w:r>
        <w:rPr>
          <w:rFonts w:hAnsi="Arial"/>
          <w:rFonts w:ascii="Arial"/>
          <w:sz w:val="24"/>
          <w:color w:val="black"/>
        </w:rPr>
        <w:t xml:space="preserve">8. Autorizar la creaciσn de mesas de trabajo para atender temas especνficos, para lo cual se podrα invitar expertos en la materia.</w:t>
      </w:r>
    </w:p>
    <w:p>
      <w:pPr>
        <w:jc w:val="both"/>
      </w:pPr>
      <w:rPr>
        <w:sz w:val="24"/>
        <w:b/>
        <w:color w:val="black"/>
      </w:rPr>
    </w:p>
    <w:p>
      <w:pPr>
        <w:jc w:val="both"/>
      </w:pPr>
      <w:r>
        <w:rPr>
          <w:rFonts w:hAnsi="Arial"/>
          <w:rFonts w:ascii="Arial"/>
          <w:sz w:val="24"/>
          <w:color w:val="black"/>
        </w:rPr>
        <w:t xml:space="preserve">9. Expedir su propio reglamento.</w:t>
      </w:r>
    </w:p>
    <w:p>
      <w:pPr>
        <w:jc w:val="both"/>
      </w:pPr>
      <w:rPr>
        <w:sz w:val="24"/>
        <w:b/>
        <w:color w:val="black"/>
      </w:rPr>
    </w:p>
    <w:p>
      <w:pPr>
        <w:jc w:val="both"/>
      </w:pPr>
      <w:r>
        <w:rPr>
          <w:rFonts w:hAnsi="Arial"/>
          <w:rFonts w:ascii="Arial"/>
          <w:sz w:val="24"/>
          <w:color w:val="black"/>
        </w:rPr>
        <w:t xml:space="preserve">10. Las demαs que sean necesarias para el cumplimiento de su objeto y que sean acordes con su naturaleza.</w:t>
      </w:r>
    </w:p>
    <w:p>
      <w:pPr>
        <w:jc w:val="both"/>
      </w:pPr>
      <w:rPr>
        <w:color w:val="black"/>
      </w:rPr>
    </w:p>
    <w:p>
      <w:pPr>
        <w:jc w:val="both"/>
      </w:pPr>
      <w:r>
        <w:rPr>
          <w:rFonts w:hAnsi="Arial"/>
          <w:rFonts w:ascii="Arial"/>
          <w:sz w:val="24"/>
          <w:b/>
          <w:vanish/>
          <w:color w:val="black"/>
        </w:rPr>
        <w:t>&amp;$</w:t>
      </w:r>
      <w:bookmarkStart w:id="61296" w:name="2.3.1.8.5.3"/>
      <w:r>
        <w:rPr>
          <w:rFonts w:hAnsi="Arial"/>
          <w:rFonts w:ascii="Arial"/>
          <w:sz w:val="24"/>
          <w:color w:val="navy"/>
        </w:rPr>
        <w:t xml:space="preserve">ARTΝCULO 2.3.1.8.5.3. SECRETARIA TΙCNICA.</w:t>
      </w:r>
      <w:bookmarkEnd w:id="61296"/>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 Secretaria Tιcnica de la Comisiσn Intersectorial para la Atenciσn Integral al Veterano, estarα bajo la responsabilidad del Ministerio de Defensa Nacional - Direcciσn de Bienestar Sectorial y Salud - y contarα con un grupo de trabajo permanente y especializado.</w:t>
      </w:r>
    </w:p>
    <w:p>
      <w:pPr>
        <w:jc w:val="both"/>
      </w:pPr>
      <w:rPr>
        <w:color w:val="black"/>
      </w:rPr>
    </w:p>
    <w:p>
      <w:pPr>
        <w:jc w:val="both"/>
      </w:pPr>
      <w:r>
        <w:rPr>
          <w:rFonts w:hAnsi="Arial"/>
          <w:rFonts w:ascii="Arial"/>
          <w:sz w:val="24"/>
          <w:b/>
          <w:vanish/>
          <w:color w:val="black"/>
        </w:rPr>
        <w:t>&amp;$</w:t>
      </w:r>
      <w:bookmarkStart w:id="61297" w:name="2.3.1.8.5.4"/>
      <w:r>
        <w:rPr>
          <w:rFonts w:hAnsi="Arial"/>
          <w:rFonts w:ascii="Arial"/>
          <w:sz w:val="24"/>
          <w:color w:val="navy"/>
        </w:rPr>
        <w:t xml:space="preserve">ARTΝCULO 2.3.1.8.5.4. FUNCIONES DE LA SECRETARIA TΙCNICA.</w:t>
      </w:r>
      <w:bookmarkEnd w:id="61297"/>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La Secretarla Tιcnica desarrollarα las siguientes funciones:</w:t>
      </w:r>
    </w:p>
    <w:p>
      <w:pPr>
        <w:jc w:val="both"/>
      </w:pPr>
      <w:rPr>
        <w:sz w:val="24"/>
        <w:b/>
        <w:color w:val="black"/>
      </w:rPr>
    </w:p>
    <w:p>
      <w:pPr>
        <w:jc w:val="both"/>
      </w:pPr>
      <w:r>
        <w:rPr>
          <w:rFonts w:hAnsi="Arial"/>
          <w:rFonts w:ascii="Arial"/>
          <w:sz w:val="24"/>
          <w:color w:val="black"/>
        </w:rPr>
        <w:t xml:space="preserve">1. Coordinar la convocatoria a las sesiones ordinarias y extraordinarias de la Comisiσn Intersectorial para la Atenciσn Integral del Veterano, preparando el orden del dνa, propuestas, documentos de trabajo y demαs material de apoyo, que sirvan de soporte para las decisiones de la misma.</w:t>
      </w:r>
    </w:p>
    <w:p>
      <w:pPr>
        <w:jc w:val="both"/>
      </w:pPr>
      <w:rPr>
        <w:sz w:val="24"/>
        <w:b/>
        <w:color w:val="black"/>
      </w:rPr>
    </w:p>
    <w:p>
      <w:pPr>
        <w:jc w:val="both"/>
      </w:pPr>
      <w:r>
        <w:rPr>
          <w:rFonts w:hAnsi="Arial"/>
          <w:rFonts w:ascii="Arial"/>
          <w:sz w:val="24"/>
          <w:color w:val="black"/>
        </w:rPr>
        <w:t xml:space="preserve">2. Servir de enlace y brindar apoyo tιcnico para la coordinaciσn entre las entidades que integran la Comisiσn y demαs autoridades.</w:t>
      </w:r>
    </w:p>
    <w:p>
      <w:pPr>
        <w:jc w:val="both"/>
      </w:pPr>
      <w:rPr>
        <w:sz w:val="24"/>
        <w:b/>
        <w:color w:val="black"/>
      </w:rPr>
    </w:p>
    <w:p>
      <w:pPr>
        <w:jc w:val="both"/>
      </w:pPr>
      <w:r>
        <w:rPr>
          <w:rFonts w:hAnsi="Arial"/>
          <w:rFonts w:ascii="Arial"/>
          <w:sz w:val="24"/>
          <w:color w:val="black"/>
        </w:rPr>
        <w:t xml:space="preserve">3. Levantar las actas de cada una de las sesiones de la Comisiσn en las que Indiquen, entre otros, los compromisos adquiridos y los plazos de ejecuciσn; las cuαles serαn suscritas por el presidente y el secretario de la Comisiσn dentro de los diez (10) dνas siguientes a cada sesiσn.</w:t>
      </w:r>
    </w:p>
    <w:p>
      <w:pPr>
        <w:jc w:val="both"/>
      </w:pPr>
      <w:rPr>
        <w:sz w:val="24"/>
        <w:b/>
        <w:color w:val="black"/>
      </w:rPr>
    </w:p>
    <w:p>
      <w:pPr>
        <w:jc w:val="both"/>
      </w:pPr>
      <w:r>
        <w:rPr>
          <w:rFonts w:hAnsi="Arial"/>
          <w:rFonts w:ascii="Arial"/>
          <w:sz w:val="24"/>
          <w:color w:val="black"/>
        </w:rPr>
        <w:t xml:space="preserve">4. Hacer seguimiento al cumplimiento de las decisiones, recomendaciones, acuerdos y compromisos adquiridos.</w:t>
      </w:r>
    </w:p>
    <w:p>
      <w:pPr>
        <w:jc w:val="both"/>
      </w:pPr>
      <w:rPr>
        <w:sz w:val="24"/>
        <w:b/>
        <w:color w:val="black"/>
      </w:rPr>
    </w:p>
    <w:p>
      <w:pPr>
        <w:jc w:val="both"/>
      </w:pPr>
      <w:r>
        <w:rPr>
          <w:rFonts w:hAnsi="Arial"/>
          <w:rFonts w:ascii="Arial"/>
          <w:sz w:val="24"/>
          <w:color w:val="black"/>
        </w:rPr>
        <w:t xml:space="preserve">5. Acompaρar tιcnicamente a la Comisiσn en la coordinaciσn y la articulaciσn Intersectorial.</w:t>
      </w:r>
    </w:p>
    <w:p>
      <w:pPr>
        <w:jc w:val="both"/>
      </w:pPr>
      <w:rPr>
        <w:sz w:val="24"/>
        <w:b/>
        <w:color w:val="black"/>
      </w:rPr>
    </w:p>
    <w:p>
      <w:pPr>
        <w:jc w:val="both"/>
      </w:pPr>
      <w:r>
        <w:rPr>
          <w:rFonts w:hAnsi="Arial"/>
          <w:rFonts w:ascii="Arial"/>
          <w:sz w:val="24"/>
          <w:color w:val="black"/>
        </w:rPr>
        <w:t xml:space="preserve">6. Recibir y dar trαmite a las propuestas que sean presentadas por el Consejo de Veteranos; por las entidades integrantes de la Comisiσn y articular las iniciativas y acciones que surjan de la misma.</w:t>
      </w:r>
    </w:p>
    <w:p>
      <w:pPr>
        <w:jc w:val="both"/>
      </w:pPr>
      <w:rPr>
        <w:sz w:val="24"/>
        <w:b/>
        <w:color w:val="black"/>
      </w:rPr>
    </w:p>
    <w:p>
      <w:pPr>
        <w:jc w:val="both"/>
      </w:pPr>
      <w:r>
        <w:rPr>
          <w:rFonts w:hAnsi="Arial"/>
          <w:rFonts w:ascii="Arial"/>
          <w:sz w:val="24"/>
          <w:color w:val="black"/>
        </w:rPr>
        <w:t xml:space="preserve">7. Custodiar los documentos que se deriven de la funciσn desempeρada por la comisiσn.</w:t>
      </w:r>
    </w:p>
    <w:p>
      <w:pPr>
        <w:jc w:val="both"/>
      </w:pPr>
      <w:rPr>
        <w:sz w:val="24"/>
        <w:b/>
        <w:color w:val="black"/>
      </w:rPr>
    </w:p>
    <w:p>
      <w:pPr>
        <w:jc w:val="both"/>
      </w:pPr>
      <w:r>
        <w:rPr>
          <w:rFonts w:hAnsi="Arial"/>
          <w:rFonts w:ascii="Arial"/>
          <w:sz w:val="24"/>
          <w:color w:val="black"/>
        </w:rPr>
        <w:t xml:space="preserve">8. Compilar y sistematizar la Informaciσn proveniente de las entidades pϊblicas nacionales y territoriales sobre los arreglos Institucionales, polνticas pϊblicas y programas sociales en favor de los beneficiarios estipulados en el artνculo </w:t>
      </w:r>
      <w:r>
        <w:fldChar w:fldCharType="begin"/>
      </w:r>
      <w:r>
        <w:instrText>HYPERLINK "http://www.redjurista.com/document.aspx?ajcode=l1979019&amp;arts=2"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1979 de 2019.</w:t>
      </w:r>
    </w:p>
    <w:p>
      <w:pPr>
        <w:jc w:val="both"/>
      </w:pPr>
      <w:rPr>
        <w:sz w:val="24"/>
        <w:b/>
        <w:color w:val="black"/>
      </w:rPr>
    </w:p>
    <w:p>
      <w:pPr>
        <w:jc w:val="both"/>
      </w:pPr>
      <w:r>
        <w:rPr>
          <w:rFonts w:hAnsi="Arial"/>
          <w:rFonts w:ascii="Arial"/>
          <w:sz w:val="24"/>
          <w:color w:val="black"/>
        </w:rPr>
        <w:t xml:space="preserve">9. Mantener activos los canales de comunicaciσn entre las diferentes entidades pϊblicas nacionales y territoriales y el Consejo de Veteranos.</w:t>
      </w:r>
    </w:p>
    <w:p>
      <w:pPr>
        <w:jc w:val="both"/>
      </w:pPr>
      <w:rPr>
        <w:sz w:val="24"/>
        <w:b/>
        <w:color w:val="black"/>
      </w:rPr>
    </w:p>
    <w:p>
      <w:pPr>
        <w:jc w:val="both"/>
      </w:pPr>
      <w:r>
        <w:rPr>
          <w:rFonts w:hAnsi="Arial"/>
          <w:rFonts w:ascii="Arial"/>
          <w:sz w:val="24"/>
          <w:color w:val="black"/>
        </w:rPr>
        <w:t xml:space="preserve">10. Las demαs funciones que sean propias de su carαcter de apoyo y soporte tιcnico o aquellas que le sean designadas por la Comisiσn Intersectorial para la Atenciσn Integral al Veterano</w:t>
      </w:r>
    </w:p>
    <w:p>
      <w:pPr>
        <w:jc w:val="both"/>
      </w:pPr>
      <w:rPr>
        <w:color w:val="black"/>
      </w:rPr>
    </w:p>
    <w:p>
      <w:pPr>
        <w:jc w:val="center"/>
      </w:pPr>
      <w:r>
        <w:rPr>
          <w:rFonts w:hAnsi="Arial"/>
          <w:rFonts w:ascii="Arial"/>
          <w:sz w:val="24"/>
          <w:b/>
          <w:vanish/>
          <w:color w:val="black"/>
        </w:rPr>
        <w:t>&amp;$</w:t>
      </w:r>
      <w:bookmarkStart w:id="61298" w:name="SECCIÓN 2.3.1.8.6"/>
      <w:r>
        <w:rPr>
          <w:rFonts w:hAnsi="Arial"/>
          <w:rFonts w:ascii="Arial"/>
          <w:sz w:val="24"/>
          <w:color w:val="navy"/>
        </w:rPr>
        <w:t xml:space="preserve">SECCIΣN 6. </w:t>
      </w:r>
    </w:p>
    <w:p>
      <w:pPr>
        <w:jc w:val="center"/>
      </w:pPr>
      <w:r>
        <w:rPr>
          <w:rFonts w:hAnsi="Arial"/>
          <w:rFonts w:ascii="Arial"/>
          <w:sz w:val="24"/>
          <w:color w:val="navy"/>
        </w:rPr>
        <w:t xml:space="preserve">CONSEJO DE VETERANOS.</w:t>
      </w:r>
      <w:bookmarkEnd w:id="6129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299" w:name="2.3.1.8.6.1"/>
      <w:r>
        <w:rPr>
          <w:rFonts w:hAnsi="Arial"/>
          <w:rFonts w:ascii="Arial"/>
          <w:sz w:val="24"/>
          <w:color w:val="navy"/>
        </w:rPr>
        <w:t xml:space="preserve">ARTΝCULO 2.3.1.8.6.1. OBJETO.</w:t>
      </w:r>
      <w:bookmarkEnd w:id="61299"/>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El Consejo de Veteranos es el σrgano de consulta e Interlocuciσn entre los Veteranos y el Gobierno nacional, que tiene por objeto ser un espacio de diαlogo e interacciσn, consulta, discusiσn, deliberaciσn, participaciσn y proposiciσn de iniciativas relacionadas con los asuntos relevantes para los Veteranos de la Fuerza Pϊblica.</w:t>
      </w:r>
    </w:p>
    <w:p>
      <w:pPr>
        <w:jc w:val="both"/>
      </w:pPr>
      <w:rPr>
        <w:color w:val="black"/>
      </w:rPr>
    </w:p>
    <w:p>
      <w:pPr>
        <w:jc w:val="both"/>
      </w:pPr>
      <w:r>
        <w:rPr>
          <w:rFonts w:hAnsi="Arial"/>
          <w:rFonts w:ascii="Arial"/>
          <w:sz w:val="24"/>
          <w:b/>
          <w:vanish/>
          <w:color w:val="black"/>
        </w:rPr>
        <w:t>&amp;$</w:t>
      </w:r>
      <w:bookmarkStart w:id="61300" w:name="2.3.1.8.6.2"/>
      <w:r>
        <w:rPr>
          <w:rFonts w:hAnsi="Arial"/>
          <w:rFonts w:ascii="Arial"/>
          <w:sz w:val="24"/>
          <w:color w:val="navy"/>
        </w:rPr>
        <w:t xml:space="preserve">ARTΝCULO 2.3.1.8.6.2. COMPOSICIΣN.</w:t>
      </w:r>
      <w:bookmarkEnd w:id="61300"/>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De acuerdo con el artνculo </w:t>
      </w:r>
      <w:r>
        <w:fldChar w:fldCharType="begin"/>
      </w:r>
      <w:r>
        <w:instrText>HYPERLINK "http://www.redjurista.com/document.aspx?ajcode=l1979019&amp;arts=27"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1979 de 2019, el Consejo de Veteranos se conforma en su totalidad por nueve (9) Veteranos de las diferentes organizaciones de Veteranos. Estos deberαn estar acreditados como Veteranos de la Fuerza Pϊblica conforme a la Ley </w:t>
      </w:r>
      <w:r>
        <w:fldChar w:fldCharType="begin"/>
      </w:r>
      <w:r>
        <w:instrText>HYPERLINK "http://www.redjurista.com/document.aspx?ajcode=l1979019&amp;arts=INICIO"</w:instrText>
      </w:r>
      <w:r>
        <w:fldChar w:fldCharType="separate"/>
      </w:r>
      <w:r>
        <w:rPr>
          <w:rFonts w:hAnsi="Arial"/>
          <w:rFonts w:ascii="Arial"/>
          <w:sz w:val="24"/>
          <w:u w:val="single"/>
          <w:color w:val="black"/>
        </w:rPr>
        <w:t>1979</w:t>
      </w:r>
      <w:r>
        <w:fldChar w:fldCharType="end"/>
      </w:r>
      <w:r>
        <w:rPr>
          <w:rFonts w:hAnsi="Arial"/>
          <w:rFonts w:ascii="Arial"/>
          <w:sz w:val="24"/>
          <w:u w:val="none"/>
          <w:color w:val="black"/>
        </w:rPr>
        <w:t xml:space="preserve"> de 2019.</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Las organizaciones de Veteranos deberαn estar registradas ante la cαmara de comercio respectiva con el fin de poder postular a sus integrantes en la elecciσn al Consejo de Veteranos.</w:t>
      </w:r>
    </w:p>
    <w:p>
      <w:pPr>
        <w:jc w:val="both"/>
      </w:pPr>
      <w:rPr>
        <w:color w:val="black"/>
      </w:rPr>
    </w:p>
    <w:p>
      <w:pPr>
        <w:jc w:val="both"/>
      </w:pPr>
      <w:r>
        <w:rPr>
          <w:rFonts w:hAnsi="Arial"/>
          <w:rFonts w:ascii="Arial"/>
          <w:sz w:val="24"/>
          <w:b/>
          <w:vanish/>
          <w:color w:val="black"/>
        </w:rPr>
        <w:t>&amp;$</w:t>
      </w:r>
      <w:bookmarkStart w:id="61301" w:name="2.3.1.8.6.3"/>
      <w:r>
        <w:rPr>
          <w:rFonts w:hAnsi="Arial"/>
          <w:rFonts w:ascii="Arial"/>
          <w:sz w:val="24"/>
          <w:color w:val="navy"/>
        </w:rPr>
        <w:t xml:space="preserve">ARTΝCULO 2.3.1.8.6.3. INTEGRACIΣN DEL CONSEJO DE VETERANOS.</w:t>
      </w:r>
      <w:bookmarkEnd w:id="61301"/>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Integran el Consejo de Veteranos los siguientes miembros:</w:t>
      </w:r>
    </w:p>
    <w:p>
      <w:pPr>
        <w:jc w:val="both"/>
      </w:pPr>
      <w:rPr>
        <w:sz w:val="24"/>
        <w:b/>
        <w:color w:val="black"/>
      </w:rPr>
    </w:p>
    <w:p>
      <w:pPr>
        <w:jc w:val="both"/>
      </w:pPr>
      <w:r>
        <w:rPr>
          <w:rFonts w:hAnsi="Arial"/>
          <w:rFonts w:ascii="Arial"/>
          <w:sz w:val="24"/>
          <w:color w:val="black"/>
        </w:rPr>
        <w:t xml:space="preserve">1. Un Oficial retirado o pensionado por invalidez de las Fuerzas Militares</w:t>
      </w:r>
    </w:p>
    <w:p>
      <w:pPr>
        <w:jc w:val="both"/>
      </w:pPr>
      <w:rPr>
        <w:sz w:val="24"/>
        <w:b/>
        <w:color w:val="black"/>
      </w:rPr>
    </w:p>
    <w:p>
      <w:pPr>
        <w:jc w:val="both"/>
      </w:pPr>
      <w:r>
        <w:rPr>
          <w:rFonts w:hAnsi="Arial"/>
          <w:rFonts w:ascii="Arial"/>
          <w:sz w:val="24"/>
          <w:color w:val="black"/>
        </w:rPr>
        <w:t xml:space="preserve">2. Un Oficial retirado o pensionado por invalidez de la Policνa Nacional de Colombia</w:t>
      </w:r>
    </w:p>
    <w:p>
      <w:pPr>
        <w:jc w:val="both"/>
      </w:pPr>
      <w:rPr>
        <w:sz w:val="24"/>
        <w:b/>
        <w:color w:val="black"/>
      </w:rPr>
    </w:p>
    <w:p>
      <w:pPr>
        <w:jc w:val="both"/>
      </w:pPr>
      <w:r>
        <w:rPr>
          <w:rFonts w:hAnsi="Arial"/>
          <w:rFonts w:ascii="Arial"/>
          <w:sz w:val="24"/>
          <w:color w:val="black"/>
        </w:rPr>
        <w:t xml:space="preserve">3. Un Suboficial retirado o pensionado por invalidez de las Fuerzas Militares</w:t>
      </w:r>
    </w:p>
    <w:p>
      <w:pPr>
        <w:jc w:val="both"/>
      </w:pPr>
      <w:rPr>
        <w:sz w:val="24"/>
        <w:b/>
        <w:color w:val="black"/>
      </w:rPr>
    </w:p>
    <w:p>
      <w:pPr>
        <w:jc w:val="both"/>
      </w:pPr>
      <w:r>
        <w:rPr>
          <w:rFonts w:hAnsi="Arial"/>
          <w:rFonts w:ascii="Arial"/>
          <w:sz w:val="24"/>
          <w:color w:val="black"/>
        </w:rPr>
        <w:t xml:space="preserve">4. Un Suboficial retirado o pensionado por invalidez de la Policνa Nacional de Colombia</w:t>
      </w:r>
    </w:p>
    <w:p>
      <w:pPr>
        <w:jc w:val="both"/>
      </w:pPr>
      <w:rPr>
        <w:sz w:val="24"/>
        <w:b/>
        <w:color w:val="black"/>
      </w:rPr>
    </w:p>
    <w:p>
      <w:pPr>
        <w:jc w:val="both"/>
      </w:pPr>
      <w:r>
        <w:rPr>
          <w:rFonts w:hAnsi="Arial"/>
          <w:rFonts w:ascii="Arial"/>
          <w:sz w:val="24"/>
          <w:color w:val="black"/>
        </w:rPr>
        <w:t xml:space="preserve">5. Un Miembro del nivel ejecutivo retirado o pensionado por invalidez de la Policνa Nacional de Colombia</w:t>
      </w:r>
    </w:p>
    <w:p>
      <w:pPr>
        <w:jc w:val="both"/>
      </w:pPr>
      <w:rPr>
        <w:sz w:val="24"/>
        <w:b/>
        <w:color w:val="black"/>
      </w:rPr>
    </w:p>
    <w:p>
      <w:pPr>
        <w:jc w:val="both"/>
      </w:pPr>
      <w:r>
        <w:rPr>
          <w:rFonts w:hAnsi="Arial"/>
          <w:rFonts w:ascii="Arial"/>
          <w:sz w:val="24"/>
          <w:color w:val="black"/>
        </w:rPr>
        <w:t xml:space="preserve">6. Un Agente retirado o pensionado por invalidez de la Policνa Nacional de Colombia</w:t>
      </w:r>
    </w:p>
    <w:p>
      <w:pPr>
        <w:jc w:val="both"/>
      </w:pPr>
      <w:rPr>
        <w:sz w:val="24"/>
        <w:b/>
        <w:color w:val="black"/>
      </w:rPr>
    </w:p>
    <w:p>
      <w:pPr>
        <w:jc w:val="both"/>
      </w:pPr>
      <w:r>
        <w:rPr>
          <w:rFonts w:hAnsi="Arial"/>
          <w:rFonts w:ascii="Arial"/>
          <w:sz w:val="24"/>
          <w:color w:val="black"/>
        </w:rPr>
        <w:t xml:space="preserve">7. Un Soldado Profesional o Infante de Marina Profesional retirado o pensionado por invalidez de las Fuerzas Militares</w:t>
      </w:r>
    </w:p>
    <w:p>
      <w:pPr>
        <w:jc w:val="both"/>
      </w:pPr>
      <w:rPr>
        <w:sz w:val="24"/>
        <w:b/>
        <w:color w:val="black"/>
      </w:rPr>
    </w:p>
    <w:p>
      <w:pPr>
        <w:jc w:val="both"/>
      </w:pPr>
      <w:r>
        <w:rPr>
          <w:rFonts w:hAnsi="Arial"/>
          <w:rFonts w:ascii="Arial"/>
          <w:sz w:val="24"/>
          <w:color w:val="black"/>
        </w:rPr>
        <w:t xml:space="preserve">8. Una Mujer oficial o suboficial pensionada por invalidez o retirada de las Fuerzas Militares o una mujer oficial, suboficial, miembro del nivel ejecutivo o agente pensionada por invalidez o retirada de la Policνa Nacional de Colombia</w:t>
      </w:r>
    </w:p>
    <w:p>
      <w:pPr>
        <w:jc w:val="both"/>
      </w:pPr>
      <w:rPr>
        <w:sz w:val="24"/>
        <w:b/>
        <w:color w:val="black"/>
      </w:rPr>
    </w:p>
    <w:p>
      <w:pPr>
        <w:jc w:val="both"/>
      </w:pPr>
      <w:r>
        <w:rPr>
          <w:rFonts w:hAnsi="Arial"/>
          <w:rFonts w:ascii="Arial"/>
          <w:sz w:val="24"/>
          <w:color w:val="black"/>
        </w:rPr>
        <w:t xml:space="preserve">9. Un soldado regular o Infante de marina regular pensionado por Invalidez de las Fuerzas Militares</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Los miembros del Consejo de Veteranos no tendrαn la calidad de servidores pϊblicos.</w:t>
      </w:r>
    </w:p>
    <w:p>
      <w:pPr>
        <w:jc w:val="both"/>
      </w:pPr>
      <w:rPr>
        <w:color w:val="black"/>
      </w:rPr>
    </w:p>
    <w:p>
      <w:pPr>
        <w:jc w:val="both"/>
      </w:pPr>
      <w:r>
        <w:rPr>
          <w:rFonts w:hAnsi="Arial"/>
          <w:rFonts w:ascii="Arial"/>
          <w:sz w:val="24"/>
          <w:b/>
          <w:vanish/>
          <w:color w:val="black"/>
        </w:rPr>
        <w:t>&amp;$</w:t>
      </w:r>
      <w:bookmarkStart w:id="61302" w:name="2.3.1.8.6.4"/>
      <w:r>
        <w:rPr>
          <w:rFonts w:hAnsi="Arial"/>
          <w:rFonts w:ascii="Arial"/>
          <w:sz w:val="24"/>
          <w:color w:val="navy"/>
        </w:rPr>
        <w:t xml:space="preserve">ARTΝCULO 2.3.1.8.6.4. FUNCIONES Y DEBERES.</w:t>
      </w:r>
      <w:bookmarkEnd w:id="61302"/>
      <w:r>
        <w:rPr>
          <w:rFonts w:hAnsi="Arial"/>
          <w:rFonts w:ascii="Arial"/>
          <w:sz w:val="24"/>
          <w:color w:val="black"/>
        </w:rPr>
        <w:t xml:space="preserve"> &lt;Artνculo adicionado por el artνculo </w:t>
      </w:r>
      <w:r>
        <w:fldChar w:fldCharType="begin"/>
      </w:r>
      <w:r>
        <w:instrText>HYPERLINK "http://www.redjurista.com/document.aspx?ajcode=d1346020&amp;arts=1"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1346 de 2020. El nuevo texto es el siguiente:&gt; Son funciones y deberes del Consejo de Veteranos las siguientes:</w:t>
      </w:r>
    </w:p>
    <w:p>
      <w:pPr>
        <w:jc w:val="both"/>
      </w:pPr>
      <w:rPr>
        <w:sz w:val="24"/>
        <w:b/>
        <w:color w:val="black"/>
      </w:rPr>
    </w:p>
    <w:p>
      <w:pPr>
        <w:jc w:val="both"/>
      </w:pPr>
      <w:r>
        <w:rPr>
          <w:rFonts w:hAnsi="Arial"/>
          <w:rFonts w:ascii="Arial"/>
          <w:sz w:val="24"/>
          <w:color w:val="black"/>
        </w:rPr>
        <w:t xml:space="preserve">1. Respetar y cumplir la Constituciσn, las leyes y los reglamentos.</w:t>
      </w:r>
    </w:p>
    <w:p>
      <w:pPr>
        <w:jc w:val="both"/>
      </w:pPr>
      <w:rPr>
        <w:sz w:val="24"/>
        <w:b/>
        <w:color w:val="black"/>
      </w:rPr>
    </w:p>
    <w:p>
      <w:pPr>
        <w:jc w:val="both"/>
      </w:pPr>
      <w:r>
        <w:rPr>
          <w:rFonts w:hAnsi="Arial"/>
          <w:rFonts w:ascii="Arial"/>
          <w:sz w:val="24"/>
          <w:color w:val="black"/>
        </w:rPr>
        <w:t xml:space="preserve">2. Estudiar los arreglos institucionales, polνticas pϊblicas y programas sociales presentados por las entidades que conforman la Comisiσn Intersectorial para la Atenciσn Integral al Veterano.</w:t>
      </w:r>
    </w:p>
    <w:p>
      <w:pPr>
        <w:jc w:val="both"/>
      </w:pPr>
      <w:rPr>
        <w:sz w:val="24"/>
        <w:b/>
        <w:color w:val="black"/>
      </w:rPr>
    </w:p>
    <w:p>
      <w:pPr>
        <w:jc w:val="both"/>
      </w:pPr>
      <w:r>
        <w:rPr>
          <w:rFonts w:hAnsi="Arial"/>
          <w:rFonts w:ascii="Arial"/>
          <w:sz w:val="24"/>
          <w:color w:val="black"/>
        </w:rPr>
        <w:t xml:space="preserve">3. Analizar la informaciσn que presentan las entidades que conforman la Comisiσn Intersectorial para la Atenciσn Integral al Veterano.</w:t>
      </w:r>
    </w:p>
    <w:p>
      <w:pPr>
        <w:jc w:val="both"/>
      </w:pPr>
      <w:rPr>
        <w:sz w:val="24"/>
        <w:b/>
        <w:color w:val="black"/>
      </w:rPr>
    </w:p>
    <w:p>
      <w:pPr>
        <w:jc w:val="both"/>
      </w:pPr>
      <w:r>
        <w:rPr>
          <w:rFonts w:hAnsi="Arial"/>
          <w:rFonts w:ascii="Arial"/>
          <w:sz w:val="24"/>
          <w:color w:val="black"/>
        </w:rPr>
        <w:t xml:space="preserve">4. Presentar Iniciativas, proyectos y/o propuestas a consideraciσn de la Comisiσn Intersectorial para la Atenciσn Integral al Veterano.</w:t>
      </w:r>
    </w:p>
    <w:p>
      <w:pPr>
        <w:jc w:val="both"/>
      </w:pPr>
      <w:rPr>
        <w:sz w:val="24"/>
        <w:b/>
        <w:color w:val="black"/>
      </w:rPr>
    </w:p>
    <w:p>
      <w:pPr>
        <w:jc w:val="both"/>
      </w:pPr>
      <w:r>
        <w:rPr>
          <w:rFonts w:hAnsi="Arial"/>
          <w:rFonts w:ascii="Arial"/>
          <w:sz w:val="24"/>
          <w:color w:val="black"/>
        </w:rPr>
        <w:t xml:space="preserve">5. Seρalar los lineamientos generales de organizaciσn, orientaciσn y funcionamiento del Consejo de Veteranos.</w:t>
      </w:r>
    </w:p>
    <w:p>
      <w:pPr>
        <w:jc w:val="both"/>
      </w:pPr>
      <w:rPr>
        <w:sz w:val="24"/>
        <w:b/>
        <w:color w:val="black"/>
      </w:rPr>
    </w:p>
    <w:p>
      <w:pPr>
        <w:jc w:val="both"/>
      </w:pPr>
      <w:r>
        <w:rPr>
          <w:rFonts w:hAnsi="Arial"/>
          <w:rFonts w:ascii="Arial"/>
          <w:sz w:val="24"/>
          <w:color w:val="black"/>
        </w:rPr>
        <w:t xml:space="preserve">6. Determinar los informes, estudios y propuestas que deban ser presentados a consideraciσn de la Comisiσn Intersectorial para la Atenciσn Integral al Veterano.</w:t>
      </w:r>
    </w:p>
    <w:p>
      <w:pPr>
        <w:jc w:val="both"/>
      </w:pPr>
      <w:rPr>
        <w:sz w:val="24"/>
        <w:b/>
        <w:color w:val="black"/>
      </w:rPr>
    </w:p>
    <w:p>
      <w:pPr>
        <w:jc w:val="both"/>
      </w:pPr>
      <w:r>
        <w:rPr>
          <w:rFonts w:hAnsi="Arial"/>
          <w:rFonts w:ascii="Arial"/>
          <w:sz w:val="24"/>
          <w:color w:val="black"/>
        </w:rPr>
        <w:t xml:space="preserve">7. Expedir su propio reglamento.</w:t>
      </w:r>
    </w:p>
    <w:p>
      <w:pPr>
        <w:jc w:val="both"/>
      </w:pPr>
      <w:rPr>
        <w:color w:val="black"/>
      </w:rPr>
    </w:p>
    <w:p>
      <w:pPr>
        <w:jc w:val="both"/>
      </w:pPr>
      <w:r>
        <w:rPr>
          <w:rFonts w:hAnsi="Arial"/>
          <w:rFonts w:ascii="Arial"/>
          <w:sz w:val="24"/>
          <w:color w:val="black"/>
        </w:rPr>
        <w:t xml:space="preserve">8. Las demαs que le seρale la Ley y los reglamentos.</w:t>
      </w:r>
    </w:p>
    <w:p>
      <w:pPr>
        <w:jc w:val="center"/>
      </w:pPr>
      <w:rPr>
        <w:sz w:val="24"/>
        <w:b/>
        <w:color w:val="black"/>
      </w:rPr>
    </w:p>
    <w:p>
      <w:pPr>
        <w:jc w:val="center"/>
      </w:pPr>
      <w:r>
        <w:rPr>
          <w:rFonts w:hAnsi="Arial"/>
          <w:rFonts w:ascii="Arial"/>
          <w:sz w:val="24"/>
          <w:b/>
          <w:vanish/>
          <w:color w:val="black"/>
        </w:rPr>
        <w:t>&amp;$</w:t>
      </w:r>
      <w:bookmarkStart w:id="61303" w:name="CAPÍTULO 2.3.1.9"/>
      <w:r>
        <w:rPr>
          <w:rFonts w:hAnsi="Arial"/>
          <w:rFonts w:ascii="Arial"/>
          <w:sz w:val="24"/>
          <w:color w:val="navy"/>
        </w:rPr>
        <w:t xml:space="preserve">CAPΝTULO 9. </w:t>
      </w:r>
    </w:p>
    <w:p>
      <w:pPr>
        <w:jc w:val="center"/>
      </w:pPr>
      <w:r>
        <w:rPr>
          <w:rFonts w:hAnsi="Arial"/>
          <w:rFonts w:ascii="Arial"/>
          <w:sz w:val="24"/>
          <w:color w:val="navy"/>
        </w:rPr>
        <w:t xml:space="preserve">GRATUIDAD EN LOS PROCESOS DE INCORPORACIΣN DE HOMBRES Y MUJERES COMO SOLDADOS PROFESIONALES, INFANTES DE MARINA PROFESIONAL Y PATRULLEROS DE POLICΝA.</w:t>
      </w:r>
      <w:bookmarkEnd w:id="6130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1304" w:name="2.3.1.9.1"/>
      <w:r>
        <w:rPr>
          <w:rFonts w:hAnsi="Arial"/>
          <w:rFonts w:ascii="Arial"/>
          <w:sz w:val="24"/>
          <w:color w:val="navy"/>
        </w:rPr>
        <w:t xml:space="preserve">ARTΝCULO 2.3.1.9.1. </w:t>
      </w:r>
      <w:r>
        <w:rPr>
          <w:rFonts w:hAnsi="Arial"/>
          <w:rFonts w:ascii="Arial"/>
          <w:sz w:val="24"/>
          <w:i/>
          <w:color w:val="navy"/>
        </w:rPr>
        <w:t>OBJETO</w:t>
      </w:r>
      <w:r>
        <w:rPr>
          <w:rFonts w:hAnsi="Arial"/>
          <w:rFonts w:ascii="Arial"/>
          <w:sz w:val="24"/>
          <w:color w:val="navy"/>
        </w:rPr>
        <w:t>.</w:t>
      </w:r>
      <w:bookmarkEnd w:id="6130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El presente decreto tiene por objeto reglamentar lo referente a la gratuidad en el proceso de incorporaciσn, incluyendo la inscripciσn y selecciσn, de aquellos aspirantes que se presenten para ingresar como soldado profesional e infante de marina profesional en las Fuerzas Militares y como patrulleras y patrulleros de policνa de la Policνa Nacional de Colombia, para el cumplimiento de los fines esenciales del Estado, conforme a los requisitos establecidos por las normas aplicables en el respectivo proceso y a criterios de progresividad. </w:t>
      </w:r>
    </w:p>
    <w:p>
      <w:pPr>
        <w:jc w:val="both"/>
      </w:pPr>
      <w:rPr>
        <w:color w:val="black"/>
      </w:rPr>
    </w:p>
    <w:p>
      <w:pPr>
        <w:jc w:val="both"/>
      </w:pPr>
      <w:r>
        <w:rPr>
          <w:rFonts w:hAnsi="Arial"/>
          <w:rFonts w:ascii="Arial"/>
          <w:sz w:val="24"/>
          <w:b/>
          <w:vanish/>
          <w:color w:val="black"/>
        </w:rPr>
        <w:t>&amp;$</w:t>
      </w:r>
      <w:bookmarkStart w:id="61305" w:name="2.3.1.9.2"/>
      <w:r>
        <w:rPr>
          <w:rFonts w:hAnsi="Arial"/>
          <w:rFonts w:ascii="Arial"/>
          <w:sz w:val="24"/>
          <w:color w:val="navy"/>
        </w:rPr>
        <w:t xml:space="preserve">ARTΝCULO 2.3.1.9.2. </w:t>
      </w:r>
      <w:r>
        <w:rPr>
          <w:rFonts w:hAnsi="Arial"/>
          <w:rFonts w:ascii="Arial"/>
          <w:sz w:val="24"/>
          <w:i/>
          <w:color w:val="navy"/>
        </w:rPr>
        <w:t>BENEFICIOS</w:t>
      </w:r>
      <w:r>
        <w:rPr>
          <w:rFonts w:hAnsi="Arial"/>
          <w:rFonts w:ascii="Arial"/>
          <w:sz w:val="24"/>
          <w:color w:val="navy"/>
        </w:rPr>
        <w:t>.</w:t>
      </w:r>
      <w:bookmarkEnd w:id="6130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La gratuidad cubre los costos asociados al proceso de incorporaciσn, incluyendo la inscripciσn y selecciσn, los cuales serαn definidos por las Fuerzas Militares y la Policνa Nacional de Colombia, de conformidad con los lineamientos generales que para tal efecto expida el Ministerio de Defensa Nacional. </w:t>
      </w:r>
    </w:p>
    <w:p>
      <w:pPr>
        <w:jc w:val="both"/>
      </w:pPr>
      <w:rPr>
        <w:color w:val="black"/>
      </w:rPr>
    </w:p>
    <w:p>
      <w:pPr>
        <w:jc w:val="both"/>
      </w:pPr>
      <w:r>
        <w:rPr>
          <w:rFonts w:hAnsi="Arial"/>
          <w:rFonts w:ascii="Arial"/>
          <w:sz w:val="24"/>
          <w:b/>
          <w:vanish/>
          <w:color w:val="black"/>
        </w:rPr>
        <w:t>&amp;$</w:t>
      </w:r>
      <w:bookmarkStart w:id="61306" w:name="2.3.1.9.3"/>
      <w:r>
        <w:rPr>
          <w:rFonts w:hAnsi="Arial"/>
          <w:rFonts w:ascii="Arial"/>
          <w:sz w:val="24"/>
          <w:color w:val="navy"/>
        </w:rPr>
        <w:t xml:space="preserve">ARTΝCULO 2.3.1.9.3. </w:t>
      </w:r>
      <w:r>
        <w:rPr>
          <w:rFonts w:hAnsi="Arial"/>
          <w:rFonts w:ascii="Arial"/>
          <w:sz w:val="24"/>
          <w:i/>
          <w:color w:val="navy"/>
        </w:rPr>
        <w:t xml:space="preserve">ΑMBITO DE APLICACIΣN.</w:t>
      </w:r>
      <w:bookmarkEnd w:id="61306"/>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De acuerdo con el artνculo </w:t>
      </w:r>
      <w:r>
        <w:fldChar w:fldCharType="begin"/>
      </w:r>
      <w:r>
        <w:instrText>HYPERLINK "http://www.redjurista.com/document.aspx?ajcode=l2294023&amp;arts=115"</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 la Ley 2294 de 2023, el beneficio de la gratuidad en el proceso de incorporaciσn, incluyendo la inscripciσn y selecciσn estα dirigido a quienes ostenten la calidad de reservistas de primera clase en los tιrminos de la Ley </w:t>
      </w:r>
      <w:r>
        <w:fldChar w:fldCharType="begin"/>
      </w:r>
      <w:r>
        <w:instrText>HYPERLINK "http://www.redjurista.com/document.aspx?ajcode=l1861017&amp;arts=0"</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o a aquellos jσvenes que se encuentren prestando el servicio militar y deseen continuar en la Fuerza Pϊblica como proyecto de vida, dando prelaciσn a los aspirantes que se encuentren en condiciones socioeconσmicas de vulnerabilidad.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En el proceso de incorporaciσn, se darα prelaciσn a los aspirantes clasificados dentro de los parαmetros establecidos en el Sistema de Identificaciσn de Potenciales Beneficiarios de Programas Sociales (Sisbιn) del Departamento Nacional de Planeaciσn, del grupo A (Poblaciσn en pobreza extrema), grupo B (Poblaciσn en pobreza moderada) y grupo C (Poblaciσn Vulnerable), o la herramienta de focalizaciσn que haga sus veces.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Para efectos de la selecciσn de los reservistas de primera clase, se darα consideraciσn especial a aquellos colombianos que hubieren prestado el servicio militar, en los tιrminos de la Ley </w:t>
      </w:r>
      <w:r>
        <w:fldChar w:fldCharType="begin"/>
      </w:r>
      <w:r>
        <w:instrText>HYPERLINK "http://www.redjurista.com/document.aspx?ajcode=l1861017&amp;arts=0"</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o aquellas disposiciones que la modifiquen, sustituyan, deroguen o adicionen. </w:t>
      </w:r>
    </w:p>
    <w:p>
      <w:pPr>
        <w:jc w:val="both"/>
      </w:pPr>
      <w:rPr>
        <w:color w:val="black"/>
      </w:rPr>
    </w:p>
    <w:p>
      <w:pPr>
        <w:jc w:val="both"/>
      </w:pPr>
      <w:r>
        <w:rPr>
          <w:rFonts w:hAnsi="Arial"/>
          <w:rFonts w:ascii="Arial"/>
          <w:sz w:val="24"/>
          <w:b/>
          <w:vanish/>
          <w:color w:val="black"/>
        </w:rPr>
        <w:t>&amp;$</w:t>
      </w:r>
      <w:bookmarkStart w:id="61307" w:name="2.3.1.9.4"/>
      <w:r>
        <w:rPr>
          <w:rFonts w:hAnsi="Arial"/>
          <w:rFonts w:ascii="Arial"/>
          <w:sz w:val="24"/>
          <w:color w:val="navy"/>
        </w:rPr>
        <w:t xml:space="preserve">ARTΝCULO 2.3.1.9.4. </w:t>
      </w:r>
      <w:r>
        <w:rPr>
          <w:rFonts w:hAnsi="Arial"/>
          <w:rFonts w:ascii="Arial"/>
          <w:sz w:val="24"/>
          <w:i/>
          <w:color w:val="navy"/>
        </w:rPr>
        <w:t xml:space="preserve">GRADUALIDAD Y PROGRESIVIDAD</w:t>
      </w:r>
      <w:r>
        <w:rPr>
          <w:rFonts w:hAnsi="Arial"/>
          <w:rFonts w:ascii="Arial"/>
          <w:sz w:val="24"/>
          <w:color w:val="navy"/>
        </w:rPr>
        <w:t>.</w:t>
      </w:r>
      <w:bookmarkEnd w:id="6130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La gratuidad en el proceso de incorporaciσn descrito en el artνculo </w:t>
      </w:r>
      <w:r>
        <w:fldChar w:fldCharType="begin"/>
      </w:r>
      <w:r>
        <w:instrText>HYPERLINK "http://www.redjurista.com/document.aspx?ajcode=d1070015&amp;arts=2.3.1.9.1"</w:instrText>
      </w:r>
      <w:r>
        <w:fldChar w:fldCharType="separate"/>
      </w:r>
      <w:r>
        <w:rPr>
          <w:rFonts w:hAnsi="Arial"/>
          <w:rFonts w:ascii="Arial"/>
          <w:sz w:val="24"/>
          <w:u w:val="single"/>
          <w:color w:val="black"/>
        </w:rPr>
        <w:t>2.3.1.9.1</w:t>
      </w:r>
      <w:r>
        <w:fldChar w:fldCharType="end"/>
      </w:r>
      <w:r>
        <w:rPr>
          <w:rFonts w:hAnsi="Arial"/>
          <w:rFonts w:ascii="Arial"/>
          <w:sz w:val="24"/>
          <w:u w:val="none"/>
          <w:color w:val="black"/>
        </w:rPr>
        <w:t xml:space="preserve">. se implementarα de manera gradual y progresiva, conforme a la disponibilidad presupuestal de las Fuerzas Militares y la Policνa Nacional. Para tal efecto, el Ministerio de Defensa Nacional gestionarα este recurso ante el Ministerio de Hacienda y Crιdito Pϊblico y en coordinaciσn con la Fuerza Pϊblica diseρarα herramientas, procesos y procedimientos que conlleven que se aprovechen al mαximo las capacidades del Sector Defensa. </w:t>
      </w:r>
    </w:p>
    <w:p>
      <w:pPr>
        <w:jc w:val="both"/>
      </w:pPr>
      <w:rPr>
        <w:color w:val="black"/>
      </w:rPr>
    </w:p>
    <w:p>
      <w:pPr>
        <w:jc w:val="both"/>
      </w:pPr>
      <w:r>
        <w:rPr>
          <w:rFonts w:hAnsi="Arial"/>
          <w:rFonts w:ascii="Arial"/>
          <w:sz w:val="24"/>
          <w:b/>
          <w:vanish/>
          <w:color w:val="black"/>
        </w:rPr>
        <w:t>&amp;$</w:t>
      </w:r>
      <w:bookmarkStart w:id="61308" w:name="2.3.1.9.5"/>
      <w:r>
        <w:rPr>
          <w:rFonts w:hAnsi="Arial"/>
          <w:rFonts w:ascii="Arial"/>
          <w:sz w:val="24"/>
          <w:color w:val="navy"/>
        </w:rPr>
        <w:t xml:space="preserve">ARTΝCULO 2.3.1.9.5. </w:t>
      </w:r>
      <w:r>
        <w:rPr>
          <w:rFonts w:hAnsi="Arial"/>
          <w:rFonts w:ascii="Arial"/>
          <w:sz w:val="24"/>
          <w:i/>
          <w:color w:val="navy"/>
        </w:rPr>
        <w:t xml:space="preserve">ALCANCE DEL BENEFICIO.</w:t>
      </w:r>
      <w:bookmarkEnd w:id="6130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Este beneficio solo podrα otorgarse por una vez, indistintamente de la Instituciσn militar o de policνa en la que se presente el aspirante.</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aspirante que acceda al beneficio de la gratuidad en el proceso de incorporaciσn deberα suscribir un acta de compromiso de permanencia para el periodo de formaciσn, en caso de ser seleccionado.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El Comando General de las Fuerzas Militares y la Direcciσn General de la Policνa Nacional, en coordinaciσn con el Ministerio de Defensa Nacional, realizarαn las articulaciones necesarias para verificar el cumplimiento al presente artνculo. </w:t>
      </w:r>
    </w:p>
    <w:p>
      <w:pPr>
        <w:jc w:val="both"/>
      </w:pPr>
      <w:rPr>
        <w:color w:val="black"/>
      </w:rPr>
    </w:p>
    <w:p>
      <w:pPr>
        <w:jc w:val="both"/>
      </w:pPr>
      <w:r>
        <w:rPr>
          <w:rFonts w:hAnsi="Arial"/>
          <w:rFonts w:ascii="Arial"/>
          <w:sz w:val="24"/>
          <w:b/>
          <w:vanish/>
          <w:color w:val="black"/>
        </w:rPr>
        <w:t>&amp;$</w:t>
      </w:r>
      <w:bookmarkStart w:id="61309" w:name="2.3.1.9.6"/>
      <w:r>
        <w:rPr>
          <w:rFonts w:hAnsi="Arial"/>
          <w:rFonts w:ascii="Arial"/>
          <w:sz w:val="24"/>
          <w:color w:val="navy"/>
        </w:rPr>
        <w:t xml:space="preserve">ARTΝCULO 2.3.1.9.6. </w:t>
      </w:r>
      <w:r>
        <w:rPr>
          <w:rFonts w:hAnsi="Arial"/>
          <w:rFonts w:ascii="Arial"/>
          <w:sz w:val="24"/>
          <w:i/>
          <w:color w:val="navy"/>
        </w:rPr>
        <w:t>REQUISITOS</w:t>
      </w:r>
      <w:r>
        <w:rPr>
          <w:rFonts w:hAnsi="Arial"/>
          <w:rFonts w:ascii="Arial"/>
          <w:sz w:val="24"/>
          <w:color w:val="navy"/>
        </w:rPr>
        <w:t>.</w:t>
      </w:r>
      <w:bookmarkEnd w:id="6130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Los aspirantes del programa de gratuidad en los procesos de incorporaciσn deberαn cumplir los siguientes requisitos: </w:t>
      </w:r>
    </w:p>
    <w:p>
      <w:pPr>
        <w:jc w:val="both"/>
      </w:pPr>
      <w:rPr>
        <w:sz w:val="24"/>
        <w:color w:val="black"/>
      </w:rPr>
    </w:p>
    <w:p>
      <w:pPr>
        <w:jc w:val="both"/>
      </w:pPr>
      <w:r>
        <w:rPr>
          <w:rFonts w:hAnsi="Arial"/>
          <w:rFonts w:ascii="Arial"/>
          <w:sz w:val="24"/>
          <w:color w:val="black"/>
        </w:rPr>
        <w:t xml:space="preserve">1. Ser colombiano. </w:t>
      </w:r>
    </w:p>
    <w:p>
      <w:pPr>
        <w:jc w:val="both"/>
      </w:pPr>
      <w:rPr>
        <w:sz w:val="24"/>
        <w:color w:val="black"/>
      </w:rPr>
    </w:p>
    <w:p>
      <w:pPr>
        <w:jc w:val="both"/>
      </w:pPr>
      <w:r>
        <w:rPr>
          <w:rFonts w:hAnsi="Arial"/>
          <w:rFonts w:ascii="Arial"/>
          <w:sz w:val="24"/>
          <w:color w:val="black"/>
        </w:rPr>
        <w:t xml:space="preserve">2. Ser mayor de 18 y menor de 24 aρos, para ser aspirante al proceso de incorporaciσn en las Fuerzas Militares. </w:t>
      </w:r>
    </w:p>
    <w:p>
      <w:pPr>
        <w:jc w:val="both"/>
      </w:pPr>
      <w:rPr>
        <w:sz w:val="24"/>
        <w:color w:val="black"/>
      </w:rPr>
    </w:p>
    <w:p>
      <w:pPr>
        <w:jc w:val="both"/>
      </w:pPr>
      <w:r>
        <w:rPr>
          <w:rFonts w:hAnsi="Arial"/>
          <w:rFonts w:ascii="Arial"/>
          <w:sz w:val="24"/>
          <w:color w:val="black"/>
        </w:rPr>
        <w:t xml:space="preserve">3. Tener mνnimo 17 aρos, seis meses de edad siempre que cumpla la mayorνa de edad en el primer semestre de formaciσn y hasta 27 aρos, para ser aspirante al proceso de incorporaciσn en la Policνa Nacional, conforme al Protocolo de Selecciσn del Personal de la Policνa Nacional establecido por el Director General de la Policνa Nacional, segϊn artνculo </w:t>
      </w:r>
      <w:r>
        <w:fldChar w:fldCharType="begin"/>
      </w:r>
      <w:r>
        <w:instrText>HYPERLINK "http://www.redjurista.com/document.aspx?ajcode=l2179021&amp;arts=7"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2179 de 2021. </w:t>
      </w:r>
    </w:p>
    <w:p>
      <w:pPr>
        <w:jc w:val="both"/>
      </w:pPr>
      <w:rPr>
        <w:sz w:val="24"/>
        <w:color w:val="black"/>
      </w:rPr>
    </w:p>
    <w:p>
      <w:pPr>
        <w:jc w:val="both"/>
      </w:pPr>
      <w:r>
        <w:rPr>
          <w:rFonts w:hAnsi="Arial"/>
          <w:rFonts w:ascii="Arial"/>
          <w:sz w:val="24"/>
          <w:color w:val="black"/>
        </w:rPr>
        <w:t xml:space="preserve">4. Tener la calidad de reservistas de primera clase en los tιrminos de la Ley </w:t>
      </w:r>
      <w:r>
        <w:fldChar w:fldCharType="begin"/>
      </w:r>
      <w:r>
        <w:instrText>HYPERLINK "http://www.redjurista.com/document.aspx?ajcode=l1861017&amp;arts=0"</w:instrText>
      </w:r>
      <w:r>
        <w:fldChar w:fldCharType="separate"/>
      </w:r>
      <w:r>
        <w:rPr>
          <w:rFonts w:hAnsi="Arial"/>
          <w:rFonts w:ascii="Arial"/>
          <w:sz w:val="24"/>
          <w:u w:val="single"/>
          <w:color w:val="black"/>
        </w:rPr>
        <w:t>1861</w:t>
      </w:r>
      <w:r>
        <w:fldChar w:fldCharType="end"/>
      </w:r>
      <w:r>
        <w:rPr>
          <w:rFonts w:hAnsi="Arial"/>
          <w:rFonts w:ascii="Arial"/>
          <w:sz w:val="24"/>
          <w:u w:val="none"/>
          <w:color w:val="black"/>
        </w:rPr>
        <w:t xml:space="preserve"> de 2017 o aquellas disposiciones que la modifiquen, sustituyan, deroguen o adicionen, o encontrarse prestando el servicio militar en los tιrminos del parαgrafo 3o del artνculo </w:t>
      </w:r>
      <w:r>
        <w:fldChar w:fldCharType="begin"/>
      </w:r>
      <w:r>
        <w:instrText>HYPERLINK "http://www.redjurista.com/document.aspx?ajcode=d1070015&amp;arts=2.3.1.9.3"</w:instrText>
      </w:r>
      <w:r>
        <w:fldChar w:fldCharType="separate"/>
      </w:r>
      <w:r>
        <w:rPr>
          <w:rFonts w:hAnsi="Arial"/>
          <w:rFonts w:ascii="Arial"/>
          <w:sz w:val="24"/>
          <w:u w:val="single"/>
          <w:color w:val="black"/>
        </w:rPr>
        <w:t>2.3.1.9.3</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5. Cumplir los requisitos de incorporaciσn contemplados en el Decreto Ley </w:t>
      </w:r>
      <w:r>
        <w:fldChar w:fldCharType="begin"/>
      </w:r>
      <w:r>
        <w:instrText>HYPERLINK "http://www.redjurista.com/document.aspx?ajcode=d1793000&amp;arts=0"</w:instrText>
      </w:r>
      <w:r>
        <w:fldChar w:fldCharType="separate"/>
      </w:r>
      <w:r>
        <w:rPr>
          <w:rFonts w:hAnsi="Arial"/>
          <w:rFonts w:ascii="Arial"/>
          <w:sz w:val="24"/>
          <w:u w:val="single"/>
          <w:color w:val="black"/>
        </w:rPr>
        <w:t>1793</w:t>
      </w:r>
      <w:r>
        <w:fldChar w:fldCharType="end"/>
      </w:r>
      <w:r>
        <w:rPr>
          <w:rFonts w:hAnsi="Arial"/>
          <w:rFonts w:ascii="Arial"/>
          <w:sz w:val="24"/>
          <w:u w:val="none"/>
          <w:color w:val="black"/>
        </w:rPr>
        <w:t xml:space="preserve"> de 2000 para las Fuerzas Militares y los requisitos de la Ley </w:t>
      </w:r>
      <w:r>
        <w:fldChar w:fldCharType="begin"/>
      </w:r>
      <w:r>
        <w:instrText>HYPERLINK "http://www.redjurista.com/document.aspx?ajcode=l2179021&amp;arts=0"</w:instrText>
      </w:r>
      <w:r>
        <w:fldChar w:fldCharType="separate"/>
      </w:r>
      <w:r>
        <w:rPr>
          <w:rFonts w:hAnsi="Arial"/>
          <w:rFonts w:ascii="Arial"/>
          <w:sz w:val="24"/>
          <w:u w:val="single"/>
          <w:color w:val="black"/>
        </w:rPr>
        <w:t>2179</w:t>
      </w:r>
      <w:r>
        <w:fldChar w:fldCharType="end"/>
      </w:r>
      <w:r>
        <w:rPr>
          <w:rFonts w:hAnsi="Arial"/>
          <w:rFonts w:ascii="Arial"/>
          <w:sz w:val="24"/>
          <w:u w:val="none"/>
          <w:color w:val="black"/>
        </w:rPr>
        <w:t xml:space="preserve"> de 2021 o aquellas disposiciones que la modifiquen, sustituyan, deroguen o adicionen y protocolos de selecciσn para la Policνa Nacional de Colombia. </w:t>
      </w:r>
    </w:p>
    <w:p>
      <w:pPr>
        <w:jc w:val="both"/>
      </w:pPr>
      <w:rPr>
        <w:sz w:val="24"/>
        <w:color w:val="black"/>
      </w:rPr>
    </w:p>
    <w:p>
      <w:pPr>
        <w:jc w:val="both"/>
      </w:pPr>
      <w:r>
        <w:rPr>
          <w:rFonts w:hAnsi="Arial"/>
          <w:rFonts w:ascii="Arial"/>
          <w:sz w:val="24"/>
          <w:color w:val="black"/>
        </w:rPr>
        <w:t xml:space="preserve">6. No haber sido beneficiario de la gratuidad en el proceso de incorporaciσn, indistintamente de la instituciσn militar o de policνa a que haya lugar. </w:t>
      </w:r>
    </w:p>
    <w:p>
      <w:pPr>
        <w:jc w:val="both"/>
      </w:pPr>
      <w:rPr>
        <w:color w:val="black"/>
      </w:rPr>
    </w:p>
    <w:p>
      <w:pPr>
        <w:jc w:val="both"/>
      </w:pPr>
      <w:r>
        <w:rPr>
          <w:rFonts w:hAnsi="Arial"/>
          <w:rFonts w:ascii="Arial"/>
          <w:sz w:val="24"/>
          <w:b/>
          <w:vanish/>
          <w:color w:val="black"/>
        </w:rPr>
        <w:t>&amp;$</w:t>
      </w:r>
      <w:bookmarkStart w:id="61310" w:name="2.3.1.9.7"/>
      <w:r>
        <w:rPr>
          <w:rFonts w:hAnsi="Arial"/>
          <w:rFonts w:ascii="Arial"/>
          <w:sz w:val="24"/>
          <w:color w:val="navy"/>
        </w:rPr>
        <w:t xml:space="preserve">ARTΝCULO 2.3.1.9.7. </w:t>
      </w:r>
      <w:r>
        <w:rPr>
          <w:rFonts w:hAnsi="Arial"/>
          <w:rFonts w:ascii="Arial"/>
          <w:sz w:val="24"/>
          <w:i/>
          <w:color w:val="navy"/>
        </w:rPr>
        <w:t xml:space="preserve">RESTITUCIΣN DE LOS COSTOS ASOCIADOS AL BENEFICIO.</w:t>
      </w:r>
      <w:bookmarkEnd w:id="61310"/>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Cuando se evidencie que un beneficiario de la gratuidad en el proceso de incorporaciσn utilizσ informaciσn y/o documentaciσn falsa, perderα la calidad de aspirante y la opciσn de presentarse a un nuevo proceso de incorporaciσn en cualquier fuerza y Policνa Nacional y se obliga a la devoluciσn de los recursos que se comprometieron en el proceso de su incorporaciσn, sin perjuicio de las acciones legales a que haya lugar, de conformidad con la normativa vigente. </w:t>
      </w:r>
    </w:p>
    <w:p>
      <w:pPr>
        <w:jc w:val="both"/>
      </w:pPr>
      <w:rPr>
        <w:color w:val="black"/>
      </w:rPr>
    </w:p>
    <w:p>
      <w:pPr>
        <w:jc w:val="both"/>
      </w:pPr>
      <w:r>
        <w:rPr>
          <w:rFonts w:hAnsi="Arial"/>
          <w:rFonts w:ascii="Arial"/>
          <w:sz w:val="24"/>
          <w:b/>
          <w:vanish/>
          <w:color w:val="black"/>
        </w:rPr>
        <w:t>&amp;$</w:t>
      </w:r>
      <w:bookmarkStart w:id="61311" w:name="2.3.1.9.8"/>
      <w:r>
        <w:rPr>
          <w:rFonts w:hAnsi="Arial"/>
          <w:rFonts w:ascii="Arial"/>
          <w:sz w:val="24"/>
          <w:color w:val="navy"/>
        </w:rPr>
        <w:t xml:space="preserve">ARTΝCULO 2.3.1.9.8. </w:t>
      </w:r>
      <w:r>
        <w:rPr>
          <w:rFonts w:hAnsi="Arial"/>
          <w:rFonts w:ascii="Arial"/>
          <w:sz w:val="24"/>
          <w:i/>
          <w:color w:val="navy"/>
        </w:rPr>
        <w:t>DIRECTRICES</w:t>
      </w:r>
      <w:r>
        <w:rPr>
          <w:rFonts w:hAnsi="Arial"/>
          <w:rFonts w:ascii="Arial"/>
          <w:sz w:val="24"/>
          <w:color w:val="navy"/>
        </w:rPr>
        <w:t>.</w:t>
      </w:r>
      <w:bookmarkEnd w:id="6131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"http://www.redjurista.com/document.aspx?ajcode=d2225023&amp;arts=1"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2225 de 2023. El nuevo texto es el siguiente:&gt; El Ministerio de Defensa Nacional - Viceministerio para la Estrategia y Planeaciσn, expedirα y mantendrα actualizadas las directrices que regirαn la operaciσn, implementaciσn, sostenibilidad, gradualidad y progresividad del programa de gratuidad en la incorporaciσn, en los tιrminos del artνculo </w:t>
      </w:r>
      <w:r>
        <w:fldChar w:fldCharType="begin"/>
      </w:r>
      <w:r>
        <w:instrText>HYPERLINK "http://www.redjurista.com/document.aspx?ajcode=l2294023&amp;arts=115"</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 la Ley 2294 de 2023. Las directrices deberαn ser adoptadas y adecuadas a las necesidades internas de las Fuerzas Militares y la Policνa Nacional, observando en todo momento la utilizaciσn responsable y eficiente de los recursos pϊblicos destinados a la ejecuciσn del programa establecido en el presente decreto.</w:t>
      </w:r>
    </w:p>
    <w:p>
      <w:pPr>
        <w:jc w:val="both"/>
      </w:pPr>
      <w:rPr>
        <w:sz w:val="24"/>
        <w:color w:val="black"/>
      </w:rPr>
    </w:p>
    <w:p>
      <w:pPr>
        <w:jc w:val="center"/>
      </w:pPr>
      <w:r>
        <w:rPr>
          <w:rFonts w:hAnsi="Arial"/>
          <w:rFonts w:ascii="Arial"/>
          <w:sz w:val="24"/>
          <w:vanish/>
          <w:color w:val="black"/>
        </w:rPr>
        <w:t>&amp;$</w:t>
      </w:r>
      <w:bookmarkStart w:id="61312" w:name="TÍTULO 2.3.2"/>
      <w:r>
        <w:rPr>
          <w:rFonts w:hAnsi="Arial"/>
          <w:rFonts w:ascii="Arial"/>
          <w:sz w:val="24"/>
          <w:color w:val="navy"/>
        </w:rPr>
        <w:t xml:space="preserve">TΝTULO 2. </w:t>
      </w:r>
    </w:p>
    <w:p>
      <w:pPr>
        <w:jc w:val="center"/>
      </w:pPr>
      <w:r>
        <w:rPr>
          <w:rFonts w:hAnsi="Arial"/>
          <w:rFonts w:ascii="Arial"/>
          <w:sz w:val="24"/>
          <w:color w:val="navy"/>
        </w:rPr>
        <w:t xml:space="preserve">DISPOSICIONES ESPECIALES.</w:t>
      </w:r>
      <w:bookmarkEnd w:id="6131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313" w:name="CAPÍTULO 2.3.2.1"/>
      <w:r>
        <w:rPr>
          <w:rFonts w:hAnsi="Arial"/>
          <w:rFonts w:ascii="Arial"/>
          <w:sz w:val="24"/>
          <w:color w:val="navy"/>
        </w:rPr>
        <w:t xml:space="preserve">CAPΝTULO 1. </w:t>
      </w:r>
    </w:p>
    <w:p>
      <w:pPr>
        <w:jc w:val="center"/>
      </w:pPr>
      <w:r>
        <w:rPr>
          <w:rFonts w:hAnsi="Arial"/>
          <w:rFonts w:ascii="Arial"/>
          <w:sz w:val="24"/>
          <w:color w:val="navy"/>
        </w:rPr>
        <w:t xml:space="preserve">CREACIΣN DEL ARMA DE COMUNICACIONES EN EL EJΙRCITO NACIONAL.</w:t>
      </w:r>
      <w:bookmarkEnd w:id="61313"/>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61314" w:name="2.3.2.1.1"/>
      <w:r>
        <w:rPr>
          <w:rFonts w:hAnsi="Arial"/>
          <w:rFonts w:ascii="Arial"/>
          <w:sz w:val="24"/>
          <w:color w:val="navy"/>
        </w:rPr>
        <w:t xml:space="preserve">ARTΝCULO 2.3.2.1.1. </w:t>
      </w:r>
      <w:r>
        <w:rPr>
          <w:rFonts w:hAnsi="Arial"/>
          <w:rFonts w:ascii="Arial"/>
          <w:sz w:val="24"/>
          <w:i/>
          <w:color w:val="navy"/>
        </w:rPr>
        <w:t xml:space="preserve">ARMA DE COMUNICACIONES EN EL EJΙRCITO.</w:t>
      </w:r>
      <w:bookmarkEnd w:id="61314"/>
      <w:r>
        <w:rPr>
          <w:rFonts w:hAnsi="Arial"/>
          <w:rFonts w:ascii="Arial"/>
          <w:sz w:val="24"/>
          <w:b/>
          <w:i/>
          <w:color w:val="black"/>
        </w:rPr>
        <w:t xml:space="preserve"> </w:t>
      </w:r>
      <w:r>
        <w:rPr>
          <w:rFonts w:hAnsi="Arial"/>
          <w:rFonts w:ascii="Arial"/>
          <w:sz w:val="24"/>
          <w:color w:val="black"/>
        </w:rPr>
        <w:t xml:space="preserve">Estα conformada por los Oficiales y Suboficiales que han sido formados, entrenados y capacitados con la misiσn principal de dirigir las actividades propias de las comunicaciones en los diferentes organismos y niveles del Ejιrcito y ejercer el mando de las unidades de comunicaciones.</w:t>
      </w:r>
    </w:p>
    <w:p>
      <w:pPr>
        <w:jc w:val="both"/>
      </w:pPr>
      <w:rPr>
        <w:sz w:val="24"/>
        <w:color w:val="black"/>
      </w:rPr>
    </w:p>
    <w:p>
      <w:pPr>
        <w:jc w:val="both"/>
      </w:pPr>
      <w:r>
        <w:rPr>
          <w:rFonts w:hAnsi="Arial"/>
          <w:rFonts w:ascii="Arial"/>
          <w:sz w:val="24"/>
          <w:i/>
          <w:color w:val="black"/>
        </w:rPr>
        <w:t xml:space="preserve">(Decreto 1474 de 1999 artνculo </w:t>
      </w:r>
      <w:r>
        <w:fldChar w:fldCharType="begin"/>
      </w:r>
      <w:r>
        <w:instrText>HYPERLINK "http://www.redjurista.com/document.aspx?ajcode=d1474_99&amp;arts=1"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15" w:name="2.3.2.1.2"/>
      <w:r>
        <w:rPr>
          <w:rFonts w:hAnsi="Arial"/>
          <w:rFonts w:ascii="Arial"/>
          <w:sz w:val="24"/>
          <w:color w:val="navy"/>
        </w:rPr>
        <w:t xml:space="preserve">ARTΝCULO 2.3.2.1.2. </w:t>
      </w:r>
      <w:r>
        <w:rPr>
          <w:rFonts w:hAnsi="Arial"/>
          <w:rFonts w:ascii="Arial"/>
          <w:sz w:val="24"/>
          <w:i/>
          <w:color w:val="navy"/>
        </w:rPr>
        <w:t xml:space="preserve">INTEGRACIΣN DEL ARMA DE COMUNICACIONES.</w:t>
      </w:r>
      <w:bookmarkEnd w:id="61315"/>
      <w:r>
        <w:rPr>
          <w:rFonts w:hAnsi="Arial"/>
          <w:rFonts w:ascii="Arial"/>
          <w:sz w:val="24"/>
          <w:b/>
          <w:i/>
          <w:color w:val="black"/>
        </w:rPr>
        <w:t xml:space="preserve"> </w:t>
      </w:r>
      <w:r>
        <w:rPr>
          <w:rFonts w:hAnsi="Arial"/>
          <w:rFonts w:ascii="Arial"/>
          <w:sz w:val="24"/>
          <w:color w:val="black"/>
        </w:rPr>
        <w:t xml:space="preserve">Inicialmente integran el Arma de Comunicaciones del Ejιrcito, a que se refiere el artνculo </w:t>
      </w:r>
      <w:r>
        <w:fldChar w:fldCharType="begin"/>
      </w:r>
      <w:r>
        <w:instrText>HYPERLINK "http://www.redjurista.com/document.aspx?ajcode=l0402_97&amp;arts=1"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402 de 1997, los Oficiales y Suboficiales que a la fecha de vigencia de la mencionada ley, ostentaban dicha especialidad, y los Oficiales y Suboficiales que egresen de las Escuelas de Formaciσn con las cuotas que para el efecto se determinen.</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nϊmero de Oficiales y Suboficiales del Arma de Comunicaciones se determinarα por las necesidades de personal de las unidades del Ejιrcito.</w:t>
      </w:r>
    </w:p>
    <w:p>
      <w:pPr>
        <w:jc w:val="both"/>
      </w:pPr>
      <w:rPr>
        <w:sz w:val="24"/>
        <w:color w:val="black"/>
      </w:rPr>
    </w:p>
    <w:p>
      <w:pPr>
        <w:jc w:val="both"/>
      </w:pPr>
      <w:r>
        <w:rPr>
          <w:rFonts w:hAnsi="Arial"/>
          <w:rFonts w:ascii="Arial"/>
          <w:sz w:val="24"/>
          <w:i/>
          <w:color w:val="black"/>
        </w:rPr>
        <w:t xml:space="preserve">(Decreto 1474 de 1999 artνculo </w:t>
      </w:r>
      <w:r>
        <w:fldChar w:fldCharType="begin"/>
      </w:r>
      <w:r>
        <w:instrText>HYPERLINK "http://www.redjurista.com/document.aspx?ajcode=d1474_99&amp;arts=2"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16" w:name="2.3.2.1.3"/>
      <w:r>
        <w:rPr>
          <w:rFonts w:hAnsi="Arial"/>
          <w:rFonts w:ascii="Arial"/>
          <w:sz w:val="24"/>
          <w:color w:val="navy"/>
        </w:rPr>
        <w:t xml:space="preserve">ARTΝCULO 2.3.2.1.3. </w:t>
      </w:r>
      <w:r>
        <w:rPr>
          <w:rFonts w:hAnsi="Arial"/>
          <w:rFonts w:ascii="Arial"/>
          <w:sz w:val="24"/>
          <w:i/>
          <w:color w:val="navy"/>
        </w:rPr>
        <w:t xml:space="preserve">TIEMPO MΝNIMO DE COMANDO DE TROPA.</w:t>
      </w:r>
      <w:bookmarkEnd w:id="61316"/>
      <w:r>
        <w:rPr>
          <w:rFonts w:hAnsi="Arial"/>
          <w:rFonts w:ascii="Arial"/>
          <w:sz w:val="24"/>
          <w:b/>
          <w:i/>
          <w:color w:val="black"/>
        </w:rPr>
        <w:t xml:space="preserve"> </w:t>
      </w:r>
      <w:r>
        <w:rPr>
          <w:rFonts w:hAnsi="Arial"/>
          <w:rFonts w:ascii="Arial"/>
          <w:sz w:val="24"/>
          <w:color w:val="black"/>
        </w:rPr>
        <w:t xml:space="preserve">Para el tiempo de Comando de Tropa en las Unidades de Comunicaciones, regirα lo dispuesto por el artνculo </w:t>
      </w:r>
      <w:r>
        <w:fldChar w:fldCharType="begin"/>
      </w:r>
      <w:r>
        <w:instrText>HYPERLINK "http://www.redjurista.com/document.aspx?ajcode=d1790000&amp;arts=57"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del Decreto 1790 de 2000. En casos especiales este requisito para ascenso se cumplirα con el desempeρo de los siguientes cargos:</w:t>
      </w:r>
    </w:p>
    <w:p>
      <w:pPr>
        <w:jc w:val="both"/>
      </w:pPr>
      <w:rPr>
        <w:sz w:val="24"/>
        <w:color w:val="black"/>
      </w:rPr>
    </w:p>
    <w:p>
      <w:pPr>
        <w:jc w:val="both"/>
      </w:pPr>
      <w:r>
        <w:rPr>
          <w:rFonts w:hAnsi="Arial"/>
          <w:rFonts w:ascii="Arial"/>
          <w:sz w:val="24"/>
          <w:color w:val="black"/>
        </w:rPr>
        <w:t xml:space="preserve">a) En los grados de Subteniente y Teniente, dos (2) aρos mνnimo como Oficial de Comunicaciones de Unidad Tαctica;</w:t>
      </w:r>
    </w:p>
    <w:p>
      <w:pPr>
        <w:jc w:val="both"/>
      </w:pPr>
      <w:rPr>
        <w:sz w:val="24"/>
        <w:color w:val="black"/>
      </w:rPr>
    </w:p>
    <w:p>
      <w:pPr>
        <w:jc w:val="both"/>
      </w:pPr>
      <w:r>
        <w:rPr>
          <w:rFonts w:hAnsi="Arial"/>
          <w:rFonts w:ascii="Arial"/>
          <w:sz w:val="24"/>
          <w:color w:val="black"/>
        </w:rPr>
        <w:t xml:space="preserve">b) En el grado de Capitαn, dos (2) aρos mνnimo como Oficial de Comunicaciones de Unidad Operativa Menor o Jefe de Radio de una Direcciσn de Comunicaciones;</w:t>
      </w:r>
    </w:p>
    <w:p>
      <w:pPr>
        <w:jc w:val="both"/>
      </w:pPr>
      <w:rPr>
        <w:sz w:val="24"/>
        <w:color w:val="black"/>
      </w:rPr>
    </w:p>
    <w:p>
      <w:pPr>
        <w:jc w:val="both"/>
      </w:pPr>
      <w:r>
        <w:rPr>
          <w:rFonts w:hAnsi="Arial"/>
          <w:rFonts w:ascii="Arial"/>
          <w:sz w:val="24"/>
          <w:color w:val="black"/>
        </w:rPr>
        <w:t xml:space="preserve">c) En el grado de Mayor, un (1) aρo mνnimo como Oficial de Comunicaciones de Unidad Operativa Mayor o Menor, Jefe de Secciσn de la Direcciσn de Comunicaciones del Comando del Ejιrcito, Jefe de Secciσn en la Direcciσn de Comunicaciones del Comando General;</w:t>
      </w:r>
    </w:p>
    <w:p>
      <w:pPr>
        <w:jc w:val="both"/>
      </w:pPr>
      <w:rPr>
        <w:sz w:val="24"/>
        <w:color w:val="black"/>
      </w:rPr>
    </w:p>
    <w:p>
      <w:pPr>
        <w:jc w:val="both"/>
      </w:pPr>
      <w:r>
        <w:rPr>
          <w:rFonts w:hAnsi="Arial"/>
          <w:rFonts w:ascii="Arial"/>
          <w:sz w:val="24"/>
          <w:color w:val="black"/>
        </w:rPr>
        <w:t xml:space="preserve">d) En el grado de Teniente Coronel, un (1) aρo mνnimo como Subdirector de la Direcciσn de Comunicaciones del Comando del Ejιrcito, Jefe de Secciσn en la Direcciσn de Comunicaciones del Comando General, Oficial de Comunicaciones de Unidad Operativa Mayor;</w:t>
      </w:r>
    </w:p>
    <w:p>
      <w:pPr>
        <w:jc w:val="both"/>
      </w:pPr>
      <w:rPr>
        <w:sz w:val="24"/>
        <w:color w:val="black"/>
      </w:rPr>
    </w:p>
    <w:p>
      <w:pPr>
        <w:jc w:val="both"/>
      </w:pPr>
      <w:r>
        <w:rPr>
          <w:rFonts w:hAnsi="Arial"/>
          <w:rFonts w:ascii="Arial"/>
          <w:sz w:val="24"/>
          <w:color w:val="black"/>
        </w:rPr>
        <w:t xml:space="preserve">e) En el Grado de Coronel, un (1) aρo mνnimo como Director de Comunicaciones del Comando del Ejιrcito, Director de Comunicaciones del Comando General y Subdirector de Comunicaciones del Comando General.</w:t>
      </w:r>
    </w:p>
    <w:p>
      <w:pPr>
        <w:jc w:val="both"/>
      </w:pPr>
      <w:rPr>
        <w:sz w:val="24"/>
        <w:color w:val="black"/>
      </w:rPr>
    </w:p>
    <w:p>
      <w:pPr>
        <w:jc w:val="both"/>
      </w:pPr>
      <w:r>
        <w:rPr>
          <w:rFonts w:hAnsi="Arial"/>
          <w:rFonts w:ascii="Arial"/>
          <w:sz w:val="24"/>
          <w:i/>
          <w:color w:val="black"/>
        </w:rPr>
        <w:t xml:space="preserve">(Decreto 1474 de 1999 artνculo </w:t>
      </w:r>
      <w:r>
        <w:fldChar w:fldCharType="begin"/>
      </w:r>
      <w:r>
        <w:instrText>HYPERLINK "http://www.redjurista.com/document.aspx?ajcode=d1474_99&amp;arts=3"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61317" w:name="CAPÍTULO 2.3.2.2"/>
      <w:r>
        <w:rPr>
          <w:rFonts w:hAnsi="Arial"/>
          <w:rFonts w:ascii="Arial"/>
          <w:sz w:val="24"/>
          <w:color w:val="navy"/>
        </w:rPr>
        <w:t xml:space="preserve">CAPΝTULO 2. </w:t>
      </w:r>
    </w:p>
    <w:p>
      <w:pPr>
        <w:jc w:val="center"/>
      </w:pPr>
      <w:r>
        <w:rPr>
          <w:rFonts w:hAnsi="Arial"/>
          <w:rFonts w:ascii="Arial"/>
          <w:sz w:val="24"/>
          <w:color w:val="navy"/>
        </w:rPr>
        <w:t xml:space="preserve">CERTIFICADOS MΙDICOS DE APTITUD PSICOFΝSICA PARA LA TENENCIA Y EL PORTE DE ARMAS DE FUEGO.</w:t>
      </w:r>
      <w:bookmarkEnd w:id="61317"/>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318" w:name="SECCIÓN 2.3.2.2.1"/>
      <w:r>
        <w:rPr>
          <w:rFonts w:hAnsi="Arial"/>
          <w:rFonts w:ascii="Arial"/>
          <w:sz w:val="24"/>
          <w:color w:val="navy"/>
        </w:rPr>
        <w:t xml:space="preserve">SECCIΣN 1. </w:t>
      </w:r>
    </w:p>
    <w:p>
      <w:pPr>
        <w:jc w:val="center"/>
      </w:pPr>
      <w:r>
        <w:rPr>
          <w:rFonts w:hAnsi="Arial"/>
          <w:rFonts w:ascii="Arial"/>
          <w:sz w:val="24"/>
          <w:color w:val="navy"/>
        </w:rPr>
        <w:t xml:space="preserve">OBJETO Y ΑMBITO DE APLICACIΣN.</w:t>
      </w:r>
      <w:bookmarkEnd w:id="61318"/>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1319" w:name="2.3.2.2.1.1"/>
      <w:r>
        <w:rPr>
          <w:rFonts w:hAnsi="Arial"/>
          <w:rFonts w:ascii="Arial"/>
          <w:sz w:val="24"/>
          <w:color w:val="navy"/>
        </w:rPr>
        <w:t xml:space="preserve">ARTΝCULO 2.3.2.2.1.1. </w:t>
      </w:r>
      <w:r>
        <w:rPr>
          <w:rFonts w:hAnsi="Arial"/>
          <w:rFonts w:ascii="Arial"/>
          <w:sz w:val="24"/>
          <w:i/>
          <w:color w:val="navy"/>
        </w:rPr>
        <w:t xml:space="preserve">OBJETO Y ΑMBITO DE APLICACIΣN.</w:t>
      </w:r>
      <w:bookmarkEnd w:id="61319"/>
      <w:r>
        <w:rPr>
          <w:rFonts w:hAnsi="Arial"/>
          <w:rFonts w:ascii="Arial"/>
          <w:sz w:val="24"/>
          <w:b/>
          <w:i/>
          <w:color w:val="black"/>
        </w:rPr>
        <w:t xml:space="preserve"> </w:t>
      </w:r>
      <w:r>
        <w:rPr>
          <w:rFonts w:hAnsi="Arial"/>
          <w:rFonts w:ascii="Arial"/>
          <w:sz w:val="24"/>
          <w:color w:val="black"/>
        </w:rPr>
        <w:t xml:space="preserve">El presente Capνtulo, tiene por objeto determinar, en todo el territorio nacional, el procedimiento para obtener el Certificado Mιdico de Aptitud Psicofνsica para la Tenencia y el Porte de Armas de Fuego que debe presentar todo aspirante a obtener por primera vez y/o por revalidaciσn, el permiso para el porte o tenencia de armas de fuego.</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"http://www.redjurista.com/document.aspx?ajcode=d0503008&amp;arts=1"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0503 de 2008)</w:t>
      </w:r>
    </w:p>
    <w:p>
      <w:pPr>
        <w:jc w:val="center"/>
      </w:pPr>
      <w:rPr>
        <w:sz w:val="24"/>
        <w:color w:val="black"/>
      </w:rPr>
    </w:p>
    <w:p>
      <w:pPr>
        <w:jc w:val="center"/>
      </w:pPr>
      <w:r>
        <w:rPr>
          <w:rFonts w:hAnsi="Arial"/>
          <w:rFonts w:ascii="Arial"/>
          <w:sz w:val="24"/>
          <w:vanish/>
          <w:color w:val="black"/>
        </w:rPr>
        <w:t>&amp;$</w:t>
      </w:r>
      <w:bookmarkStart w:id="61320" w:name="SECCIÓN 2.3.2.2.2"/>
      <w:r>
        <w:rPr>
          <w:rFonts w:hAnsi="Arial"/>
          <w:rFonts w:ascii="Arial"/>
          <w:sz w:val="24"/>
          <w:color w:val="navy"/>
        </w:rPr>
        <w:t xml:space="preserve">SECCIΣN 2. </w:t>
      </w:r>
    </w:p>
    <w:p>
      <w:pPr>
        <w:jc w:val="center"/>
      </w:pPr>
      <w:r>
        <w:rPr>
          <w:rFonts w:hAnsi="Arial"/>
          <w:rFonts w:ascii="Arial"/>
          <w:sz w:val="24"/>
          <w:color w:val="navy"/>
        </w:rPr>
        <w:t xml:space="preserve">CERTIFICADO MΙDICO DE APTITUD PSICOFΝSICA PARA LA TENENCIA Y EL PORTE DE ARMAS DE FUEGO.</w:t>
      </w:r>
      <w:bookmarkEnd w:id="61320"/>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1321" w:name="2.3.2.2.2.1"/>
      <w:r>
        <w:rPr>
          <w:rFonts w:hAnsi="Arial"/>
          <w:rFonts w:ascii="Arial"/>
          <w:sz w:val="24"/>
          <w:color w:val="navy"/>
        </w:rPr>
        <w:t xml:space="preserve">ARTΝCULO 2.3.2.2.2.1. </w:t>
      </w:r>
      <w:r>
        <w:rPr>
          <w:rFonts w:hAnsi="Arial"/>
          <w:rFonts w:ascii="Arial"/>
          <w:sz w:val="24"/>
          <w:i/>
          <w:color w:val="navy"/>
        </w:rPr>
        <w:t xml:space="preserve">CERTIFICADO MΙDICO DE APTITUD PSICOFΝSICA PARA LA TENENCIA Y EL PORTE DE ARMAS DE FUEGO.</w:t>
      </w:r>
      <w:bookmarkEnd w:id="61321"/>
      <w:r>
        <w:rPr>
          <w:rFonts w:hAnsi="Arial"/>
          <w:rFonts w:ascii="Arial"/>
          <w:sz w:val="24"/>
          <w:b/>
          <w:i/>
          <w:color w:val="black"/>
        </w:rPr>
        <w:t xml:space="preserve"> </w:t>
      </w:r>
      <w:r>
        <w:rPr>
          <w:rFonts w:hAnsi="Arial"/>
          <w:rFonts w:ascii="Arial"/>
          <w:sz w:val="24"/>
          <w:color w:val="black"/>
        </w:rPr>
        <w:t xml:space="preserve">Es el documento expedido y suscrito por un mιdico que actϊa en nombre y representaciσn de una Instituciσn Especializada, dotada con los equipos y el personal necesario e inscrita en el Ministerio de Defensa Nacional-Direcciσn General de Sanidad Militar-Subdirecciσn de Servicios de Salud, en el cual se certifica que el aspirante a obtener por primera vez la autorizaciσn y/o revalidaciσn para la tenencia y el porte de armas de fuego, posee la capacidad de visiσn, orientaciσn auditiva, agudeza visual y campimetrνa, y la coordinaciσn integral motriz adecuada a las exigencias que se requieren para dicha actividad de alto riesgo.</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22" w:name="2.3.2.2.2.2"/>
      <w:r>
        <w:rPr>
          <w:rFonts w:hAnsi="Arial"/>
          <w:rFonts w:ascii="Arial"/>
          <w:sz w:val="24"/>
          <w:color w:val="navy"/>
        </w:rPr>
        <w:t xml:space="preserve">ARTΝCULO 2.3.2.2.2.2. </w:t>
      </w:r>
      <w:r>
        <w:rPr>
          <w:rFonts w:hAnsi="Arial"/>
          <w:rFonts w:ascii="Arial"/>
          <w:sz w:val="24"/>
          <w:i/>
          <w:color w:val="navy"/>
        </w:rPr>
        <w:t xml:space="preserve">OBTENCIΣN Y REVALIDACIΣN.</w:t>
      </w:r>
      <w:bookmarkEnd w:id="61322"/>
      <w:r>
        <w:rPr>
          <w:rFonts w:hAnsi="Arial"/>
          <w:rFonts w:ascii="Arial"/>
          <w:sz w:val="24"/>
          <w:b/>
          <w:i/>
          <w:color w:val="black"/>
        </w:rPr>
        <w:t xml:space="preserve"> </w:t>
      </w:r>
      <w:r>
        <w:rPr>
          <w:rFonts w:hAnsi="Arial"/>
          <w:rFonts w:ascii="Arial"/>
          <w:sz w:val="24"/>
          <w:color w:val="black"/>
        </w:rPr>
        <w:t xml:space="preserve">Todas las personas naturales que pretendan obtener por primera vez o revalidar los permisos para la tenencia y el porte de armas de fuego, deberαn aportar, junto con los demαs requisitos establecidos en las normas pertinentes, un Certificado Mιdico de Aptitud Psicofνsica para la Tenencia y el Porte de Armas de Fuego conforme se establece en la disposiciσn anterior para efectos que su solicitud sea estudiada por la Autoridad Competente.</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el artνculo </w:t>
      </w:r>
      <w:r>
        <w:fldChar w:fldCharType="begin"/>
      </w:r>
      <w:r>
        <w:instrText>HYPERLINK "http://www.redjurista.com/document.aspx?ajcode=d0503008&amp;arts=2"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0503 de 2008)</w:t>
      </w:r>
    </w:p>
    <w:p>
      <w:pPr>
        <w:jc w:val="both"/>
      </w:pPr>
      <w:rPr>
        <w:sz w:val="24"/>
        <w:color w:val="black"/>
      </w:rPr>
    </w:p>
    <w:p>
      <w:pPr>
        <w:jc w:val="both"/>
      </w:pPr>
      <w:r>
        <w:rPr>
          <w:rFonts w:hAnsi="Arial"/>
          <w:rFonts w:ascii="Arial"/>
          <w:sz w:val="24"/>
          <w:vanish/>
          <w:color w:val="black"/>
        </w:rPr>
        <w:t>&amp;$</w:t>
      </w:r>
      <w:bookmarkStart w:id="61323" w:name="2.3.2.2.2.3"/>
      <w:r>
        <w:rPr>
          <w:rFonts w:hAnsi="Arial"/>
          <w:rFonts w:ascii="Arial"/>
          <w:sz w:val="24"/>
          <w:color w:val="navy"/>
        </w:rPr>
        <w:t xml:space="preserve">ARTΝCULO 2.3.2.2.2.3. </w:t>
      </w:r>
      <w:r>
        <w:rPr>
          <w:rFonts w:hAnsi="Arial"/>
          <w:rFonts w:ascii="Arial"/>
          <w:sz w:val="24"/>
          <w:i/>
          <w:color w:val="navy"/>
        </w:rPr>
        <w:t xml:space="preserve">DE LAS INSTITUCIONES ESPECIALIZADAS PARA EXPEDIR CERTIFICADOS DE APTITUD PSICOFΝSICA.</w:t>
      </w:r>
      <w:bookmarkEnd w:id="61323"/>
      <w:r>
        <w:rPr>
          <w:rFonts w:hAnsi="Arial"/>
          <w:rFonts w:ascii="Arial"/>
          <w:sz w:val="24"/>
          <w:b/>
          <w:i/>
          <w:color w:val="black"/>
        </w:rPr>
        <w:t xml:space="preserve"> </w:t>
      </w:r>
      <w:r>
        <w:rPr>
          <w:rFonts w:hAnsi="Arial"/>
          <w:rFonts w:ascii="Arial"/>
          <w:sz w:val="24"/>
          <w:color w:val="black"/>
        </w:rPr>
        <w:t xml:space="preserve">Para efectos del presente Capνtulo, las Instituciones Especializadas que expiden la Certificaciσn de la Aptitud Psicofνsica para la tenencia y el porte de Armas de Fuego, son Prestadores de Servicios de Salud, habilitados y certificados por el Sistema ϊnico de inscritos en el Sistema Obligatorio de Garantνa de Calidad de la Atenciσn de Salud, de conformidad con la reglamentaciσn vigente o la que expida de manera particular para estos efectos el Ministerio de la Protecciσn Social. Dichas instituciones deberαn ademαs solicitar el registro, ante el Ministerio de Defensa-Direcciσn General de Sanidad Militar-Subdirecciσn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24" w:name="2.3.2.2.2.4"/>
      <w:r>
        <w:rPr>
          <w:rFonts w:hAnsi="Arial"/>
          <w:rFonts w:ascii="Arial"/>
          <w:sz w:val="24"/>
          <w:color w:val="navy"/>
        </w:rPr>
        <w:t xml:space="preserve">ARTΝCULO 2.3.2.2.2.4. </w:t>
      </w:r>
      <w:r>
        <w:rPr>
          <w:rFonts w:hAnsi="Arial"/>
          <w:rFonts w:ascii="Arial"/>
          <w:sz w:val="24"/>
          <w:i/>
          <w:color w:val="navy"/>
        </w:rPr>
        <w:t xml:space="preserve">DE LA ACREDITACIΣN DE LAS INSTITUCIONES ESPECIALIZADAS.</w:t>
      </w:r>
      <w:bookmarkEnd w:id="61324"/>
      <w:r>
        <w:rPr>
          <w:rFonts w:hAnsi="Arial"/>
          <w:rFonts w:ascii="Arial"/>
          <w:sz w:val="24"/>
          <w:b/>
          <w:i/>
          <w:color w:val="black"/>
        </w:rPr>
        <w:t xml:space="preserve"> </w:t>
      </w:r>
      <w:r>
        <w:rPr>
          <w:rFonts w:hAnsi="Arial"/>
          <w:rFonts w:ascii="Arial"/>
          <w:sz w:val="24"/>
          <w:color w:val="black"/>
        </w:rPr>
        <w:t xml:space="preserve">Las Instituciones Especializadas que pretendan certificar la aptitud psicofνsica para la tenencia y el porte de armas de fuego, deberαn obtener Reconocimiento como Organismos Certificadores de Personas ante el Sistema Nacional de Normalizaciσn, Certificaciσn y Metrologνa, para cada sede en la que pretenda operar, ya sea una ϊnica sede, o diferentes sedes de una sociedad o persona jurνdica.</w:t>
      </w:r>
    </w:p>
    <w:p>
      <w:pPr>
        <w:jc w:val="both"/>
      </w:pPr>
      <w:rPr>
        <w:sz w:val="24"/>
        <w:color w:val="black"/>
      </w:rPr>
    </w:p>
    <w:p>
      <w:pPr>
        <w:jc w:val="both"/>
      </w:pPr>
      <w:r>
        <w:rPr>
          <w:rFonts w:hAnsi="Arial"/>
          <w:rFonts w:ascii="Arial"/>
          <w:sz w:val="24"/>
          <w:color w:val="black"/>
        </w:rPr>
        <w:t xml:space="preserve">Las Instituciones Especializadas que hayan obtenido la acreditaciσn bajo la norma ISO/IEC 17024:2003 de acuerdo con el presente Capνtulo, deberαn someterse al menos a una (1) auditorνa anual completa de seguimiento por parte de la Superintendencia de Industria y Comercio.</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25" w:name="2.3.2.2.2.5"/>
      <w:r>
        <w:rPr>
          <w:rFonts w:hAnsi="Arial"/>
          <w:rFonts w:ascii="Arial"/>
          <w:sz w:val="24"/>
          <w:color w:val="navy"/>
        </w:rPr>
        <w:t xml:space="preserve">ARTΝCULO 2.3.2.2.2.5. </w:t>
      </w:r>
      <w:r>
        <w:rPr>
          <w:rFonts w:hAnsi="Arial"/>
          <w:rFonts w:ascii="Arial"/>
          <w:sz w:val="24"/>
          <w:i/>
          <w:color w:val="navy"/>
        </w:rPr>
        <w:t xml:space="preserve">PROCEDIMIENTO PARA LA OBTENCIΣN DEL CERTIFICADO MΙDICO DE APTITUD PSICOFΝSICA PARA LA TENENCIA Y EL PORTE DE ARMAS DE FUEGO.</w:t>
      </w:r>
      <w:bookmarkEnd w:id="61325"/>
      <w:r>
        <w:rPr>
          <w:rFonts w:hAnsi="Arial"/>
          <w:rFonts w:ascii="Arial"/>
          <w:sz w:val="24"/>
          <w:b/>
          <w:i/>
          <w:color w:val="black"/>
        </w:rPr>
        <w:t xml:space="preserve"> </w:t>
      </w:r>
      <w:r>
        <w:rPr>
          <w:rFonts w:hAnsi="Arial"/>
          <w:rFonts w:ascii="Arial"/>
          <w:sz w:val="24"/>
          <w:color w:val="black"/>
        </w:rPr>
        <w:t xml:space="preserve">Para obtener el Certificado descrito en el presente Capνtulo, el interesado deberα dirigirse a una Instituciσn Especializada, en la cual se determinarα la aptitud del solicitante, los profesionales de la salud de las instituciones especializadas en expedir el Certificado Mιdico de Aptitud Psicofνsica para la Tenencia y el Porte de Armas de Fuego, realizarαn las exploraciones, valoraciones y entrevistas necesarias para verificar que la persona examinada no padece alguna enfermedad o deficiencia fνsica o psicolσgica que pueda suponer incapacidad para manipular un arma de fuego. El certificado deberα contener los siguientes puntos:</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IDENTIFICACIΣN DEL ASPIRANTE: </w:t>
      </w:r>
      <w:r>
        <w:rPr>
          <w:rFonts w:hAnsi="Arial"/>
          <w:rFonts w:ascii="Arial"/>
          <w:sz w:val="24"/>
          <w:color w:val="black"/>
        </w:rPr>
        <w:t xml:space="preserve">El proceso de identificaciσn del aspirante deberα contener los siguientes elementos:</w:t>
      </w:r>
    </w:p>
    <w:p>
      <w:pPr>
        <w:jc w:val="both"/>
      </w:pPr>
      <w:rPr>
        <w:sz w:val="24"/>
        <w:color w:val="black"/>
      </w:rPr>
    </w:p>
    <w:p>
      <w:pPr>
        <w:jc w:val="both"/>
      </w:pPr>
      <w:r>
        <w:rPr>
          <w:rFonts w:hAnsi="Arial"/>
          <w:rFonts w:ascii="Arial"/>
          <w:sz w:val="24"/>
          <w:color w:val="black"/>
        </w:rPr>
        <w:t xml:space="preserve">a) Presentaciσn del documento de Identidad con el fin que la Instituciσn Especializada registre los datos personales del aspirante: nombre, direcciσn, telιfono, nϊmero del documento de identidad y demαs informaciσn requerida para identificar a la persona;</w:t>
      </w:r>
    </w:p>
    <w:p>
      <w:pPr>
        <w:jc w:val="both"/>
      </w:pPr>
      <w:rPr>
        <w:sz w:val="24"/>
        <w:color w:val="black"/>
      </w:rPr>
    </w:p>
    <w:p>
      <w:pPr>
        <w:jc w:val="both"/>
      </w:pPr>
      <w:r>
        <w:rPr>
          <w:rFonts w:hAnsi="Arial"/>
          <w:rFonts w:ascii="Arial"/>
          <w:sz w:val="24"/>
          <w:color w:val="black"/>
        </w:rPr>
        <w:t xml:space="preserve">b) Identificaciσn biomιtrica de la huella dactilar, para lo cual se deben tomar, por medio electrσnico, utilizando un escαner digital, las huellas dactilares de los dedos νndice derecho e izquierdo. Esta informaciσn se utilizarα para producir el registro de identificaciσn de las huellas dactilares de acuerdo con los parαmetros que se definan. Igualmente, la informaciσn quedarα guardada mediante las herramientas tecnolσgicas que para tal fin estιn dispuestas en el mencionado registro;</w:t>
      </w:r>
    </w:p>
    <w:p>
      <w:rPr>
        <w:color w:val="black"/>
      </w:rPr>
    </w:p>
    <w:p>
      <w:pPr>
        <w:jc w:val="both"/>
      </w:pPr>
      <w:r>
        <w:rPr>
          <w:rFonts w:hAnsi="Arial"/>
          <w:rFonts w:ascii="Arial"/>
          <w:sz w:val="24"/>
          <w:color w:val="black"/>
        </w:rPr>
        <w:t xml:space="preserve">c) Toma de fotografνa del aspirante.</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EVALUACIΣN PSICOMOTRIZ: </w:t>
      </w:r>
      <w:r>
        <w:rPr>
          <w:rFonts w:hAnsi="Arial"/>
          <w:rFonts w:ascii="Arial"/>
          <w:sz w:val="24"/>
          <w:color w:val="black"/>
        </w:rPr>
        <w:t xml:space="preserve">Requiere la valoraciσn psicolσgica general y la realizaciσn de pruebas necesarias para establecer o corroborar los antecedentes clνnicos con el fin de determinar el cumplimiento de los rangos establecidos por el Ministerio de Defensa Nacional referentes a:</w:t>
      </w:r>
    </w:p>
    <w:p>
      <w:pPr>
        <w:jc w:val="both"/>
      </w:pPr>
      <w:rPr>
        <w:sz w:val="24"/>
        <w:color w:val="black"/>
      </w:rPr>
    </w:p>
    <w:p>
      <w:pPr>
        <w:jc w:val="both"/>
      </w:pPr>
      <w:r>
        <w:rPr>
          <w:rFonts w:hAnsi="Arial"/>
          <w:rFonts w:ascii="Arial"/>
          <w:sz w:val="24"/>
          <w:color w:val="black"/>
        </w:rPr>
        <w:t xml:space="preserve">A) </w:t>
      </w:r>
      <w:r>
        <w:rPr>
          <w:rFonts w:hAnsi="Arial"/>
          <w:rFonts w:ascii="Arial"/>
          <w:sz w:val="24"/>
          <w:b/>
          <w:color w:val="black"/>
        </w:rPr>
        <w:t xml:space="preserve">LA CAPACIDAD MENTAL: </w:t>
      </w:r>
      <w:r>
        <w:rPr>
          <w:rFonts w:hAnsi="Arial"/>
          <w:rFonts w:ascii="Arial"/>
          <w:sz w:val="24"/>
          <w:color w:val="black"/>
        </w:rPr>
        <w:t xml:space="preserve">Relacionada con la capacidad que tiene el aspirante de responder a un estνmulo como resultado de un proceso cerebral producto del aprendizaje, de forma que se encuentre en condiciones de relacionarse con su entorno, mantener el sentido de la realidad, de la orientaciσn tempo-espacial, de la comprensiσn y discernimiento para la construcciσn del pensamiento lσgico; en este examen se deben observar patologνas como el Retraso Mental, Psicosis, Neuroticismo, Personalidades Psicopαticas con agresividad e Inadaptaciσn social y la presencia de depresiones manifiestas o evidencias de intentos de suicidio entre otras;</w:t>
      </w:r>
    </w:p>
    <w:p>
      <w:pPr>
        <w:jc w:val="both"/>
      </w:pPr>
      <w:rPr>
        <w:sz w:val="24"/>
        <w:color w:val="black"/>
      </w:rPr>
    </w:p>
    <w:p>
      <w:pPr>
        <w:jc w:val="both"/>
      </w:pPr>
      <w:r>
        <w:rPr>
          <w:rFonts w:hAnsi="Arial"/>
          <w:rFonts w:ascii="Arial"/>
          <w:sz w:val="24"/>
          <w:color w:val="black"/>
        </w:rPr>
        <w:t xml:space="preserve">b) </w:t>
      </w:r>
      <w:r>
        <w:rPr>
          <w:rFonts w:hAnsi="Arial"/>
          <w:rFonts w:ascii="Arial"/>
          <w:sz w:val="24"/>
          <w:b/>
          <w:color w:val="black"/>
        </w:rPr>
        <w:t xml:space="preserve">La Coordinaciσn Integral Motriz: </w:t>
      </w:r>
      <w:r>
        <w:rPr>
          <w:rFonts w:hAnsi="Arial"/>
          <w:rFonts w:ascii="Arial"/>
          <w:sz w:val="24"/>
          <w:color w:val="black"/>
        </w:rPr>
        <w:t xml:space="preserve">Mide la destreza del aspirante para ejecutar acciones precisas y rαpidas utilizando la visiσn, la audiciσn y los miembros superiores y/o inferiores en forma simultαnea. Incluye la coordinaciσn manual, bimanual, reacciones mϊltiples, percepciσn de la velocidad y la integraciσn estνmulo respuesta y la capacidad de adquirir, discriminar y responder frente a estνmulos.</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CAPACIDAD DE VISIΣN: </w:t>
      </w:r>
      <w:r>
        <w:rPr>
          <w:rFonts w:hAnsi="Arial"/>
          <w:rFonts w:ascii="Arial"/>
          <w:sz w:val="24"/>
          <w:color w:val="black"/>
        </w:rPr>
        <w:t xml:space="preserve">El profesional de la salud correspondiente, deberα realizar las diversas pruebas que le indiquen si las condiciones generales de la capacidad de visiσn del individuo son las mνnimas para el manejo de armas con seguridad. Incluye la valoraciσn de los νtems y rangos establecidos por el Ministerio de Defensa Nacional.</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CAPACIDAD AUDITIVA: </w:t>
      </w:r>
      <w:r>
        <w:rPr>
          <w:rFonts w:hAnsi="Arial"/>
          <w:rFonts w:ascii="Arial"/>
          <w:sz w:val="24"/>
          <w:color w:val="black"/>
        </w:rPr>
        <w:t xml:space="preserve">El profesional de la salud respectivo realizarα al solicitante una audiometrνa para determinar los niveles mνnimos de audiciσn que tiene la persona en cada uno de los oνdos y su orientaciσn auditiva. De acuerdo con los rangos establecidos por el Ministerio de Defensa Nacional.</w:t>
      </w:r>
    </w:p>
    <w:p>
      <w:pPr>
        <w:jc w:val="both"/>
      </w:pPr>
      <w:rPr>
        <w:sz w:val="24"/>
        <w:color w:val="black"/>
      </w:rPr>
    </w:p>
    <w:p>
      <w:pPr>
        <w:jc w:val="both"/>
      </w:pPr>
      <w:r>
        <w:rPr>
          <w:rFonts w:hAnsi="Arial"/>
          <w:rFonts w:ascii="Arial"/>
          <w:sz w:val="24"/>
          <w:color w:val="black"/>
        </w:rPr>
        <w:t xml:space="preserve">5. </w:t>
      </w:r>
      <w:r>
        <w:rPr>
          <w:rFonts w:hAnsi="Arial"/>
          <w:rFonts w:ascii="Arial"/>
          <w:sz w:val="24"/>
          <w:b/>
          <w:color w:val="black"/>
        </w:rPr>
        <w:t xml:space="preserve">CAPACIDAD FΝSICA GENERAL: </w:t>
      </w:r>
      <w:r>
        <w:rPr>
          <w:rFonts w:hAnsi="Arial"/>
          <w:rFonts w:ascii="Arial"/>
          <w:sz w:val="24"/>
          <w:color w:val="black"/>
        </w:rPr>
        <w:t xml:space="preserve">Una vez efectuadas las pruebas anteriores, el solicitante deberα someterse a una evaluaciσn de medicina general, en la que ademαs de la valoraciσn fνsica general, el profesional de la salud indagarα al solicitante, ayudado con una entrevista estructurada, sobre su historial mιdico o diagnσstico clνnico, de manera que le permita deducir el cumplimiento de los rangos establecidos por el Ministerio de Defensa Nacional.</w:t>
      </w:r>
    </w:p>
    <w:p>
      <w:pPr>
        <w:jc w:val="both"/>
      </w:pPr>
      <w:rPr>
        <w:sz w:val="24"/>
        <w:color w:val="black"/>
      </w:rPr>
    </w:p>
    <w:p>
      <w:pPr>
        <w:jc w:val="both"/>
      </w:pPr>
      <w:r>
        <w:rPr>
          <w:rFonts w:hAnsi="Arial"/>
          <w:rFonts w:ascii="Arial"/>
          <w:sz w:val="24"/>
          <w:color w:val="black"/>
        </w:rPr>
        <w:t xml:space="preserve">El examen fνsico debe estar dirigido a determinar:</w:t>
      </w:r>
    </w:p>
    <w:p>
      <w:pPr>
        <w:jc w:val="both"/>
      </w:pPr>
      <w:rPr>
        <w:sz w:val="24"/>
        <w:color w:val="black"/>
      </w:rPr>
    </w:p>
    <w:p>
      <w:pPr>
        <w:jc w:val="both"/>
      </w:pPr>
      <w:r>
        <w:rPr>
          <w:rFonts w:hAnsi="Arial"/>
          <w:rFonts w:ascii="Arial"/>
          <w:sz w:val="24"/>
          <w:color w:val="black"/>
        </w:rPr>
        <w:t xml:space="preserve">5.1. Presencia de enfermedades del sistema nervioso central, tanto en la vνa piramidal como de la extrapiramidal.</w:t>
      </w:r>
    </w:p>
    <w:p>
      <w:pPr>
        <w:jc w:val="both"/>
      </w:pPr>
      <w:rPr>
        <w:sz w:val="24"/>
        <w:color w:val="black"/>
      </w:rPr>
    </w:p>
    <w:p>
      <w:pPr>
        <w:jc w:val="both"/>
      </w:pPr>
      <w:r>
        <w:rPr>
          <w:rFonts w:hAnsi="Arial"/>
          <w:rFonts w:ascii="Arial"/>
          <w:sz w:val="24"/>
          <w:color w:val="black"/>
        </w:rPr>
        <w:t xml:space="preserve">5.2. Determinaciσn de las funciones de coordinaciσn motriz y examen neurolσgico completo, pruebas de equilibrio y de indemnidad de la fosa posterior.</w:t>
      </w:r>
    </w:p>
    <w:p>
      <w:pPr>
        <w:jc w:val="both"/>
      </w:pPr>
      <w:rPr>
        <w:sz w:val="24"/>
        <w:color w:val="black"/>
      </w:rPr>
    </w:p>
    <w:p>
      <w:pPr>
        <w:jc w:val="both"/>
      </w:pPr>
      <w:r>
        <w:rPr>
          <w:rFonts w:hAnsi="Arial"/>
          <w:rFonts w:ascii="Arial"/>
          <w:sz w:val="24"/>
          <w:color w:val="black"/>
        </w:rPr>
        <w:t xml:space="preserve">5.3. Examen fνsico general</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diagnσsticos correspondientes a las evaluaciones mιdicas, serαn suscritos por los profesionales de la salud que los realizaron en forma independiente, pero el diagnσstico se otorgarα en un solo documento que certifica la aptitud psicofνsica para la tenencia y el porte de armas de fuego.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Todas las evaluaciones se deben realizar en la misma instituciσn especializada y registrada en el Ministerio de Defensa Nacional-Direcciσn General de Sanidad Militar-Subdirecciσn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26" w:name="2.3.2.2.2.6"/>
      <w:r>
        <w:rPr>
          <w:rFonts w:hAnsi="Arial"/>
          <w:rFonts w:ascii="Arial"/>
          <w:sz w:val="24"/>
          <w:color w:val="navy"/>
        </w:rPr>
        <w:t xml:space="preserve">ARTΝCULO 2.3.2.2.2.6. </w:t>
      </w:r>
      <w:r>
        <w:rPr>
          <w:rFonts w:hAnsi="Arial"/>
          <w:rFonts w:ascii="Arial"/>
          <w:sz w:val="24"/>
          <w:i/>
          <w:color w:val="navy"/>
        </w:rPr>
        <w:t xml:space="preserve">EXPEDICIΣN DEL CERTIFICADO MΙDICO DE APTITUD PSICOFΝSICA PARA LA TENENCIA Y EL PORTE DE ARMAS DE FUEGO.</w:t>
      </w:r>
      <w:bookmarkEnd w:id="61326"/>
      <w:r>
        <w:rPr>
          <w:rFonts w:hAnsi="Arial"/>
          <w:rFonts w:ascii="Arial"/>
          <w:sz w:val="24"/>
          <w:b/>
          <w:i/>
          <w:color w:val="black"/>
        </w:rPr>
        <w:t xml:space="preserve"> </w:t>
      </w:r>
      <w:r>
        <w:rPr>
          <w:rFonts w:hAnsi="Arial"/>
          <w:rFonts w:ascii="Arial"/>
          <w:sz w:val="24"/>
          <w:color w:val="black"/>
        </w:rPr>
        <w:t xml:space="preserve">El mιdico autorizado, en nombre y representaciσn de la Instituciσn Especializada donde se realizaron las pruebas, con base en los registros consignados en el Informe de Evaluaciσn Fνsica, Mental y de Coordinaciσn Motriz, verificarα si los resultados obtenidos por el aspirante se encuentran dentro de los rangos establecidos por el Ministerio de Defensa Nacional.</w:t>
      </w:r>
    </w:p>
    <w:p>
      <w:pPr>
        <w:jc w:val="both"/>
      </w:pPr>
      <w:rPr>
        <w:sz w:val="24"/>
        <w:color w:val="black"/>
      </w:rPr>
    </w:p>
    <w:p>
      <w:pPr>
        <w:jc w:val="both"/>
      </w:pPr>
      <w:r>
        <w:rPr>
          <w:rFonts w:hAnsi="Arial"/>
          <w:rFonts w:ascii="Arial"/>
          <w:sz w:val="24"/>
          <w:color w:val="black"/>
        </w:rPr>
        <w:t xml:space="preserve">Si el aspirante cumpliσ o no con los rangos establecidos por el Ministerio de Defensa Nacional, de manera sistematizada se procederα a registrar la informaciσn, para que a su vez genere el nϊmero consecutivo del Certificado Mιdico de Aptitud Psicofνsica para la Tenencia y el Porte de Armas de Fuego, que deberα ser impreso en el documento fνsico que se expida al solicitante.</w:t>
      </w:r>
    </w:p>
    <w:p>
      <w:pPr>
        <w:jc w:val="both"/>
      </w:pPr>
      <w:rPr>
        <w:sz w:val="24"/>
        <w:color w:val="black"/>
      </w:rPr>
    </w:p>
    <w:p>
      <w:pPr>
        <w:jc w:val="both"/>
      </w:pPr>
      <w:r>
        <w:rPr>
          <w:rFonts w:hAnsi="Arial"/>
          <w:rFonts w:ascii="Arial"/>
          <w:sz w:val="24"/>
          <w:color w:val="black"/>
        </w:rPr>
        <w:t xml:space="preserve">El Certificado Mιdico de Aptitud Psicofνsica para la Tenencia y el Porte de Armas de Fuego deberα suscribirlo el mιdico autorizado por la Instituciσn Especializada, junto con las firmas y registros de los profesionales de la salud que intervienen en el proceso y llevarα la fotografνa impresa del solicitante. El presente certificado deberα ser autorizado por una persona delegada por el representante legal de la Instituciσn Especializada con la condiciσn de que esta persona no intervenga en el proceso de evaluaciσn.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Certificado Mιdico de Aptitud Psicofνsica para la Tenencia y el Porte de Armas de Fuego del aspirante deberα ser registrado por la instituciσn en la base de datos del Ministerio de Defensa Nacional - Departamento Control Comercio de Armas, Municiones y Explosivos, por medio de un archivo denominado FTP, mνnimo una vez al dνa.</w:t>
      </w:r>
    </w:p>
    <w:p>
      <w:pPr>
        <w:jc w:val="both"/>
      </w:pPr>
      <w:rPr>
        <w:sz w:val="24"/>
        <w:color w:val="black"/>
      </w:rPr>
    </w:p>
    <w:p>
      <w:pPr>
        <w:jc w:val="both"/>
      </w:pPr>
      <w:r>
        <w:rPr>
          <w:rFonts w:hAnsi="Arial"/>
          <w:rFonts w:ascii="Arial"/>
          <w:sz w:val="24"/>
          <w:color w:val="black"/>
        </w:rPr>
        <w:t xml:space="preserve">El Ministerio de Defensa - Departamento Control Comercio de Armas, Municiones y Explosivos, por intermedio de la Oficina de Informαtica, asignarα un login a cada Instituciσn Especializada y le otorgarα una clave de acceso, la cual debe ser ϊnica y de uso privativo y exclusivo del representante de la instituciσn o a quien ιl delegue bajo su propia responsabilidad.</w:t>
      </w:r>
    </w:p>
    <w:p>
      <w:pPr>
        <w:jc w:val="both"/>
      </w:pPr>
      <w:rPr>
        <w:sz w:val="24"/>
        <w:color w:val="black"/>
      </w:rPr>
    </w:p>
    <w:p>
      <w:pPr>
        <w:jc w:val="both"/>
      </w:pPr>
      <w:r>
        <w:rPr>
          <w:rFonts w:hAnsi="Arial"/>
          <w:rFonts w:ascii="Arial"/>
          <w:sz w:val="24"/>
          <w:color w:val="black"/>
        </w:rPr>
        <w:t xml:space="preserve">Este registro deberα incluir ademαs los patrones almacenados correspondientes a los datos del aspirante, la identificaciσn biomιtrica de las huellas dactilares y su fotografνa.</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27" w:name="2.3.2.2.2.7"/>
      <w:r>
        <w:rPr>
          <w:rFonts w:hAnsi="Arial"/>
          <w:rFonts w:ascii="Arial"/>
          <w:sz w:val="24"/>
          <w:color w:val="navy"/>
        </w:rPr>
        <w:t xml:space="preserve">ARTΝCULO 2.3.2.2.2.7. </w:t>
      </w:r>
      <w:r>
        <w:rPr>
          <w:rFonts w:hAnsi="Arial"/>
          <w:rFonts w:ascii="Arial"/>
          <w:sz w:val="24"/>
          <w:i/>
          <w:color w:val="navy"/>
        </w:rPr>
        <w:t xml:space="preserve">DEL CERTIFICADO.</w:t>
      </w:r>
      <w:bookmarkEnd w:id="61327"/>
      <w:r>
        <w:rPr>
          <w:rFonts w:hAnsi="Arial"/>
          <w:rFonts w:ascii="Arial"/>
          <w:sz w:val="24"/>
          <w:b/>
          <w:i/>
          <w:color w:val="black"/>
        </w:rPr>
        <w:t xml:space="preserve"> </w:t>
      </w:r>
      <w:r>
        <w:rPr>
          <w:rFonts w:hAnsi="Arial"/>
          <w:rFonts w:ascii="Arial"/>
          <w:sz w:val="24"/>
          <w:color w:val="black"/>
        </w:rPr>
        <w:t xml:space="preserve">El Certificado Mιdico de Aptitud Psicofνsica para la Tenencia y el Porte de Armas de Fuego deberα ajustarse a la informaciσn y al formato seρalados en el documento -"Certificado Mιdico de Aptitud Psicofνsica para la Tenencia y el Porte de Armas de Fuego"- que para el efecto determine el Ministerio de Defensa Nacional-Direcciσn General de Sanidad Militar - 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28" w:name="2.3.2.2.2.8"/>
      <w:r>
        <w:rPr>
          <w:rFonts w:hAnsi="Arial"/>
          <w:rFonts w:ascii="Arial"/>
          <w:sz w:val="24"/>
          <w:color w:val="navy"/>
        </w:rPr>
        <w:t xml:space="preserve">ARTΝCULO 2.3.2.2.2.8. </w:t>
      </w:r>
      <w:r>
        <w:rPr>
          <w:rFonts w:hAnsi="Arial"/>
          <w:rFonts w:ascii="Arial"/>
          <w:sz w:val="24"/>
          <w:i/>
          <w:color w:val="navy"/>
        </w:rPr>
        <w:t xml:space="preserve">VIGENCIA DEL CERTIFICADO.</w:t>
      </w:r>
      <w:bookmarkEnd w:id="61328"/>
      <w:r>
        <w:rPr>
          <w:rFonts w:hAnsi="Arial"/>
          <w:rFonts w:ascii="Arial"/>
          <w:sz w:val="24"/>
          <w:b/>
          <w:i/>
          <w:color w:val="black"/>
        </w:rPr>
        <w:t xml:space="preserve"> </w:t>
      </w:r>
      <w:r>
        <w:rPr>
          <w:rFonts w:hAnsi="Arial"/>
          <w:rFonts w:ascii="Arial"/>
          <w:sz w:val="24"/>
          <w:color w:val="black"/>
        </w:rPr>
        <w:t xml:space="preserve">El Certificado Mιdico de Aptitud Psicofνsica para la Tenencia y el Porte de Armas de Fuego no podrα tener un tiempo de vigencia mayor a sesenta (60) dνas contados desde la fecha de su expediciσn.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copia no renovarα el tiempo de vigencia del Certificado desde el dνa de su expediciσn.</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outlineLvl w:val="1"/>
      </w:pPr>
      <w:r>
        <w:rPr>
          <w:rFonts w:hAnsi="Arial"/>
          <w:rFonts w:ascii="Arial"/>
          <w:sz w:val="24"/>
          <w:b/>
          <w:vanish/>
          <w:color w:val="black"/>
        </w:rPr>
        <w:t>&amp;$</w:t>
      </w:r>
      <w:bookmarkStart w:id="61329" w:name="2.3.2.2.2.9"/>
      <w:r>
        <w:rPr>
          <w:rFonts w:hAnsi="Arial"/>
          <w:rFonts w:ascii="Arial"/>
          <w:sz w:val="24"/>
          <w:color w:val="navy"/>
        </w:rPr>
        <w:t xml:space="preserve">ARTΝCULO 2.3.2.2.2.9. NUEVA PRΑCTICA DEL EXAMEN MΙDICO DE APTITUD PSICOFΝSICA PARA EL PORTE Y TENENCIA DE ARMAS DE FUEGO.</w:t>
      </w:r>
      <w:bookmarkEnd w:id="613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"http://www.redjurista.com/document.aspx?ajcode=d1589021&amp;arts=1"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1589 de 2021. El nuevo texto es el siguiente:&gt; Los trabajadores vinculados a los servicios de vigilancia y seguridad privada, esto es, vigilantes, escoltas y supervisores, que obtuvieron en su examen mιdico de aptitud psicofνsica resultado de no apto para el porte y tenencia de armas de fuego, tendrαn derecho a que se les practique un nuevo examen mιdico en una instituciσn especializada diferente de aquella que inicialmente emitiσ el certificado de no apto. El trabajador podrα realizarse el nuevo examen en un periodo no inferior a un mes. En el certificado se deberα indicar lo aquν dispuesto.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realizaciσn del nuevo examen mιdico de aptitud psicofνsica para el porte y tenencia de armas de fuego serα asumida por las Administradoras de Riesgos Laborales (ARL) y no generarα ningϊn valor a pagar por parte del trabajador, ni para el prestador de servicios de vigilancia y seguridad privada al cual este se encuentre vinculado.</w:t>
      </w:r>
    </w:p>
    <w:p>
      <w:pPr>
        <w:jc w:val="center"/>
      </w:pPr>
      <w:rPr>
        <w:sz w:val="24"/>
        <w:color w:val="black"/>
      </w:rPr>
    </w:p>
    <w:p>
      <w:pPr>
        <w:jc w:val="center"/>
      </w:pPr>
      <w:r>
        <w:rPr>
          <w:rFonts w:hAnsi="Arial"/>
          <w:rFonts w:ascii="Arial"/>
          <w:sz w:val="24"/>
          <w:vanish/>
          <w:color w:val="black"/>
        </w:rPr>
        <w:t>&amp;$</w:t>
      </w:r>
      <w:bookmarkStart w:id="61330" w:name="SECCIÓN 2.3.2.2.3"/>
      <w:r>
        <w:rPr>
          <w:rFonts w:hAnsi="Arial"/>
          <w:rFonts w:ascii="Arial"/>
          <w:sz w:val="24"/>
          <w:color w:val="navy"/>
        </w:rPr>
        <w:t xml:space="preserve">SECCIΣN 3. </w:t>
      </w:r>
    </w:p>
    <w:p>
      <w:pPr>
        <w:jc w:val="center"/>
      </w:pPr>
      <w:r>
        <w:rPr>
          <w:rFonts w:hAnsi="Arial"/>
          <w:rFonts w:ascii="Arial"/>
          <w:sz w:val="24"/>
          <w:color w:val="navy"/>
        </w:rPr>
        <w:t xml:space="preserve">PROCEDIMIENTO PARA LA INSCRIPCIΣN ANTE EL MINISTERIO DE DEFENSA NACIONAL.</w:t>
      </w:r>
      <w:bookmarkEnd w:id="61330"/>
      <w:r>
        <w:rPr>
          <w:rFonts w:hAnsi="Arial"/>
          <w:rFonts w:ascii="Arial"/>
          <w:sz w:val="24"/>
          <w:b/>
          <w:color w:val="black"/>
        </w:rPr>
        <w:t xml:space="preserve"> </w:t>
      </w:r>
    </w:p>
    <w:p>
      <w:pPr>
        <w:jc w:val="center"/>
      </w:pPr>
      <w:rPr>
        <w:sz w:val="24"/>
        <w:b/>
        <w:color w:val="black"/>
      </w:rPr>
    </w:p>
    <w:p>
      <w:pPr>
        <w:jc w:val="both"/>
      </w:pPr>
      <w:r>
        <w:rPr>
          <w:rFonts w:hAnsi="Arial"/>
          <w:rFonts w:ascii="Arial"/>
          <w:sz w:val="24"/>
          <w:vanish/>
          <w:color w:val="black"/>
        </w:rPr>
        <w:t>&amp;$</w:t>
      </w:r>
      <w:bookmarkStart w:id="61331" w:name="2.3.2.2.3.1"/>
      <w:r>
        <w:rPr>
          <w:rFonts w:hAnsi="Arial"/>
          <w:rFonts w:ascii="Arial"/>
          <w:sz w:val="24"/>
          <w:color w:val="navy"/>
        </w:rPr>
        <w:t xml:space="preserve">ARTΝCULO 2.3.2.2.3.1. </w:t>
      </w:r>
      <w:r>
        <w:rPr>
          <w:rFonts w:hAnsi="Arial"/>
          <w:rFonts w:ascii="Arial"/>
          <w:sz w:val="24"/>
          <w:i/>
          <w:color w:val="navy"/>
        </w:rPr>
        <w:t>CUMPLIMIENTO.</w:t>
      </w:r>
      <w:bookmarkEnd w:id="61331"/>
      <w:r>
        <w:rPr>
          <w:rFonts w:hAnsi="Arial"/>
          <w:rFonts w:ascii="Arial"/>
          <w:sz w:val="24"/>
          <w:b/>
          <w:i/>
          <w:color w:val="black"/>
        </w:rPr>
        <w:t xml:space="preserve"> </w:t>
      </w:r>
      <w:r>
        <w:rPr>
          <w:rFonts w:hAnsi="Arial"/>
          <w:rFonts w:ascii="Arial"/>
          <w:sz w:val="24"/>
          <w:color w:val="black"/>
        </w:rPr>
        <w:t xml:space="preserve">Las Instituciones Especializadas en la certificaciσn de la aptitud psicofνsica para la tenencia y el porte de armas de fuego, deben contar con profesionales de la salud debidamente registrados ante la Secretarνa de Salud. Ademαs contar con equipos especializados en la toma de estas evaluaciones y debidamente certificados en su paνs de origen con por lo menos 100.000 pruebas realizadas para certificar la aptitud psicofνsica de personas que manejan armas de fuego, en los campos de Psicologνa, Optometrνa u Oftalmologνa, y Fonoaudiologνa.</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outlineLvl w:val="1"/>
      </w:pPr>
      <w:r>
        <w:rPr>
          <w:rFonts w:hAnsi="Arial"/>
          <w:rFonts w:ascii="Arial"/>
          <w:sz w:val="24"/>
          <w:b/>
          <w:vanish/>
          <w:color w:val="black"/>
        </w:rPr>
        <w:t>&amp;$</w:t>
      </w:r>
      <w:bookmarkStart w:id="61332" w:name="2.3.2.2.3.2"/>
      <w:r>
        <w:rPr>
          <w:rFonts w:hAnsi="Arial"/>
          <w:rFonts w:ascii="Arial"/>
          <w:sz w:val="24"/>
          <w:color w:val="navy"/>
        </w:rPr>
        <w:t xml:space="preserve">ARTΝCULO 2.3.2.2.3.2. CONDICIONES TΙCNICAS PARA CONSTITUIRSE COMO INSTITUCIONES ESPECIALIZADAS PARA LA PRΑCTICA DEL EXAMEN MΙDICO DE APTITUD PSICOFΝSICA.</w:t>
      </w:r>
      <w:bookmarkEnd w:id="6133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"http://www.redjurista.com/document.aspx?ajcode=d1589021&amp;arts=2"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1589 de 2021. El nuevo texto es el siguiente:&gt; Las instituciones prestadoras de servicios de salud que estιn interesadas en obtener la autorizaciσn para practicar el examen mιdico de aptitud psicofνsica para el porte y tenencia de armas de fuego de vigilantes, escoltas y supervisores que deban portar o tener armas de fuego, deberαn cumplir las siguientes condiciones tιcnicas: </w:t>
      </w:r>
    </w:p>
    <w:p>
      <w:pPr>
        <w:jc w:val="both"/>
        <w:outlineLvl w:val="1"/>
      </w:pPr>
      <w:rPr>
        <w:sz w:val="24"/>
        <w:b/>
        <w:color w:val="black"/>
      </w:rPr>
    </w:p>
    <w:p>
      <w:pPr>
        <w:jc w:val="both"/>
        <w:outlineLvl w:val="1"/>
      </w:pPr>
      <w:r>
        <w:rPr>
          <w:rFonts w:hAnsi="Arial"/>
          <w:rFonts w:ascii="Arial"/>
          <w:sz w:val="24"/>
          <w:color w:val="black"/>
        </w:rPr>
        <w:t xml:space="preserve">1. Ser instituciσn prestadora de servicios de salud inscrita en el Registro Especial de Prestadores de Servicios de Salud (REPS), con servicios habilitados por las secretarνas de salud departamentales o distritales o la entidad que tenga a cargo dichas competencias, en cumplimiento del Sistema Obligatorio de Garantνa de Calidad de la Atenciσn de Salud. </w:t>
      </w:r>
    </w:p>
    <w:p>
      <w:pPr>
        <w:jc w:val="both"/>
        <w:outlineLvl w:val="1"/>
      </w:pPr>
      <w:rPr>
        <w:sz w:val="24"/>
        <w:b/>
        <w:color w:val="black"/>
      </w:rPr>
    </w:p>
    <w:p>
      <w:pPr>
        <w:jc w:val="both"/>
        <w:outlineLvl w:val="1"/>
      </w:pPr>
      <w:r>
        <w:rPr>
          <w:rFonts w:hAnsi="Arial"/>
          <w:rFonts w:ascii="Arial"/>
          <w:sz w:val="24"/>
          <w:color w:val="black"/>
        </w:rPr>
        <w:t xml:space="preserve">2. Obtener reconocimiento como organismos certificadores de personas ante el Sistema Nacional de Normalizaciσn, Certificaciσn y Metrologνa bajo la norma ISOI/IEC 17024:2003, y demαs normas que la modifiquen o sustituyan, actualmente denominado Subsistema Nacional de la Calidad. </w:t>
      </w:r>
    </w:p>
    <w:p>
      <w:pPr>
        <w:jc w:val="both"/>
        <w:outlineLvl w:val="1"/>
      </w:pPr>
      <w:rPr>
        <w:sz w:val="24"/>
        <w:b/>
        <w:color w:val="black"/>
      </w:rPr>
    </w:p>
    <w:p>
      <w:pPr>
        <w:jc w:val="both"/>
        <w:outlineLvl w:val="1"/>
      </w:pPr>
      <w:r>
        <w:rPr>
          <w:rFonts w:hAnsi="Arial"/>
          <w:rFonts w:ascii="Arial"/>
          <w:sz w:val="24"/>
          <w:color w:val="black"/>
        </w:rPr>
        <w:t xml:space="preserve">3. Inscribirse ante la Subdirecciσn de Servicios de Salud de la Direcciσn General de Sanidad Militar (DIGSA) del Ministerio de Defensa Nacional, para lo cual deberαn presentar la siguiente informaciσn: </w:t>
      </w:r>
    </w:p>
    <w:p>
      <w:pPr>
        <w:jc w:val="both"/>
        <w:outlineLvl w:val="1"/>
      </w:pPr>
      <w:rPr>
        <w:sz w:val="24"/>
        <w:b/>
        <w:color w:val="black"/>
      </w:rPr>
    </w:p>
    <w:p>
      <w:pPr>
        <w:jc w:val="both"/>
        <w:outlineLvl w:val="1"/>
      </w:pPr>
      <w:r>
        <w:rPr>
          <w:rFonts w:hAnsi="Arial"/>
          <w:rFonts w:ascii="Arial"/>
          <w:sz w:val="24"/>
          <w:color w:val="black"/>
        </w:rPr>
        <w:t xml:space="preserve">3.1. Nombre y nϊmero del registro del mιdico(s) que en nombre y representaciσn de la instituciσn especializada expedirα(n) y suscribirα(n) el “Certificado Mιdico de Aptitud Psicofνsica para la Tenencia y el Porte de Armas de Fuego”. </w:t>
      </w:r>
    </w:p>
    <w:p>
      <w:pPr>
        <w:jc w:val="both"/>
        <w:outlineLvl w:val="1"/>
      </w:pPr>
      <w:rPr>
        <w:sz w:val="24"/>
        <w:b/>
        <w:color w:val="black"/>
      </w:rPr>
    </w:p>
    <w:p>
      <w:pPr>
        <w:jc w:val="both"/>
        <w:outlineLvl w:val="1"/>
      </w:pPr>
      <w:r>
        <w:rPr>
          <w:rFonts w:hAnsi="Arial"/>
          <w:rFonts w:ascii="Arial"/>
          <w:sz w:val="24"/>
          <w:color w:val="black"/>
        </w:rPr>
        <w:t xml:space="preserve">3.2. Nombre y nϊmero de registro de todos los profesionales de la salud que intervendrνan en la elaboraciσn del “Informe de Evaluaciσn de aptitud psicofνsica”. </w:t>
      </w:r>
    </w:p>
    <w:p>
      <w:pPr>
        <w:jc w:val="both"/>
        <w:outlineLvl w:val="1"/>
      </w:pPr>
      <w:rPr>
        <w:sz w:val="24"/>
        <w:b/>
        <w:color w:val="black"/>
      </w:rPr>
    </w:p>
    <w:p>
      <w:pPr>
        <w:jc w:val="both"/>
        <w:outlineLvl w:val="1"/>
      </w:pPr>
      <w:r>
        <w:rPr>
          <w:rFonts w:hAnsi="Arial"/>
          <w:rFonts w:ascii="Arial"/>
          <w:sz w:val="24"/>
          <w:color w:val="black"/>
        </w:rPr>
        <w:t xml:space="preserve">3.3. Certificado de existencia y representaciσn legal de la instituciσn prestadora de servicios de salud, expedido con una antelaciσn mαxima de treinta (30) dνas a su presentaciσn.</w:t>
      </w:r>
    </w:p>
    <w:p>
      <w:pPr>
        <w:jc w:val="both"/>
        <w:outlineLvl w:val="1"/>
      </w:pPr>
      <w:rPr>
        <w:sz w:val="24"/>
        <w:b/>
        <w:color w:val="black"/>
      </w:rPr>
    </w:p>
    <w:p>
      <w:pPr>
        <w:jc w:val="both"/>
        <w:outlineLvl w:val="1"/>
      </w:pPr>
      <w:r>
        <w:rPr>
          <w:rFonts w:hAnsi="Arial"/>
          <w:rFonts w:ascii="Arial"/>
          <w:sz w:val="24"/>
          <w:color w:val="black"/>
        </w:rPr>
        <w:t xml:space="preserve">3.4. Domicilio y direcciσn de la sede o sedes de la instituciσn prestadora de servicios de salud en la que se practicarα el examen mιdico de aptitud psicofνsica.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 inscripciσn para que las instituciones prestadoras de servicios de salud puedan ser autorizadas y se consideren como instituciones especializadas, serα efectuada por la Subdirecciσn de Servicios de Salud de la Direcciσn General de Sanidad Militar del Ministerio de Defensa Nacional, quien informarα en forma inmediata al Departamento de Control Comercio de Armas, Municiones y Explosivos, una vez cumpla con los requisitos establecidos en este artνculo y con el visto bueno dado por el funcionario encargado de la visita en sitio a cada establecimiento que la solicite. Contra las decisiones de la Subdirecciσn de Servicios de Salud, proceden los recursos establecidos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outlineLvl w:val="1"/>
      </w:pPr>
      <w:rPr>
        <w:sz w:val="24"/>
        <w:b/>
        <w:color w:val="black"/>
      </w:rPr>
    </w:p>
    <w:p>
      <w:pPr>
        <w:jc w:val="both"/>
        <w:outlineLvl w:val="1"/>
      </w:pPr>
      <w:r>
        <w:rPr>
          <w:rFonts w:hAnsi="Arial"/>
          <w:rFonts w:ascii="Arial"/>
          <w:sz w:val="24"/>
          <w:color w:val="navy"/>
        </w:rPr>
        <w:t xml:space="preserve">PARΑGRAFO TRANSITORIO.</w:t>
      </w:r>
      <w:r>
        <w:rPr>
          <w:rFonts w:hAnsi="Arial"/>
          <w:rFonts w:ascii="Arial"/>
          <w:sz w:val="24"/>
          <w:color w:val="black"/>
        </w:rPr>
        <w:t xml:space="preserve"> Las Instituciones que, a la fecha de expediciσn del presente decreto, que modifica este artνculo, se encuentren autorizadas por la Subdirecciσn de Servicios de Salud del Ministerio de Defensa Nacional, deberαn cumplir con las condiciones tιcnicas aquν definidas para continuar realizando los exαmenes mιdicos de aptitud psicofνsica, para lo cual tendrαn un tιrmino de doce (12) meses contados a partir de la expediciσn del presente acto administrativo.</w:t>
      </w:r>
    </w:p>
    <w:p>
      <w:rPr>
        <w:sz w:val="24"/>
        <w:color w:val="black"/>
      </w:rPr>
    </w:p>
    <w:p>
      <w:pPr>
        <w:jc w:val="both"/>
      </w:pPr>
      <w:r>
        <w:rPr>
          <w:rFonts w:hAnsi="Arial"/>
          <w:rFonts w:ascii="Arial"/>
          <w:sz w:val="24"/>
          <w:vanish/>
          <w:color w:val="black"/>
        </w:rPr>
        <w:t>&amp;$</w:t>
      </w:r>
      <w:bookmarkStart w:id="61333" w:name="2.3.2.2.3.3"/>
      <w:r>
        <w:rPr>
          <w:rFonts w:hAnsi="Arial"/>
          <w:rFonts w:ascii="Arial"/>
          <w:sz w:val="24"/>
          <w:color w:val="navy"/>
        </w:rPr>
        <w:t xml:space="preserve">ARTΝCULO 2.3.2.2.3.3. </w:t>
      </w:r>
      <w:r>
        <w:rPr>
          <w:rFonts w:hAnsi="Arial"/>
          <w:rFonts w:ascii="Arial"/>
          <w:sz w:val="24"/>
          <w:i/>
          <w:color w:val="navy"/>
        </w:rPr>
        <w:t xml:space="preserve">DE LOS CERTIFICADOS.</w:t>
      </w:r>
      <w:bookmarkEnd w:id="61333"/>
      <w:r>
        <w:rPr>
          <w:rFonts w:hAnsi="Arial"/>
          <w:rFonts w:ascii="Arial"/>
          <w:sz w:val="24"/>
          <w:b/>
          <w:i/>
          <w:color w:val="black"/>
        </w:rPr>
        <w:t xml:space="preserve"> </w:t>
      </w:r>
      <w:r>
        <w:rPr>
          <w:rFonts w:hAnsi="Arial"/>
          <w:rFonts w:ascii="Arial"/>
          <w:sz w:val="24"/>
          <w:color w:val="black"/>
        </w:rPr>
        <w:t xml:space="preserve">Las instituciones Especializadas en la certificaciσn de la aptitud Psicofνsica para la tenencia y el porte de fuego, a travιs del mιdico autorizado, expedirα el certificado con fundamento en los diagnσsticos de los profesionales, los cuales serαn consignados en los informes de evaluaciσn de cada aspirante.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certificados se diligenciarαn en el formato previamente diseρado por el Ministerio de Defensa Nacional - Direcciσn General de Sanidad Militar - 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334" w:name="2.3.2.2.3.4"/>
      <w:r>
        <w:rPr>
          <w:rFonts w:hAnsi="Arial"/>
          <w:rFonts w:ascii="Arial"/>
          <w:sz w:val="24"/>
          <w:color w:val="navy"/>
        </w:rPr>
        <w:t xml:space="preserve">ARTΝCULO 2.3.2.2.3.4. </w:t>
      </w:r>
      <w:r>
        <w:rPr>
          <w:rFonts w:hAnsi="Arial"/>
          <w:rFonts w:ascii="Arial"/>
          <w:sz w:val="24"/>
          <w:i/>
          <w:color w:val="navy"/>
        </w:rPr>
        <w:t>ALMACENAMIENTO.</w:t>
      </w:r>
      <w:bookmarkEnd w:id="61334"/>
      <w:r>
        <w:rPr>
          <w:rFonts w:hAnsi="Arial"/>
          <w:rFonts w:ascii="Arial"/>
          <w:sz w:val="24"/>
          <w:b/>
          <w:i/>
          <w:color w:val="black"/>
        </w:rPr>
        <w:t xml:space="preserve"> </w:t>
      </w:r>
      <w:r>
        <w:rPr>
          <w:rFonts w:hAnsi="Arial"/>
          <w:rFonts w:ascii="Arial"/>
          <w:sz w:val="24"/>
          <w:color w:val="black"/>
        </w:rPr>
        <w:t xml:space="preserve">Los Certificados Mιdicos de Aptitud Psicofνsica para la Tenencia y el Porte de Armas de Fuego, junto con los informes de evaluaciσn, los datos personales, la identificaciσn biomιtrica de las huellas dactilares y el registro fotogrαfico de cada aspirante, se almacenarαn de manera que estos datos no puedan ser modificables y sean recuperables en el tiempo. La Custodia, es responsabilidad de las instituciones Especializadas que se inscriben ante el Ministerio de Defensa Nacional-Direcciσn General de Sanidad Militar-Subdirecciσn de Servicios de Salud.</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informaciσn de que trata este artνculo serα remitida a la base de datos del Ministerio de Defensa Nacional-Direcciσn General de Sanidad Militar-Subdirecciσn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335" w:name="2.3.2.2.3.5"/>
      <w:r>
        <w:rPr>
          <w:rFonts w:hAnsi="Arial"/>
          <w:rFonts w:ascii="Arial"/>
          <w:sz w:val="24"/>
          <w:color w:val="navy"/>
        </w:rPr>
        <w:t xml:space="preserve">ARTΝCULO 2.3.2.2.3.5. </w:t>
      </w:r>
      <w:r>
        <w:rPr>
          <w:rFonts w:hAnsi="Arial"/>
          <w:rFonts w:ascii="Arial"/>
          <w:sz w:val="24"/>
          <w:i/>
          <w:color w:val="navy"/>
        </w:rPr>
        <w:t xml:space="preserve">CERTIFICACIONES EXPEDIDAS CON ANTERIORIDAD.</w:t>
      </w:r>
      <w:bookmarkEnd w:id="61335"/>
      <w:r>
        <w:rPr>
          <w:rFonts w:hAnsi="Arial"/>
          <w:rFonts w:ascii="Arial"/>
          <w:sz w:val="24"/>
          <w:b/>
          <w:i/>
          <w:color w:val="black"/>
        </w:rPr>
        <w:t xml:space="preserve"> </w:t>
      </w:r>
      <w:r>
        <w:rPr>
          <w:rFonts w:hAnsi="Arial"/>
          <w:rFonts w:ascii="Arial"/>
          <w:sz w:val="24"/>
          <w:color w:val="black"/>
        </w:rPr>
        <w:t xml:space="preserve">A quienes tengan certificaciones de aptitud psicofνsica para tenencia y porte de armas de fuego, que les hayan sido expedidas por Instituciones Especializadas, con anterioridad al 27 de julio de 2007 (entrada en vigencia del Decreto </w:t>
      </w:r>
      <w:r>
        <w:fldChar w:fldCharType="begin"/>
      </w:r>
      <w:r>
        <w:instrText>HYPERLINK "http://www.redjurista.com/document.aspx?ajcode=d2858007&amp;arts=INICIO"</w:instrText>
      </w:r>
      <w:r>
        <w:fldChar w:fldCharType="separate"/>
      </w:r>
      <w:r>
        <w:rPr>
          <w:rFonts w:hAnsi="Arial"/>
          <w:rFonts w:ascii="Arial"/>
          <w:sz w:val="24"/>
          <w:u w:val="single"/>
          <w:color w:val="black"/>
        </w:rPr>
        <w:t>2858</w:t>
      </w:r>
      <w:r>
        <w:fldChar w:fldCharType="end"/>
      </w:r>
      <w:r>
        <w:rPr>
          <w:rFonts w:hAnsi="Arial"/>
          <w:rFonts w:ascii="Arial"/>
          <w:sz w:val="24"/>
          <w:u w:val="none"/>
          <w:color w:val="black"/>
        </w:rPr>
        <w:t xml:space="preserve"> de 2007), deberαn renovarlas bajo los requisitos y procedimientos seρalados en el citado decreto.</w:t>
      </w:r>
    </w:p>
    <w:p>
      <w:pPr>
        <w:jc w:val="both"/>
      </w:pPr>
      <w:rPr>
        <w:sz w:val="24"/>
        <w:color w:val="black"/>
      </w:rPr>
    </w:p>
    <w:p>
      <w:pPr>
        <w:jc w:val="both"/>
      </w:pPr>
      <w:r>
        <w:rPr>
          <w:rFonts w:hAnsi="Arial"/>
          <w:rFonts w:ascii="Arial"/>
          <w:sz w:val="24"/>
          <w:i/>
          <w:color w:val="black"/>
        </w:rPr>
        <w:t xml:space="preserve">(Decreto 4675 de 2007 artνculo </w:t>
      </w:r>
      <w:r>
        <w:fldChar w:fldCharType="begin"/>
      </w:r>
      <w:r>
        <w:instrText>HYPERLINK "http://www.redjurista.com/document.aspx?ajcode=d4675007&amp;arts=3"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336" w:name="SECCIÓN 2.3.2.2.4"/>
      <w:r>
        <w:rPr>
          <w:rFonts w:hAnsi="Arial"/>
          <w:rFonts w:ascii="Arial"/>
          <w:sz w:val="24"/>
          <w:color w:val="navy"/>
        </w:rPr>
        <w:t xml:space="preserve">SECCIΣN 4. </w:t>
      </w:r>
    </w:p>
    <w:p>
      <w:pPr>
        <w:jc w:val="center"/>
      </w:pPr>
      <w:r>
        <w:rPr>
          <w:rFonts w:hAnsi="Arial"/>
          <w:rFonts w:ascii="Arial"/>
          <w:sz w:val="24"/>
          <w:color w:val="navy"/>
        </w:rPr>
        <w:t xml:space="preserve">OBLIGACIONES DE LAS INSTITUCIONES ESPECIALIZADAS ENCARGADAS DE EXPEDIR LOS CERTIFICADOS DE APTITUD PSICOFΝSICA PARA LA TENENCIA Y PORTE DE ARMAS DE FUEGO, CAUSALES DE SUSPENSIΣN O CANCELACIΣN DE LA INSCRIPCIΣN.</w:t>
      </w:r>
      <w:bookmarkEnd w:id="61336"/>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1337" w:name="2.3.2.2.4.1"/>
      <w:r>
        <w:rPr>
          <w:rFonts w:hAnsi="Arial"/>
          <w:rFonts w:ascii="Arial"/>
          <w:sz w:val="24"/>
          <w:color w:val="navy"/>
        </w:rPr>
        <w:t xml:space="preserve">ARTΝCULO 2.3.2.2.4.1. </w:t>
      </w:r>
      <w:r>
        <w:rPr>
          <w:rFonts w:hAnsi="Arial"/>
          <w:rFonts w:ascii="Arial"/>
          <w:sz w:val="24"/>
          <w:i/>
          <w:color w:val="navy"/>
        </w:rPr>
        <w:t>OBLIGACIONES.</w:t>
      </w:r>
      <w:bookmarkEnd w:id="61337"/>
      <w:r>
        <w:rPr>
          <w:rFonts w:hAnsi="Arial"/>
          <w:rFonts w:ascii="Arial"/>
          <w:sz w:val="24"/>
          <w:b/>
          <w:i/>
          <w:color w:val="black"/>
        </w:rPr>
        <w:t xml:space="preserve"> </w:t>
      </w:r>
      <w:r>
        <w:rPr>
          <w:rFonts w:hAnsi="Arial"/>
          <w:rFonts w:ascii="Arial"/>
          <w:sz w:val="24"/>
          <w:color w:val="black"/>
        </w:rPr>
        <w:t xml:space="preserve">Las Instituciones Especializadas encargadas de expedir los Certificados Mιdicos de Aptitud Psicofνsica para la Tenencia y el Porte de Armas de Fuego inscritas en el Ministerio de Defensa-Direcciσn General de Sanidad Militar-Subdirecciσn de Servicios de Salud, deberαn cumplir con las siguientes obligaciones:</w:t>
      </w:r>
    </w:p>
    <w:p>
      <w:pPr>
        <w:jc w:val="both"/>
      </w:pPr>
      <w:rPr>
        <w:sz w:val="24"/>
        <w:color w:val="black"/>
      </w:rPr>
    </w:p>
    <w:p>
      <w:pPr>
        <w:jc w:val="both"/>
      </w:pPr>
      <w:r>
        <w:rPr>
          <w:rFonts w:hAnsi="Arial"/>
          <w:rFonts w:ascii="Arial"/>
          <w:sz w:val="24"/>
          <w:color w:val="black"/>
        </w:rPr>
        <w:t xml:space="preserve">1. Realizar todo procedimiento de evaluaciσn establecido en el presente Capνtulo.</w:t>
      </w:r>
    </w:p>
    <w:p>
      <w:pPr>
        <w:jc w:val="both"/>
      </w:pPr>
      <w:rPr>
        <w:sz w:val="24"/>
        <w:color w:val="black"/>
      </w:rPr>
    </w:p>
    <w:p>
      <w:pPr>
        <w:jc w:val="both"/>
      </w:pPr>
      <w:r>
        <w:rPr>
          <w:rFonts w:hAnsi="Arial"/>
          <w:rFonts w:ascii="Arial"/>
          <w:sz w:val="24"/>
          <w:color w:val="black"/>
        </w:rPr>
        <w:t xml:space="preserve">2. Expedir Certificado Mιdico de Aptitud Psicofνsica para la Tenencia y el Porte de Armas de Fuego, sσlo cuando se haya efectuado la evaluaciσn completa.</w:t>
      </w:r>
    </w:p>
    <w:p>
      <w:pPr>
        <w:jc w:val="both"/>
      </w:pPr>
      <w:rPr>
        <w:sz w:val="24"/>
        <w:color w:val="black"/>
      </w:rPr>
    </w:p>
    <w:p>
      <w:pPr>
        <w:jc w:val="both"/>
      </w:pPr>
      <w:r>
        <w:rPr>
          <w:rFonts w:hAnsi="Arial"/>
          <w:rFonts w:ascii="Arial"/>
          <w:sz w:val="24"/>
          <w:color w:val="black"/>
        </w:rPr>
        <w:t xml:space="preserve">3. Comunicar al Ministerio de Defensa-Direcciσn General de Sanidad Militar-Subdirecciσn de Servicios de Salud y a las autoridades competentes, las modificaciones que se presenten respecto a la informaciσn acreditada para obtener su inscripciσn.</w:t>
      </w:r>
    </w:p>
    <w:p>
      <w:pPr>
        <w:jc w:val="both"/>
      </w:pPr>
      <w:rPr>
        <w:sz w:val="24"/>
        <w:color w:val="black"/>
      </w:rPr>
    </w:p>
    <w:p>
      <w:pPr>
        <w:jc w:val="both"/>
      </w:pPr>
      <w:r>
        <w:rPr>
          <w:rFonts w:hAnsi="Arial"/>
          <w:rFonts w:ascii="Arial"/>
          <w:sz w:val="24"/>
          <w:color w:val="black"/>
        </w:rPr>
        <w:t xml:space="preserve">4. Expedir las Certificaciones siguiendo los procedimientos y utilizando los formatos adoptados para el efecto.</w:t>
      </w:r>
    </w:p>
    <w:p>
      <w:pPr>
        <w:jc w:val="both"/>
      </w:pPr>
      <w:rPr>
        <w:sz w:val="24"/>
        <w:color w:val="black"/>
      </w:rPr>
    </w:p>
    <w:p>
      <w:pPr>
        <w:jc w:val="both"/>
      </w:pPr>
      <w:r>
        <w:rPr>
          <w:rFonts w:hAnsi="Arial"/>
          <w:rFonts w:ascii="Arial"/>
          <w:sz w:val="24"/>
          <w:color w:val="black"/>
        </w:rPr>
        <w:t xml:space="preserve">5. Calificar los resultados segϊn los rangos de evaluaciσn establecidos por el Ministerio de Defensa Nacional.</w:t>
      </w:r>
    </w:p>
    <w:p>
      <w:pPr>
        <w:jc w:val="both"/>
      </w:pPr>
      <w:rPr>
        <w:sz w:val="24"/>
        <w:color w:val="black"/>
      </w:rPr>
    </w:p>
    <w:p>
      <w:pPr>
        <w:jc w:val="both"/>
      </w:pPr>
      <w:r>
        <w:rPr>
          <w:rFonts w:hAnsi="Arial"/>
          <w:rFonts w:ascii="Arial"/>
          <w:sz w:val="24"/>
          <w:color w:val="black"/>
        </w:rPr>
        <w:t xml:space="preserve">6. Almacenar y custodiar en discos σpticos debidamente marcados en forma individual que contenga: fecha de inclusiσn de la informaciσn, nombres de los aspirantes, documento de identidad, fecha en que se realizσ la prueba. Los discos σpticos deben ser del tipo no borrables ni modificables para guardar la informaciσn de todos los Certificados de Aptitud Psicofνsica que expida y de todos los Informes de Evaluaciσn de las valoraciones efectuadas en la Instituciσn Especializada.</w:t>
      </w:r>
    </w:p>
    <w:p>
      <w:pPr>
        <w:jc w:val="both"/>
      </w:pPr>
      <w:rPr>
        <w:sz w:val="24"/>
        <w:color w:val="black"/>
      </w:rPr>
    </w:p>
    <w:p>
      <w:pPr>
        <w:jc w:val="both"/>
      </w:pPr>
      <w:r>
        <w:rPr>
          <w:rFonts w:hAnsi="Arial"/>
          <w:rFonts w:ascii="Arial"/>
          <w:sz w:val="24"/>
          <w:color w:val="black"/>
        </w:rPr>
        <w:t xml:space="preserve">7. Mantener vigentes los registros, certificaciones y autorizaciones propias de su actividad expedidas por las autoridades competentes.</w:t>
      </w:r>
    </w:p>
    <w:p>
      <w:pPr>
        <w:jc w:val="both"/>
      </w:pPr>
      <w:rPr>
        <w:sz w:val="24"/>
        <w:color w:val="black"/>
      </w:rPr>
    </w:p>
    <w:p>
      <w:pPr>
        <w:jc w:val="both"/>
      </w:pPr>
      <w:r>
        <w:rPr>
          <w:rFonts w:hAnsi="Arial"/>
          <w:rFonts w:ascii="Arial"/>
          <w:sz w:val="24"/>
          <w:color w:val="black"/>
        </w:rPr>
        <w:t xml:space="preserve">8. Hacer adecuado uso del cσdigo de acceso a la base de datos del Registro del Ministerio.</w:t>
      </w:r>
    </w:p>
    <w:p>
      <w:pPr>
        <w:jc w:val="both"/>
      </w:pPr>
      <w:rPr>
        <w:sz w:val="24"/>
        <w:color w:val="black"/>
      </w:rPr>
    </w:p>
    <w:p>
      <w:pPr>
        <w:jc w:val="both"/>
      </w:pPr>
      <w:r>
        <w:rPr>
          <w:rFonts w:hAnsi="Arial"/>
          <w:rFonts w:ascii="Arial"/>
          <w:sz w:val="24"/>
          <w:color w:val="black"/>
        </w:rPr>
        <w:t xml:space="preserve">9. Mantener actualizada la respectiva acreditaciσn.</w:t>
      </w:r>
    </w:p>
    <w:p>
      <w:pPr>
        <w:jc w:val="both"/>
      </w:pPr>
      <w:rPr>
        <w:sz w:val="24"/>
        <w:color w:val="black"/>
      </w:rPr>
    </w:p>
    <w:p>
      <w:pPr>
        <w:jc w:val="both"/>
      </w:pPr>
      <w:r>
        <w:rPr>
          <w:rFonts w:hAnsi="Arial"/>
          <w:rFonts w:ascii="Arial"/>
          <w:sz w:val="24"/>
          <w:color w:val="black"/>
        </w:rPr>
        <w:t xml:space="preserve">La operaciσn y funcionamiento de una Instituciσn Especializada encargada de efectuar la certificaciσn de aptitud psicofνsica para personas que pretendan obtener el permiso para la tenencia y el porte de armas de fuego estarα supeditada al Cumplimiento de las condiciones seρaladas en el presente Capνtulo, a las auditorνas de seguimiento y control que para el efecto se realicen.</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338" w:name="2.3.2.2.4.2"/>
      <w:r>
        <w:rPr>
          <w:rFonts w:hAnsi="Arial"/>
          <w:rFonts w:ascii="Arial"/>
          <w:sz w:val="24"/>
          <w:color w:val="navy"/>
        </w:rPr>
        <w:t xml:space="preserve">ARTΝCULO 2.3.2.2.4.2. </w:t>
      </w:r>
      <w:r>
        <w:rPr>
          <w:rFonts w:hAnsi="Arial"/>
          <w:rFonts w:ascii="Arial"/>
          <w:sz w:val="24"/>
          <w:i/>
          <w:color w:val="navy"/>
        </w:rPr>
        <w:t xml:space="preserve">SUSPENSIΣN DE LA INSCRIPCIΣN ANTE EL MINISTERIO DE DEFENSA-DIRECCIΣN GENERAL DE SANIDAD MILITAR.</w:t>
      </w:r>
      <w:bookmarkEnd w:id="61338"/>
      <w:r>
        <w:rPr>
          <w:rFonts w:hAnsi="Arial"/>
          <w:rFonts w:ascii="Arial"/>
          <w:sz w:val="24"/>
          <w:b/>
          <w:i/>
          <w:color w:val="black"/>
        </w:rPr>
        <w:t xml:space="preserve"> </w:t>
      </w:r>
      <w:r>
        <w:rPr>
          <w:rFonts w:hAnsi="Arial"/>
          <w:rFonts w:ascii="Arial"/>
          <w:sz w:val="24"/>
          <w:color w:val="black"/>
        </w:rPr>
        <w:t xml:space="preserve">Cuando cualquiera de las entidades de control que conozcan este proceso, tenga conocimiento del incumplimiento de cualquiera de las obligaciones establecidas en el presente Capνtulo, por parte de la Instituciσn Especializada inscrita ante el Ministerio de Defensa, para certificar la aptitud psicofνsica podrα solicitar la suspensiσn del registro ante el Ministerio de Defensa-Direcciσn General de Sanidad Militar-Subdirecciσn de Servicios de Salud, hasta por seis (6) meses.</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339" w:name="2.3.2.2.4.3"/>
      <w:r>
        <w:rPr>
          <w:rFonts w:hAnsi="Arial"/>
          <w:rFonts w:ascii="Arial"/>
          <w:sz w:val="24"/>
          <w:color w:val="navy"/>
        </w:rPr>
        <w:t xml:space="preserve">ARTΝCULO 2.3.2.2.4.3. </w:t>
      </w:r>
      <w:r>
        <w:rPr>
          <w:rFonts w:hAnsi="Arial"/>
          <w:rFonts w:ascii="Arial"/>
          <w:sz w:val="24"/>
          <w:i/>
          <w:color w:val="navy"/>
        </w:rPr>
        <w:t xml:space="preserve">CANCELACIΣN DEL REGISTRO.</w:t>
      </w:r>
      <w:bookmarkEnd w:id="61339"/>
      <w:r>
        <w:rPr>
          <w:rFonts w:hAnsi="Arial"/>
          <w:rFonts w:ascii="Arial"/>
          <w:sz w:val="24"/>
          <w:b/>
          <w:i/>
          <w:color w:val="black"/>
        </w:rPr>
        <w:t xml:space="preserve"> </w:t>
      </w:r>
      <w:r>
        <w:rPr>
          <w:rFonts w:hAnsi="Arial"/>
          <w:rFonts w:ascii="Arial"/>
          <w:sz w:val="24"/>
          <w:color w:val="black"/>
        </w:rPr>
        <w:t xml:space="preserve">De comprobarse que la Instituciσn Especializada autorizada para certificar la aptitud psicofνsica de los aspirantes a obtener el permiso para el porte y tenencia de armas de fuego, expide el Certificado sin haber adelantado el proceso de evaluaciσn o altera sus resultados, se cancelarα automαticamente la inscripciσn por parte del Ministerio de Defensa Nacional-Direcciσn General de Sanidad Militar-Subdirecciσn de Servicios de Salud y se correrα traslado de este hecho a la Superintendencia Nacional de Salud para lo de su competencia.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Tambiιn se cancelarα la inscripciσn a la Instituciσn Especializada que reincida en el incumplimiento de cualquiera de los compromisos seρalados en la presente disposiciσn.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Entiιndase por reincidencia la repeticiσn del hecho que dio lugar a imponer la suspensiσn en un periodo no superior a un aρo.</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340" w:name="SECCIÓN 2.3.2.2.5"/>
      <w:r>
        <w:rPr>
          <w:rFonts w:hAnsi="Arial"/>
          <w:rFonts w:ascii="Arial"/>
          <w:sz w:val="24"/>
          <w:color w:val="navy"/>
        </w:rPr>
        <w:t xml:space="preserve">SECCIΣN 5. </w:t>
      </w:r>
    </w:p>
    <w:p>
      <w:pPr>
        <w:jc w:val="center"/>
      </w:pPr>
      <w:r>
        <w:rPr>
          <w:rFonts w:hAnsi="Arial"/>
          <w:rFonts w:ascii="Arial"/>
          <w:sz w:val="24"/>
          <w:color w:val="navy"/>
        </w:rPr>
        <w:t xml:space="preserve">VIGILANCIA Y CONTROL.</w:t>
      </w:r>
      <w:bookmarkEnd w:id="613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341" w:name="2.3.2.2.5.1"/>
      <w:r>
        <w:rPr>
          <w:rFonts w:hAnsi="Arial"/>
          <w:rFonts w:ascii="Arial"/>
          <w:sz w:val="24"/>
          <w:color w:val="navy"/>
        </w:rPr>
        <w:t xml:space="preserve">ARTΝCULO 2.3.2.2.5.1. </w:t>
      </w:r>
      <w:r>
        <w:rPr>
          <w:rFonts w:hAnsi="Arial"/>
          <w:rFonts w:ascii="Arial"/>
          <w:sz w:val="24"/>
          <w:i/>
          <w:color w:val="navy"/>
        </w:rPr>
        <w:t xml:space="preserve">VIGILANCIA Y CONTROL.</w:t>
      </w:r>
      <w:bookmarkEnd w:id="61341"/>
      <w:r>
        <w:rPr>
          <w:rFonts w:hAnsi="Arial"/>
          <w:rFonts w:ascii="Arial"/>
          <w:sz w:val="24"/>
          <w:b/>
          <w:i/>
          <w:color w:val="black"/>
        </w:rPr>
        <w:t xml:space="preserve"> </w:t>
      </w:r>
      <w:r>
        <w:rPr>
          <w:rFonts w:hAnsi="Arial"/>
          <w:rFonts w:ascii="Arial"/>
          <w:sz w:val="24"/>
          <w:color w:val="black"/>
        </w:rPr>
        <w:t xml:space="preserve">Sin perjuicio de la competencia especνfica de la Superintendencia Nacional de Salud, la vigilancia y control de los procedimientos que adelanten la Instituciones especializadas en la certificaciσn de aptitud psicofνsica para la tenencia y el porte de armas de fuego, corresponderα al Ministerio de Defensa Nacional-Direcciσn General de Sanidad Militar-Subdirecciσn de Servicios de Salud.</w:t>
      </w:r>
    </w:p>
    <w:p>
      <w:pPr>
        <w:jc w:val="both"/>
      </w:pPr>
      <w:rPr>
        <w:sz w:val="24"/>
        <w:color w:val="black"/>
      </w:rPr>
    </w:p>
    <w:p>
      <w:pPr>
        <w:jc w:val="both"/>
      </w:pPr>
      <w:r>
        <w:rPr>
          <w:rFonts w:hAnsi="Arial"/>
          <w:rFonts w:ascii="Arial"/>
          <w:sz w:val="24"/>
          <w:i/>
          <w:color w:val="black"/>
        </w:rPr>
        <w:t xml:space="preserve">(Decreto 2858 de 2007 artνculo </w:t>
      </w:r>
      <w:r>
        <w:fldChar w:fldCharType="begin"/>
      </w:r>
      <w:r>
        <w:instrText>HYPERLINK "http://www.redjurista.com/document.aspx?ajcode=d2858007&amp;arts=17"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342" w:name="CAPÍTULO 2.3.2.3"/>
      <w:r>
        <w:rPr>
          <w:rFonts w:hAnsi="Arial"/>
          <w:rFonts w:ascii="Arial"/>
          <w:sz w:val="24"/>
          <w:color w:val="navy"/>
        </w:rPr>
        <w:t xml:space="preserve">CAPΝTULO 3. </w:t>
      </w:r>
    </w:p>
    <w:p>
      <w:pPr>
        <w:jc w:val="center"/>
      </w:pPr>
      <w:r>
        <w:rPr>
          <w:rFonts w:hAnsi="Arial"/>
          <w:rFonts w:ascii="Arial"/>
          <w:sz w:val="24"/>
          <w:color w:val="navy"/>
        </w:rPr>
        <w:t xml:space="preserve">AUTORIZACIΣN TRANSITORIA PARA UNA TRANSFERENCIA DE RECURSOS DE LOS FONDOS INTERNOS DEL MINISTERIO DE DEFENSA NACIONAL -FUERZAS MILITARES Y DEL FONDO CUENTA DEL SUBSISTEMA DE SALUD DE LAS FUERZAS MILITARES.</w:t>
      </w:r>
      <w:bookmarkEnd w:id="61342"/>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1343" w:name="2.3.2.3.1"/>
      <w:r>
        <w:rPr>
          <w:rFonts w:hAnsi="Arial"/>
          <w:rFonts w:ascii="Arial"/>
          <w:sz w:val="24"/>
          <w:color w:val="navy"/>
        </w:rPr>
        <w:t xml:space="preserve">ARTΝCULO 2.3.2.3.1. </w:t>
      </w:r>
      <w:r>
        <w:rPr>
          <w:rFonts w:hAnsi="Arial"/>
          <w:rFonts w:ascii="Arial"/>
          <w:sz w:val="24"/>
          <w:i/>
          <w:color w:val="navy"/>
        </w:rPr>
        <w:t>APOYO.</w:t>
      </w:r>
      <w:bookmarkEnd w:id="61343"/>
      <w:r>
        <w:rPr>
          <w:rFonts w:hAnsi="Arial"/>
          <w:rFonts w:ascii="Arial"/>
          <w:sz w:val="24"/>
          <w:b/>
          <w:i/>
          <w:color w:val="black"/>
        </w:rPr>
        <w:t xml:space="preserve"> </w:t>
      </w:r>
      <w:r>
        <w:rPr>
          <w:rFonts w:hAnsi="Arial"/>
          <w:rFonts w:ascii="Arial"/>
          <w:sz w:val="24"/>
          <w:color w:val="black"/>
        </w:rPr>
        <w:t xml:space="preserve">Con los recursos provenientes de Fondos Internos del Ministerio de Defensa Nacional Fuerzas Militares y del Fondo de Defensa Nacional, se apoyarα de manera transitoria, por dos aρos contados a partir del 29 de octubre de 2014 (entrada en vigencia del Decreto </w:t>
      </w:r>
      <w:r>
        <w:fldChar w:fldCharType="begin"/>
      </w:r>
      <w:r>
        <w:instrText>HYPERLINK "http://www.redjurista.com/document.aspx?ajcode=d2181014&amp;arts=INICIO"</w:instrText>
      </w:r>
      <w:r>
        <w:fldChar w:fldCharType="separate"/>
      </w:r>
      <w:r>
        <w:rPr>
          <w:rFonts w:hAnsi="Arial"/>
          <w:rFonts w:ascii="Arial"/>
          <w:sz w:val="24"/>
          <w:u w:val="single"/>
          <w:color w:val="black"/>
        </w:rPr>
        <w:t>2181</w:t>
      </w:r>
      <w:r>
        <w:fldChar w:fldCharType="end"/>
      </w:r>
      <w:r>
        <w:rPr>
          <w:rFonts w:hAnsi="Arial"/>
          <w:rFonts w:ascii="Arial"/>
          <w:sz w:val="24"/>
          <w:u w:val="none"/>
          <w:color w:val="black"/>
        </w:rPr>
        <w:t xml:space="preserve"> de 2014), al Fondo Cuenta del Subsistema de Salud de las Fuerzas Militares, con el fin de garantizar la prestaciσn del servicio de salud de sus usuarios.</w:t>
      </w:r>
    </w:p>
    <w:p>
      <w:pPr>
        <w:jc w:val="both"/>
      </w:pPr>
      <w:rPr>
        <w:sz w:val="24"/>
        <w:color w:val="black"/>
      </w:rPr>
    </w:p>
    <w:p>
      <w:pPr>
        <w:jc w:val="both"/>
      </w:pPr>
      <w:r>
        <w:rPr>
          <w:rFonts w:hAnsi="Arial"/>
          <w:rFonts w:ascii="Arial"/>
          <w:sz w:val="24"/>
          <w:i/>
          <w:color w:val="black"/>
        </w:rPr>
        <w:t xml:space="preserve">(Decreto 2181 de 2014 artνculo </w:t>
      </w:r>
      <w:r>
        <w:fldChar w:fldCharType="begin"/>
      </w:r>
      <w:r>
        <w:instrText>HYPERLINK "http://www.redjurista.com/document.aspx?ajcode=d2181014&amp;arts=1"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44" w:name="2.3.2.3.2"/>
      <w:r>
        <w:rPr>
          <w:rFonts w:hAnsi="Arial"/>
          <w:rFonts w:ascii="Arial"/>
          <w:sz w:val="24"/>
          <w:color w:val="navy"/>
        </w:rPr>
        <w:t xml:space="preserve">ARTΝCULO 2.3.2.3.2. </w:t>
      </w:r>
      <w:r>
        <w:rPr>
          <w:rFonts w:hAnsi="Arial"/>
          <w:rFonts w:ascii="Arial"/>
          <w:sz w:val="24"/>
          <w:i/>
          <w:color w:val="navy"/>
        </w:rPr>
        <w:t>FONDOS.</w:t>
      </w:r>
      <w:bookmarkEnd w:id="61344"/>
      <w:r>
        <w:rPr>
          <w:rFonts w:hAnsi="Arial"/>
          <w:rFonts w:ascii="Arial"/>
          <w:sz w:val="24"/>
          <w:b/>
          <w:i/>
          <w:color w:val="black"/>
        </w:rPr>
        <w:t xml:space="preserve"> </w:t>
      </w:r>
      <w:r>
        <w:rPr>
          <w:rFonts w:hAnsi="Arial"/>
          <w:rFonts w:ascii="Arial"/>
          <w:sz w:val="24"/>
          <w:color w:val="black"/>
        </w:rPr>
        <w:t xml:space="preserve">Dicho apoyo serα restituido por parte del Fondo Cuenta del Subsistema de Salud de las Fuerzas Militares a los Fondos Internos del Ministerio de Defensa Nacional -Fuerzas Militares y al Fondo de Defensa Nacional, dentro de los ocho (8) aρos siguientes, sin que haya lugar a tasaciσn de interιs alguno.</w:t>
      </w:r>
    </w:p>
    <w:p>
      <w:pPr>
        <w:jc w:val="both"/>
      </w:pPr>
      <w:rPr>
        <w:sz w:val="24"/>
        <w:color w:val="black"/>
      </w:rPr>
    </w:p>
    <w:p>
      <w:pPr>
        <w:jc w:val="both"/>
      </w:pPr>
      <w:r>
        <w:rPr>
          <w:rFonts w:hAnsi="Arial"/>
          <w:rFonts w:ascii="Arial"/>
          <w:sz w:val="24"/>
          <w:i/>
          <w:color w:val="black"/>
        </w:rPr>
        <w:t xml:space="preserve">(Decreto 2181 de 2014 artνculo </w:t>
      </w:r>
      <w:r>
        <w:fldChar w:fldCharType="begin"/>
      </w:r>
      <w:r>
        <w:instrText>HYPERLINK "http://www.redjurista.com/document.aspx?ajcode=d2181014&amp;arts=2"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345" w:name="2.3.2.3.3"/>
      <w:r>
        <w:rPr>
          <w:rFonts w:hAnsi="Arial"/>
          <w:rFonts w:ascii="Arial"/>
          <w:sz w:val="24"/>
          <w:color w:val="navy"/>
        </w:rPr>
        <w:t xml:space="preserve">ARTΝCULO 2.3.2.3.3. </w:t>
      </w:r>
      <w:r>
        <w:rPr>
          <w:rFonts w:hAnsi="Arial"/>
          <w:rFonts w:ascii="Arial"/>
          <w:sz w:val="24"/>
          <w:i/>
          <w:color w:val="navy"/>
        </w:rPr>
        <w:t xml:space="preserve">OPERACIONES PRESUPUESTALES.</w:t>
      </w:r>
      <w:bookmarkEnd w:id="61345"/>
      <w:r>
        <w:rPr>
          <w:rFonts w:hAnsi="Arial"/>
          <w:rFonts w:ascii="Arial"/>
          <w:sz w:val="24"/>
          <w:b/>
          <w:i/>
          <w:color w:val="black"/>
        </w:rPr>
        <w:t xml:space="preserve"> </w:t>
      </w:r>
      <w:r>
        <w:rPr>
          <w:rFonts w:hAnsi="Arial"/>
          <w:rFonts w:ascii="Arial"/>
          <w:sz w:val="24"/>
          <w:color w:val="black"/>
        </w:rPr>
        <w:t xml:space="preserve">Para el cumplimiento de lo previsto en este Capνtulo el Ministerio de Defensa Nacional Fuerzas Militares y la Direcciσn General de Sanidad Militar expedirαn los actos administrativos con las operaciones presupuestales a que haya lugar conforme a las normas legales vigentes.</w:t>
      </w:r>
    </w:p>
    <w:p>
      <w:pPr>
        <w:jc w:val="both"/>
      </w:pPr>
      <w:rPr>
        <w:sz w:val="24"/>
        <w:color w:val="black"/>
      </w:rPr>
    </w:p>
    <w:p>
      <w:pPr>
        <w:jc w:val="both"/>
      </w:pPr>
      <w:r>
        <w:rPr>
          <w:rFonts w:hAnsi="Arial"/>
          <w:rFonts w:ascii="Arial"/>
          <w:sz w:val="24"/>
          <w:i/>
          <w:color w:val="black"/>
        </w:rPr>
        <w:t xml:space="preserve">(Decreto 2181 de 2014 artνculo </w:t>
      </w:r>
      <w:r>
        <w:fldChar w:fldCharType="begin"/>
      </w:r>
      <w:r>
        <w:instrText>HYPERLINK "http://www.redjurista.com/document.aspx?ajcode=d2181014&amp;arts=3"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346" w:name="CAPÍTULO 2.3.2.4"/>
      <w:r>
        <w:rPr>
          <w:rFonts w:hAnsi="Arial"/>
          <w:rFonts w:ascii="Arial"/>
          <w:sz w:val="24"/>
          <w:color w:val="navy"/>
        </w:rPr>
        <w:t xml:space="preserve">CAPΝTULO 4. </w:t>
      </w:r>
    </w:p>
    <w:p>
      <w:pPr>
        <w:jc w:val="center"/>
      </w:pPr>
      <w:r>
        <w:rPr>
          <w:rFonts w:hAnsi="Arial"/>
          <w:rFonts w:ascii="Arial"/>
          <w:sz w:val="24"/>
          <w:color w:val="navy"/>
        </w:rPr>
        <w:t xml:space="preserve">DESTRUCCIΣN DE ARMAS.</w:t>
      </w:r>
      <w:bookmarkEnd w:id="6134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347" w:name="2.3.2.4.1"/>
      <w:r>
        <w:rPr>
          <w:rFonts w:hAnsi="Arial"/>
          <w:rFonts w:ascii="Arial"/>
          <w:sz w:val="24"/>
          <w:color w:val="navy"/>
        </w:rPr>
        <w:t xml:space="preserve">ARTΝCULO 2.3.2.4.1. </w:t>
      </w:r>
      <w:r>
        <w:rPr>
          <w:rFonts w:hAnsi="Arial"/>
          <w:rFonts w:ascii="Arial"/>
          <w:sz w:val="24"/>
          <w:i/>
          <w:color w:val="navy"/>
        </w:rPr>
        <w:t>DESTRUCCIΣN.</w:t>
      </w:r>
      <w:bookmarkEnd w:id="61347"/>
      <w:r>
        <w:rPr>
          <w:rFonts w:hAnsi="Arial"/>
          <w:rFonts w:ascii="Arial"/>
          <w:sz w:val="24"/>
          <w:b/>
          <w:i/>
          <w:color w:val="black"/>
        </w:rPr>
        <w:t xml:space="preserve"> </w:t>
      </w:r>
      <w:r>
        <w:rPr>
          <w:rFonts w:hAnsi="Arial"/>
          <w:rFonts w:ascii="Arial"/>
          <w:sz w:val="24"/>
          <w:color w:val="black"/>
        </w:rPr>
        <w:t xml:space="preserve">El Comando General de las Fuerzas Militares, previo concepto del Departamento Control, Comercio, Armas, Municiones y Explosivos, podrα autorizar a la Industria Militar Indumil, la destrucciσn de las armas recogidas como resultado de campaρas cνvicas y educativas de desarme y destinar el material resultante a la construcciσn de monumentos y obras alegσricas a la paz y al desarme, directamente o mediante convenios celebrados para tal fin.</w:t>
      </w:r>
    </w:p>
    <w:p>
      <w:pPr>
        <w:jc w:val="both"/>
      </w:pPr>
      <w:rPr>
        <w:sz w:val="24"/>
        <w:color w:val="black"/>
      </w:rPr>
    </w:p>
    <w:p>
      <w:pPr>
        <w:jc w:val="both"/>
      </w:pPr>
      <w:r>
        <w:rPr>
          <w:rFonts w:hAnsi="Arial"/>
          <w:rFonts w:ascii="Arial"/>
          <w:sz w:val="24"/>
          <w:i/>
          <w:color w:val="black"/>
        </w:rPr>
        <w:t xml:space="preserve">(Decreto 1470 de 1997 artνculo </w:t>
      </w:r>
      <w:r>
        <w:fldChar w:fldCharType="begin"/>
      </w:r>
      <w:r>
        <w:instrText>HYPERLINK "http://www.redjurista.com/document.aspx?ajcode=d1470_97&amp;arts=1"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348" w:name="CAPÍTULO 2.3.2.5"/>
      <w:r>
        <w:rPr>
          <w:rFonts w:hAnsi="Arial"/>
          <w:rFonts w:ascii="Arial"/>
          <w:sz w:val="24"/>
          <w:color w:val="navy"/>
        </w:rPr>
        <w:t xml:space="preserve">CAPΝTULO 5. </w:t>
      </w:r>
    </w:p>
    <w:p>
      <w:pPr>
        <w:jc w:val="center"/>
      </w:pPr>
      <w:r>
        <w:rPr>
          <w:rFonts w:hAnsi="Arial"/>
          <w:rFonts w:ascii="Arial"/>
          <w:sz w:val="24"/>
          <w:color w:val="navy"/>
        </w:rPr>
        <w:t xml:space="preserve">SOLICITUDES AERONΑUTICA CIVIL.</w:t>
      </w:r>
      <w:bookmarkEnd w:id="6134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349" w:name="2.3.2.5.1"/>
      <w:r>
        <w:rPr>
          <w:rFonts w:hAnsi="Arial"/>
          <w:rFonts w:ascii="Arial"/>
          <w:sz w:val="24"/>
          <w:color w:val="navy"/>
        </w:rPr>
        <w:t xml:space="preserve">ARTΝCULO 2.3.2.5.1. </w:t>
      </w:r>
      <w:r>
        <w:rPr>
          <w:rFonts w:hAnsi="Arial"/>
          <w:rFonts w:ascii="Arial"/>
          <w:sz w:val="24"/>
          <w:i/>
          <w:color w:val="navy"/>
        </w:rPr>
        <w:t>TRAMITES.</w:t>
      </w:r>
      <w:bookmarkEnd w:id="61349"/>
      <w:r>
        <w:rPr>
          <w:rFonts w:hAnsi="Arial"/>
          <w:rFonts w:ascii="Arial"/>
          <w:sz w:val="24"/>
          <w:b/>
          <w:i/>
          <w:color w:val="black"/>
        </w:rPr>
        <w:t xml:space="preserve"> </w:t>
      </w:r>
      <w:r>
        <w:rPr>
          <w:rFonts w:hAnsi="Arial"/>
          <w:rFonts w:ascii="Arial"/>
          <w:sz w:val="24"/>
          <w:color w:val="black"/>
        </w:rPr>
        <w:t xml:space="preserve">Toda persona natural o jurνdica que adelante trαmites ante la autoridad aeronαutica, deberα remitir al Comando de la Brigada de la jurisdicciσn donde se encuentre ubicado el predio o su domicilio segϊn se trate, copia de la solicitud realizada a la Aeronαutica Civil que contenga los siguientes documentos:</w:t>
      </w:r>
    </w:p>
    <w:p>
      <w:pPr>
        <w:jc w:val="both"/>
      </w:pPr>
      <w:rPr>
        <w:sz w:val="24"/>
        <w:color w:val="black"/>
      </w:rPr>
    </w:p>
    <w:p>
      <w:pPr>
        <w:jc w:val="both"/>
      </w:pPr>
      <w:r>
        <w:rPr>
          <w:rFonts w:hAnsi="Arial"/>
          <w:rFonts w:ascii="Arial"/>
          <w:sz w:val="24"/>
          <w:color w:val="black"/>
        </w:rPr>
        <w:t xml:space="preserve">1. Copia de la cιdula de ciudadanνa de quien suscriba la solicitud.</w:t>
      </w:r>
    </w:p>
    <w:p>
      <w:pPr>
        <w:jc w:val="both"/>
      </w:pPr>
      <w:rPr>
        <w:sz w:val="24"/>
        <w:color w:val="black"/>
      </w:rPr>
    </w:p>
    <w:p>
      <w:pPr>
        <w:jc w:val="both"/>
      </w:pPr>
      <w:r>
        <w:rPr>
          <w:rFonts w:hAnsi="Arial"/>
          <w:rFonts w:ascii="Arial"/>
          <w:sz w:val="24"/>
          <w:color w:val="black"/>
        </w:rPr>
        <w:t xml:space="preserve">2. Copia de la escritura de constituciσn de la persona jurνdica o copia del certificado de la Cαmara de Comercio, tratαndose de una sociedad comercial.</w:t>
      </w:r>
    </w:p>
    <w:p>
      <w:pPr>
        <w:jc w:val="both"/>
      </w:pPr>
      <w:rPr>
        <w:sz w:val="24"/>
        <w:color w:val="black"/>
      </w:rPr>
    </w:p>
    <w:p>
      <w:pPr>
        <w:jc w:val="both"/>
      </w:pPr>
      <w:r>
        <w:rPr>
          <w:rFonts w:hAnsi="Arial"/>
          <w:rFonts w:ascii="Arial"/>
          <w:sz w:val="24"/>
          <w:color w:val="black"/>
        </w:rPr>
        <w:t xml:space="preserve">3. Copia del Certificado de Vecindad expedido por la autoridad de policνa del domicilio de la persona natural o jurνdica.</w:t>
      </w:r>
    </w:p>
    <w:p>
      <w:pPr>
        <w:jc w:val="both"/>
      </w:pPr>
      <w:rPr>
        <w:sz w:val="24"/>
        <w:color w:val="black"/>
      </w:rPr>
    </w:p>
    <w:p>
      <w:pPr>
        <w:jc w:val="both"/>
      </w:pPr>
      <w:r>
        <w:rPr>
          <w:rFonts w:hAnsi="Arial"/>
          <w:rFonts w:ascii="Arial"/>
          <w:sz w:val="24"/>
          <w:color w:val="black"/>
        </w:rPr>
        <w:t xml:space="preserve">4. Copia del permiso anterior de operaciσn de aerσdromos o pistas, o de funcionamiento de empresas de servicios aιreos o comerciales, escuelas, aeroclubes, talleres aeronαuticos expedidos por la Aeronαutica Civil, cuando se trate de su renovaciσn".</w:t>
      </w:r>
    </w:p>
    <w:p>
      <w:pPr>
        <w:jc w:val="both"/>
      </w:pPr>
      <w:rPr>
        <w:sz w:val="24"/>
        <w:color w:val="black"/>
      </w:rPr>
    </w:p>
    <w:p>
      <w:pPr>
        <w:jc w:val="both"/>
      </w:pPr>
      <w:r>
        <w:rPr>
          <w:rFonts w:hAnsi="Arial"/>
          <w:rFonts w:ascii="Arial"/>
          <w:sz w:val="24"/>
          <w:i/>
          <w:color w:val="black"/>
        </w:rPr>
        <w:t xml:space="preserve">(Decreto 0310 artνculo 1o modificado por el Decreto </w:t>
      </w:r>
      <w:r>
        <w:fldChar w:fldCharType="begin"/>
      </w:r>
      <w:r>
        <w:instrText>HYPERLINK "http://www.redjurista.com/document.aspx?ajcode=d0703008&amp;arts=INICIO"</w:instrText>
      </w:r>
      <w:r>
        <w:fldChar w:fldCharType="separate"/>
      </w:r>
      <w:r>
        <w:rPr>
          <w:rFonts w:hAnsi="Arial"/>
          <w:rFonts w:ascii="Arial"/>
          <w:sz w:val="24"/>
          <w:i/>
          <w:u w:val="single"/>
          <w:color w:val="black"/>
        </w:rPr>
        <w:t>0703</w:t>
      </w:r>
      <w:r>
        <w:fldChar w:fldCharType="end"/>
      </w:r>
      <w:r>
        <w:rPr>
          <w:rFonts w:hAnsi="Arial"/>
          <w:rFonts w:ascii="Arial"/>
          <w:sz w:val="24"/>
          <w:i/>
          <w:u w:val="none"/>
          <w:color w:val="black"/>
        </w:rPr>
        <w:t xml:space="preserve"> de 2008)</w:t>
      </w:r>
    </w:p>
    <w:p>
      <w:pPr>
        <w:jc w:val="both"/>
      </w:pPr>
      <w:rPr>
        <w:sz w:val="24"/>
        <w:color w:val="black"/>
      </w:rPr>
    </w:p>
    <w:p>
      <w:pPr>
        <w:jc w:val="both"/>
      </w:pPr>
      <w:r>
        <w:rPr>
          <w:rFonts w:hAnsi="Arial"/>
          <w:rFonts w:ascii="Arial"/>
          <w:sz w:val="24"/>
          <w:vanish/>
          <w:color w:val="black"/>
        </w:rPr>
        <w:t>&amp;$</w:t>
      </w:r>
      <w:bookmarkStart w:id="61350" w:name="2.3.2.5.3"/>
      <w:r>
        <w:rPr>
          <w:rFonts w:hAnsi="Arial"/>
          <w:rFonts w:ascii="Arial"/>
          <w:sz w:val="24"/>
          <w:color w:val="navy"/>
        </w:rPr>
        <w:t xml:space="preserve">ARTΝCULO 2.3.2.5.3. </w:t>
      </w:r>
      <w:r>
        <w:rPr>
          <w:rFonts w:hAnsi="Arial"/>
          <w:rFonts w:ascii="Arial"/>
          <w:sz w:val="24"/>
          <w:i/>
          <w:color w:val="navy"/>
        </w:rPr>
        <w:t>VERIFICACIΣN.</w:t>
      </w:r>
      <w:bookmarkEnd w:id="61350"/>
      <w:r>
        <w:rPr>
          <w:rFonts w:hAnsi="Arial"/>
          <w:rFonts w:ascii="Arial"/>
          <w:sz w:val="24"/>
          <w:b/>
          <w:i/>
          <w:color w:val="black"/>
        </w:rPr>
        <w:t xml:space="preserve"> </w:t>
      </w:r>
      <w:r>
        <w:rPr>
          <w:rFonts w:hAnsi="Arial"/>
          <w:rFonts w:ascii="Arial"/>
          <w:sz w:val="24"/>
          <w:color w:val="black"/>
        </w:rPr>
        <w:t xml:space="preserve">En el evento en que las unidades operativas menores posean informaciσn respecto de las personas que realizan trαmites ante las autoridades aeronαuticas, que permitan inferir que se encuentran envueltas con actividades ilνcitas, adelantarαn las acciones respectivas en coordinaciσn con la Fiscalνa General de la Naciσn.</w:t>
      </w:r>
    </w:p>
    <w:p>
      <w:pPr>
        <w:jc w:val="both"/>
      </w:pPr>
      <w:rPr>
        <w:sz w:val="24"/>
        <w:color w:val="black"/>
      </w:rPr>
    </w:p>
    <w:p>
      <w:pPr>
        <w:jc w:val="both"/>
      </w:pPr>
      <w:r>
        <w:rPr>
          <w:rFonts w:hAnsi="Arial"/>
          <w:rFonts w:ascii="Arial"/>
          <w:sz w:val="24"/>
          <w:i/>
          <w:color w:val="black"/>
        </w:rPr>
        <w:t xml:space="preserve">(Decreto 0703 de 2008 artνculo </w:t>
      </w:r>
      <w:r>
        <w:fldChar w:fldCharType="begin"/>
      </w:r>
      <w:r>
        <w:instrText>HYPERLINK "http://www.redjurista.com/document.aspx?ajcode=d0703008&amp;arts=2"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351" w:name="CAPÍTULO 2.3.2.6"/>
      <w:r>
        <w:rPr>
          <w:rFonts w:hAnsi="Arial"/>
          <w:rFonts w:ascii="Arial"/>
          <w:sz w:val="24"/>
          <w:color w:val="navy"/>
        </w:rPr>
        <w:t xml:space="preserve">CAPΝTULO 6. </w:t>
      </w:r>
    </w:p>
    <w:p>
      <w:pPr>
        <w:jc w:val="center"/>
      </w:pPr>
      <w:r>
        <w:rPr>
          <w:rFonts w:hAnsi="Arial"/>
          <w:rFonts w:ascii="Arial"/>
          <w:sz w:val="24"/>
          <w:color w:val="navy"/>
        </w:rPr>
        <w:t xml:space="preserve">INCREMENTO DEL PRESUPUESTO PER CΑPITA PARA EL SECTOR DEFENSA (PPCD) QUE DEBE SER RECONOCIDO POR EL GOBIERNO NACIONAL PARA FINANCIAR EL PLAN DE SERVICIOS DE SANIDAD MILITAR Y SE INCREMENTA EL PORCENTAJE DEL APORTE PARA LOS SERVICIOS MΙDICOS DERIVADOS DE ACCIDENTE DE TRABAJO Y ENFERMEDAD PROFESIONAL (ATEP) PARA EL SUBSISTEMA DE SALUD DE LAS FUERZAS MILITARES.</w:t>
      </w:r>
      <w:bookmarkEnd w:id="61351"/>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61352" w:name="2.3.2.6.1"/>
      <w:r>
        <w:rPr>
          <w:rFonts w:hAnsi="Arial"/>
          <w:rFonts w:ascii="Arial"/>
          <w:sz w:val="24"/>
          <w:color w:val="navy"/>
        </w:rPr>
        <w:t xml:space="preserve">ARTΝCULO 2.3.2.6.1. </w:t>
      </w:r>
      <w:r>
        <w:rPr>
          <w:rFonts w:hAnsi="Arial"/>
          <w:rFonts w:ascii="Arial"/>
          <w:sz w:val="24"/>
          <w:i/>
          <w:color w:val="navy"/>
        </w:rPr>
        <w:t xml:space="preserve">AUMENTO DEL VALOR DEL PRESUPUESTO PER CΑPITA.</w:t>
      </w:r>
      <w:bookmarkEnd w:id="61352"/>
      <w:r>
        <w:rPr>
          <w:rFonts w:hAnsi="Arial"/>
          <w:rFonts w:ascii="Arial"/>
          <w:sz w:val="24"/>
          <w:b/>
          <w:i/>
          <w:color w:val="black"/>
        </w:rPr>
        <w:t xml:space="preserve"> </w:t>
      </w:r>
      <w:r>
        <w:rPr>
          <w:rFonts w:hAnsi="Arial"/>
          <w:rFonts w:ascii="Arial"/>
          <w:sz w:val="24"/>
          <w:color w:val="black"/>
        </w:rPr>
        <w:t xml:space="preserve">&lt;Ver Notas del Editor&gt; Aumentar el valor del Presupuesto Per cαpita para el Sector Defensa (PPCD), del veinte por ciento (20%) al veinticinco por ciento (25%), para financiar el Plan de Servicios de Sanidad Militar de los afiliados no sometidos al rιgimen de cotizaciσn del Subsistema de Salud de las Fuerzas Militares, a partir de la vigencia 2015.</w:t>
      </w:r>
    </w:p>
    <w:p>
      <w:pPr>
        <w:jc w:val="both"/>
      </w:pPr>
      <w:rPr>
        <w:sz w:val="24"/>
        <w:color w:val="black"/>
      </w:rPr>
    </w:p>
    <w:p>
      <w:pPr>
        <w:jc w:val="both"/>
      </w:pPr>
      <w:r>
        <w:rPr>
          <w:rFonts w:hAnsi="Arial"/>
          <w:rFonts w:ascii="Arial"/>
          <w:sz w:val="24"/>
          <w:i/>
          <w:color w:val="black"/>
        </w:rPr>
        <w:t xml:space="preserve">(Decreto 2698 de 2014 artνculo </w:t>
      </w:r>
      <w:r>
        <w:fldChar w:fldCharType="begin"/>
      </w:r>
      <w:r>
        <w:instrText>HYPERLINK "http://www.redjurista.com/document.aspx?ajcode=d2698014&amp;arts=1"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53" w:name="2.3.2.6.2"/>
      <w:r>
        <w:rPr>
          <w:rFonts w:hAnsi="Arial"/>
          <w:rFonts w:ascii="Arial"/>
          <w:sz w:val="24"/>
          <w:color w:val="navy"/>
        </w:rPr>
        <w:t xml:space="preserve">ARTΝCULO 2.3.2.6.2. </w:t>
      </w:r>
      <w:r>
        <w:rPr>
          <w:rFonts w:hAnsi="Arial"/>
          <w:rFonts w:ascii="Arial"/>
          <w:sz w:val="24"/>
          <w:i/>
          <w:color w:val="navy"/>
        </w:rPr>
        <w:t xml:space="preserve">AUMENTO DE LA DIFERENCIA ENTRE EL VALOR DEL PRESUPUESTO PER CΑPITA Y LA UNIDAD DE PAGO POR CAPACITACIΣN DEL SISTEMA DE SEGURIDAD SOCIAL EN SALUD.</w:t>
      </w:r>
      <w:bookmarkEnd w:id="61353"/>
      <w:r>
        <w:rPr>
          <w:rFonts w:hAnsi="Arial"/>
          <w:rFonts w:ascii="Arial"/>
          <w:sz w:val="24"/>
          <w:b/>
          <w:i/>
          <w:color w:val="black"/>
        </w:rPr>
        <w:t xml:space="preserve"> </w:t>
      </w:r>
      <w:r>
        <w:rPr>
          <w:rFonts w:hAnsi="Arial"/>
          <w:rFonts w:ascii="Arial"/>
          <w:sz w:val="24"/>
          <w:color w:val="black"/>
        </w:rPr>
        <w:t xml:space="preserve">&lt;Ver Notas del Editor&gt; Aumentar la diferencia entre el valor del Presupuesto Per cαpita para el Sector Defensa (PPCD) y la unidad de Pago por Capacitaciσn del Sistema General de Seguridad Social en Salud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(UPC), del veinte por ciento (20%) al veinticinco por ciento (25%) para apoyar la financiaciσn del Plan de Servicios de Sanidad Militar de los afiliados cotizantes y sus beneficiarios del Subsistema de Salud de las Fuerzas Militares a partir de la vigencia 2015.</w:t>
      </w:r>
    </w:p>
    <w:p>
      <w:pPr>
        <w:jc w:val="both"/>
      </w:pPr>
      <w:rPr>
        <w:sz w:val="24"/>
        <w:color w:val="black"/>
      </w:rPr>
    </w:p>
    <w:p>
      <w:pPr>
        <w:jc w:val="both"/>
      </w:pPr>
      <w:r>
        <w:rPr>
          <w:rFonts w:hAnsi="Arial"/>
          <w:rFonts w:ascii="Arial"/>
          <w:sz w:val="24"/>
          <w:i/>
          <w:color w:val="black"/>
        </w:rPr>
        <w:t xml:space="preserve">(Decreto 2698 de 2014 artνculo </w:t>
      </w:r>
      <w:r>
        <w:fldChar w:fldCharType="begin"/>
      </w:r>
      <w:r>
        <w:instrText>HYPERLINK "http://www.redjurista.com/document.aspx?ajcode=d2698014&amp;arts=2"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54" w:name="2.3.2.6.3"/>
      <w:r>
        <w:rPr>
          <w:rFonts w:hAnsi="Arial"/>
          <w:rFonts w:ascii="Arial"/>
          <w:sz w:val="24"/>
          <w:color w:val="navy"/>
        </w:rPr>
        <w:t xml:space="preserve">ARTΝCULO 2.3.2.6.3. </w:t>
      </w:r>
      <w:r>
        <w:rPr>
          <w:rFonts w:hAnsi="Arial"/>
          <w:rFonts w:ascii="Arial"/>
          <w:sz w:val="24"/>
          <w:i/>
          <w:color w:val="navy"/>
        </w:rPr>
        <w:t xml:space="preserve">AUMENTO DEL INGRESO POR CONCEPTO DE ACCIDENTES DE TRABAJO Y ENFERMEDAD PROFESIONAL -ATEP.</w:t>
      </w:r>
      <w:bookmarkEnd w:id="61354"/>
      <w:r>
        <w:rPr>
          <w:rFonts w:hAnsi="Arial"/>
          <w:rFonts w:ascii="Arial"/>
          <w:sz w:val="24"/>
          <w:b/>
          <w:i/>
          <w:color w:val="black"/>
        </w:rPr>
        <w:t xml:space="preserve"> </w:t>
      </w:r>
      <w:r>
        <w:rPr>
          <w:rFonts w:hAnsi="Arial"/>
          <w:rFonts w:ascii="Arial"/>
          <w:sz w:val="24"/>
          <w:color w:val="black"/>
        </w:rPr>
        <w:t xml:space="preserve">&lt;Ver Notas del Editor&gt; Aumentar el ingreso por concepto de Accidentes de Trabajo y Enfermedad Profesional " ATEP " al Subsistema de Salud de las Fuerzas Militares proveniente de la Nσmina del Ministerio de Defensa, del dos por ciento (2%) al tres por ciento (3%), a partir de la vigencia 2015.</w:t>
      </w:r>
    </w:p>
    <w:p>
      <w:pPr>
        <w:jc w:val="both"/>
      </w:pPr>
      <w:rPr>
        <w:sz w:val="24"/>
        <w:color w:val="black"/>
      </w:rPr>
    </w:p>
    <w:p>
      <w:pPr>
        <w:jc w:val="both"/>
      </w:pPr>
      <w:r>
        <w:rPr>
          <w:rFonts w:hAnsi="Arial"/>
          <w:rFonts w:ascii="Arial"/>
          <w:sz w:val="24"/>
          <w:i/>
          <w:color w:val="black"/>
        </w:rPr>
        <w:t xml:space="preserve">(Decreto 2698 de 2014 artνculo </w:t>
      </w:r>
      <w:r>
        <w:fldChar w:fldCharType="begin"/>
      </w:r>
      <w:r>
        <w:instrText>HYPERLINK "http://www.redjurista.com/document.aspx?ajcode=d2698014&amp;arts=3"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355" w:name="2.3.2.6.4"/>
      <w:r>
        <w:rPr>
          <w:rFonts w:hAnsi="Arial"/>
          <w:rFonts w:ascii="Arial"/>
          <w:sz w:val="24"/>
          <w:color w:val="navy"/>
        </w:rPr>
        <w:t xml:space="preserve">ARTΝCULO 2.3.2.6.4. </w:t>
      </w:r>
      <w:r>
        <w:rPr>
          <w:rFonts w:hAnsi="Arial"/>
          <w:rFonts w:ascii="Arial"/>
          <w:sz w:val="24"/>
          <w:i/>
          <w:color w:val="navy"/>
        </w:rPr>
        <w:t xml:space="preserve">DESTINACIΣN PORCENTAJES.</w:t>
      </w:r>
      <w:bookmarkEnd w:id="61355"/>
      <w:r>
        <w:rPr>
          <w:rFonts w:hAnsi="Arial"/>
          <w:rFonts w:ascii="Arial"/>
          <w:sz w:val="24"/>
          <w:b/>
          <w:i/>
          <w:color w:val="black"/>
        </w:rPr>
        <w:t xml:space="preserve"> </w:t>
      </w:r>
      <w:r>
        <w:rPr>
          <w:rFonts w:hAnsi="Arial"/>
          <w:rFonts w:ascii="Arial"/>
          <w:sz w:val="24"/>
          <w:color w:val="black"/>
        </w:rPr>
        <w:t xml:space="preserve">&lt;Ver Notas del Editor&gt; Dichos porcentajes serαn destinados respectivamente a financiar el Plan de Servicios de Sanidad Militar de los afiliados no sometidos al rιgimen de cotizaciσn, de los cotizantes y sus beneficiarios afiliados al Subsistema de Salud de las Fuerzas Militares; y para financiar los servicios de salud derivados de Accidentes de Trabajo y Enfermedad Profesional del personal militar y civil activo al servicio del Ministerio de Defensa Nacional afiliado al Subsistema de Salud de las Fuerzas Militares, no perteneciente al rιgimen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2698 de 2014 artνculo </w:t>
      </w:r>
      <w:r>
        <w:fldChar w:fldCharType="begin"/>
      </w:r>
      <w:r>
        <w:instrText>HYPERLINK "http://www.redjurista.com/document.aspx?ajcode=d2698014&amp;arts=4"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356" w:name="PARTE 2.4"/>
      <w:r>
        <w:rPr>
          <w:rFonts w:hAnsi="Arial"/>
          <w:rFonts w:ascii="Arial"/>
          <w:sz w:val="24"/>
          <w:color w:val="navy"/>
        </w:rPr>
        <w:t xml:space="preserve">PARTE 4. </w:t>
      </w:r>
    </w:p>
    <w:p>
      <w:pPr>
        <w:jc w:val="center"/>
      </w:pPr>
      <w:r>
        <w:rPr>
          <w:rFonts w:hAnsi="Arial"/>
          <w:rFonts w:ascii="Arial"/>
          <w:sz w:val="24"/>
          <w:color w:val="navy"/>
        </w:rPr>
        <w:t xml:space="preserve">DIRECCIΣN GENERAL MARΝTIMA.</w:t>
      </w:r>
      <w:bookmarkEnd w:id="6135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357" w:name="TÍTULO 2.4.1"/>
      <w:r>
        <w:rPr>
          <w:rFonts w:hAnsi="Arial"/>
          <w:rFonts w:ascii="Arial"/>
          <w:sz w:val="24"/>
          <w:color w:val="navy"/>
        </w:rPr>
        <w:t xml:space="preserve">TΝTULO 1. </w:t>
      </w:r>
    </w:p>
    <w:p>
      <w:pPr>
        <w:jc w:val="center"/>
      </w:pPr>
      <w:r>
        <w:rPr>
          <w:rFonts w:hAnsi="Arial"/>
          <w:rFonts w:ascii="Arial"/>
          <w:sz w:val="24"/>
          <w:color w:val="navy"/>
        </w:rPr>
        <w:t xml:space="preserve">GENTE DE MAR.</w:t>
      </w:r>
      <w:bookmarkEnd w:id="6135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358" w:name="CAPÍTULO 2.4.1.1"/>
      <w:r>
        <w:rPr>
          <w:rFonts w:hAnsi="Arial"/>
          <w:rFonts w:ascii="Arial"/>
          <w:sz w:val="24"/>
          <w:color w:val="navy"/>
        </w:rPr>
        <w:t xml:space="preserve">CAPΝTULO 1. </w:t>
      </w:r>
    </w:p>
    <w:p>
      <w:pPr>
        <w:jc w:val="center"/>
      </w:pPr>
      <w:r>
        <w:rPr>
          <w:rFonts w:hAnsi="Arial"/>
          <w:rFonts w:ascii="Arial"/>
          <w:sz w:val="24"/>
          <w:color w:val="navy"/>
        </w:rPr>
        <w:t xml:space="preserve">NORMAS Y REQUISITOS PARA LA FORMACIΣN, TITULACIΣN Y EJERCICIO PROFESIONAL DE LA GENTE DE MAR.</w:t>
      </w:r>
      <w:bookmarkEnd w:id="61358"/>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359" w:name="SECCIÓN 2.4.1.1.1"/>
      <w:r>
        <w:rPr>
          <w:rFonts w:hAnsi="Arial"/>
          <w:rFonts w:ascii="Arial"/>
          <w:sz w:val="24"/>
          <w:color w:val="navy"/>
        </w:rPr>
        <w:t xml:space="preserve">SECCIΣN 1. </w:t>
      </w:r>
    </w:p>
    <w:p>
      <w:pPr>
        <w:jc w:val="center"/>
      </w:pPr>
      <w:r>
        <w:rPr>
          <w:rFonts w:hAnsi="Arial"/>
          <w:rFonts w:ascii="Arial"/>
          <w:sz w:val="24"/>
          <w:color w:val="navy"/>
        </w:rPr>
        <w:t>GENERALIDADES.</w:t>
      </w:r>
      <w:bookmarkEnd w:id="61359"/>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61360" w:name="2.4.1.1.1.1"/>
      <w:r>
        <w:rPr>
          <w:rFonts w:hAnsi="Arial"/>
          <w:rFonts w:ascii="Arial"/>
          <w:sz w:val="24"/>
          <w:color w:val="navy"/>
        </w:rPr>
        <w:t xml:space="preserve">ARTΝCULO 2.4.1.1.1.1. </w:t>
      </w:r>
      <w:r>
        <w:rPr>
          <w:rFonts w:hAnsi="Arial"/>
          <w:rFonts w:ascii="Arial"/>
          <w:sz w:val="24"/>
          <w:i/>
          <w:color w:val="navy"/>
        </w:rPr>
        <w:t>OBJETO.</w:t>
      </w:r>
      <w:bookmarkEnd w:id="61360"/>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Establecer los niveles de responsabilidad de Gente de Mar Colombiana, los criterios generales para su Formaciσn, Licenciamiento y Titulaciσn, para su desempeρo a bordo de naves o artefactos navales.</w:t>
      </w:r>
    </w:p>
    <w:p>
      <w:pPr>
        <w:jc w:val="both"/>
      </w:pPr>
      <w:rPr>
        <w:sz w:val="24"/>
        <w:color w:val="black"/>
      </w:rPr>
    </w:p>
    <w:p>
      <w:pPr>
        <w:jc w:val="both"/>
      </w:pPr>
      <w:r>
        <w:rPr>
          <w:rFonts w:hAnsi="Arial"/>
          <w:rFonts w:ascii="Arial"/>
          <w:sz w:val="24"/>
          <w:b/>
          <w:vanish/>
          <w:color w:val="black"/>
        </w:rPr>
        <w:t>&amp;$</w:t>
      </w:r>
      <w:bookmarkStart w:id="61361" w:name="2.4.1.1.1.2"/>
      <w:r>
        <w:rPr>
          <w:rFonts w:hAnsi="Arial"/>
          <w:rFonts w:ascii="Arial"/>
          <w:sz w:val="24"/>
          <w:color w:val="navy"/>
        </w:rPr>
        <w:t xml:space="preserve">ARTΝCULO 2.4.1.1.1.2. ΑMBITO DE APLICACIΣN.</w:t>
      </w:r>
      <w:bookmarkEnd w:id="6136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Las disposiciones del presente capνtulo se aplicarαn a la gente de mar que se desempeρa a bordo de naves o artefactos navales de bandera Colombiana, y en las de bandera extranjera que operen en aguas jurisdiccionales Colombianas.</w:t>
      </w:r>
    </w:p>
    <w:p>
      <w:pPr>
        <w:jc w:val="both"/>
      </w:pPr>
      <w:rPr>
        <w:sz w:val="24"/>
        <w:b/>
        <w:color w:val="black"/>
      </w:rPr>
    </w:p>
    <w:p>
      <w:pPr>
        <w:jc w:val="both"/>
        <w:outlineLvl w:val="1"/>
      </w:pPr>
      <w:r>
        <w:rPr>
          <w:rFonts w:hAnsi="Arial"/>
          <w:rFonts w:ascii="Arial"/>
          <w:sz w:val="24"/>
          <w:b/>
          <w:vanish/>
          <w:color w:val="black"/>
        </w:rPr>
        <w:t>&amp;$</w:t>
      </w:r>
      <w:bookmarkStart w:id="61362" w:name="2.4.1.1.1.3"/>
      <w:r>
        <w:rPr>
          <w:rFonts w:hAnsi="Arial"/>
          <w:rFonts w:ascii="Arial"/>
          <w:sz w:val="24"/>
          <w:color w:val="navy"/>
        </w:rPr>
        <w:t xml:space="preserve">ARTΝCULO 2.4.1.1.1.3. GENTE DE MAR.</w:t>
      </w:r>
      <w:bookmarkEnd w:id="6136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Entiιndase toda persona que ejerce profesiσn, oficio, ocupaciσn o funciσn a bordo de naves o artefactos navales, con documento de navegaciσn expedido y/o refrendado por la autoridad marνtima nacional.</w:t>
      </w:r>
    </w:p>
    <w:p>
      <w:pPr>
        <w:jc w:val="both"/>
      </w:pPr>
      <w:rPr>
        <w:sz w:val="24"/>
        <w:color w:val="black"/>
      </w:rPr>
    </w:p>
    <w:p>
      <w:pPr>
        <w:jc w:val="both"/>
      </w:pPr>
      <w:r>
        <w:rPr>
          <w:rFonts w:hAnsi="Arial"/>
          <w:rFonts w:ascii="Arial"/>
          <w:sz w:val="24"/>
          <w:b/>
          <w:vanish/>
          <w:color w:val="black"/>
        </w:rPr>
        <w:t>&amp;$</w:t>
      </w:r>
      <w:bookmarkStart w:id="61363" w:name="2.4.1.1.1.4"/>
      <w:r>
        <w:rPr>
          <w:rFonts w:hAnsi="Arial"/>
          <w:rFonts w:ascii="Arial"/>
          <w:sz w:val="24"/>
          <w:color w:val="navy"/>
        </w:rPr>
        <w:t xml:space="preserve">ARTΝCULO 2.4.1.1.1.4. ACTIVIDADES GENTE DE MAR.</w:t>
      </w:r>
      <w:bookmarkEnd w:id="6136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Para los efectos del presente Decreto, las actividades de la Gente de Mar a bordo de las naves o artefactos navales, se clasifican asν:</w:t>
      </w:r>
    </w:p>
    <w:p>
      <w:pPr>
        <w:jc w:val="both"/>
        <w:outlineLvl w:val="1"/>
      </w:pPr>
      <w:rPr>
        <w:sz w:val="24"/>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Del transporte comercial marνtimo.</w:t>
      </w:r>
    </w:p>
    <w:p>
      <w:pPr>
        <w:jc w:val="both"/>
        <w:outlineLvl w:val="1"/>
      </w:pPr>
      <w:rPr>
        <w:sz w:val="24"/>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De la pesca, tanto industrial como artesanal.</w:t>
      </w:r>
    </w:p>
    <w:p>
      <w:pPr>
        <w:jc w:val="both"/>
        <w:outlineLvl w:val="1"/>
      </w:pPr>
      <w:rPr>
        <w:sz w:val="24"/>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De las actividades de recreo y deportivas.</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De las actividades realizadas por naves o artefactos navales de carαcter cientνfico o tecnolσgico, no relacionadas con el transporte marνtimo o fines comerciales.</w:t>
      </w:r>
    </w:p>
    <w:p>
      <w:pPr>
        <w:jc w:val="both"/>
      </w:pPr>
      <w:rPr>
        <w:color w:val="black"/>
      </w:rPr>
    </w:p>
    <w:p>
      <w:pPr>
        <w:jc w:val="both"/>
        <w:outlineLvl w:val="1"/>
      </w:pPr>
      <w:r>
        <w:rPr>
          <w:rFonts w:hAnsi="Arial"/>
          <w:rFonts w:ascii="Arial"/>
          <w:sz w:val="24"/>
          <w:b/>
          <w:vanish/>
          <w:color w:val="black"/>
        </w:rPr>
        <w:t>&amp;$</w:t>
      </w:r>
      <w:bookmarkStart w:id="61364" w:name="2.4.1.1.1.5"/>
      <w:r>
        <w:rPr>
          <w:rFonts w:hAnsi="Arial"/>
          <w:rFonts w:ascii="Arial"/>
          <w:sz w:val="24"/>
          <w:color w:val="navy"/>
        </w:rPr>
        <w:t xml:space="preserve">ARTΝCULO 2.4.1.1.1.5. ESPECIALIDADES DE LA GENTE DE MAR.</w:t>
      </w:r>
      <w:bookmarkEnd w:id="6136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 Gente de Mar Colombiana se desempeρa a bordo, de acuerdo con su especialidad, asν:</w:t>
      </w:r>
    </w:p>
    <w:p>
      <w:pPr>
        <w:jc w:val="both"/>
        <w:outlineLvl w:val="1"/>
      </w:pPr>
      <w:rPr>
        <w:sz w:val="24"/>
        <w:color w:val="black"/>
      </w:rPr>
    </w:p>
    <w:p>
      <w:pPr>
        <w:jc w:val="both"/>
        <w:outlineLvl w:val="1"/>
      </w:pPr>
      <w:r>
        <w:rPr>
          <w:rFonts w:hAnsi="Arial"/>
          <w:rFonts w:ascii="Arial"/>
          <w:sz w:val="24"/>
          <w:b/>
          <w:color w:val="black"/>
        </w:rPr>
        <w:t xml:space="preserve">1. Puente: </w:t>
      </w:r>
      <w:r>
        <w:rPr>
          <w:rFonts w:hAnsi="Arial"/>
          <w:rFonts w:ascii="Arial"/>
          <w:sz w:val="24"/>
          <w:color w:val="black"/>
        </w:rPr>
        <w:t xml:space="preserve">Son los encargados de desempeρar a bordo funciones relacionadas con la navegaciσn, manipulaciσn y estiba de la carga, control del funcionamiento del buque y cuidado de las personas a bordo, y con radiocomunicaciones.</w:t>
      </w:r>
    </w:p>
    <w:p>
      <w:pPr>
        <w:jc w:val="both"/>
        <w:outlineLvl w:val="1"/>
      </w:pPr>
      <w:rPr>
        <w:sz w:val="24"/>
        <w:color w:val="black"/>
      </w:rPr>
    </w:p>
    <w:p>
      <w:pPr>
        <w:jc w:val="both"/>
        <w:outlineLvl w:val="1"/>
      </w:pPr>
      <w:r>
        <w:rPr>
          <w:rFonts w:hAnsi="Arial"/>
          <w:rFonts w:ascii="Arial"/>
          <w:sz w:val="24"/>
          <w:b/>
          <w:color w:val="black"/>
        </w:rPr>
        <w:t xml:space="preserve">2. Mαquinas: </w:t>
      </w:r>
      <w:r>
        <w:rPr>
          <w:rFonts w:hAnsi="Arial"/>
          <w:rFonts w:ascii="Arial"/>
          <w:sz w:val="24"/>
          <w:color w:val="black"/>
        </w:rPr>
        <w:t xml:space="preserve">Son los encargados de desempeρar a bordo funciones relacionadas con la maquinaria naval, las instalaciones elιctricas, electrσnicas y de control, mantenimiento y reparaciones, asν como el control del funcionamiento del buque y el cuidado de las personas a bordo.</w:t>
      </w:r>
    </w:p>
    <w:p>
      <w:pPr>
        <w:jc w:val="both"/>
        <w:outlineLvl w:val="1"/>
      </w:pPr>
      <w:rPr>
        <w:sz w:val="24"/>
        <w:color w:val="black"/>
      </w:rPr>
    </w:p>
    <w:p>
      <w:pPr>
        <w:jc w:val="both"/>
        <w:outlineLvl w:val="1"/>
      </w:pPr>
      <w:r>
        <w:rPr>
          <w:rFonts w:hAnsi="Arial"/>
          <w:rFonts w:ascii="Arial"/>
          <w:sz w:val="24"/>
          <w:b/>
          <w:color w:val="black"/>
        </w:rPr>
        <w:t xml:space="preserve">3. Servicios: </w:t>
      </w:r>
      <w:r>
        <w:rPr>
          <w:rFonts w:hAnsi="Arial"/>
          <w:rFonts w:ascii="Arial"/>
          <w:sz w:val="24"/>
          <w:color w:val="black"/>
        </w:rPr>
        <w:t xml:space="preserve">Son los que desempeρan funciones tιcnicas o administrativas a bordo, diferentes a la tripulaciσn.</w:t>
      </w:r>
    </w:p>
    <w:p>
      <w:pPr>
        <w:jc w:val="both"/>
      </w:pPr>
      <w:rPr>
        <w:sz w:val="24"/>
        <w:color w:val="black"/>
      </w:rPr>
    </w:p>
    <w:p>
      <w:pPr>
        <w:jc w:val="both"/>
        <w:outlineLvl w:val="1"/>
      </w:pPr>
      <w:r>
        <w:rPr>
          <w:rFonts w:hAnsi="Arial"/>
          <w:rFonts w:ascii="Arial"/>
          <w:sz w:val="24"/>
          <w:b/>
          <w:vanish/>
          <w:color w:val="black"/>
        </w:rPr>
        <w:t>&amp;$</w:t>
      </w:r>
      <w:bookmarkStart w:id="61365" w:name="2.4.1.1.1.6"/>
      <w:r>
        <w:rPr>
          <w:rFonts w:hAnsi="Arial"/>
          <w:rFonts w:ascii="Arial"/>
          <w:sz w:val="24"/>
          <w:color w:val="navy"/>
        </w:rPr>
        <w:t xml:space="preserve">ARTΝCULO 2.4.1.1.1.6. CLASIFICACIΣN.</w:t>
      </w:r>
      <w:bookmarkEnd w:id="6136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 Gente de Mar, de acuerdo con los niveles de responsabilidad a abordo, se clasifica en:</w:t>
      </w:r>
    </w:p>
    <w:p>
      <w:pPr>
        <w:jc w:val="both"/>
        <w:outlineLvl w:val="1"/>
      </w:pPr>
      <w:rPr>
        <w:sz w:val="24"/>
        <w:color w:val="black"/>
      </w:rPr>
    </w:p>
    <w:p>
      <w:pPr>
        <w:jc w:val="both"/>
        <w:outlineLvl w:val="1"/>
      </w:pPr>
      <w:r>
        <w:rPr>
          <w:rFonts w:hAnsi="Arial"/>
          <w:rFonts w:ascii="Arial"/>
          <w:sz w:val="24"/>
          <w:b/>
          <w:color w:val="black"/>
        </w:rPr>
        <w:t xml:space="preserve">1. Nivel de gestiσn: </w:t>
      </w:r>
      <w:r>
        <w:rPr>
          <w:rFonts w:hAnsi="Arial"/>
          <w:rFonts w:ascii="Arial"/>
          <w:sz w:val="24"/>
          <w:color w:val="black"/>
        </w:rPr>
        <w:t xml:space="preserve">Relacionado con la prestaciσn de servicio a bordo como Capitαn o Patrσn, Primer Oficial de Puente, Jefe de Mαquinas, Primer Oficial de Mαquinas y garantizar el adecuado desempeρo de todas las funciones dentro de la esfera de responsabilidad asignada.</w:t>
      </w:r>
    </w:p>
    <w:p>
      <w:pPr>
        <w:jc w:val="both"/>
        <w:outlineLvl w:val="1"/>
      </w:pPr>
      <w:rPr>
        <w:sz w:val="24"/>
        <w:color w:val="black"/>
      </w:rPr>
    </w:p>
    <w:p>
      <w:pPr>
        <w:jc w:val="both"/>
        <w:outlineLvl w:val="1"/>
      </w:pPr>
      <w:r>
        <w:rPr>
          <w:rFonts w:hAnsi="Arial"/>
          <w:rFonts w:ascii="Arial"/>
          <w:sz w:val="24"/>
          <w:b/>
          <w:color w:val="black"/>
        </w:rPr>
        <w:t xml:space="preserve">2. Nivel operacional: </w:t>
      </w:r>
      <w:r>
        <w:rPr>
          <w:rFonts w:hAnsi="Arial"/>
          <w:rFonts w:ascii="Arial"/>
          <w:sz w:val="24"/>
          <w:color w:val="black"/>
        </w:rPr>
        <w:t xml:space="preserve">Relacionado con la presentaciσn de servicio a bordo como oficial de la guardia de navegaciσn o la guardia de mαquinas, oficial de servicio en espacios de mαquinas sin dotaciσn permanente o radio-operador y mantener un control directo del desempeρo de todas las funciones en la esfera de responsabilidad asignada, de conformidad con los procedimientos pertinentes y bajo la direcciσn de una persona que preste servicio a nivel de gestiσn en dicha esfera de responsabilidad.</w:t>
      </w:r>
    </w:p>
    <w:p>
      <w:pPr>
        <w:jc w:val="both"/>
        <w:outlineLvl w:val="1"/>
      </w:pPr>
      <w:rPr>
        <w:sz w:val="24"/>
        <w:color w:val="black"/>
      </w:rPr>
    </w:p>
    <w:p>
      <w:pPr>
        <w:jc w:val="both"/>
        <w:outlineLvl w:val="1"/>
      </w:pPr>
      <w:r>
        <w:rPr>
          <w:rFonts w:hAnsi="Arial"/>
          <w:rFonts w:ascii="Arial"/>
          <w:sz w:val="24"/>
          <w:b/>
          <w:color w:val="black"/>
        </w:rPr>
        <w:t xml:space="preserve">3. Nivel de apoyo: </w:t>
      </w:r>
      <w:r>
        <w:rPr>
          <w:rFonts w:hAnsi="Arial"/>
          <w:rFonts w:ascii="Arial"/>
          <w:sz w:val="24"/>
          <w:color w:val="black"/>
        </w:rPr>
        <w:t xml:space="preserve">Correspondiente al desempeρo de tareas, cometidos o responsabilidades asignadas a bordo, bajo la direcciσn de una persona que preste servicio a nivel operacional o de gestiσn.</w:t>
      </w:r>
    </w:p>
    <w:p>
      <w:pPr>
        <w:jc w:val="both"/>
        <w:outlineLvl w:val="1"/>
      </w:pPr>
      <w:rPr>
        <w:color w:val="black"/>
      </w:rPr>
    </w:p>
    <w:p>
      <w:pPr>
        <w:jc w:val="both"/>
        <w:outlineLvl w:val="1"/>
      </w:pPr>
      <w:r>
        <w:rPr>
          <w:rFonts w:hAnsi="Arial"/>
          <w:rFonts w:ascii="Arial"/>
          <w:sz w:val="24"/>
          <w:b/>
          <w:vanish/>
          <w:color w:val="black"/>
        </w:rPr>
        <w:t>&amp;$</w:t>
      </w:r>
      <w:bookmarkStart w:id="61366" w:name="2.4.1.1.1.7"/>
      <w:r>
        <w:rPr>
          <w:rFonts w:hAnsi="Arial"/>
          <w:rFonts w:ascii="Arial"/>
          <w:sz w:val="24"/>
          <w:color w:val="navy"/>
        </w:rPr>
        <w:t xml:space="preserve">ARTΝCULO 2.4.1.1.1.7. RANGOS DE LA MARINA MERCANTE COLOMBIANA.</w:t>
      </w:r>
      <w:bookmarkEnd w:id="61366"/>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rangos de la Marina Mercante Colombiana son:</w:t>
      </w:r>
    </w:p>
    <w:p>
      <w:pPr>
        <w:jc w:val="both"/>
        <w:outlineLvl w:val="1"/>
      </w:pPr>
      <w:rPr>
        <w:sz w:val="24"/>
        <w:b/>
        <w:color w:val="black"/>
      </w:rPr>
    </w:p>
    <w:p>
      <w:pPr>
        <w:jc w:val="both"/>
        <w:outlineLvl w:val="1"/>
      </w:pPr>
      <w:r>
        <w:rPr>
          <w:rFonts w:hAnsi="Arial"/>
          <w:rFonts w:ascii="Arial"/>
          <w:sz w:val="24"/>
          <w:b/>
          <w:color w:val="black"/>
        </w:rPr>
        <w:t xml:space="preserve">A. Secciσn de Puente</w:t>
      </w:r>
    </w:p>
    <w:p>
      <w:pPr>
        <w:jc w:val="both"/>
        <w:outlineLvl w:val="1"/>
      </w:pPr>
      <w:rPr>
        <w:sz w:val="24"/>
        <w:b/>
        <w:color w:val="black"/>
      </w:rPr>
    </w:p>
    <w:p>
      <w:pPr>
        <w:jc w:val="both"/>
        <w:outlineLvl w:val="1"/>
      </w:pPr>
      <w:r>
        <w:rPr>
          <w:rFonts w:hAnsi="Arial"/>
          <w:rFonts w:ascii="Arial"/>
          <w:sz w:val="24"/>
          <w:b/>
          <w:color w:val="black"/>
        </w:rPr>
        <w:t xml:space="preserve">1. Oficiales</w:t>
      </w:r>
    </w:p>
    <w:p>
      <w:pPr>
        <w:jc w:val="both"/>
        <w:outlineLvl w:val="1"/>
      </w:pPr>
      <w:rPr>
        <w:sz w:val="24"/>
        <w:color w:val="black"/>
      </w:rPr>
    </w:p>
    <w:p>
      <w:pPr>
        <w:jc w:val="both"/>
        <w:outlineLvl w:val="1"/>
      </w:pPr>
      <w:r>
        <w:rPr>
          <w:rFonts w:hAnsi="Arial"/>
          <w:rFonts w:ascii="Arial"/>
          <w:sz w:val="24"/>
          <w:color w:val="black"/>
        </w:rPr>
        <w:t xml:space="preserve">a) Capitαn de buques de arqueo bruto igual o superior a 3000.</w:t>
      </w:r>
    </w:p>
    <w:p>
      <w:pPr>
        <w:jc w:val="both"/>
        <w:outlineLvl w:val="1"/>
      </w:pPr>
      <w:rPr>
        <w:sz w:val="24"/>
        <w:color w:val="black"/>
      </w:rPr>
    </w:p>
    <w:p>
      <w:pPr>
        <w:jc w:val="both"/>
        <w:outlineLvl w:val="1"/>
      </w:pPr>
      <w:r>
        <w:rPr>
          <w:rFonts w:hAnsi="Arial"/>
          <w:rFonts w:ascii="Arial"/>
          <w:sz w:val="24"/>
          <w:color w:val="black"/>
        </w:rPr>
        <w:t xml:space="preserve">b) Primer Oficial de puente de buques de arqueo bruto igual o superior a 3000.</w:t>
      </w:r>
    </w:p>
    <w:p>
      <w:pPr>
        <w:jc w:val="both"/>
        <w:outlineLvl w:val="1"/>
      </w:pPr>
      <w:rPr>
        <w:sz w:val="24"/>
        <w:color w:val="black"/>
      </w:rPr>
    </w:p>
    <w:p>
      <w:pPr>
        <w:jc w:val="both"/>
        <w:outlineLvl w:val="1"/>
      </w:pPr>
      <w:r>
        <w:rPr>
          <w:rFonts w:hAnsi="Arial"/>
          <w:rFonts w:ascii="Arial"/>
          <w:sz w:val="24"/>
          <w:color w:val="black"/>
        </w:rPr>
        <w:t xml:space="preserve">c) Oficial encargado de la guardia de navegaciσn en buques de arqueo bruto igual o superior a 500.</w:t>
      </w:r>
    </w:p>
    <w:p>
      <w:pPr>
        <w:jc w:val="both"/>
        <w:outlineLvl w:val="1"/>
      </w:pPr>
      <w:rPr>
        <w:sz w:val="24"/>
        <w:color w:val="black"/>
      </w:rPr>
    </w:p>
    <w:p>
      <w:pPr>
        <w:jc w:val="both"/>
        <w:outlineLvl w:val="1"/>
      </w:pPr>
      <w:r>
        <w:rPr>
          <w:rFonts w:hAnsi="Arial"/>
          <w:rFonts w:ascii="Arial"/>
          <w:sz w:val="24"/>
          <w:color w:val="black"/>
        </w:rPr>
        <w:t xml:space="preserve">d) Capitαn de buque de arqueo bruto comprendido entre 500 y 3000.</w:t>
      </w:r>
    </w:p>
    <w:p>
      <w:pPr>
        <w:jc w:val="both"/>
        <w:outlineLvl w:val="1"/>
      </w:pPr>
      <w:rPr>
        <w:sz w:val="24"/>
        <w:color w:val="black"/>
      </w:rPr>
    </w:p>
    <w:p>
      <w:pPr>
        <w:jc w:val="both"/>
        <w:outlineLvl w:val="1"/>
      </w:pPr>
      <w:r>
        <w:rPr>
          <w:rFonts w:hAnsi="Arial"/>
          <w:rFonts w:ascii="Arial"/>
          <w:sz w:val="24"/>
          <w:color w:val="black"/>
        </w:rPr>
        <w:t xml:space="preserve">e) Primer Oficial de puente de buques de arqueo bruto comprendido entre 500 y 3000.</w:t>
      </w:r>
    </w:p>
    <w:p>
      <w:pPr>
        <w:jc w:val="both"/>
        <w:outlineLvl w:val="1"/>
      </w:pPr>
      <w:rPr>
        <w:sz w:val="24"/>
        <w:color w:val="black"/>
      </w:rPr>
    </w:p>
    <w:p>
      <w:pPr>
        <w:jc w:val="both"/>
        <w:outlineLvl w:val="1"/>
      </w:pPr>
      <w:r>
        <w:rPr>
          <w:rFonts w:hAnsi="Arial"/>
          <w:rFonts w:ascii="Arial"/>
          <w:sz w:val="24"/>
          <w:color w:val="black"/>
        </w:rPr>
        <w:t xml:space="preserve">f) Capitαn de buques de arqueo bruto inferior a 500.</w:t>
      </w:r>
    </w:p>
    <w:p>
      <w:pPr>
        <w:jc w:val="both"/>
        <w:outlineLvl w:val="1"/>
      </w:pPr>
      <w:rPr>
        <w:sz w:val="24"/>
        <w:color w:val="black"/>
      </w:rPr>
    </w:p>
    <w:p>
      <w:pPr>
        <w:jc w:val="both"/>
        <w:outlineLvl w:val="1"/>
      </w:pPr>
      <w:r>
        <w:rPr>
          <w:rFonts w:hAnsi="Arial"/>
          <w:rFonts w:ascii="Arial"/>
          <w:sz w:val="24"/>
          <w:color w:val="black"/>
        </w:rPr>
        <w:t xml:space="preserve">g) Oficial encargado de la guardia de navegaciσn en buques de arqueo bruto inferior a 500.</w:t>
      </w:r>
    </w:p>
    <w:p>
      <w:pPr>
        <w:jc w:val="both"/>
        <w:outlineLvl w:val="1"/>
      </w:pPr>
      <w:rPr>
        <w:sz w:val="24"/>
        <w:color w:val="black"/>
      </w:rPr>
    </w:p>
    <w:p>
      <w:pPr>
        <w:jc w:val="both"/>
        <w:outlineLvl w:val="1"/>
      </w:pPr>
      <w:r>
        <w:rPr>
          <w:rFonts w:hAnsi="Arial"/>
          <w:rFonts w:ascii="Arial"/>
          <w:sz w:val="24"/>
          <w:color w:val="black"/>
        </w:rPr>
        <w:t xml:space="preserve">h) Patrσn con arqueo bruto inferior a 25 en aguas no protegidas.</w:t>
      </w:r>
    </w:p>
    <w:p>
      <w:pPr>
        <w:jc w:val="both"/>
        <w:outlineLvl w:val="1"/>
      </w:pPr>
      <w:rPr>
        <w:sz w:val="24"/>
        <w:color w:val="black"/>
      </w:rPr>
    </w:p>
    <w:p>
      <w:pPr>
        <w:jc w:val="both"/>
        <w:outlineLvl w:val="1"/>
      </w:pPr>
      <w:r>
        <w:rPr>
          <w:rFonts w:hAnsi="Arial"/>
          <w:rFonts w:ascii="Arial"/>
          <w:sz w:val="24"/>
          <w:color w:val="black"/>
        </w:rPr>
        <w:t xml:space="preserve">i) Pilotνn.</w:t>
      </w:r>
    </w:p>
    <w:p>
      <w:pPr>
        <w:jc w:val="both"/>
        <w:outlineLvl w:val="1"/>
      </w:pPr>
      <w:rPr>
        <w:sz w:val="24"/>
        <w:color w:val="black"/>
      </w:rPr>
    </w:p>
    <w:p>
      <w:pPr>
        <w:jc w:val="both"/>
        <w:outlineLvl w:val="1"/>
      </w:pPr>
      <w:r>
        <w:rPr>
          <w:rFonts w:hAnsi="Arial"/>
          <w:rFonts w:ascii="Arial"/>
          <w:sz w:val="24"/>
          <w:color w:val="black"/>
        </w:rPr>
        <w:t xml:space="preserve">j) Aprendiz.</w:t>
      </w:r>
    </w:p>
    <w:p>
      <w:pPr>
        <w:jc w:val="both"/>
        <w:outlineLvl w:val="1"/>
      </w:pPr>
      <w:rPr>
        <w:sz w:val="24"/>
        <w:b/>
        <w:color w:val="black"/>
      </w:rPr>
    </w:p>
    <w:p>
      <w:pPr>
        <w:jc w:val="both"/>
        <w:outlineLvl w:val="1"/>
      </w:pPr>
      <w:r>
        <w:rPr>
          <w:rFonts w:hAnsi="Arial"/>
          <w:rFonts w:ascii="Arial"/>
          <w:sz w:val="24"/>
          <w:b/>
          <w:color w:val="black"/>
        </w:rPr>
        <w:t xml:space="preserve">2. Marinerνa</w:t>
      </w:r>
    </w:p>
    <w:p>
      <w:pPr>
        <w:jc w:val="both"/>
        <w:outlineLvl w:val="1"/>
      </w:pPr>
      <w:rPr>
        <w:sz w:val="24"/>
        <w:color w:val="black"/>
      </w:rPr>
    </w:p>
    <w:p>
      <w:pPr>
        <w:jc w:val="both"/>
        <w:outlineLvl w:val="1"/>
      </w:pPr>
      <w:r>
        <w:rPr>
          <w:rFonts w:hAnsi="Arial"/>
          <w:rFonts w:ascii="Arial"/>
          <w:sz w:val="24"/>
          <w:color w:val="black"/>
        </w:rPr>
        <w:t xml:space="preserve">a) Marinero de Primera.</w:t>
      </w:r>
    </w:p>
    <w:p>
      <w:pPr>
        <w:jc w:val="both"/>
        <w:outlineLvl w:val="1"/>
      </w:pPr>
      <w:rPr>
        <w:sz w:val="24"/>
        <w:color w:val="black"/>
      </w:rPr>
    </w:p>
    <w:p>
      <w:pPr>
        <w:jc w:val="both"/>
        <w:outlineLvl w:val="1"/>
      </w:pPr>
      <w:r>
        <w:rPr>
          <w:rFonts w:hAnsi="Arial"/>
          <w:rFonts w:ascii="Arial"/>
          <w:sz w:val="24"/>
          <w:color w:val="black"/>
        </w:rPr>
        <w:t xml:space="preserve">b) Marinero que forma parte de la guardia de navegaciσn.</w:t>
      </w:r>
    </w:p>
    <w:p>
      <w:pPr>
        <w:jc w:val="both"/>
        <w:outlineLvl w:val="1"/>
      </w:pPr>
      <w:rPr>
        <w:sz w:val="24"/>
        <w:color w:val="black"/>
      </w:rPr>
    </w:p>
    <w:p>
      <w:pPr>
        <w:jc w:val="both"/>
        <w:outlineLvl w:val="1"/>
      </w:pPr>
      <w:r>
        <w:rPr>
          <w:rFonts w:hAnsi="Arial"/>
          <w:rFonts w:ascii="Arial"/>
          <w:sz w:val="24"/>
          <w:color w:val="black"/>
        </w:rPr>
        <w:t xml:space="preserve">c) Motorista costanero en aguas no protegidas de naves con arqueo bruto inferior a 25.</w:t>
      </w:r>
    </w:p>
    <w:p>
      <w:pPr>
        <w:jc w:val="both"/>
        <w:outlineLvl w:val="1"/>
      </w:pPr>
      <w:rPr>
        <w:sz w:val="24"/>
        <w:color w:val="black"/>
      </w:rPr>
    </w:p>
    <w:p>
      <w:pPr>
        <w:jc w:val="both"/>
        <w:outlineLvl w:val="1"/>
      </w:pPr>
      <w:r>
        <w:rPr>
          <w:rFonts w:hAnsi="Arial"/>
          <w:rFonts w:ascii="Arial"/>
          <w:sz w:val="24"/>
          <w:color w:val="black"/>
        </w:rPr>
        <w:t xml:space="preserve">d) Motorista en aguas protegidas de naves con arqueo bruto inferior a 25.</w:t>
      </w:r>
    </w:p>
    <w:p>
      <w:pPr>
        <w:jc w:val="both"/>
        <w:outlineLvl w:val="1"/>
      </w:pPr>
      <w:rPr>
        <w:sz w:val="24"/>
        <w:b/>
        <w:color w:val="black"/>
      </w:rPr>
    </w:p>
    <w:p>
      <w:pPr>
        <w:jc w:val="both"/>
        <w:outlineLvl w:val="1"/>
      </w:pPr>
      <w:r>
        <w:rPr>
          <w:rFonts w:hAnsi="Arial"/>
          <w:rFonts w:ascii="Arial"/>
          <w:sz w:val="24"/>
          <w:b/>
          <w:color w:val="black"/>
        </w:rPr>
        <w:t xml:space="preserve">B. Secciσn de Mαquinas</w:t>
      </w:r>
    </w:p>
    <w:p>
      <w:pPr>
        <w:jc w:val="both"/>
        <w:outlineLvl w:val="1"/>
      </w:pPr>
      <w:rPr>
        <w:sz w:val="24"/>
        <w:b/>
        <w:color w:val="black"/>
      </w:rPr>
    </w:p>
    <w:p>
      <w:pPr>
        <w:jc w:val="both"/>
        <w:outlineLvl w:val="1"/>
      </w:pPr>
      <w:r>
        <w:rPr>
          <w:rFonts w:hAnsi="Arial"/>
          <w:rFonts w:ascii="Arial"/>
          <w:sz w:val="24"/>
          <w:b/>
          <w:color w:val="black"/>
        </w:rPr>
        <w:t xml:space="preserve">1. Oficiales</w:t>
      </w:r>
    </w:p>
    <w:p>
      <w:pPr>
        <w:jc w:val="both"/>
        <w:outlineLvl w:val="1"/>
      </w:pPr>
      <w:rPr>
        <w:sz w:val="24"/>
        <w:color w:val="black"/>
      </w:rPr>
    </w:p>
    <w:p>
      <w:pPr>
        <w:jc w:val="both"/>
        <w:outlineLvl w:val="1"/>
      </w:pPr>
      <w:r>
        <w:rPr>
          <w:rFonts w:hAnsi="Arial"/>
          <w:rFonts w:ascii="Arial"/>
          <w:sz w:val="24"/>
          <w:color w:val="black"/>
        </w:rPr>
        <w:t xml:space="preserve">a) Jefe de mαquinas de buques cuya mαquina propulsora principal tenga una potencia igual o superior a 3000 kW.</w:t>
      </w:r>
    </w:p>
    <w:p>
      <w:pPr>
        <w:jc w:val="both"/>
        <w:outlineLvl w:val="1"/>
      </w:pPr>
      <w:rPr>
        <w:sz w:val="24"/>
        <w:color w:val="black"/>
      </w:rPr>
    </w:p>
    <w:p>
      <w:pPr>
        <w:jc w:val="both"/>
        <w:outlineLvl w:val="1"/>
      </w:pPr>
      <w:r>
        <w:rPr>
          <w:rFonts w:hAnsi="Arial"/>
          <w:rFonts w:ascii="Arial"/>
          <w:sz w:val="24"/>
          <w:color w:val="black"/>
        </w:rPr>
        <w:t xml:space="preserve">b) Primer Oficial de mαquinas de buques cuya mαquina propulsora principal tenga una potencia igual o superior a 3000 kW.</w:t>
      </w:r>
    </w:p>
    <w:p>
      <w:pPr>
        <w:jc w:val="both"/>
        <w:outlineLvl w:val="1"/>
      </w:pPr>
      <w:rPr>
        <w:sz w:val="24"/>
        <w:color w:val="black"/>
      </w:rPr>
    </w:p>
    <w:p>
      <w:pPr>
        <w:jc w:val="both"/>
        <w:outlineLvl w:val="1"/>
      </w:pPr>
      <w:r>
        <w:rPr>
          <w:rFonts w:hAnsi="Arial"/>
          <w:rFonts w:ascii="Arial"/>
          <w:sz w:val="24"/>
          <w:color w:val="black"/>
        </w:rPr>
        <w:t xml:space="preserve">c) Oficial Electrotιcnico.</w:t>
      </w:r>
    </w:p>
    <w:p>
      <w:pPr>
        <w:jc w:val="both"/>
        <w:outlineLvl w:val="1"/>
      </w:pPr>
      <w:rPr>
        <w:sz w:val="24"/>
        <w:color w:val="black"/>
      </w:rPr>
    </w:p>
    <w:p>
      <w:pPr>
        <w:jc w:val="both"/>
        <w:outlineLvl w:val="1"/>
      </w:pPr>
      <w:r>
        <w:rPr>
          <w:rFonts w:hAnsi="Arial"/>
          <w:rFonts w:ascii="Arial"/>
          <w:sz w:val="24"/>
          <w:color w:val="black"/>
        </w:rPr>
        <w:t xml:space="preserve">d) Oficial encargado de la guardia en una cαmara de mαquinas con dotaciσn permanente y Oficial de mαquinas designado para prestar servicio en una cαmara de mαquinas sin dotaciσn permanente en buques de navegaciσn marνtima con potencia propulsora igual o superior a 750 kW.</w:t>
      </w:r>
    </w:p>
    <w:p>
      <w:pPr>
        <w:jc w:val="both"/>
        <w:outlineLvl w:val="1"/>
      </w:pPr>
      <w:rPr>
        <w:sz w:val="24"/>
        <w:color w:val="black"/>
      </w:rPr>
    </w:p>
    <w:p>
      <w:pPr>
        <w:jc w:val="both"/>
        <w:outlineLvl w:val="1"/>
      </w:pPr>
      <w:r>
        <w:rPr>
          <w:rFonts w:hAnsi="Arial"/>
          <w:rFonts w:ascii="Arial"/>
          <w:sz w:val="24"/>
          <w:color w:val="black"/>
        </w:rPr>
        <w:t xml:space="preserve">e) Jefe de mαquinas de buques cuya mαquina propulsora principal tenga una potencia comprendida entre 750 y 3000 kW, en viajes prσximos a la costa.</w:t>
      </w:r>
    </w:p>
    <w:p>
      <w:pPr>
        <w:jc w:val="both"/>
        <w:outlineLvl w:val="1"/>
      </w:pPr>
      <w:rPr>
        <w:sz w:val="24"/>
        <w:color w:val="black"/>
      </w:rPr>
    </w:p>
    <w:p>
      <w:pPr>
        <w:jc w:val="both"/>
        <w:outlineLvl w:val="1"/>
      </w:pPr>
      <w:r>
        <w:rPr>
          <w:rFonts w:hAnsi="Arial"/>
          <w:rFonts w:ascii="Arial"/>
          <w:sz w:val="24"/>
          <w:color w:val="black"/>
        </w:rPr>
        <w:t xml:space="preserve">f) Primer Oficial de Mαquinas de buques cuya mαquina propulsora principal tenga una potencia comprendida entre 750 y 3000 kW, en viajes prσximos a la costa.</w:t>
      </w:r>
    </w:p>
    <w:p>
      <w:pPr>
        <w:jc w:val="both"/>
        <w:outlineLvl w:val="1"/>
      </w:pPr>
      <w:rPr>
        <w:sz w:val="24"/>
        <w:color w:val="black"/>
      </w:rPr>
    </w:p>
    <w:p>
      <w:pPr>
        <w:jc w:val="both"/>
        <w:outlineLvl w:val="1"/>
      </w:pPr>
      <w:r>
        <w:rPr>
          <w:rFonts w:hAnsi="Arial"/>
          <w:rFonts w:ascii="Arial"/>
          <w:sz w:val="24"/>
          <w:color w:val="black"/>
        </w:rPr>
        <w:t xml:space="preserve">g) Oficial encargado de la guardia en una cαmara de mαquinas con potencia propulsora inferior a 3000 kW, en viajes prσximos a la costa.</w:t>
      </w:r>
    </w:p>
    <w:p>
      <w:pPr>
        <w:jc w:val="both"/>
        <w:outlineLvl w:val="1"/>
      </w:pPr>
      <w:rPr>
        <w:sz w:val="24"/>
        <w:color w:val="black"/>
      </w:rPr>
    </w:p>
    <w:p>
      <w:pPr>
        <w:jc w:val="both"/>
        <w:outlineLvl w:val="1"/>
      </w:pPr>
      <w:r>
        <w:rPr>
          <w:rFonts w:hAnsi="Arial"/>
          <w:rFonts w:ascii="Arial"/>
          <w:sz w:val="24"/>
          <w:color w:val="black"/>
        </w:rPr>
        <w:t xml:space="preserve">h) Pilotνn.</w:t>
      </w:r>
    </w:p>
    <w:p>
      <w:pPr>
        <w:jc w:val="both"/>
        <w:outlineLvl w:val="1"/>
      </w:pPr>
      <w:rPr>
        <w:sz w:val="24"/>
        <w:color w:val="black"/>
      </w:rPr>
    </w:p>
    <w:p>
      <w:pPr>
        <w:jc w:val="both"/>
        <w:outlineLvl w:val="1"/>
      </w:pPr>
      <w:r>
        <w:rPr>
          <w:rFonts w:hAnsi="Arial"/>
          <w:rFonts w:ascii="Arial"/>
          <w:sz w:val="24"/>
          <w:color w:val="black"/>
        </w:rPr>
        <w:t xml:space="preserve">i) Aprendiz.</w:t>
      </w:r>
    </w:p>
    <w:p>
      <w:pPr>
        <w:jc w:val="both"/>
        <w:outlineLvl w:val="1"/>
      </w:pPr>
      <w:rPr>
        <w:sz w:val="24"/>
        <w:color w:val="black"/>
      </w:rPr>
    </w:p>
    <w:p>
      <w:pPr>
        <w:jc w:val="both"/>
        <w:outlineLvl w:val="1"/>
      </w:pPr>
      <w:r>
        <w:rPr>
          <w:rFonts w:hAnsi="Arial"/>
          <w:rFonts w:ascii="Arial"/>
          <w:sz w:val="24"/>
          <w:b/>
          <w:color w:val="black"/>
        </w:rPr>
        <w:t xml:space="preserve">2. Marinerνa</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Marinero de Primera de Mαquinas potencia propulsora mayor a 750 kW.</w:t>
      </w:r>
    </w:p>
    <w:p>
      <w:pPr>
        <w:jc w:val="both"/>
        <w:outlineLvl w:val="1"/>
      </w:pPr>
      <w:rPr>
        <w:sz w:val="24"/>
        <w:b/>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Marinero Electrotιcnico.</w:t>
      </w:r>
    </w:p>
    <w:p>
      <w:pPr>
        <w:jc w:val="both"/>
        <w:outlineLvl w:val="1"/>
      </w:pPr>
      <w:rPr>
        <w:sz w:val="24"/>
        <w:b/>
        <w:color w:val="black"/>
      </w:rPr>
    </w:p>
    <w:p>
      <w:pPr>
        <w:jc w:val="both"/>
        <w:outlineLvl w:val="1"/>
      </w:pPr>
      <w:r>
        <w:rPr>
          <w:rFonts w:hAnsi="Arial"/>
          <w:rFonts w:ascii="Arial"/>
          <w:sz w:val="24"/>
          <w:b/>
          <w:color w:val="black"/>
        </w:rPr>
        <w:t xml:space="preserve">c) </w:t>
      </w:r>
      <w:r>
        <w:rPr>
          <w:rFonts w:hAnsi="Arial"/>
          <w:rFonts w:ascii="Arial"/>
          <w:sz w:val="24"/>
          <w:color w:val="black"/>
        </w:rPr>
        <w:t xml:space="preserve">Marinero que forma parte de la guardia en una cαmara de mαquinas potencia propulsora mayor 750 kW.</w:t>
      </w:r>
    </w:p>
    <w:p>
      <w:pPr>
        <w:jc w:val="both"/>
        <w:outlineLvl w:val="1"/>
      </w:pPr>
      <w:rPr>
        <w:sz w:val="24"/>
        <w:b/>
        <w:color w:val="black"/>
      </w:rPr>
    </w:p>
    <w:p>
      <w:pPr>
        <w:jc w:val="both"/>
        <w:outlineLvl w:val="1"/>
      </w:pPr>
      <w:r>
        <w:rPr>
          <w:rFonts w:hAnsi="Arial"/>
          <w:rFonts w:ascii="Arial"/>
          <w:sz w:val="24"/>
          <w:b/>
          <w:color w:val="black"/>
        </w:rPr>
        <w:t xml:space="preserve">d) </w:t>
      </w:r>
      <w:r>
        <w:rPr>
          <w:rFonts w:hAnsi="Arial"/>
          <w:rFonts w:ascii="Arial"/>
          <w:sz w:val="24"/>
          <w:color w:val="black"/>
        </w:rPr>
        <w:t xml:space="preserve">Marinero costanero que forma parte de la guardia de mαquinas en buques con potencia Propulsora inferior a 350 KW.</w:t>
      </w:r>
    </w:p>
    <w:p>
      <w:pPr>
        <w:jc w:val="both"/>
        <w:outlineLvl w:val="1"/>
      </w:pPr>
      <w:rPr>
        <w:sz w:val="24"/>
        <w:b/>
        <w:color w:val="black"/>
      </w:rPr>
    </w:p>
    <w:p>
      <w:pPr>
        <w:jc w:val="both"/>
        <w:outlineLvl w:val="1"/>
      </w:pPr>
      <w:r>
        <w:rPr>
          <w:rFonts w:hAnsi="Arial"/>
          <w:rFonts w:ascii="Arial"/>
          <w:sz w:val="24"/>
          <w:b/>
          <w:color w:val="black"/>
        </w:rPr>
        <w:t xml:space="preserve">e) </w:t>
      </w:r>
      <w:r>
        <w:rPr>
          <w:rFonts w:hAnsi="Arial"/>
          <w:rFonts w:ascii="Arial"/>
          <w:sz w:val="24"/>
          <w:color w:val="black"/>
        </w:rPr>
        <w:t xml:space="preserve">Motorista costanero en aguas no protegidas de naves con arqueo bruto inferior a 25.</w:t>
      </w:r>
    </w:p>
    <w:p>
      <w:pPr>
        <w:jc w:val="both"/>
        <w:outlineLvl w:val="1"/>
      </w:pPr>
      <w:rPr>
        <w:sz w:val="24"/>
        <w:b/>
        <w:color w:val="black"/>
      </w:rPr>
    </w:p>
    <w:p>
      <w:pPr>
        <w:jc w:val="both"/>
        <w:outlineLvl w:val="1"/>
      </w:pPr>
      <w:r>
        <w:rPr>
          <w:rFonts w:hAnsi="Arial"/>
          <w:rFonts w:ascii="Arial"/>
          <w:sz w:val="24"/>
          <w:b/>
          <w:color w:val="black"/>
        </w:rPr>
        <w:t xml:space="preserve">f) </w:t>
      </w:r>
      <w:r>
        <w:rPr>
          <w:rFonts w:hAnsi="Arial"/>
          <w:rFonts w:ascii="Arial"/>
          <w:sz w:val="24"/>
          <w:color w:val="black"/>
        </w:rPr>
        <w:t xml:space="preserve">Motorista en aguas protegidas de naves con arqueo bruto inferior a 25.</w:t>
      </w:r>
    </w:p>
    <w:p>
      <w:pPr>
        <w:jc w:val="both"/>
        <w:outlineLvl w:val="1"/>
      </w:pPr>
      <w:rPr>
        <w:sz w:val="24"/>
        <w:b/>
        <w:color w:val="black"/>
      </w:rPr>
    </w:p>
    <w:p>
      <w:pPr>
        <w:jc w:val="both"/>
        <w:outlineLvl w:val="1"/>
      </w:pPr>
      <w:r>
        <w:rPr>
          <w:rFonts w:hAnsi="Arial"/>
          <w:rFonts w:ascii="Arial"/>
          <w:sz w:val="24"/>
          <w:b/>
          <w:color w:val="black"/>
        </w:rPr>
        <w:t xml:space="preserve">C. Personal de los servicios</w:t>
      </w:r>
    </w:p>
    <w:p>
      <w:pPr>
        <w:jc w:val="both"/>
        <w:outlineLvl w:val="1"/>
      </w:pPr>
      <w:rPr>
        <w:sz w:val="24"/>
        <w:color w:val="black"/>
      </w:rPr>
    </w:p>
    <w:p>
      <w:pPr>
        <w:jc w:val="both"/>
        <w:outlineLvl w:val="1"/>
      </w:pPr>
      <w:r>
        <w:rPr>
          <w:rFonts w:hAnsi="Arial"/>
          <w:rFonts w:ascii="Arial"/>
          <w:sz w:val="24"/>
          <w:color w:val="black"/>
        </w:rPr>
        <w:t xml:space="preserve">En los respectivos documentos de navegaciσn se indicarαn las funciones correspondientes.</w:t>
      </w:r>
    </w:p>
    <w:p>
      <w:pPr>
        <w:jc w:val="both"/>
        <w:outlineLvl w:val="1"/>
      </w:pPr>
      <w:rPr>
        <w:sz w:val="24"/>
        <w:b/>
        <w:color w:val="black"/>
      </w:rPr>
    </w:p>
    <w:p>
      <w:pPr>
        <w:jc w:val="both"/>
        <w:outlineLvl w:val="1"/>
      </w:pPr>
      <w:r>
        <w:rPr>
          <w:rFonts w:hAnsi="Arial"/>
          <w:rFonts w:ascii="Arial"/>
          <w:sz w:val="24"/>
          <w:b/>
          <w:color w:val="black"/>
        </w:rPr>
        <w:t xml:space="preserve">D. Radioperador del Sistema Mundial del Socorro y Seguridad Marνtima</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Radio Operador General.</w:t>
      </w:r>
    </w:p>
    <w:p>
      <w:pPr>
        <w:jc w:val="both"/>
        <w:outlineLvl w:val="1"/>
      </w:pPr>
      <w:r>
        <w:rPr>
          <w:rFonts w:hAnsi="Arial"/>
          <w:rFonts w:ascii="Arial"/>
          <w:sz w:val="24"/>
          <w:b/>
          <w:color w:val="black"/>
        </w:rPr>
        <w:t xml:space="preserve">b) </w:t>
      </w:r>
      <w:r>
        <w:rPr>
          <w:rFonts w:hAnsi="Arial"/>
          <w:rFonts w:ascii="Arial"/>
          <w:sz w:val="24"/>
          <w:color w:val="black"/>
        </w:rPr>
        <w:t xml:space="preserve">Radio Operador restringido GMDSS.</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Cuando la operaciσn de las naves, la tecnificaciσn de los medios de navegaciσn o propulsiσn asν lo requieran, la Autoridad Marνtima podrα expedir documentos de navegaciσn, en especialidades y rangos diferentes a las relacionadas anteriormente.</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Autoridad Marνtima, expedirα a solicitud de los Centros de Formaciσn y Capacitaciσn, reconocidos por la Direcciσn General Marνtima, para respaldar el entrenamiento a bordo de los alumnos que aspiran a oficiales de la marina mercante, las respectivas licencias.</w:t>
      </w:r>
    </w:p>
    <w:p>
      <w:pPr>
        <w:jc w:val="both"/>
        <w:outlineLvl w:val="1"/>
      </w:pPr>
      <w:rPr>
        <w:sz w:val="24"/>
        <w:color w:val="black"/>
      </w:rPr>
    </w:p>
    <w:p>
      <w:pPr>
        <w:jc w:val="both"/>
        <w:outlineLvl w:val="1"/>
      </w:pPr>
      <w:r>
        <w:rPr>
          <w:rFonts w:hAnsi="Arial"/>
          <w:rFonts w:ascii="Arial"/>
          <w:sz w:val="24"/>
          <w:color w:val="black"/>
        </w:rPr>
        <w:t xml:space="preserve">Cuando se trate de entrenamiento de la Marinerνa la solicitud serα resuelta por las Capitanνas de Puerto.</w:t>
      </w:r>
    </w:p>
    <w:p>
      <w:pPr>
        <w:jc w:val="both"/>
        <w:outlineLvl w:val="1"/>
      </w:pPr>
      <w:rPr>
        <w:color w:val="black"/>
      </w:rPr>
    </w:p>
    <w:p>
      <w:pPr>
        <w:jc w:val="both"/>
        <w:outlineLvl w:val="1"/>
      </w:pPr>
      <w:r>
        <w:rPr>
          <w:rFonts w:hAnsi="Arial"/>
          <w:rFonts w:ascii="Arial"/>
          <w:sz w:val="24"/>
          <w:b/>
          <w:vanish/>
          <w:color w:val="black"/>
        </w:rPr>
        <w:t>&amp;$</w:t>
      </w:r>
      <w:bookmarkStart w:id="61367" w:name="2.4.1.1.1.8"/>
      <w:r>
        <w:rPr>
          <w:rFonts w:hAnsi="Arial"/>
          <w:rFonts w:ascii="Arial"/>
          <w:sz w:val="24"/>
          <w:color w:val="navy"/>
        </w:rPr>
        <w:t xml:space="preserve">ARTΝCULO 2.4.1.1.1.8. DOCUMENTOS DE NAVEGACIΣN.</w:t>
      </w:r>
      <w:bookmarkEnd w:id="613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documentos de navegaciσn son los documentos que acreditan la idoneidad de una persona para desempeρarse a bordo de una nave o artefacto naval. Estos documentos son:</w:t>
      </w:r>
    </w:p>
    <w:p>
      <w:pPr>
        <w:jc w:val="both"/>
        <w:outlineLvl w:val="1"/>
      </w:pPr>
      <w:rPr>
        <w:sz w:val="24"/>
        <w:color w:val="black"/>
      </w:rPr>
    </w:p>
    <w:p>
      <w:pPr>
        <w:jc w:val="both"/>
        <w:outlineLvl w:val="1"/>
      </w:pPr>
      <w:r>
        <w:rPr>
          <w:rFonts w:hAnsi="Arial"/>
          <w:rFonts w:ascii="Arial"/>
          <w:sz w:val="24"/>
          <w:b/>
          <w:color w:val="black"/>
        </w:rPr>
        <w:t xml:space="preserve">Tνtulo de Competencia: </w:t>
      </w:r>
      <w:r>
        <w:rPr>
          <w:rFonts w:hAnsi="Arial"/>
          <w:rFonts w:ascii="Arial"/>
          <w:sz w:val="24"/>
          <w:color w:val="black"/>
        </w:rPr>
        <w:t xml:space="preserve">Documento de navegaciσn expedido y/o refrendado por la Autoridad Marνtima Nacional para Capitanes, Oficiales y radio operadores del Sistema Mundial de Socorro y Seguridad Marνtimos (SMSSM), para facultar al titular a ejercer las funciones indicadas en el documento o autorizadas por las reglamentaciones nacionales. Estos documentos son expedidos a los candidatos que cumplen las condiciones de aptitud fνsica (especialmente por lo que respecta a la vista y oνdo) establecidos en la regla 1/9* del Convenio Internacional sobre Normas de Formaciσn, Titulaciσn y Guardia para la Gente de Mar y determinados requisitos bαsicos relativos a la identidad, edad, cumplimiento del perνodo de embarco prescrito y las cualificaciones (aptitudes, funciones y niveles).</w:t>
      </w:r>
    </w:p>
    <w:p>
      <w:pPr>
        <w:jc w:val="both"/>
      </w:pPr>
      <w:rPr>
        <w:sz w:val="24"/>
        <w:color w:val="black"/>
      </w:rPr>
    </w:p>
    <w:p>
      <w:pPr>
        <w:jc w:val="both"/>
      </w:pPr>
      <w:r>
        <w:rPr>
          <w:rFonts w:hAnsi="Arial"/>
          <w:rFonts w:ascii="Arial"/>
          <w:sz w:val="24"/>
          <w:b/>
          <w:color w:val="black"/>
        </w:rPr>
        <w:t xml:space="preserve">Certificado de Suficiencia: </w:t>
      </w:r>
      <w:r>
        <w:rPr>
          <w:rFonts w:hAnsi="Arial"/>
          <w:rFonts w:ascii="Arial"/>
          <w:sz w:val="24"/>
          <w:color w:val="black"/>
        </w:rPr>
        <w:t xml:space="preserve">Documento de navegaciσn expedido y/o refrendado por la Autoridad Marνtima Nacional a la marinerνa, el cual acredita que cumple los requisitos pertinentes respecto de la formaciσn, las competencias y el perνodo de embarco.</w:t>
      </w:r>
    </w:p>
    <w:p>
      <w:pPr>
        <w:jc w:val="both"/>
        <w:outlineLvl w:val="1"/>
      </w:pPr>
      <w:rPr>
        <w:sz w:val="24"/>
        <w:color w:val="black"/>
      </w:rPr>
    </w:p>
    <w:p>
      <w:pPr>
        <w:jc w:val="both"/>
        <w:outlineLvl w:val="1"/>
      </w:pPr>
      <w:r>
        <w:rPr>
          <w:rFonts w:hAnsi="Arial"/>
          <w:rFonts w:ascii="Arial"/>
          <w:sz w:val="24"/>
          <w:b/>
          <w:color w:val="black"/>
        </w:rPr>
        <w:t xml:space="preserve">Licencia de Navegaciσn: </w:t>
      </w:r>
      <w:r>
        <w:rPr>
          <w:rFonts w:hAnsi="Arial"/>
          <w:rFonts w:ascii="Arial"/>
          <w:sz w:val="24"/>
          <w:color w:val="black"/>
        </w:rPr>
        <w:t xml:space="preserve">Documento de navegaciσn que certifica la idoneidad de la Gente de Mar para su desempeρo a bordo dentro de las aguas marνtimas jurisdiccionales colombianas.</w:t>
      </w:r>
    </w:p>
    <w:p>
      <w:pPr>
        <w:jc w:val="both"/>
        <w:outlineLvl w:val="1"/>
      </w:pPr>
      <w:rPr>
        <w:color w:val="black"/>
      </w:rPr>
    </w:p>
    <w:p>
      <w:pPr>
        <w:jc w:val="both"/>
      </w:pPr>
      <w:r>
        <w:rPr>
          <w:rFonts w:hAnsi="Arial"/>
          <w:rFonts w:ascii="Arial"/>
          <w:sz w:val="24"/>
          <w:b/>
          <w:vanish/>
          <w:color w:val="black"/>
        </w:rPr>
        <w:t>&amp;$</w:t>
      </w:r>
      <w:bookmarkStart w:id="61368" w:name="2.4.1.1.1.9"/>
      <w:r>
        <w:rPr>
          <w:rFonts w:hAnsi="Arial"/>
          <w:rFonts w:ascii="Arial"/>
          <w:sz w:val="24"/>
          <w:color w:val="navy"/>
        </w:rPr>
        <w:t xml:space="preserve">ARTΝCULO 2.4.1.1.1.9. VIGENCIA DE DOCUMENTOS DE NAVEGACIΣN.</w:t>
      </w:r>
      <w:bookmarkEnd w:id="6136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El tνtulo de competencia, el certificado de suficiencia y la licencia de navegaciσn tendrαn una vigencia de hasta cinco (5) aρos.</w:t>
      </w:r>
    </w:p>
    <w:p>
      <w:pPr>
        <w:jc w:val="both"/>
      </w:pPr>
      <w:rPr>
        <w:color w:val="black"/>
      </w:rPr>
    </w:p>
    <w:p>
      <w:pPr>
        <w:jc w:val="both"/>
      </w:pPr>
      <w:r>
        <w:rPr>
          <w:rFonts w:hAnsi="Arial"/>
          <w:rFonts w:ascii="Arial"/>
          <w:sz w:val="24"/>
          <w:b/>
          <w:vanish/>
          <w:color w:val="black"/>
        </w:rPr>
        <w:t>&amp;$</w:t>
      </w:r>
      <w:bookmarkStart w:id="61369" w:name="2.4.1.1.1.10"/>
      <w:r>
        <w:rPr>
          <w:rFonts w:hAnsi="Arial"/>
          <w:rFonts w:ascii="Arial"/>
          <w:sz w:val="24"/>
          <w:color w:val="navy"/>
        </w:rPr>
        <w:t xml:space="preserve">ARTΝCULO 2.4.1.1.1.10. DOCUMENTO DE IDENTIDAD DEL MARINO.</w:t>
      </w:r>
      <w:bookmarkEnd w:id="6136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Es el documento personal e intransferible mediante el cual se acredita el perνodo de embarco, los cargos desempeρados a bordo, competencia, registro de instrucciones y ejercicios a bordo, faltas y sanciones impuestas, siendo obligatorio para toda la Gente de Mar.</w:t>
      </w:r>
    </w:p>
    <w:p>
      <w:pPr>
        <w:jc w:val="both"/>
        <w:outlineLvl w:val="1"/>
      </w:pPr>
      <w:rPr>
        <w:color w:val="black"/>
      </w:rPr>
    </w:p>
    <w:p>
      <w:pPr>
        <w:jc w:val="both"/>
        <w:outlineLvl w:val="1"/>
      </w:pPr>
      <w:r>
        <w:rPr>
          <w:rFonts w:hAnsi="Arial"/>
          <w:rFonts w:ascii="Arial"/>
          <w:sz w:val="24"/>
          <w:b/>
          <w:vanish/>
          <w:color w:val="black"/>
        </w:rPr>
        <w:t>&amp;$</w:t>
      </w:r>
      <w:bookmarkStart w:id="61370" w:name="2.4.1.1.1.11"/>
      <w:r>
        <w:rPr>
          <w:rFonts w:hAnsi="Arial"/>
          <w:rFonts w:ascii="Arial"/>
          <w:sz w:val="24"/>
          <w:color w:val="navy"/>
        </w:rPr>
        <w:t xml:space="preserve">ARTΝCULO 2.4.1.1.1.11. REGISTROS EN EL DOCUMENTO DE IDENTIDAD DEL MARINO.</w:t>
      </w:r>
      <w:bookmarkEnd w:id="6137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Es responsabilidad del titular registrar en las Capitanνas de Puerto, en la representaciσn diplomαtica en el extranjero o ante autoridad marνtima extranjera, cada uno de los embarques y desembarques. Para la certificaciσn del periodo de embarco, solo se tendrα en cuenta el debidamente registrado.</w:t>
      </w:r>
    </w:p>
    <w:p>
      <w:pPr>
        <w:jc w:val="both"/>
        <w:outlineLvl w:val="1"/>
      </w:pPr>
      <w:rPr>
        <w:color w:val="black"/>
      </w:rPr>
    </w:p>
    <w:p>
      <w:pPr>
        <w:jc w:val="both"/>
        <w:outlineLvl w:val="1"/>
      </w:pPr>
      <w:r>
        <w:rPr>
          <w:rFonts w:hAnsi="Arial"/>
          <w:rFonts w:ascii="Arial"/>
          <w:sz w:val="24"/>
          <w:b/>
          <w:vanish/>
          <w:color w:val="black"/>
        </w:rPr>
        <w:t>&amp;$</w:t>
      </w:r>
      <w:bookmarkStart w:id="61371" w:name="2.4.1.1.1.12"/>
      <w:r>
        <w:rPr>
          <w:rFonts w:hAnsi="Arial"/>
          <w:rFonts w:ascii="Arial"/>
          <w:sz w:val="24"/>
          <w:color w:val="navy"/>
        </w:rPr>
        <w:t xml:space="preserve">ARTΝCULO 2.4.1.1.1.12. DISPENSA.</w:t>
      </w:r>
      <w:bookmarkEnd w:id="6137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Documento expedido por la Autoridad Marνtima bajo circunstancias excepcionales por medio del cual se autoriza a un tripulante, diferente al radio operador, para desempeρarse en el cargo inmediatamente superior para el cual estα habilitado, por un lapso determinado no mayor a seis (6) meses.</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beneficiario de la dispensa deberα tener vigente su tνtulo en el cargo anterior para el cual solicita la dispensa y acreditar un desempeρo de seis (6) meses en la misma nave y cargo.</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solicitud deberα ser hecha por el armador a la Autoridad Marνtima, indicando la circunstancia excepcional que la motiva, el nombre del beneficiario, su cargo, el nombre de la nave y el tiempo por el cual se solicita la dispensa.</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Las dispensas para Capitαn o Patrσn, Primer Oficial de Cubierta, Jefe Ingeniero o Jefe de Mαquinas, Primer Oficial Ingeniero o Primer Oficial de Mαquinas, o para desempeρarse en naves de mayor arqueo bruto o potencia propulsora, o de servicio especializado, o de tipo distinto, solamente se concederαn en casos de fuerza mayor debidamente demostrados, durante periodos de la mαxima brevedad posible, previa evaluaciσn y aprobaciσn de la Autoridad Marνtima.</w:t>
      </w:r>
    </w:p>
    <w:p>
      <w:pPr>
        <w:jc w:val="both"/>
        <w:outlineLvl w:val="1"/>
      </w:pPr>
      <w:rPr>
        <w:color w:val="black"/>
      </w:rPr>
    </w:p>
    <w:p>
      <w:pPr>
        <w:jc w:val="both"/>
        <w:outlineLvl w:val="1"/>
      </w:pPr>
      <w:r>
        <w:rPr>
          <w:rFonts w:hAnsi="Arial"/>
          <w:rFonts w:ascii="Arial"/>
          <w:sz w:val="24"/>
          <w:b/>
          <w:vanish/>
          <w:color w:val="black"/>
        </w:rPr>
        <w:t>&amp;$</w:t>
      </w:r>
      <w:bookmarkStart w:id="61372" w:name="2.4.1.1.1.13"/>
      <w:r>
        <w:rPr>
          <w:rFonts w:hAnsi="Arial"/>
          <w:rFonts w:ascii="Arial"/>
          <w:sz w:val="24"/>
          <w:color w:val="navy"/>
        </w:rPr>
        <w:t xml:space="preserve">ARTΝCULO 2.4.1.1.1.13. REFRENDO.</w:t>
      </w:r>
      <w:bookmarkEnd w:id="6137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Todo documento expedido por la Autoridad Marνtima a los capitanes y oficiales, ya sea como parte del tνtulo o como documento aparte. Este documento testifica (refrenda) que el tνtulo nacional ha sido expedido en conformidad con todos los requisitos del Convenio STCW.</w:t>
      </w:r>
    </w:p>
    <w:p>
      <w:pPr>
        <w:jc w:val="both"/>
        <w:outlineLvl w:val="1"/>
      </w:pPr>
      <w:rPr>
        <w:color w:val="black"/>
      </w:rPr>
    </w:p>
    <w:p>
      <w:pPr>
        <w:jc w:val="both"/>
        <w:outlineLvl w:val="1"/>
      </w:pPr>
      <w:r>
        <w:rPr>
          <w:rFonts w:hAnsi="Arial"/>
          <w:rFonts w:ascii="Arial"/>
          <w:sz w:val="24"/>
          <w:b/>
          <w:vanish/>
          <w:color w:val="black"/>
        </w:rPr>
        <w:t>&amp;$</w:t>
      </w:r>
      <w:bookmarkStart w:id="61373" w:name="2.4.1.1.1.14"/>
      <w:r>
        <w:rPr>
          <w:rFonts w:hAnsi="Arial"/>
          <w:rFonts w:ascii="Arial"/>
          <w:sz w:val="24"/>
          <w:color w:val="navy"/>
        </w:rPr>
        <w:t xml:space="preserve">ARTΝCULO 2.4.1.1.1.14. REFRENDO DE RECONOCIMIENTO.</w:t>
      </w:r>
      <w:bookmarkEnd w:id="613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Documento expedido por la Autoridad Marνtima como reconocimiento oficial de la validez de un tνtulo de competencia o certificado de suficiencia expedido por la administraciσn de su paνs de origen, en cumplimiento de los requerimientos establecidos en el Convenio Internacional sobre Formaciσn, Titulaciσn y Guardia para la Gente de Mar (STCW) de 1978 enmendado.</w:t>
      </w:r>
    </w:p>
    <w:p>
      <w:pPr>
        <w:jc w:val="both"/>
        <w:outlineLvl w:val="1"/>
      </w:pPr>
      <w:rPr>
        <w:color w:val="black"/>
      </w:rPr>
    </w:p>
    <w:p>
      <w:pPr>
        <w:jc w:val="both"/>
        <w:outlineLvl w:val="1"/>
      </w:pPr>
      <w:r>
        <w:rPr>
          <w:rFonts w:hAnsi="Arial"/>
          <w:rFonts w:ascii="Arial"/>
          <w:sz w:val="24"/>
          <w:b/>
          <w:vanish/>
          <w:color w:val="black"/>
        </w:rPr>
        <w:t>&amp;$</w:t>
      </w:r>
      <w:bookmarkStart w:id="61374" w:name="2.4.1.1.1.15"/>
      <w:r>
        <w:rPr>
          <w:rFonts w:hAnsi="Arial"/>
          <w:rFonts w:ascii="Arial"/>
          <w:sz w:val="24"/>
          <w:color w:val="navy"/>
        </w:rPr>
        <w:t xml:space="preserve">ARTΝCULO 2.4.1.1.1.15. AUTORIZACIΣN ESPECIAL DE EMBARCO.</w:t>
      </w:r>
      <w:bookmarkEnd w:id="613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Para el embarco transitorio de personas que no formen parte de la tripulaciσn regular de una nave, el Armador debe solicitar por escrito a la Capitanνa de Puerto, una </w:t>
      </w:r>
      <w:r>
        <w:rPr>
          <w:rFonts w:hAnsi="Arial"/>
          <w:rFonts w:ascii="Arial"/>
          <w:sz w:val="24"/>
          <w:i/>
          <w:u w:val="none"/>
          <w:color w:val="black"/>
        </w:rPr>
        <w:t xml:space="preserve">“Autorizaciσn especial de embarco", </w:t>
      </w:r>
      <w:r>
        <w:rPr>
          <w:rFonts w:hAnsi="Arial"/>
          <w:rFonts w:ascii="Arial"/>
          <w:sz w:val="24"/>
          <w:u w:val="none"/>
          <w:color w:val="black"/>
        </w:rPr>
        <w:t xml:space="preserve">explicando las razones de la solicitud y en especial:</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Nϊmero, nombre e identificaciσn de las personas a embarcar.</w:t>
      </w:r>
    </w:p>
    <w:p>
      <w:pPr>
        <w:jc w:val="both"/>
        <w:outlineLvl w:val="1"/>
      </w:pPr>
      <w:r>
        <w:rPr>
          <w:rFonts w:hAnsi="Arial"/>
          <w:rFonts w:ascii="Arial"/>
          <w:sz w:val="24"/>
          <w:b/>
          <w:color w:val="black"/>
        </w:rPr>
        <w:t xml:space="preserve">2. </w:t>
      </w:r>
      <w:r>
        <w:rPr>
          <w:rFonts w:hAnsi="Arial"/>
          <w:rFonts w:ascii="Arial"/>
          <w:sz w:val="24"/>
          <w:color w:val="black"/>
        </w:rPr>
        <w:t xml:space="preserve">Clase y justificaciσn del trabajo a realizar a bordo.</w:t>
      </w:r>
    </w:p>
    <w:p>
      <w:pPr>
        <w:jc w:val="both"/>
        <w:outlineLvl w:val="1"/>
      </w:pPr>
      <w:r>
        <w:rPr>
          <w:rFonts w:hAnsi="Arial"/>
          <w:rFonts w:ascii="Arial"/>
          <w:sz w:val="24"/>
          <w:b/>
          <w:color w:val="black"/>
        </w:rPr>
        <w:t xml:space="preserve">3. </w:t>
      </w:r>
      <w:r>
        <w:rPr>
          <w:rFonts w:hAnsi="Arial"/>
          <w:rFonts w:ascii="Arial"/>
          <w:sz w:val="24"/>
          <w:color w:val="black"/>
        </w:rPr>
        <w:t xml:space="preserve">Tiempo solicitado.</w:t>
      </w:r>
    </w:p>
    <w:p>
      <w:pPr>
        <w:jc w:val="both"/>
        <w:outlineLvl w:val="1"/>
      </w:pPr>
      <w:r>
        <w:rPr>
          <w:rFonts w:hAnsi="Arial"/>
          <w:rFonts w:ascii="Arial"/>
          <w:sz w:val="24"/>
          <w:b/>
          <w:color w:val="black"/>
        </w:rPr>
        <w:t xml:space="preserve">4. </w:t>
      </w:r>
      <w:r>
        <w:rPr>
          <w:rFonts w:hAnsi="Arial"/>
          <w:rFonts w:ascii="Arial"/>
          <w:sz w:val="24"/>
          <w:color w:val="black"/>
        </w:rPr>
        <w:t xml:space="preserve">Que no se supere la capacidad de los botes salvavidas.</w:t>
      </w:r>
    </w:p>
    <w:p>
      <w:pPr>
        <w:jc w:val="both"/>
        <w:outlineLvl w:val="1"/>
      </w:pPr>
      <w:rPr>
        <w:color w:val="black"/>
      </w:rPr>
    </w:p>
    <w:p>
      <w:pPr>
        <w:jc w:val="both"/>
        <w:outlineLvl w:val="1"/>
      </w:pPr>
      <w:r>
        <w:rPr>
          <w:rFonts w:hAnsi="Arial"/>
          <w:rFonts w:ascii="Arial"/>
          <w:sz w:val="24"/>
          <w:b/>
          <w:vanish/>
          <w:color w:val="black"/>
        </w:rPr>
        <w:t>&amp;$</w:t>
      </w:r>
      <w:bookmarkStart w:id="61375" w:name="2.4.1.1.1.1.16"/>
      <w:r>
        <w:rPr>
          <w:rFonts w:hAnsi="Arial"/>
          <w:rFonts w:ascii="Arial"/>
          <w:sz w:val="24"/>
          <w:color w:val="navy"/>
        </w:rPr>
        <w:t xml:space="preserve">ARTΝCULO 2.4.1.1.1.1.16. AUTORIZACIΣN DE ENTRENAMIENTO.</w:t>
      </w:r>
      <w:bookmarkEnd w:id="61375"/>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Documento expedido por la Autoridad Marνtima a solicitud del instituto de educaciσn superior o centro de educaciσn para el trabajo y el desarrollo humano reconocido por la Autoridad Marνtima Nacional, como requisito para autorizar el entrenamiento de los alumnos a bordo.</w:t>
      </w:r>
    </w:p>
    <w:p>
      <w:pPr>
        <w:jc w:val="both"/>
        <w:outlineLvl w:val="1"/>
      </w:pPr>
      <w:rPr>
        <w:color w:val="black"/>
      </w:rPr>
    </w:p>
    <w:p>
      <w:pPr>
        <w:jc w:val="both"/>
        <w:outlineLvl w:val="1"/>
      </w:pPr>
      <w:r>
        <w:rPr>
          <w:rFonts w:hAnsi="Arial"/>
          <w:rFonts w:ascii="Arial"/>
          <w:sz w:val="24"/>
          <w:b/>
          <w:vanish/>
          <w:color w:val="black"/>
        </w:rPr>
        <w:t>&amp;$</w:t>
      </w:r>
      <w:bookmarkStart w:id="61376" w:name="2.4.1.1.1.1.17"/>
      <w:r>
        <w:rPr>
          <w:rFonts w:hAnsi="Arial"/>
          <w:rFonts w:ascii="Arial"/>
          <w:sz w:val="24"/>
          <w:color w:val="navy"/>
        </w:rPr>
        <w:t xml:space="preserve">ARTΝCULO 2.4.1.1.1.1.17. REQUISITOS.</w:t>
      </w:r>
      <w:bookmarkEnd w:id="61376"/>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Para obtener un documento de navegaciσn, por primera vez, los aspirantes deben cumplir los siguientes requisitos:</w:t>
      </w:r>
    </w:p>
    <w:p>
      <w:pPr>
        <w:jc w:val="both"/>
        <w:outlineLvl w:val="1"/>
      </w:pPr>
      <w:rPr>
        <w:sz w:val="24"/>
        <w:color w:val="black"/>
      </w:rPr>
    </w:p>
    <w:p>
      <w:pPr>
        <w:jc w:val="both"/>
        <w:outlineLvl w:val="1"/>
      </w:pPr>
      <w:r>
        <w:rPr>
          <w:rFonts w:hAnsi="Arial"/>
          <w:rFonts w:ascii="Arial"/>
          <w:sz w:val="24"/>
          <w:color w:val="black"/>
        </w:rPr>
        <w:t xml:space="preserve">1. Ser mayor de edad.</w:t>
      </w:r>
    </w:p>
    <w:p>
      <w:pPr>
        <w:jc w:val="both"/>
        <w:outlineLvl w:val="1"/>
      </w:pPr>
      <w:rPr>
        <w:sz w:val="24"/>
        <w:color w:val="black"/>
      </w:rPr>
    </w:p>
    <w:p>
      <w:pPr>
        <w:jc w:val="both"/>
        <w:outlineLvl w:val="1"/>
      </w:pPr>
      <w:r>
        <w:rPr>
          <w:rFonts w:hAnsi="Arial"/>
          <w:rFonts w:ascii="Arial"/>
          <w:sz w:val="24"/>
          <w:color w:val="black"/>
        </w:rPr>
        <w:t xml:space="preserve">2. Copia de la cιdula de ciudadanνa o cιdula de extranjerνa vigente.</w:t>
      </w:r>
    </w:p>
    <w:p>
      <w:pPr>
        <w:jc w:val="both"/>
        <w:outlineLvl w:val="1"/>
      </w:pPr>
      <w:rPr>
        <w:sz w:val="24"/>
        <w:color w:val="black"/>
      </w:rPr>
    </w:p>
    <w:p>
      <w:pPr>
        <w:jc w:val="both"/>
        <w:outlineLvl w:val="1"/>
      </w:pPr>
      <w:r>
        <w:rPr>
          <w:rFonts w:hAnsi="Arial"/>
          <w:rFonts w:ascii="Arial"/>
          <w:sz w:val="24"/>
          <w:color w:val="black"/>
        </w:rPr>
        <w:t xml:space="preserve">3. Tνtulo, certificado o diploma obtenido en un instituto de educaciσn superior, de un centro de educaciσn para el trabajo y el desarrollo humano o Centro de Educaciσn Marνtima reconocido por la Autoridad Marνtima Nacional.</w:t>
      </w:r>
    </w:p>
    <w:p>
      <w:pPr>
        <w:jc w:val="both"/>
        <w:outlineLvl w:val="1"/>
      </w:pPr>
      <w:rPr>
        <w:sz w:val="24"/>
        <w:color w:val="black"/>
      </w:rPr>
    </w:p>
    <w:p>
      <w:pPr>
        <w:jc w:val="both"/>
        <w:outlineLvl w:val="1"/>
      </w:pPr>
      <w:r>
        <w:rPr>
          <w:rFonts w:hAnsi="Arial"/>
          <w:rFonts w:ascii="Arial"/>
          <w:sz w:val="24"/>
          <w:color w:val="black"/>
        </w:rPr>
        <w:t xml:space="preserve">4. Captura de datos biomιtricos.</w:t>
      </w:r>
    </w:p>
    <w:p>
      <w:pPr>
        <w:jc w:val="both"/>
        <w:outlineLvl w:val="1"/>
      </w:pPr>
      <w:rPr>
        <w:sz w:val="24"/>
        <w:color w:val="black"/>
      </w:rPr>
    </w:p>
    <w:p>
      <w:pPr>
        <w:jc w:val="both"/>
        <w:outlineLvl w:val="1"/>
      </w:pPr>
      <w:r>
        <w:rPr>
          <w:rFonts w:hAnsi="Arial"/>
          <w:rFonts w:ascii="Arial"/>
          <w:sz w:val="24"/>
          <w:color w:val="black"/>
        </w:rPr>
        <w:t xml:space="preserve">5. Certificado mιdico de aptitud fνsica vigente.</w:t>
        <w:tab/>
        <w:t/>
      </w:r>
    </w:p>
    <w:p>
      <w:pPr>
        <w:jc w:val="both"/>
        <w:outlineLvl w:val="1"/>
      </w:pPr>
      <w:rPr>
        <w:color w:val="black"/>
      </w:rPr>
    </w:p>
    <w:p>
      <w:pPr>
        <w:jc w:val="both"/>
        <w:outlineLvl w:val="1"/>
      </w:pPr>
      <w:r>
        <w:rPr>
          <w:rFonts w:hAnsi="Arial"/>
          <w:rFonts w:ascii="Arial"/>
          <w:sz w:val="24"/>
          <w:b/>
          <w:vanish/>
          <w:color w:val="black"/>
        </w:rPr>
        <w:t>&amp;$</w:t>
      </w:r>
      <w:bookmarkStart w:id="61377" w:name="2.4.1.1.1.1.18"/>
      <w:r>
        <w:rPr>
          <w:rFonts w:hAnsi="Arial"/>
          <w:rFonts w:ascii="Arial"/>
          <w:sz w:val="24"/>
          <w:color w:val="navy"/>
        </w:rPr>
        <w:t xml:space="preserve">ARTΝCULO 2.4.1.1.1.1.18. RENOVACIΣN.</w:t>
      </w:r>
      <w:bookmarkEnd w:id="61377"/>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Se deben cumplir los siguientes requisitos:</w:t>
      </w:r>
    </w:p>
    <w:p>
      <w:pPr>
        <w:jc w:val="both"/>
        <w:outlineLvl w:val="1"/>
      </w:pPr>
      <w:rPr>
        <w:sz w:val="24"/>
        <w:color w:val="black"/>
      </w:rPr>
    </w:p>
    <w:p>
      <w:pPr>
        <w:jc w:val="both"/>
        <w:outlineLvl w:val="1"/>
      </w:pPr>
      <w:r>
        <w:rPr>
          <w:rFonts w:hAnsi="Arial"/>
          <w:rFonts w:ascii="Arial"/>
          <w:sz w:val="24"/>
          <w:color w:val="black"/>
        </w:rPr>
        <w:t xml:space="preserve">1. Acreditar continuidad de la competencia profesional.</w:t>
      </w:r>
    </w:p>
    <w:p>
      <w:pPr>
        <w:jc w:val="both"/>
        <w:outlineLvl w:val="1"/>
      </w:pPr>
      <w:r>
        <w:rPr>
          <w:rFonts w:hAnsi="Arial"/>
          <w:rFonts w:ascii="Arial"/>
          <w:sz w:val="24"/>
          <w:color w:val="black"/>
        </w:rPr>
        <w:t xml:space="preserve">2. Certificado mιdico de aptitud fνsica vigente.</w:t>
      </w:r>
    </w:p>
    <w:p>
      <w:pPr>
        <w:jc w:val="both"/>
        <w:outlineLvl w:val="1"/>
      </w:pPr>
      <w:r>
        <w:rPr>
          <w:rFonts w:hAnsi="Arial"/>
          <w:rFonts w:ascii="Arial"/>
          <w:sz w:val="24"/>
          <w:color w:val="black"/>
        </w:rPr>
        <w:t xml:space="preserve">3. Captura de datos biomιtricos.</w:t>
      </w:r>
    </w:p>
    <w:p>
      <w:pPr>
        <w:jc w:val="both"/>
        <w:outlineLvl w:val="1"/>
      </w:pPr>
      <w:rPr>
        <w:color w:val="black"/>
      </w:rPr>
    </w:p>
    <w:p>
      <w:pPr>
        <w:jc w:val="both"/>
        <w:outlineLvl w:val="1"/>
      </w:pPr>
      <w:r>
        <w:rPr>
          <w:rFonts w:hAnsi="Arial"/>
          <w:rFonts w:ascii="Arial"/>
          <w:sz w:val="24"/>
          <w:b/>
          <w:vanish/>
          <w:color w:val="black"/>
        </w:rPr>
        <w:t>&amp;$</w:t>
      </w:r>
      <w:bookmarkStart w:id="61378" w:name="2.4.1.1.1.1.19"/>
      <w:r>
        <w:rPr>
          <w:rFonts w:hAnsi="Arial"/>
          <w:rFonts w:ascii="Arial"/>
          <w:sz w:val="24"/>
          <w:color w:val="navy"/>
        </w:rPr>
        <w:t xml:space="preserve">ARTΝCULO 2.4.1.1.1.1.19. CERTIFICADO MΙDICO DE APTITUD FΝSICA.</w:t>
      </w:r>
      <w:bookmarkEnd w:id="61378"/>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 Autoridad Marνtima Nacional determinarα los exαmenes mιdicos y las condiciones necesarias para aplicar el presente artνculo, de acuerdo con las disposiciones emitidas sobre el particular por la Organizaciσn Marνtima Internacional (OMI), en especial la regla 1/9* la Regla 1/9* del Convenio sobre Normas de Formaciσn, Titulaciσn y Guardia para la Gente de Mar- STCW/78 enmendado Normas mιdicas, complementada con las obligaciones de la secciσn "A" y las recomendaciones de la secciσn "B" y demαs normas que lo modifiquen.</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certificado mιdico de aptitud fνsica de la gente de mar tendrα una vigencia de dos (2) aρos.</w:t>
      </w:r>
    </w:p>
    <w:p>
      <w:pPr>
        <w:jc w:val="both"/>
        <w:outlineLvl w:val="1"/>
      </w:pPr>
      <w:rPr>
        <w:color w:val="black"/>
      </w:rPr>
    </w:p>
    <w:p>
      <w:pPr>
        <w:jc w:val="both"/>
      </w:pPr>
      <w:r>
        <w:rPr>
          <w:rFonts w:hAnsi="Arial"/>
          <w:rFonts w:ascii="Arial"/>
          <w:sz w:val="24"/>
          <w:b/>
          <w:vanish/>
          <w:color w:val="black"/>
        </w:rPr>
        <w:t>&amp;$</w:t>
      </w:r>
      <w:bookmarkStart w:id="61379" w:name="2.4.1.1.1.1.20"/>
      <w:r>
        <w:rPr>
          <w:rFonts w:hAnsi="Arial"/>
          <w:rFonts w:ascii="Arial"/>
          <w:sz w:val="24"/>
          <w:color w:val="navy"/>
        </w:rPr>
        <w:t xml:space="preserve">ARTΝCULO 2.4.1.1.1.1.20. ASCENSOS.</w:t>
      </w:r>
      <w:bookmarkEnd w:id="6137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Para el ascenso al grado inmediatamente superior se deben cumplir con los siguientes requisitos:</w:t>
      </w:r>
    </w:p>
    <w:p>
      <w:pPr>
        <w:jc w:val="both"/>
        <w:outlineLvl w:val="1"/>
      </w:pPr>
      <w:rPr>
        <w:sz w:val="24"/>
        <w:color w:val="black"/>
      </w:rPr>
    </w:p>
    <w:p>
      <w:pPr>
        <w:jc w:val="both"/>
        <w:outlineLvl w:val="1"/>
      </w:pPr>
      <w:r>
        <w:rPr>
          <w:rFonts w:hAnsi="Arial"/>
          <w:rFonts w:ascii="Arial"/>
          <w:sz w:val="24"/>
          <w:color w:val="black"/>
        </w:rPr>
        <w:t xml:space="preserve">1. Tνtulo, certificado o diploma del curso aprobado de ascenso obtenido en un instituto de educaciσn superior, de un centro de educaciσn para el trabajo y el desarrollo humano o centro de educaciσn marνtima reconocido por la Autoridad Marνtima Nacional.</w:t>
      </w:r>
    </w:p>
    <w:p>
      <w:pPr>
        <w:jc w:val="both"/>
        <w:outlineLvl w:val="1"/>
      </w:pPr>
      <w:rPr>
        <w:sz w:val="24"/>
        <w:color w:val="black"/>
      </w:rPr>
    </w:p>
    <w:p>
      <w:pPr>
        <w:jc w:val="both"/>
        <w:outlineLvl w:val="1"/>
      </w:pPr>
      <w:r>
        <w:rPr>
          <w:rFonts w:hAnsi="Arial"/>
          <w:rFonts w:ascii="Arial"/>
          <w:sz w:val="24"/>
          <w:color w:val="black"/>
        </w:rPr>
        <w:t xml:space="preserve">2. Acreditar continuidad de la competencia profesional.</w:t>
      </w:r>
    </w:p>
    <w:p>
      <w:pPr>
        <w:jc w:val="both"/>
        <w:outlineLvl w:val="1"/>
      </w:pPr>
      <w:rPr>
        <w:sz w:val="24"/>
        <w:color w:val="black"/>
      </w:rPr>
    </w:p>
    <w:p>
      <w:pPr>
        <w:jc w:val="both"/>
        <w:outlineLvl w:val="1"/>
      </w:pPr>
      <w:r>
        <w:rPr>
          <w:rFonts w:hAnsi="Arial"/>
          <w:rFonts w:ascii="Arial"/>
          <w:sz w:val="24"/>
          <w:color w:val="black"/>
        </w:rPr>
        <w:t xml:space="preserve">3. Certificado mιdico de aptitud fνsica vigente.</w:t>
      </w:r>
    </w:p>
    <w:p>
      <w:pPr>
        <w:jc w:val="both"/>
        <w:outlineLvl w:val="1"/>
      </w:pPr>
      <w:rPr>
        <w:sz w:val="24"/>
        <w:color w:val="black"/>
      </w:rPr>
    </w:p>
    <w:p>
      <w:pPr>
        <w:jc w:val="both"/>
        <w:outlineLvl w:val="1"/>
      </w:pPr>
      <w:r>
        <w:rPr>
          <w:rFonts w:hAnsi="Arial"/>
          <w:rFonts w:ascii="Arial"/>
          <w:sz w:val="24"/>
          <w:color w:val="black"/>
        </w:rPr>
        <w:t xml:space="preserve">4. Captura datos biomιtricos.</w:t>
      </w:r>
    </w:p>
    <w:p>
      <w:pPr>
        <w:jc w:val="both"/>
        <w:outlineLvl w:val="1"/>
      </w:pPr>
      <w:rPr>
        <w:color w:val="black"/>
      </w:rPr>
    </w:p>
    <w:p>
      <w:pPr>
        <w:jc w:val="both"/>
        <w:outlineLvl w:val="1"/>
      </w:pPr>
      <w:r>
        <w:rPr>
          <w:rFonts w:hAnsi="Arial"/>
          <w:rFonts w:ascii="Arial"/>
          <w:sz w:val="24"/>
          <w:b/>
          <w:vanish/>
          <w:color w:val="black"/>
        </w:rPr>
        <w:t>&amp;$</w:t>
      </w:r>
      <w:bookmarkStart w:id="61380" w:name="2.4.1.1.1.1.21"/>
      <w:r>
        <w:rPr>
          <w:rFonts w:hAnsi="Arial"/>
          <w:rFonts w:ascii="Arial"/>
          <w:sz w:val="24"/>
          <w:color w:val="navy"/>
        </w:rPr>
        <w:t xml:space="preserve">ARTΝCULO 2.4.1.1.1.1.21. REQUISITOS PARA EL PERSONAL DE LA ARMADA NACIONAL.</w:t>
      </w:r>
      <w:bookmarkEnd w:id="61380"/>
      <w:r>
        <w:rPr>
          <w:rFonts w:hAnsi="Arial"/>
          <w:rFonts w:ascii="Arial"/>
          <w:sz w:val="24"/>
          <w:color w:val="black"/>
        </w:rPr>
        <w:t xml:space="preserve"> &lt;Artνculo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Oficiales y Suboficiales de la Armada Nacional, en servicio activo o en retiro, podrαn optar por un documento de navegaciσn si cumplen los siguientes requisitos:</w:t>
      </w:r>
    </w:p>
    <w:p>
      <w:pPr>
        <w:jc w:val="both"/>
        <w:outlineLvl w:val="1"/>
      </w:pPr>
      <w:rPr>
        <w:sz w:val="24"/>
        <w:color w:val="black"/>
      </w:rPr>
    </w:p>
    <w:p>
      <w:pPr>
        <w:jc w:val="both"/>
        <w:outlineLvl w:val="1"/>
      </w:pPr>
      <w:r>
        <w:rPr>
          <w:rFonts w:hAnsi="Arial"/>
          <w:rFonts w:ascii="Arial"/>
          <w:sz w:val="24"/>
          <w:color w:val="black"/>
        </w:rPr>
        <w:t xml:space="preserve">1. Copia del tνtulo profesional.</w:t>
      </w:r>
    </w:p>
    <w:p>
      <w:pPr>
        <w:jc w:val="both"/>
        <w:outlineLvl w:val="1"/>
      </w:pPr>
      <w:rPr>
        <w:sz w:val="24"/>
        <w:color w:val="black"/>
      </w:rPr>
    </w:p>
    <w:p>
      <w:pPr>
        <w:jc w:val="both"/>
        <w:outlineLvl w:val="1"/>
      </w:pPr>
      <w:r>
        <w:rPr>
          <w:rFonts w:hAnsi="Arial"/>
          <w:rFonts w:ascii="Arial"/>
          <w:sz w:val="24"/>
          <w:color w:val="black"/>
        </w:rPr>
        <w:t xml:space="preserve">2. Homologar estudios ante instituto de educaciσn superior o centro de educaciσn marνtima reconocido por la Autoridad Marνtima Nacional.</w:t>
      </w:r>
    </w:p>
    <w:p>
      <w:pPr>
        <w:jc w:val="both"/>
        <w:outlineLvl w:val="1"/>
      </w:pPr>
      <w:rPr>
        <w:sz w:val="24"/>
        <w:color w:val="black"/>
      </w:rPr>
    </w:p>
    <w:p>
      <w:pPr>
        <w:jc w:val="both"/>
        <w:outlineLvl w:val="1"/>
      </w:pPr>
      <w:r>
        <w:rPr>
          <w:rFonts w:hAnsi="Arial"/>
          <w:rFonts w:ascii="Arial"/>
          <w:sz w:val="24"/>
          <w:color w:val="black"/>
        </w:rPr>
        <w:t xml:space="preserve">3. Cursar y aprobar asignaturas y cursos Organizaciσn Marνtima Internacional (OMI) pendientes en la especialidad de la Gente de Mar correspondiente.</w:t>
      </w:r>
    </w:p>
    <w:p>
      <w:pPr>
        <w:jc w:val="both"/>
        <w:outlineLvl w:val="1"/>
      </w:pPr>
      <w:rPr>
        <w:sz w:val="24"/>
        <w:color w:val="black"/>
      </w:rPr>
    </w:p>
    <w:p>
      <w:pPr>
        <w:jc w:val="both"/>
        <w:outlineLvl w:val="1"/>
      </w:pPr>
      <w:r>
        <w:rPr>
          <w:rFonts w:hAnsi="Arial"/>
          <w:rFonts w:ascii="Arial"/>
          <w:sz w:val="24"/>
          <w:color w:val="black"/>
        </w:rPr>
        <w:t xml:space="preserve">4. Certificado mιdico de aptitud fνsica vigente.</w:t>
      </w:r>
    </w:p>
    <w:p>
      <w:pPr>
        <w:jc w:val="both"/>
        <w:outlineLvl w:val="1"/>
      </w:pPr>
      <w:rPr>
        <w:sz w:val="24"/>
        <w:color w:val="black"/>
      </w:rPr>
    </w:p>
    <w:p>
      <w:pPr>
        <w:jc w:val="both"/>
        <w:outlineLvl w:val="1"/>
      </w:pPr>
      <w:r>
        <w:rPr>
          <w:rFonts w:hAnsi="Arial"/>
          <w:rFonts w:ascii="Arial"/>
          <w:sz w:val="24"/>
          <w:color w:val="black"/>
        </w:rPr>
        <w:t xml:space="preserve">5. Captura de datos biomιtricos.</w:t>
      </w:r>
    </w:p>
    <w:p>
      <w:pPr>
        <w:jc w:val="both"/>
        <w:outlineLvl w:val="1"/>
      </w:pPr>
      <w:rPr>
        <w:color w:val="black"/>
      </w:rPr>
    </w:p>
    <w:p>
      <w:pPr>
        <w:jc w:val="both"/>
        <w:outlineLvl w:val="1"/>
      </w:pPr>
      <w:r>
        <w:rPr>
          <w:rFonts w:hAnsi="Arial"/>
          <w:rFonts w:ascii="Arial"/>
          <w:sz w:val="24"/>
          <w:b/>
          <w:vanish/>
          <w:color w:val="black"/>
        </w:rPr>
        <w:t>&amp;$</w:t>
      </w:r>
      <w:bookmarkStart w:id="61381" w:name="2.4.1.1.1.1.22"/>
      <w:r>
        <w:rPr>
          <w:rFonts w:hAnsi="Arial"/>
          <w:rFonts w:ascii="Arial"/>
          <w:sz w:val="24"/>
          <w:color w:val="navy"/>
        </w:rPr>
        <w:t xml:space="preserve">ARTΝCULO 2.4.1.1.1.1.22. RECONOCIMIENTO DE CENTROS DE CAPACITACIΣN Y ENTRENAMIENTO DE LA GENTE DE MAR.</w:t>
      </w:r>
      <w:bookmarkEnd w:id="613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 Autoridad Marνtima reconocerα los Centros de capacitaciσn y entrenamiento de la Gente de Mar y los cursos de capacitaciσn nαutica, con base en la reglamentaciσn que serα expedida para el efecto.</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Estos cursos no se encuentran sometidos al rιgimen establecido por las Leyes </w:t>
      </w:r>
      <w:r>
        <w:fldChar w:fldCharType="begin"/>
      </w:r>
      <w:r>
        <w:instrText>HYPERLINK "http://www.redjurista.com/document.aspx?ajcode=l0030_92&amp;arts=0"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1992 y </w:t>
      </w:r>
      <w:r>
        <w:fldChar w:fldCharType="begin"/>
      </w:r>
      <w:r>
        <w:instrText>HYPERLINK "http://www.redjurista.com/document.aspx?ajcode=l1064006&amp;arts=0"</w:instrText>
      </w:r>
      <w:r>
        <w:fldChar w:fldCharType="separate"/>
      </w:r>
      <w:r>
        <w:rPr>
          <w:rFonts w:hAnsi="Arial"/>
          <w:rFonts w:ascii="Arial"/>
          <w:sz w:val="24"/>
          <w:u w:val="single"/>
          <w:color w:val="black"/>
        </w:rPr>
        <w:t>1064</w:t>
      </w:r>
      <w:r>
        <w:fldChar w:fldCharType="end"/>
      </w:r>
      <w:r>
        <w:rPr>
          <w:rFonts w:hAnsi="Arial"/>
          <w:rFonts w:ascii="Arial"/>
          <w:sz w:val="24"/>
          <w:u w:val="none"/>
          <w:color w:val="black"/>
        </w:rPr>
        <w:t xml:space="preserve"> de 2006.</w:t>
      </w:r>
    </w:p>
    <w:p>
      <w:pPr>
        <w:jc w:val="both"/>
        <w:outlineLvl w:val="1"/>
      </w:pPr>
      <w:rPr>
        <w:color w:val="black"/>
      </w:rPr>
    </w:p>
    <w:p>
      <w:pPr>
        <w:jc w:val="both"/>
        <w:outlineLvl w:val="1"/>
      </w:pPr>
      <w:r>
        <w:rPr>
          <w:rFonts w:hAnsi="Arial"/>
          <w:rFonts w:ascii="Arial"/>
          <w:sz w:val="24"/>
          <w:b/>
          <w:vanish/>
          <w:color w:val="black"/>
        </w:rPr>
        <w:t>&amp;$</w:t>
      </w:r>
      <w:bookmarkStart w:id="61382" w:name="2.4.1.1.1.1.23"/>
      <w:r>
        <w:rPr>
          <w:rFonts w:hAnsi="Arial"/>
          <w:rFonts w:ascii="Arial"/>
          <w:sz w:val="24"/>
          <w:color w:val="navy"/>
        </w:rPr>
        <w:t xml:space="preserve">ARTΝCULO 2.4.1.1.1.1.23. HOMOLOGACIΣN DE ESTUDIOS NΑUTICOS.</w:t>
      </w:r>
      <w:bookmarkEnd w:id="6138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nacionales Colombianos egresados de una instituciσn nαutica extranjera o que hayan realizado cursos de capacitaciσn en el extranjero, podrαn solicitar, por escrito, a la Autoridad Marνtima, la validaciσn de estos estudios, con el fin de la expediciσn del tνtulo de navegaciσn, certificado de suficiencia, sin que los mismos sean reconocidos como educaciσn superior o educaciσn para el trabajo y desarrollo humano.</w:t>
      </w:r>
    </w:p>
    <w:p>
      <w:pPr>
        <w:jc w:val="both"/>
        <w:outlineLvl w:val="1"/>
      </w:pPr>
      <w:rPr>
        <w:color w:val="black"/>
      </w:rPr>
    </w:p>
    <w:p>
      <w:pPr>
        <w:jc w:val="both"/>
        <w:outlineLvl w:val="1"/>
      </w:pPr>
      <w:r>
        <w:rPr>
          <w:rFonts w:hAnsi="Arial"/>
          <w:rFonts w:ascii="Arial"/>
          <w:sz w:val="24"/>
          <w:b/>
          <w:vanish/>
          <w:color w:val="black"/>
        </w:rPr>
        <w:t>&amp;$</w:t>
      </w:r>
      <w:bookmarkStart w:id="61383" w:name="2.4.1.1.1.1.24"/>
      <w:r>
        <w:rPr>
          <w:rFonts w:hAnsi="Arial"/>
          <w:rFonts w:ascii="Arial"/>
          <w:sz w:val="24"/>
          <w:color w:val="navy"/>
        </w:rPr>
        <w:t xml:space="preserve">ARTΝCULO 2.4.1.1.1.1.24. RANGOS DE LA TRIPULACIΣN DE LAS NAVES DEDICADAS A LA PESCA COMERCIAL, INDUSTRIAL Y ARTESANAL.</w:t>
      </w:r>
      <w:bookmarkEnd w:id="6138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rangos de la tripulaciσn de las naves dedicadas a la pesca comercial, industrial y artesanal son los siguientes:</w:t>
      </w:r>
    </w:p>
    <w:p>
      <w:pPr>
        <w:jc w:val="both"/>
        <w:outlineLvl w:val="1"/>
      </w:pPr>
      <w:rPr>
        <w:sz w:val="24"/>
        <w:b/>
        <w:color w:val="black"/>
      </w:rPr>
    </w:p>
    <w:p>
      <w:pPr>
        <w:jc w:val="both"/>
        <w:outlineLvl w:val="1"/>
      </w:pPr>
      <w:r>
        <w:rPr>
          <w:rFonts w:hAnsi="Arial"/>
          <w:rFonts w:ascii="Arial"/>
          <w:sz w:val="24"/>
          <w:b/>
          <w:color w:val="black"/>
        </w:rPr>
        <w:t xml:space="preserve">A. Secciσn de Puente</w:t>
      </w:r>
    </w:p>
    <w:p>
      <w:pPr>
        <w:jc w:val="both"/>
        <w:outlineLvl w:val="1"/>
      </w:pPr>
      <w:rPr>
        <w:sz w:val="24"/>
        <w:b/>
        <w:color w:val="black"/>
      </w:rPr>
    </w:p>
    <w:p>
      <w:pPr>
        <w:jc w:val="both"/>
        <w:outlineLvl w:val="1"/>
      </w:pPr>
      <w:r>
        <w:rPr>
          <w:rFonts w:hAnsi="Arial"/>
          <w:rFonts w:ascii="Arial"/>
          <w:sz w:val="24"/>
          <w:b/>
          <w:color w:val="black"/>
        </w:rPr>
        <w:t xml:space="preserve">1. Oficiales</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Patrσn en buques pesqueros de eslora igual o superior a 24 metros en aguas sin lνmite.</w:t>
      </w:r>
    </w:p>
    <w:p>
      <w:pPr>
        <w:jc w:val="both"/>
        <w:outlineLvl w:val="1"/>
      </w:pPr>
      <w:rPr>
        <w:sz w:val="24"/>
        <w:b/>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Oficial encargado de la guardia de navegaciσn en buques pesqueros de eslora igual o superior a 24 metros en aguas sin lνmite.</w:t>
      </w:r>
    </w:p>
    <w:p>
      <w:pPr>
        <w:jc w:val="both"/>
        <w:outlineLvl w:val="1"/>
      </w:pPr>
      <w:rPr>
        <w:sz w:val="24"/>
        <w:b/>
        <w:color w:val="black"/>
      </w:rPr>
    </w:p>
    <w:p>
      <w:pPr>
        <w:jc w:val="both"/>
        <w:outlineLvl w:val="1"/>
      </w:pPr>
      <w:r>
        <w:rPr>
          <w:rFonts w:hAnsi="Arial"/>
          <w:rFonts w:ascii="Arial"/>
          <w:sz w:val="24"/>
          <w:b/>
          <w:color w:val="black"/>
        </w:rPr>
        <w:t xml:space="preserve">c) </w:t>
      </w:r>
      <w:r>
        <w:rPr>
          <w:rFonts w:hAnsi="Arial"/>
          <w:rFonts w:ascii="Arial"/>
          <w:sz w:val="24"/>
          <w:color w:val="black"/>
        </w:rPr>
        <w:t xml:space="preserve">Patrσn en buques pesqueros de eslora igual o superior a 24 metros en aguas limitadas.</w:t>
      </w:r>
    </w:p>
    <w:p>
      <w:pPr>
        <w:jc w:val="both"/>
        <w:outlineLvl w:val="1"/>
      </w:pPr>
      <w:rPr>
        <w:sz w:val="24"/>
        <w:b/>
        <w:color w:val="black"/>
      </w:rPr>
    </w:p>
    <w:p>
      <w:pPr>
        <w:jc w:val="both"/>
        <w:outlineLvl w:val="1"/>
      </w:pPr>
      <w:r>
        <w:rPr>
          <w:rFonts w:hAnsi="Arial"/>
          <w:rFonts w:ascii="Arial"/>
          <w:sz w:val="24"/>
          <w:b/>
          <w:color w:val="black"/>
        </w:rPr>
        <w:t xml:space="preserve">d) </w:t>
      </w:r>
      <w:r>
        <w:rPr>
          <w:rFonts w:hAnsi="Arial"/>
          <w:rFonts w:ascii="Arial"/>
          <w:sz w:val="24"/>
          <w:color w:val="black"/>
        </w:rPr>
        <w:t xml:space="preserve">Oficial encargado de la guardia de navegaciσn en buques pesqueros de eslora igual o superior a 24 metros en aguas limitadas.</w:t>
      </w:r>
    </w:p>
    <w:p>
      <w:pPr>
        <w:jc w:val="both"/>
        <w:outlineLvl w:val="1"/>
      </w:pPr>
      <w:rPr>
        <w:sz w:val="24"/>
        <w:b/>
        <w:color w:val="black"/>
      </w:rPr>
    </w:p>
    <w:p>
      <w:pPr>
        <w:jc w:val="both"/>
        <w:outlineLvl w:val="1"/>
      </w:pPr>
      <w:r>
        <w:rPr>
          <w:rFonts w:hAnsi="Arial"/>
          <w:rFonts w:ascii="Arial"/>
          <w:sz w:val="24"/>
          <w:b/>
          <w:color w:val="black"/>
        </w:rPr>
        <w:t xml:space="preserve">e) </w:t>
      </w:r>
      <w:r>
        <w:rPr>
          <w:rFonts w:hAnsi="Arial"/>
          <w:rFonts w:ascii="Arial"/>
          <w:sz w:val="24"/>
          <w:color w:val="black"/>
        </w:rPr>
        <w:t xml:space="preserve">Patrσn en buques pesqueros entre 12 y 24 metros de eslora.</w:t>
      </w:r>
    </w:p>
    <w:p>
      <w:pPr>
        <w:jc w:val="both"/>
        <w:outlineLvl w:val="1"/>
      </w:pPr>
      <w:rPr>
        <w:sz w:val="24"/>
        <w:b/>
        <w:color w:val="black"/>
      </w:rPr>
    </w:p>
    <w:p>
      <w:pPr>
        <w:jc w:val="both"/>
        <w:outlineLvl w:val="1"/>
      </w:pPr>
      <w:r>
        <w:rPr>
          <w:rFonts w:hAnsi="Arial"/>
          <w:rFonts w:ascii="Arial"/>
          <w:sz w:val="24"/>
          <w:b/>
          <w:color w:val="black"/>
        </w:rPr>
        <w:t xml:space="preserve">f) </w:t>
      </w:r>
      <w:r>
        <w:rPr>
          <w:rFonts w:hAnsi="Arial"/>
          <w:rFonts w:ascii="Arial"/>
          <w:sz w:val="24"/>
          <w:color w:val="black"/>
        </w:rPr>
        <w:t xml:space="preserve">Oficial encargado de la guardia de navegaciσn en buques pesqueros entre 12 y 24 metros de eslora.</w:t>
      </w:r>
    </w:p>
    <w:p>
      <w:pPr>
        <w:jc w:val="both"/>
        <w:outlineLvl w:val="1"/>
      </w:pPr>
      <w:rPr>
        <w:sz w:val="24"/>
        <w:b/>
        <w:color w:val="black"/>
      </w:rPr>
    </w:p>
    <w:p>
      <w:pPr>
        <w:jc w:val="both"/>
        <w:outlineLvl w:val="1"/>
      </w:pPr>
      <w:r>
        <w:rPr>
          <w:rFonts w:hAnsi="Arial"/>
          <w:rFonts w:ascii="Arial"/>
          <w:sz w:val="24"/>
          <w:b/>
          <w:color w:val="black"/>
        </w:rPr>
        <w:t xml:space="preserve">g) </w:t>
      </w:r>
      <w:r>
        <w:rPr>
          <w:rFonts w:hAnsi="Arial"/>
          <w:rFonts w:ascii="Arial"/>
          <w:sz w:val="24"/>
          <w:color w:val="black"/>
        </w:rPr>
        <w:t xml:space="preserve">Patrσn en buques pesqueros de eslora inferior a 12 metros.</w:t>
      </w:r>
    </w:p>
    <w:p>
      <w:pPr>
        <w:jc w:val="both"/>
        <w:outlineLvl w:val="1"/>
      </w:pPr>
      <w:rPr>
        <w:sz w:val="24"/>
        <w:b/>
        <w:color w:val="black"/>
      </w:rPr>
    </w:p>
    <w:p>
      <w:pPr>
        <w:jc w:val="both"/>
        <w:outlineLvl w:val="1"/>
      </w:pPr>
      <w:r>
        <w:rPr>
          <w:rFonts w:hAnsi="Arial"/>
          <w:rFonts w:ascii="Arial"/>
          <w:sz w:val="24"/>
          <w:b/>
          <w:color w:val="black"/>
        </w:rPr>
        <w:t xml:space="preserve">2. Marinerνa</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Marinero pescador Calificado.</w:t>
      </w:r>
    </w:p>
    <w:p>
      <w:pPr>
        <w:jc w:val="both"/>
        <w:outlineLvl w:val="1"/>
      </w:pPr>
      <w:r>
        <w:rPr>
          <w:rFonts w:hAnsi="Arial"/>
          <w:rFonts w:ascii="Arial"/>
          <w:sz w:val="24"/>
          <w:b/>
          <w:color w:val="black"/>
        </w:rPr>
        <w:t xml:space="preserve">b) </w:t>
      </w:r>
      <w:r>
        <w:rPr>
          <w:rFonts w:hAnsi="Arial"/>
          <w:rFonts w:ascii="Arial"/>
          <w:sz w:val="24"/>
          <w:color w:val="black"/>
        </w:rPr>
        <w:t xml:space="preserve">Pescador Artesanal.</w:t>
      </w:r>
    </w:p>
    <w:p>
      <w:pPr>
        <w:jc w:val="both"/>
        <w:outlineLvl w:val="1"/>
      </w:pPr>
      <w:rPr>
        <w:sz w:val="24"/>
        <w:b/>
        <w:color w:val="black"/>
      </w:rPr>
    </w:p>
    <w:p>
      <w:pPr>
        <w:jc w:val="both"/>
        <w:outlineLvl w:val="1"/>
      </w:pPr>
      <w:r>
        <w:rPr>
          <w:rFonts w:hAnsi="Arial"/>
          <w:rFonts w:ascii="Arial"/>
          <w:sz w:val="24"/>
          <w:b/>
          <w:color w:val="black"/>
        </w:rPr>
        <w:t xml:space="preserve">B. Secciσn de Mαquinas</w:t>
      </w:r>
    </w:p>
    <w:p>
      <w:pPr>
        <w:jc w:val="both"/>
        <w:outlineLvl w:val="1"/>
      </w:pPr>
      <w:rPr>
        <w:sz w:val="24"/>
        <w:b/>
        <w:color w:val="black"/>
      </w:rPr>
    </w:p>
    <w:p>
      <w:pPr>
        <w:jc w:val="both"/>
        <w:outlineLvl w:val="1"/>
      </w:pPr>
      <w:r>
        <w:rPr>
          <w:rFonts w:hAnsi="Arial"/>
          <w:rFonts w:ascii="Arial"/>
          <w:sz w:val="24"/>
          <w:b/>
          <w:color w:val="black"/>
        </w:rPr>
        <w:t xml:space="preserve">1. Oficiales</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Jefe de mαquinas de buques cuya mαquina propulsora principal tenga una potencia igual o superior a 3000 kW.</w:t>
      </w:r>
    </w:p>
    <w:p>
      <w:pPr>
        <w:jc w:val="both"/>
        <w:outlineLvl w:val="1"/>
      </w:pPr>
      <w:rPr>
        <w:sz w:val="24"/>
        <w:b/>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Primer Oficial de mαquinas de buques cuya mαquina propulsora principal tenga una potencia igual o superior a 3000 kW.</w:t>
      </w:r>
    </w:p>
    <w:p>
      <w:pPr>
        <w:jc w:val="both"/>
        <w:outlineLvl w:val="1"/>
      </w:pPr>
      <w:rPr>
        <w:sz w:val="24"/>
        <w:b/>
        <w:color w:val="black"/>
      </w:rPr>
    </w:p>
    <w:p>
      <w:pPr>
        <w:jc w:val="both"/>
        <w:outlineLvl w:val="1"/>
      </w:pPr>
      <w:r>
        <w:rPr>
          <w:rFonts w:hAnsi="Arial"/>
          <w:rFonts w:ascii="Arial"/>
          <w:sz w:val="24"/>
          <w:b/>
          <w:color w:val="black"/>
        </w:rPr>
        <w:t xml:space="preserve">c) </w:t>
      </w:r>
      <w:r>
        <w:rPr>
          <w:rFonts w:hAnsi="Arial"/>
          <w:rFonts w:ascii="Arial"/>
          <w:sz w:val="24"/>
          <w:color w:val="black"/>
        </w:rPr>
        <w:t xml:space="preserve">Oficial Electrotιcnico.</w:t>
      </w:r>
    </w:p>
    <w:p>
      <w:pPr>
        <w:jc w:val="both"/>
        <w:outlineLvl w:val="1"/>
      </w:pPr>
      <w:rPr>
        <w:sz w:val="24"/>
        <w:b/>
        <w:color w:val="black"/>
      </w:rPr>
    </w:p>
    <w:p>
      <w:pPr>
        <w:jc w:val="both"/>
        <w:outlineLvl w:val="1"/>
      </w:pPr>
      <w:r>
        <w:rPr>
          <w:rFonts w:hAnsi="Arial"/>
          <w:rFonts w:ascii="Arial"/>
          <w:sz w:val="24"/>
          <w:b/>
          <w:color w:val="black"/>
        </w:rPr>
        <w:t xml:space="preserve">d) </w:t>
      </w:r>
      <w:r>
        <w:rPr>
          <w:rFonts w:hAnsi="Arial"/>
          <w:rFonts w:ascii="Arial"/>
          <w:sz w:val="24"/>
          <w:color w:val="black"/>
        </w:rPr>
        <w:t xml:space="preserve">Oficial encargado de la guardia en una cαmara de mαquinas con dotaciσn permanente y Oficial de mαquinas designado para prestar servicio en una cαmara de mαquinas sin dotaciσn permanente en buques de navegaciσn marνtima con potencia propulsora igual o superior a 750 kW.</w:t>
      </w:r>
    </w:p>
    <w:p>
      <w:pPr>
        <w:jc w:val="both"/>
        <w:outlineLvl w:val="1"/>
      </w:pPr>
      <w:rPr>
        <w:sz w:val="24"/>
        <w:b/>
        <w:color w:val="black"/>
      </w:rPr>
    </w:p>
    <w:p>
      <w:pPr>
        <w:jc w:val="both"/>
        <w:outlineLvl w:val="1"/>
      </w:pPr>
      <w:r>
        <w:rPr>
          <w:rFonts w:hAnsi="Arial"/>
          <w:rFonts w:ascii="Arial"/>
          <w:sz w:val="24"/>
          <w:b/>
          <w:color w:val="black"/>
        </w:rPr>
        <w:t xml:space="preserve">e) </w:t>
      </w:r>
      <w:r>
        <w:rPr>
          <w:rFonts w:hAnsi="Arial"/>
          <w:rFonts w:ascii="Arial"/>
          <w:sz w:val="24"/>
          <w:color w:val="black"/>
        </w:rPr>
        <w:t xml:space="preserve">Jefe de mαquinas, en buques pesqueros de eslora igual o superior a 24 metros, cuya mαquina propulsora principal tenga una potencia comprendida entre 750 y 3000 kW, en viajes prσximos a la costa.</w:t>
      </w:r>
    </w:p>
    <w:p>
      <w:pPr>
        <w:jc w:val="both"/>
        <w:outlineLvl w:val="1"/>
      </w:pPr>
      <w:rPr>
        <w:sz w:val="24"/>
        <w:b/>
        <w:color w:val="black"/>
      </w:rPr>
    </w:p>
    <w:p>
      <w:pPr>
        <w:jc w:val="both"/>
        <w:outlineLvl w:val="1"/>
      </w:pPr>
      <w:r>
        <w:rPr>
          <w:rFonts w:hAnsi="Arial"/>
          <w:rFonts w:ascii="Arial"/>
          <w:sz w:val="24"/>
          <w:b/>
          <w:color w:val="black"/>
        </w:rPr>
        <w:t xml:space="preserve">f) </w:t>
      </w:r>
      <w:r>
        <w:rPr>
          <w:rFonts w:hAnsi="Arial"/>
          <w:rFonts w:ascii="Arial"/>
          <w:sz w:val="24"/>
          <w:color w:val="black"/>
        </w:rPr>
        <w:t xml:space="preserve">Primer Oficial de Mαquinas, en buques pesqueros de eslora igual o superior a 24 metros, cuya mαquina propulsora principal tenga una potencia comprendida entre 750 y 3000 kW, en viajes prσximos a la costa.</w:t>
      </w:r>
    </w:p>
    <w:p>
      <w:pPr>
        <w:jc w:val="both"/>
        <w:outlineLvl w:val="1"/>
      </w:pPr>
      <w:rPr>
        <w:sz w:val="24"/>
        <w:b/>
        <w:color w:val="black"/>
      </w:rPr>
    </w:p>
    <w:p>
      <w:pPr>
        <w:jc w:val="both"/>
        <w:outlineLvl w:val="1"/>
      </w:pPr>
      <w:r>
        <w:rPr>
          <w:rFonts w:hAnsi="Arial"/>
          <w:rFonts w:ascii="Arial"/>
          <w:sz w:val="24"/>
          <w:b/>
          <w:color w:val="black"/>
        </w:rPr>
        <w:t xml:space="preserve">g) </w:t>
      </w:r>
      <w:r>
        <w:rPr>
          <w:rFonts w:hAnsi="Arial"/>
          <w:rFonts w:ascii="Arial"/>
          <w:sz w:val="24"/>
          <w:color w:val="black"/>
        </w:rPr>
        <w:t xml:space="preserve">Oficial encargado de la guardia en una cαmara de mαquinas, en buques pesqueros de eslora igual o superior a 24 metros, con potencia propulsora inferior a 3000 kW, en viajes prσximos a la costa.</w:t>
      </w:r>
    </w:p>
    <w:p>
      <w:pPr>
        <w:jc w:val="both"/>
        <w:outlineLvl w:val="1"/>
      </w:pPr>
      <w:rPr>
        <w:sz w:val="24"/>
        <w:b/>
        <w:color w:val="black"/>
      </w:rPr>
    </w:p>
    <w:p>
      <w:pPr>
        <w:jc w:val="both"/>
        <w:outlineLvl w:val="1"/>
      </w:pPr>
      <w:r>
        <w:rPr>
          <w:rFonts w:hAnsi="Arial"/>
          <w:rFonts w:ascii="Arial"/>
          <w:sz w:val="24"/>
          <w:b/>
          <w:color w:val="black"/>
        </w:rPr>
        <w:t xml:space="preserve">2. Marinerνa</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Marinero de Primera de Mαquinas Potencia propulsora mayor a 750 kW.</w:t>
      </w:r>
    </w:p>
    <w:p>
      <w:pPr>
        <w:jc w:val="both"/>
        <w:outlineLvl w:val="1"/>
      </w:pPr>
      <w:rPr>
        <w:sz w:val="24"/>
        <w:b/>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Marinero que forma parte de la guardia en una cαmara de mαquinas, en buques pesqueros entre 12 y 24 metros de eslora, potencia propulsora mayor 750 kW.</w:t>
      </w:r>
    </w:p>
    <w:p>
      <w:pPr>
        <w:jc w:val="both"/>
        <w:outlineLvl w:val="1"/>
      </w:pPr>
      <w:rPr>
        <w:sz w:val="24"/>
        <w:b/>
        <w:color w:val="black"/>
      </w:rPr>
    </w:p>
    <w:p>
      <w:pPr>
        <w:jc w:val="both"/>
        <w:outlineLvl w:val="1"/>
      </w:pPr>
      <w:r>
        <w:rPr>
          <w:rFonts w:hAnsi="Arial"/>
          <w:rFonts w:ascii="Arial"/>
          <w:sz w:val="24"/>
          <w:b/>
          <w:color w:val="black"/>
        </w:rPr>
        <w:t xml:space="preserve">c) </w:t>
      </w:r>
      <w:r>
        <w:rPr>
          <w:rFonts w:hAnsi="Arial"/>
          <w:rFonts w:ascii="Arial"/>
          <w:sz w:val="24"/>
          <w:color w:val="black"/>
        </w:rPr>
        <w:t xml:space="preserve">Marinero costanero que forma parte de la guardia de mαquinas, en buques pesqueros de eslora inferior a 12 metros, con potencia propulsora inferior a 350 kW.</w:t>
      </w:r>
    </w:p>
    <w:p>
      <w:pPr>
        <w:jc w:val="both"/>
        <w:outlineLvl w:val="1"/>
      </w:pPr>
      <w:rPr>
        <w:sz w:val="24"/>
        <w:b/>
        <w:color w:val="black"/>
      </w:rPr>
    </w:p>
    <w:p>
      <w:pPr>
        <w:jc w:val="both"/>
        <w:outlineLvl w:val="1"/>
      </w:pPr>
      <w:r>
        <w:rPr>
          <w:rFonts w:hAnsi="Arial"/>
          <w:rFonts w:ascii="Arial"/>
          <w:sz w:val="24"/>
          <w:b/>
          <w:color w:val="black"/>
        </w:rPr>
        <w:t xml:space="preserve">d) </w:t>
      </w:r>
      <w:r>
        <w:rPr>
          <w:rFonts w:hAnsi="Arial"/>
          <w:rFonts w:ascii="Arial"/>
          <w:sz w:val="24"/>
          <w:color w:val="black"/>
        </w:rPr>
        <w:t xml:space="preserve">Motorista costanero en aguas no protegidas de naves con arqueo bruto inferior a 25.</w:t>
      </w:r>
    </w:p>
    <w:p>
      <w:pPr>
        <w:jc w:val="both"/>
        <w:outlineLvl w:val="1"/>
      </w:pPr>
      <w:rPr>
        <w:sz w:val="24"/>
        <w:b/>
        <w:color w:val="black"/>
      </w:rPr>
    </w:p>
    <w:p>
      <w:pPr>
        <w:jc w:val="both"/>
        <w:outlineLvl w:val="1"/>
      </w:pPr>
      <w:r>
        <w:rPr>
          <w:rFonts w:hAnsi="Arial"/>
          <w:rFonts w:ascii="Arial"/>
          <w:sz w:val="24"/>
          <w:b/>
          <w:color w:val="black"/>
        </w:rPr>
        <w:t xml:space="preserve">e) </w:t>
      </w:r>
      <w:r>
        <w:rPr>
          <w:rFonts w:hAnsi="Arial"/>
          <w:rFonts w:ascii="Arial"/>
          <w:sz w:val="24"/>
          <w:color w:val="black"/>
        </w:rPr>
        <w:t xml:space="preserve">Motorista en aguas protegidas de naves con arqueo bruto inferior a 25.</w:t>
      </w:r>
    </w:p>
    <w:p>
      <w:pPr>
        <w:jc w:val="both"/>
        <w:outlineLvl w:val="1"/>
      </w:pPr>
      <w:rPr>
        <w:color w:val="black"/>
      </w:rPr>
    </w:p>
    <w:p>
      <w:pPr>
        <w:jc w:val="both"/>
        <w:outlineLvl w:val="1"/>
      </w:pPr>
      <w:r>
        <w:rPr>
          <w:rFonts w:hAnsi="Arial"/>
          <w:rFonts w:ascii="Arial"/>
          <w:sz w:val="24"/>
          <w:b/>
          <w:vanish/>
          <w:color w:val="black"/>
        </w:rPr>
        <w:t>&amp;$</w:t>
      </w:r>
      <w:bookmarkStart w:id="61384" w:name="2.4.1.1.1.1.25"/>
      <w:r>
        <w:rPr>
          <w:rFonts w:hAnsi="Arial"/>
          <w:rFonts w:ascii="Arial"/>
          <w:sz w:val="24"/>
          <w:color w:val="navy"/>
        </w:rPr>
        <w:t xml:space="preserve">ARTΝCULO 2.4.1.1.1.1.25. RANGOS DE LA TRIPULACIΣN DE NAVES DE RECREO Y DEPORTIVAS.</w:t>
      </w:r>
      <w:bookmarkEnd w:id="6138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Los rangos de la tripulaciσn de las naves de recreo y deportivas son los siguientes:</w:t>
      </w:r>
    </w:p>
    <w:p>
      <w:pPr>
        <w:jc w:val="both"/>
        <w:outlineLvl w:val="1"/>
      </w:pPr>
      <w:rPr>
        <w:sz w:val="24"/>
        <w:b/>
        <w:color w:val="black"/>
      </w:rPr>
    </w:p>
    <w:p>
      <w:pPr>
        <w:jc w:val="both"/>
        <w:outlineLvl w:val="1"/>
      </w:pPr>
      <w:r>
        <w:rPr>
          <w:rFonts w:hAnsi="Arial"/>
          <w:rFonts w:ascii="Arial"/>
          <w:sz w:val="24"/>
          <w:b/>
          <w:color w:val="black"/>
        </w:rPr>
        <w:t xml:space="preserve">A. Secciσn de Puente</w:t>
      </w:r>
    </w:p>
    <w:p>
      <w:pPr>
        <w:jc w:val="both"/>
        <w:outlineLvl w:val="1"/>
      </w:pPr>
      <w:rPr>
        <w:sz w:val="24"/>
        <w:b/>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Capitαn de Yate.</w:t>
      </w:r>
    </w:p>
    <w:p>
      <w:pPr>
        <w:jc w:val="both"/>
        <w:outlineLvl w:val="1"/>
      </w:pPr>
      <w:r>
        <w:rPr>
          <w:rFonts w:hAnsi="Arial"/>
          <w:rFonts w:ascii="Arial"/>
          <w:sz w:val="24"/>
          <w:b/>
          <w:color w:val="black"/>
        </w:rPr>
        <w:t xml:space="preserve">b) </w:t>
      </w:r>
      <w:r>
        <w:rPr>
          <w:rFonts w:hAnsi="Arial"/>
          <w:rFonts w:ascii="Arial"/>
          <w:sz w:val="24"/>
          <w:color w:val="black"/>
        </w:rPr>
        <w:t xml:space="preserve">Patrσn Deportivo Avanzado.</w:t>
      </w:r>
    </w:p>
    <w:p>
      <w:pPr>
        <w:jc w:val="both"/>
        <w:outlineLvl w:val="1"/>
      </w:pPr>
      <w:r>
        <w:rPr>
          <w:rFonts w:hAnsi="Arial"/>
          <w:rFonts w:ascii="Arial"/>
          <w:sz w:val="24"/>
          <w:b/>
          <w:color w:val="black"/>
        </w:rPr>
        <w:t xml:space="preserve">c) </w:t>
      </w:r>
      <w:r>
        <w:rPr>
          <w:rFonts w:hAnsi="Arial"/>
          <w:rFonts w:ascii="Arial"/>
          <w:sz w:val="24"/>
          <w:color w:val="black"/>
        </w:rPr>
        <w:t xml:space="preserve">Patrσn Deportivo Bαsico.</w:t>
      </w:r>
    </w:p>
    <w:p>
      <w:pPr>
        <w:jc w:val="both"/>
        <w:outlineLvl w:val="1"/>
      </w:pPr>
      <w:r>
        <w:rPr>
          <w:rFonts w:hAnsi="Arial"/>
          <w:rFonts w:ascii="Arial"/>
          <w:sz w:val="24"/>
          <w:b/>
          <w:color w:val="black"/>
        </w:rPr>
        <w:t xml:space="preserve">d) </w:t>
      </w:r>
      <w:r>
        <w:rPr>
          <w:rFonts w:hAnsi="Arial"/>
          <w:rFonts w:ascii="Arial"/>
          <w:sz w:val="24"/>
          <w:color w:val="black"/>
        </w:rPr>
        <w:t xml:space="preserve">Operador Deportivo Motonαutico.</w:t>
      </w:r>
    </w:p>
    <w:p>
      <w:pPr>
        <w:jc w:val="both"/>
        <w:outlineLvl w:val="1"/>
      </w:pPr>
      <w:r>
        <w:rPr>
          <w:rFonts w:hAnsi="Arial"/>
          <w:rFonts w:ascii="Arial"/>
          <w:sz w:val="24"/>
          <w:b/>
          <w:color w:val="black"/>
        </w:rPr>
        <w:t xml:space="preserve">e) </w:t>
      </w:r>
      <w:r>
        <w:rPr>
          <w:rFonts w:hAnsi="Arial"/>
          <w:rFonts w:ascii="Arial"/>
          <w:sz w:val="24"/>
          <w:color w:val="black"/>
        </w:rPr>
        <w:t xml:space="preserve">Operador Deportivo navegaciσn a vela.</w:t>
      </w:r>
    </w:p>
    <w:p>
      <w:pPr>
        <w:jc w:val="both"/>
        <w:outlineLvl w:val="1"/>
      </w:pPr>
      <w:rPr>
        <w:sz w:val="24"/>
        <w:b/>
        <w:color w:val="black"/>
      </w:rPr>
    </w:p>
    <w:p>
      <w:pPr>
        <w:jc w:val="both"/>
        <w:outlineLvl w:val="1"/>
      </w:pPr>
      <w:r>
        <w:rPr>
          <w:rFonts w:hAnsi="Arial"/>
          <w:rFonts w:ascii="Arial"/>
          <w:sz w:val="24"/>
          <w:b/>
          <w:color w:val="black"/>
        </w:rPr>
        <w:t xml:space="preserve">B. Secciσn de Mαquinas: </w:t>
      </w:r>
      <w:r>
        <w:rPr>
          <w:rFonts w:hAnsi="Arial"/>
          <w:rFonts w:ascii="Arial"/>
          <w:sz w:val="24"/>
          <w:color w:val="black"/>
        </w:rPr>
        <w:t xml:space="preserve">Los grados de la secciσn de mαquinas serαn los mismos de transporte comercial.</w:t>
      </w:r>
    </w:p>
    <w:p>
      <w:pPr>
        <w:jc w:val="both"/>
        <w:outlineLvl w:val="1"/>
      </w:pPr>
      <w:rPr>
        <w:color w:val="black"/>
      </w:rPr>
    </w:p>
    <w:p>
      <w:pPr>
        <w:jc w:val="both"/>
        <w:outlineLvl w:val="1"/>
      </w:pPr>
      <w:r>
        <w:rPr>
          <w:rFonts w:hAnsi="Arial"/>
          <w:rFonts w:ascii="Arial"/>
          <w:sz w:val="24"/>
          <w:b/>
          <w:vanish/>
          <w:color w:val="black"/>
        </w:rPr>
        <w:t>&amp;$</w:t>
      </w:r>
      <w:bookmarkStart w:id="61385" w:name="2.4.1.1.1.1.26"/>
      <w:r>
        <w:rPr>
          <w:rFonts w:hAnsi="Arial"/>
          <w:rFonts w:ascii="Arial"/>
          <w:sz w:val="24"/>
          <w:color w:val="navy"/>
        </w:rPr>
        <w:t xml:space="preserve">ARTΝCULO 2.4.1.1.1.1.26. REGLAMENTACIΣN TΙCNICA.</w:t>
      </w:r>
      <w:bookmarkEnd w:id="6138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"http://www.redjurista.com/document.aspx?ajcode=d1063024&amp;arts=1"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1063 de 2024. El nuevo texto es el siguiente:&gt; La Autoridad Marνtima Nacional - Direcciσn General Marνtima del Ministerio de Defensa Nacional, queda facultada para expedir y mantener actualizada la reglamentaciσn sobre la Gente de Mar, con base en los criterios establecidos en el presente capνtulo, de manera que oportunamente se adapten sus normas a los adelantos tecnolσgicos y a las normas internacionales que sean aplicables.</w:t>
      </w:r>
    </w:p>
    <w:p>
      <w:pPr>
        <w:jc w:val="both"/>
        <w:outlineLvl w:val="1"/>
      </w:pPr>
      <w:rPr>
        <w:color w:val="black"/>
      </w:rPr>
    </w:p>
    <w:p>
      <w:pPr>
        <w:jc w:val="center"/>
        <w:outlineLvl w:val="1"/>
      </w:pPr>
      <w:r>
        <w:rPr>
          <w:rFonts w:hAnsi="Arial"/>
          <w:rFonts w:ascii="Arial"/>
          <w:sz w:val="24"/>
          <w:vanish/>
          <w:color w:val="black"/>
        </w:rPr>
        <w:t>&amp;$</w:t>
      </w:r>
      <w:bookmarkStart w:id="61386" w:name="SECCIÓN 2.4.1.1.2"/>
      <w:r>
        <w:rPr>
          <w:rFonts w:hAnsi="Arial"/>
          <w:rFonts w:ascii="Arial"/>
          <w:sz w:val="24"/>
          <w:color w:val="navy"/>
        </w:rPr>
        <w:t xml:space="preserve">SECCIΣN 2. </w:t>
      </w:r>
    </w:p>
    <w:p>
      <w:pPr>
        <w:jc w:val="center"/>
        <w:outlineLvl w:val="1"/>
      </w:pPr>
      <w:r>
        <w:rPr>
          <w:rFonts w:hAnsi="Arial"/>
          <w:rFonts w:ascii="Arial"/>
          <w:sz w:val="24"/>
          <w:color w:val="navy"/>
        </w:rPr>
        <w:t xml:space="preserve">DE LAS TRIPULACIONES DE LAS NAVES DEL TRANSPORTE MARΝTIMO.</w:t>
      </w:r>
      <w:bookmarkEnd w:id="61386"/>
      <w:r>
        <w:rPr>
          <w:rFonts w:hAnsi="Arial"/>
          <w:rFonts w:ascii="Arial"/>
          <w:sz w:val="24"/>
          <w:b/>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61387" w:name="2.4.1.1.2.1"/>
      <w:r>
        <w:rPr>
          <w:rFonts w:hAnsi="Arial"/>
          <w:rFonts w:ascii="Arial"/>
          <w:sz w:val="24"/>
          <w:color w:val="navy"/>
        </w:rPr>
        <w:t xml:space="preserve">ARTΝCULO 2.4.1.1.2.1.</w:t>
      </w:r>
      <w:bookmarkEnd w:id="6138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88" w:name="2.4.1.1.2.2"/>
      <w:r>
        <w:rPr>
          <w:rFonts w:hAnsi="Arial"/>
          <w:rFonts w:ascii="Arial"/>
          <w:sz w:val="24"/>
          <w:color w:val="navy"/>
        </w:rPr>
        <w:t xml:space="preserve">ARTΝCULO 2.4.1.1.2.2.</w:t>
      </w:r>
      <w:bookmarkEnd w:id="6138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89" w:name="2.4.1.1.2.3"/>
      <w:r>
        <w:rPr>
          <w:rFonts w:hAnsi="Arial"/>
          <w:rFonts w:ascii="Arial"/>
          <w:sz w:val="24"/>
          <w:color w:val="navy"/>
        </w:rPr>
        <w:t xml:space="preserve">ARTΝCULO 2.4.1.1.2.3.</w:t>
      </w:r>
      <w:bookmarkEnd w:id="6138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0" w:name="2.4.1.1.2.4"/>
      <w:r>
        <w:rPr>
          <w:rFonts w:hAnsi="Arial"/>
          <w:rFonts w:ascii="Arial"/>
          <w:sz w:val="24"/>
          <w:color w:val="navy"/>
        </w:rPr>
        <w:t xml:space="preserve">ARTΝCULO 2.4.1.1.2.4.</w:t>
      </w:r>
      <w:bookmarkEnd w:id="6139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1" w:name="2.4.1.1.2.5"/>
      <w:r>
        <w:rPr>
          <w:rFonts w:hAnsi="Arial"/>
          <w:rFonts w:ascii="Arial"/>
          <w:sz w:val="24"/>
          <w:color w:val="navy"/>
        </w:rPr>
        <w:t xml:space="preserve">ARTΝCULO 2.4.1.1.2.5.</w:t>
      </w:r>
      <w:bookmarkEnd w:id="6139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2" w:name="2.4.1.1.2.6"/>
      <w:r>
        <w:rPr>
          <w:rFonts w:hAnsi="Arial"/>
          <w:rFonts w:ascii="Arial"/>
          <w:sz w:val="24"/>
          <w:color w:val="navy"/>
        </w:rPr>
        <w:t xml:space="preserve">ARTΝCULO 2.4.1.1.2.6.</w:t>
      </w:r>
      <w:bookmarkEnd w:id="6139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3" w:name="2.4.1.1.2.7"/>
      <w:r>
        <w:rPr>
          <w:rFonts w:hAnsi="Arial"/>
          <w:rFonts w:ascii="Arial"/>
          <w:sz w:val="24"/>
          <w:color w:val="navy"/>
        </w:rPr>
        <w:t xml:space="preserve">ARTΝCULO 2.4.1.1.2.7.</w:t>
      </w:r>
      <w:bookmarkEnd w:id="6139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4" w:name="2.4.1.1.2.8"/>
      <w:r>
        <w:rPr>
          <w:rFonts w:hAnsi="Arial"/>
          <w:rFonts w:ascii="Arial"/>
          <w:sz w:val="24"/>
          <w:color w:val="navy"/>
        </w:rPr>
        <w:t xml:space="preserve">ARTΝCULO 2.4.1.1.2.8.</w:t>
      </w:r>
      <w:bookmarkEnd w:id="6139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5" w:name="2.4.1.1.2.9"/>
      <w:r>
        <w:rPr>
          <w:rFonts w:hAnsi="Arial"/>
          <w:rFonts w:ascii="Arial"/>
          <w:sz w:val="24"/>
          <w:color w:val="navy"/>
        </w:rPr>
        <w:t xml:space="preserve">ARTΝCULO 2.4.1.1.2.9.</w:t>
      </w:r>
      <w:bookmarkEnd w:id="6139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6" w:name="2.4.1.1.2.10"/>
      <w:r>
        <w:rPr>
          <w:rFonts w:hAnsi="Arial"/>
          <w:rFonts w:ascii="Arial"/>
          <w:sz w:val="24"/>
          <w:color w:val="navy"/>
        </w:rPr>
        <w:t xml:space="preserve">ARTΝCULO 2.4.1.1.2.10.</w:t>
      </w:r>
      <w:bookmarkEnd w:id="6139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7" w:name="2.4.1.1.2.11"/>
      <w:r>
        <w:rPr>
          <w:rFonts w:hAnsi="Arial"/>
          <w:rFonts w:ascii="Arial"/>
          <w:sz w:val="24"/>
          <w:color w:val="navy"/>
        </w:rPr>
        <w:t xml:space="preserve">ARTΝCULO 2.4.1.1.2.11.</w:t>
      </w:r>
      <w:bookmarkEnd w:id="6139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398" w:name="2.4.1.1.2.12"/>
      <w:r>
        <w:rPr>
          <w:rFonts w:hAnsi="Arial"/>
          <w:rFonts w:ascii="Arial"/>
          <w:sz w:val="24"/>
          <w:color w:val="navy"/>
        </w:rPr>
        <w:t xml:space="preserve">ARTΝCULO 2.4.1.1.2.12.</w:t>
      </w:r>
      <w:bookmarkEnd w:id="6139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both"/>
      </w:pPr>
      <w:r>
        <w:rPr>
          <w:rFonts w:hAnsi="Arial"/>
          <w:rFonts w:ascii="Arial"/>
          <w:sz w:val="24"/>
          <w:vanish/>
          <w:color w:val="black"/>
        </w:rPr>
        <w:t>&amp;$</w:t>
      </w:r>
      <w:bookmarkStart w:id="61399" w:name="2.4.1.1.2.13"/>
      <w:r>
        <w:rPr>
          <w:rFonts w:hAnsi="Arial"/>
          <w:rFonts w:ascii="Arial"/>
          <w:sz w:val="24"/>
          <w:color w:val="navy"/>
        </w:rPr>
        <w:t xml:space="preserve">ARTΝCULO 2.4.1.1.2.13.</w:t>
      </w:r>
      <w:bookmarkEnd w:id="6139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0" w:name="2.4.1.1.2.14"/>
      <w:r>
        <w:rPr>
          <w:rFonts w:hAnsi="Arial"/>
          <w:rFonts w:ascii="Arial"/>
          <w:sz w:val="24"/>
          <w:color w:val="navy"/>
        </w:rPr>
        <w:t xml:space="preserve">ARTΝCULO 2.4.1.1.2.14.</w:t>
      </w:r>
      <w:bookmarkEnd w:id="6140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1" w:name="2.4.1.1.2.15"/>
      <w:r>
        <w:rPr>
          <w:rFonts w:hAnsi="Arial"/>
          <w:rFonts w:ascii="Arial"/>
          <w:sz w:val="24"/>
          <w:color w:val="navy"/>
        </w:rPr>
        <w:t xml:space="preserve">ARTΝCULO 2.4.1.1.2.15.</w:t>
      </w:r>
      <w:bookmarkEnd w:id="6140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2" w:name="2.4.1.1.2.16"/>
      <w:r>
        <w:rPr>
          <w:rFonts w:hAnsi="Arial"/>
          <w:rFonts w:ascii="Arial"/>
          <w:sz w:val="24"/>
          <w:color w:val="navy"/>
        </w:rPr>
        <w:t xml:space="preserve">ARTΝCULO 2.4.1.1.2.16.</w:t>
      </w:r>
      <w:bookmarkEnd w:id="6140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3" w:name="2.4.1.1.2.17"/>
      <w:r>
        <w:rPr>
          <w:rFonts w:hAnsi="Arial"/>
          <w:rFonts w:ascii="Arial"/>
          <w:sz w:val="24"/>
          <w:color w:val="navy"/>
        </w:rPr>
        <w:t xml:space="preserve">ARTΝCULO 2.4.1.1.2.17.</w:t>
      </w:r>
      <w:bookmarkEnd w:id="6140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4" w:name="2.4.1.1.2.18"/>
      <w:r>
        <w:rPr>
          <w:rFonts w:hAnsi="Arial"/>
          <w:rFonts w:ascii="Arial"/>
          <w:sz w:val="24"/>
          <w:color w:val="navy"/>
        </w:rPr>
        <w:t xml:space="preserve">ARTΝCULO 2.4.1.1.2.18.</w:t>
      </w:r>
      <w:bookmarkEnd w:id="6140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5" w:name="2.4.1.1.2.19"/>
      <w:r>
        <w:rPr>
          <w:rFonts w:hAnsi="Arial"/>
          <w:rFonts w:ascii="Arial"/>
          <w:sz w:val="24"/>
          <w:color w:val="navy"/>
        </w:rPr>
        <w:t xml:space="preserve">ARTΝCULO 2.4.1.1.2.19.</w:t>
      </w:r>
      <w:bookmarkEnd w:id="6140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6" w:name="2.4.1.1.2.20"/>
      <w:r>
        <w:rPr>
          <w:rFonts w:hAnsi="Arial"/>
          <w:rFonts w:ascii="Arial"/>
          <w:sz w:val="24"/>
          <w:color w:val="navy"/>
        </w:rPr>
        <w:t xml:space="preserve">ARTΝCULO 2.4.1.1.2.20.</w:t>
      </w:r>
      <w:bookmarkEnd w:id="6140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7" w:name="2.4.1.1.2.21"/>
      <w:r>
        <w:rPr>
          <w:rFonts w:hAnsi="Arial"/>
          <w:rFonts w:ascii="Arial"/>
          <w:sz w:val="24"/>
          <w:color w:val="navy"/>
        </w:rPr>
        <w:t xml:space="preserve">ARTΝCULO 2.4.1.1.2.21.</w:t>
      </w:r>
      <w:bookmarkEnd w:id="6140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8" w:name="2.4.1.1.2.22"/>
      <w:r>
        <w:rPr>
          <w:rFonts w:hAnsi="Arial"/>
          <w:rFonts w:ascii="Arial"/>
          <w:sz w:val="24"/>
          <w:color w:val="navy"/>
        </w:rPr>
        <w:t xml:space="preserve">ARTΝCULO 2.4.1.1.2.22.</w:t>
      </w:r>
      <w:bookmarkEnd w:id="6140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09" w:name="2.4.1.1.2.23"/>
      <w:r>
        <w:rPr>
          <w:rFonts w:hAnsi="Arial"/>
          <w:rFonts w:ascii="Arial"/>
          <w:sz w:val="24"/>
          <w:color w:val="navy"/>
        </w:rPr>
        <w:t xml:space="preserve">ARTΝCULO 2.4.1.1.2.23.</w:t>
      </w:r>
      <w:bookmarkEnd w:id="6140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0" w:name="2.4.1.1.2.24"/>
      <w:r>
        <w:rPr>
          <w:rFonts w:hAnsi="Arial"/>
          <w:rFonts w:ascii="Arial"/>
          <w:sz w:val="24"/>
          <w:color w:val="navy"/>
        </w:rPr>
        <w:t xml:space="preserve">ARTΝCULO 2.4.1.1.2.24.</w:t>
      </w:r>
      <w:bookmarkEnd w:id="6141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1" w:name="2.4.1.1.2.25"/>
      <w:r>
        <w:rPr>
          <w:rFonts w:hAnsi="Arial"/>
          <w:rFonts w:ascii="Arial"/>
          <w:sz w:val="24"/>
          <w:color w:val="navy"/>
        </w:rPr>
        <w:t xml:space="preserve">ARTΝCULO 2.4.1.1.2.25.</w:t>
      </w:r>
      <w:bookmarkEnd w:id="6141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2" w:name="2.4.1.1.2.26"/>
      <w:r>
        <w:rPr>
          <w:rFonts w:hAnsi="Arial"/>
          <w:rFonts w:ascii="Arial"/>
          <w:sz w:val="24"/>
          <w:color w:val="navy"/>
        </w:rPr>
        <w:t xml:space="preserve">ARTΝCULO 2.4.1.1.2.26.</w:t>
      </w:r>
      <w:bookmarkEnd w:id="6141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3" w:name="2.4.1.1.2.27"/>
      <w:r>
        <w:rPr>
          <w:rFonts w:hAnsi="Arial"/>
          <w:rFonts w:ascii="Arial"/>
          <w:sz w:val="24"/>
          <w:color w:val="navy"/>
        </w:rPr>
        <w:t xml:space="preserve">ARTΝCULO 2.4.1.1.2.27.</w:t>
      </w:r>
      <w:bookmarkEnd w:id="6141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4" w:name="2.4.1.1.2.28"/>
      <w:r>
        <w:rPr>
          <w:rFonts w:hAnsi="Arial"/>
          <w:rFonts w:ascii="Arial"/>
          <w:sz w:val="24"/>
          <w:color w:val="navy"/>
        </w:rPr>
        <w:t xml:space="preserve">ARTΝCULO 2.4.1.1.2.28.</w:t>
      </w:r>
      <w:bookmarkEnd w:id="6141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5" w:name="2.4.1.1.2.29"/>
      <w:r>
        <w:rPr>
          <w:rFonts w:hAnsi="Arial"/>
          <w:rFonts w:ascii="Arial"/>
          <w:sz w:val="24"/>
          <w:color w:val="navy"/>
        </w:rPr>
        <w:t xml:space="preserve">ARTΝCULO 2.4.1.1.2.29.</w:t>
      </w:r>
      <w:bookmarkEnd w:id="6141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6" w:name="2.4.1.1.2.30"/>
      <w:r>
        <w:rPr>
          <w:rFonts w:hAnsi="Arial"/>
          <w:rFonts w:ascii="Arial"/>
          <w:sz w:val="24"/>
          <w:color w:val="navy"/>
        </w:rPr>
        <w:t xml:space="preserve">ARTΝCULO 2.4.1.1.2.30.</w:t>
      </w:r>
      <w:bookmarkEnd w:id="6141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7" w:name="2.4.1.1.2.31"/>
      <w:r>
        <w:rPr>
          <w:rFonts w:hAnsi="Arial"/>
          <w:rFonts w:ascii="Arial"/>
          <w:sz w:val="24"/>
          <w:color w:val="navy"/>
        </w:rPr>
        <w:t xml:space="preserve">ARTΝCULO 2.4.1.1.2.31.</w:t>
      </w:r>
      <w:bookmarkEnd w:id="6141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8" w:name="2.4.1.1.2.32"/>
      <w:r>
        <w:rPr>
          <w:rFonts w:hAnsi="Arial"/>
          <w:rFonts w:ascii="Arial"/>
          <w:sz w:val="24"/>
          <w:color w:val="navy"/>
        </w:rPr>
        <w:t xml:space="preserve">ARTΝCULO 2.4.1.1.2.32.</w:t>
      </w:r>
      <w:bookmarkEnd w:id="6141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19" w:name="2.4.1.1.2.33"/>
      <w:r>
        <w:rPr>
          <w:rFonts w:hAnsi="Arial"/>
          <w:rFonts w:ascii="Arial"/>
          <w:sz w:val="24"/>
          <w:color w:val="navy"/>
        </w:rPr>
        <w:t xml:space="preserve">ARTΝCULO 2.4.1.1.2.33.</w:t>
      </w:r>
      <w:bookmarkEnd w:id="6141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20" w:name="2.4.1.1.2.34"/>
      <w:r>
        <w:rPr>
          <w:rFonts w:hAnsi="Arial"/>
          <w:rFonts w:ascii="Arial"/>
          <w:sz w:val="24"/>
          <w:color w:val="navy"/>
        </w:rPr>
        <w:t xml:space="preserve">ARTΝCULO 2.4.1.1.2.34.</w:t>
      </w:r>
      <w:bookmarkEnd w:id="6142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21" w:name="2.4.1.1.2.35"/>
      <w:r>
        <w:rPr>
          <w:rFonts w:hAnsi="Arial"/>
          <w:rFonts w:ascii="Arial"/>
          <w:sz w:val="24"/>
          <w:color w:val="navy"/>
        </w:rPr>
        <w:t xml:space="preserve">ARTΝCULO 2.4.1.1.2.35.</w:t>
      </w:r>
      <w:bookmarkEnd w:id="6142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i/>
        <w:color w:val="black"/>
      </w:rPr>
    </w:p>
    <w:p>
      <w:pPr>
        <w:jc w:val="both"/>
      </w:pPr>
      <w:r>
        <w:rPr>
          <w:rFonts w:hAnsi="Arial"/>
          <w:rFonts w:ascii="Arial"/>
          <w:sz w:val="24"/>
          <w:vanish/>
          <w:color w:val="black"/>
        </w:rPr>
        <w:t>&amp;$</w:t>
      </w:r>
      <w:bookmarkStart w:id="61422" w:name="2.4.1.1.2.36"/>
      <w:r>
        <w:rPr>
          <w:rFonts w:hAnsi="Arial"/>
          <w:rFonts w:ascii="Arial"/>
          <w:sz w:val="24"/>
          <w:color w:val="navy"/>
        </w:rPr>
        <w:t xml:space="preserve">ARTΝCULO 2.4.1.1.2.36. </w:t>
      </w:r>
      <w:r>
        <w:rPr>
          <w:rFonts w:hAnsi="Arial"/>
          <w:rFonts w:ascii="Arial"/>
          <w:sz w:val="24"/>
          <w:i/>
          <w:color w:val="navy"/>
        </w:rPr>
        <w:t xml:space="preserve">FUNCIONES Y OBLIGACIONES DEL CAPITΑN.</w:t>
      </w:r>
      <w:bookmarkEnd w:id="61422"/>
      <w:r>
        <w:rPr>
          <w:rFonts w:hAnsi="Arial"/>
          <w:rFonts w:ascii="Arial"/>
          <w:sz w:val="24"/>
          <w:b/>
          <w:i/>
          <w:color w:val="black"/>
        </w:rPr>
        <w:t xml:space="preserve"> </w:t>
      </w:r>
      <w:r>
        <w:rPr>
          <w:rFonts w:hAnsi="Arial"/>
          <w:rFonts w:ascii="Arial"/>
          <w:sz w:val="24"/>
          <w:color w:val="black"/>
        </w:rPr>
        <w:t xml:space="preserve">Son funciones y obligaciones del Capitαn:</w:t>
      </w:r>
    </w:p>
    <w:p>
      <w:pPr>
        <w:jc w:val="both"/>
      </w:pPr>
      <w:rPr>
        <w:sz w:val="24"/>
        <w:color w:val="black"/>
      </w:rPr>
    </w:p>
    <w:p>
      <w:pPr>
        <w:jc w:val="both"/>
      </w:pPr>
      <w:r>
        <w:rPr>
          <w:rFonts w:hAnsi="Arial"/>
          <w:rFonts w:ascii="Arial"/>
          <w:sz w:val="24"/>
          <w:color w:val="black"/>
        </w:rPr>
        <w:t xml:space="preserve">1. Dirigir la navegaciσn de la nave.</w:t>
      </w:r>
    </w:p>
    <w:p>
      <w:pPr>
        <w:jc w:val="both"/>
      </w:pPr>
      <w:rPr>
        <w:sz w:val="24"/>
        <w:color w:val="black"/>
      </w:rPr>
    </w:p>
    <w:p>
      <w:pPr>
        <w:jc w:val="both"/>
      </w:pPr>
      <w:r>
        <w:rPr>
          <w:rFonts w:hAnsi="Arial"/>
          <w:rFonts w:ascii="Arial"/>
          <w:sz w:val="24"/>
          <w:color w:val="black"/>
        </w:rPr>
        <w:t xml:space="preserve">2. Dirigir personalmente toda maniobra del buque al entrar o salir de puerto, durante el paso por canales estrechos o αreas peligrosas y en general en cualquier otra maniobra en que sea necesario o aconsejable para garantizar la seguridad de la nave, teniendo en cuenta el estado de tiempo y del mar, o las condiciones locales que puedan afectar la navegaciσn.</w:t>
      </w:r>
    </w:p>
    <w:p>
      <w:pPr>
        <w:jc w:val="both"/>
      </w:pPr>
      <w:rPr>
        <w:sz w:val="24"/>
        <w:color w:val="black"/>
      </w:rPr>
    </w:p>
    <w:p>
      <w:pPr>
        <w:jc w:val="both"/>
      </w:pPr>
      <w:r>
        <w:rPr>
          <w:rFonts w:hAnsi="Arial"/>
          <w:rFonts w:ascii="Arial"/>
          <w:sz w:val="24"/>
          <w:color w:val="black"/>
        </w:rPr>
        <w:t xml:space="preserve">3. Es, en todo momento y circunstancia, responsable directo por la seguridad de la nave, su carga y las personas a bordo. Cuando lleve Prαctico a bordo y considere que las indicaciones o instrucciones de este son peligrosas para la seguridad de la nave, otras naves cercanas, o las instalaciones portuarias y costeras, se apartarα de dichas instrucciones y ordenarα personalmente la maniobra o navegaciσn, relevando al Prαctico en sus funciones parcial o totalmente, y dejando en tales casos constancia de ello en el diario de navegaciσn.</w:t>
      </w:r>
    </w:p>
    <w:p>
      <w:pPr>
        <w:jc w:val="both"/>
      </w:pPr>
      <w:rPr>
        <w:sz w:val="24"/>
        <w:color w:val="black"/>
      </w:rPr>
    </w:p>
    <w:p>
      <w:pPr>
        <w:jc w:val="both"/>
      </w:pPr>
      <w:r>
        <w:rPr>
          <w:rFonts w:hAnsi="Arial"/>
          <w:rFonts w:ascii="Arial"/>
          <w:sz w:val="24"/>
          <w:color w:val="black"/>
        </w:rPr>
        <w:t xml:space="preserve">4. Respaldar la legνtima autoridad de sus oficiales para el mantenimiento de la disciplina a bordo y la seguridad de la nave.</w:t>
      </w:r>
    </w:p>
    <w:p>
      <w:pPr>
        <w:jc w:val="both"/>
      </w:pPr>
      <w:rPr>
        <w:sz w:val="24"/>
        <w:color w:val="black"/>
      </w:rPr>
    </w:p>
    <w:p>
      <w:pPr>
        <w:jc w:val="both"/>
      </w:pPr>
      <w:r>
        <w:rPr>
          <w:rFonts w:hAnsi="Arial"/>
          <w:rFonts w:ascii="Arial"/>
          <w:sz w:val="24"/>
          <w:color w:val="black"/>
        </w:rPr>
        <w:t xml:space="preserve">5. Velar por el bienestar fνsico y moral de todo el personal a bordo.</w:t>
      </w:r>
    </w:p>
    <w:p>
      <w:pPr>
        <w:jc w:val="both"/>
      </w:pPr>
      <w:rPr>
        <w:sz w:val="24"/>
        <w:color w:val="black"/>
      </w:rPr>
    </w:p>
    <w:p>
      <w:pPr>
        <w:jc w:val="both"/>
      </w:pPr>
      <w:r>
        <w:rPr>
          <w:rFonts w:hAnsi="Arial"/>
          <w:rFonts w:ascii="Arial"/>
          <w:sz w:val="24"/>
          <w:color w:val="black"/>
        </w:rPr>
        <w:t xml:space="preserve">6. Estimular y organizar la instrucciσn marinera de los subalternos como medio indispensable para garantizar la seguridad de la nave y de la gente a bordo.</w:t>
      </w:r>
    </w:p>
    <w:p>
      <w:pPr>
        <w:jc w:val="both"/>
      </w:pPr>
      <w:rPr>
        <w:sz w:val="24"/>
        <w:color w:val="black"/>
      </w:rPr>
    </w:p>
    <w:p>
      <w:pPr>
        <w:jc w:val="both"/>
      </w:pPr>
      <w:r>
        <w:rPr>
          <w:rFonts w:hAnsi="Arial"/>
          <w:rFonts w:ascii="Arial"/>
          <w:sz w:val="24"/>
          <w:color w:val="black"/>
        </w:rPr>
        <w:t xml:space="preserve">7. No aceptar a bordo como miembro de la tripulaciσn a ninguna persona que no estι en posesiσn de una licencia de navegaciσn, expedida o refrendada por la Autoridad Marνtima colombiana, de la clase y categorνa que lo faculte para desempeρar el cargo respectivo a bordo, o no tenga su correspondiente Libreta de Embarco, debidamente legalizada.</w:t>
      </w:r>
    </w:p>
    <w:p>
      <w:pPr>
        <w:jc w:val="both"/>
      </w:pPr>
      <w:rPr>
        <w:sz w:val="24"/>
        <w:color w:val="black"/>
      </w:rPr>
    </w:p>
    <w:p>
      <w:pPr>
        <w:jc w:val="both"/>
      </w:pPr>
      <w:r>
        <w:rPr>
          <w:rFonts w:hAnsi="Arial"/>
          <w:rFonts w:ascii="Arial"/>
          <w:sz w:val="24"/>
          <w:color w:val="black"/>
        </w:rPr>
        <w:t xml:space="preserve">8. Mantener abordo un ejemplar de cada uno de los siguientes cσdigos, reglamentos y otros:</w:t>
      </w:r>
    </w:p>
    <w:p>
      <w:pPr>
        <w:jc w:val="both"/>
      </w:pPr>
      <w:rPr>
        <w:sz w:val="24"/>
        <w:color w:val="black"/>
      </w:rPr>
    </w:p>
    <w:p>
      <w:pPr>
        <w:jc w:val="both"/>
      </w:pPr>
      <w:r>
        <w:rPr>
          <w:rFonts w:hAnsi="Arial"/>
          <w:rFonts w:ascii="Arial"/>
          <w:sz w:val="24"/>
          <w:color w:val="black"/>
        </w:rPr>
        <w:t xml:space="preserve">- Constituciσn Polνtica de Colombia.</w:t>
      </w:r>
    </w:p>
    <w:p>
      <w:pPr>
        <w:jc w:val="both"/>
      </w:pPr>
      <w:rPr>
        <w:sz w:val="24"/>
        <w:color w:val="black"/>
      </w:rPr>
    </w:p>
    <w:p>
      <w:pPr>
        <w:jc w:val="both"/>
      </w:pPr>
      <w:r>
        <w:rPr>
          <w:rFonts w:hAnsi="Arial"/>
          <w:rFonts w:ascii="Arial"/>
          <w:sz w:val="24"/>
          <w:color w:val="black"/>
        </w:rPr>
        <w:t xml:space="preserve">- Cσdigo de Comercio.</w:t>
      </w:r>
    </w:p>
    <w:p>
      <w:pPr>
        <w:jc w:val="both"/>
      </w:pPr>
      <w:rPr>
        <w:sz w:val="24"/>
        <w:color w:val="black"/>
      </w:rPr>
    </w:p>
    <w:p>
      <w:pPr>
        <w:jc w:val="both"/>
      </w:pPr>
      <w:r>
        <w:rPr>
          <w:rFonts w:hAnsi="Arial"/>
          <w:rFonts w:ascii="Arial"/>
          <w:sz w:val="24"/>
          <w:color w:val="black"/>
        </w:rPr>
        <w:t xml:space="preserve">- Cσdigo Penal y de Procedimiento Penal.</w:t>
      </w:r>
    </w:p>
    <w:p>
      <w:pPr>
        <w:jc w:val="both"/>
      </w:pPr>
      <w:rPr>
        <w:sz w:val="24"/>
        <w:color w:val="black"/>
      </w:rPr>
    </w:p>
    <w:p>
      <w:pPr>
        <w:jc w:val="both"/>
      </w:pPr>
      <w:r>
        <w:rPr>
          <w:rFonts w:hAnsi="Arial"/>
          <w:rFonts w:ascii="Arial"/>
          <w:sz w:val="24"/>
          <w:color w:val="black"/>
        </w:rPr>
        <w:t xml:space="preserve">- Cσdigo Civil y de Cσdigo General del Proceso.</w:t>
      </w:r>
    </w:p>
    <w:p>
      <w:pPr>
        <w:jc w:val="both"/>
      </w:pPr>
      <w:rPr>
        <w:sz w:val="24"/>
        <w:color w:val="black"/>
      </w:rPr>
    </w:p>
    <w:p>
      <w:pPr>
        <w:jc w:val="both"/>
      </w:pPr>
      <w:r>
        <w:rPr>
          <w:rFonts w:hAnsi="Arial"/>
          <w:rFonts w:ascii="Arial"/>
          <w:sz w:val="24"/>
          <w:color w:val="black"/>
        </w:rPr>
        <w:t xml:space="preserve">- Cσdigo Sustantivo del Trabajo.</w:t>
      </w:r>
    </w:p>
    <w:p>
      <w:pPr>
        <w:jc w:val="both"/>
      </w:pPr>
      <w:rPr>
        <w:sz w:val="24"/>
        <w:color w:val="black"/>
      </w:rPr>
    </w:p>
    <w:p>
      <w:pPr>
        <w:jc w:val="both"/>
      </w:pPr>
      <w:r>
        <w:rPr>
          <w:rFonts w:hAnsi="Arial"/>
          <w:rFonts w:ascii="Arial"/>
          <w:sz w:val="24"/>
          <w:color w:val="black"/>
        </w:rPr>
        <w:t xml:space="preserve">- Decreto-ley </w:t>
      </w:r>
      <w:r>
        <w:fldChar w:fldCharType="begin"/>
      </w:r>
      <w:r>
        <w:instrText>HYPERLINK "http://www.redjurista.com/document.aspx?ajcode=d2324_84&amp;arts=INICIO"</w:instrText>
      </w:r>
      <w:r>
        <w:fldChar w:fldCharType="separate"/>
      </w:r>
      <w:r>
        <w:rPr>
          <w:rFonts w:hAnsi="Arial"/>
          <w:rFonts w:ascii="Arial"/>
          <w:sz w:val="24"/>
          <w:u w:val="single"/>
          <w:color w:val="black"/>
        </w:rPr>
        <w:t>2324</w:t>
      </w:r>
      <w:r>
        <w:fldChar w:fldCharType="end"/>
      </w:r>
      <w:r>
        <w:rPr>
          <w:rFonts w:hAnsi="Arial"/>
          <w:rFonts w:ascii="Arial"/>
          <w:sz w:val="24"/>
          <w:u w:val="none"/>
          <w:color w:val="black"/>
        </w:rPr>
        <w:t xml:space="preserve"> de 1984.</w:t>
      </w:r>
    </w:p>
    <w:p>
      <w:pPr>
        <w:jc w:val="both"/>
      </w:pPr>
      <w:rPr>
        <w:sz w:val="24"/>
        <w:color w:val="black"/>
      </w:rPr>
    </w:p>
    <w:p>
      <w:pPr>
        <w:jc w:val="both"/>
      </w:pPr>
      <w:r>
        <w:rPr>
          <w:rFonts w:hAnsi="Arial"/>
          <w:rFonts w:ascii="Arial"/>
          <w:sz w:val="24"/>
          <w:color w:val="black"/>
        </w:rPr>
        <w:t xml:space="preserve">- Cada uno de los convenios internacionales marνtimos aprobados o reconocidos por el Gobierno colombiano, o que sean de aplicaciσn forzosa a bordo, en espaρol.</w:t>
      </w:r>
    </w:p>
    <w:p>
      <w:pPr>
        <w:jc w:val="both"/>
      </w:pPr>
      <w:rPr>
        <w:sz w:val="24"/>
        <w:color w:val="black"/>
      </w:rPr>
    </w:p>
    <w:p>
      <w:pPr>
        <w:jc w:val="both"/>
      </w:pPr>
      <w:r>
        <w:rPr>
          <w:rFonts w:hAnsi="Arial"/>
          <w:rFonts w:ascii="Arial"/>
          <w:sz w:val="24"/>
          <w:color w:val="black"/>
        </w:rPr>
        <w:t xml:space="preserve">- Otras Leyes y Decretos reglamentarios de la Actividad Marνtima Colombiana, en vigor.</w:t>
      </w:r>
    </w:p>
    <w:p>
      <w:pPr>
        <w:jc w:val="both"/>
      </w:pPr>
      <w:rPr>
        <w:color w:val="black"/>
      </w:rPr>
    </w:p>
    <w:p>
      <w:pPr>
        <w:jc w:val="both"/>
      </w:pPr>
      <w:r>
        <w:rPr>
          <w:rFonts w:hAnsi="Arial"/>
          <w:rFonts w:ascii="Arial"/>
          <w:sz w:val="24"/>
          <w:color w:val="black"/>
        </w:rPr>
        <w:t xml:space="preserve">9. Llevar el "Libro de σrdenes del Capitαn", en el cual anotarα toda orden de carαcter general impartida a los oficiales, quienes firmarαn en constancia de haber sido notificados.</w:t>
      </w:r>
    </w:p>
    <w:p>
      <w:pPr>
        <w:jc w:val="both"/>
      </w:pPr>
      <w:rPr>
        <w:sz w:val="24"/>
        <w:color w:val="black"/>
      </w:rPr>
    </w:p>
    <w:p>
      <w:pPr>
        <w:jc w:val="both"/>
      </w:pPr>
      <w:r>
        <w:rPr>
          <w:rFonts w:hAnsi="Arial"/>
          <w:rFonts w:ascii="Arial"/>
          <w:sz w:val="24"/>
          <w:color w:val="black"/>
        </w:rPr>
        <w:t xml:space="preserve">10. Mantener bajo su custodia y responsabilidad las licencias de navegaciσn y las libretas de embarco de todos los tripulantes, como tambiιn la documentaciσn del buque, salvo las excepciones establecidas en artνculo </w:t>
      </w:r>
      <w:r>
        <w:fldChar w:fldCharType="begin"/>
      </w:r>
      <w:r>
        <w:instrText>HYPERLINK "http://www.redjurista.com/document.aspx?ajcode=d1070015&amp;arts=2.4.1.1.2.42"</w:instrText>
      </w:r>
      <w:r>
        <w:fldChar w:fldCharType="separate"/>
      </w:r>
      <w:r>
        <w:rPr>
          <w:rFonts w:hAnsi="Arial"/>
          <w:rFonts w:ascii="Arial"/>
          <w:sz w:val="24"/>
          <w:u w:val="single"/>
          <w:color w:val="black"/>
        </w:rPr>
        <w:t>2.4.1.1.2.42</w:t>
      </w:r>
      <w:r>
        <w:fldChar w:fldCharType="end"/>
      </w:r>
      <w:r>
        <w:rPr>
          <w:rFonts w:hAnsi="Arial"/>
          <w:rFonts w:ascii="Arial"/>
          <w:sz w:val="24"/>
          <w:u w:val="none"/>
          <w:color w:val="black"/>
        </w:rPr>
        <w:t xml:space="preserve">, numeral 4, literal g.</w:t>
      </w:r>
    </w:p>
    <w:p>
      <w:pPr>
        <w:jc w:val="both"/>
      </w:pPr>
      <w:rPr>
        <w:sz w:val="24"/>
        <w:color w:val="black"/>
      </w:rPr>
    </w:p>
    <w:p>
      <w:pPr>
        <w:jc w:val="both"/>
      </w:pPr>
      <w:r>
        <w:rPr>
          <w:rFonts w:hAnsi="Arial"/>
          <w:rFonts w:ascii="Arial"/>
          <w:sz w:val="24"/>
          <w:color w:val="black"/>
        </w:rPr>
        <w:t xml:space="preserve">11. Tener a bordo, vigentes, todos los certificados y documentos nacionales e internacionales que le correspondan a la nave y presentarlos a las Autoridades Nacionales o Internacionales competentes cuando estas lo soliciten.</w:t>
      </w:r>
    </w:p>
    <w:p>
      <w:pPr>
        <w:jc w:val="both"/>
      </w:pPr>
      <w:rPr>
        <w:sz w:val="24"/>
        <w:color w:val="black"/>
      </w:rPr>
    </w:p>
    <w:p>
      <w:pPr>
        <w:jc w:val="both"/>
      </w:pPr>
      <w:r>
        <w:rPr>
          <w:rFonts w:hAnsi="Arial"/>
          <w:rFonts w:ascii="Arial"/>
          <w:sz w:val="24"/>
          <w:color w:val="black"/>
        </w:rPr>
        <w:t xml:space="preserve">12. Prevenir y controlar la contaminaciσn del mar por parte del buque, de conformidad con las normas nacionales e internacionales vigentes sobre la materia.</w:t>
      </w:r>
    </w:p>
    <w:p>
      <w:pPr>
        <w:jc w:val="both"/>
      </w:pPr>
      <w:rPr>
        <w:sz w:val="24"/>
        <w:color w:val="black"/>
      </w:rPr>
    </w:p>
    <w:p>
      <w:pPr>
        <w:jc w:val="both"/>
      </w:pPr>
      <w:r>
        <w:rPr>
          <w:rFonts w:hAnsi="Arial"/>
          <w:rFonts w:ascii="Arial"/>
          <w:sz w:val="24"/>
          <w:color w:val="black"/>
        </w:rPr>
        <w:t xml:space="preserve">13. Ejercer la autoridad suprema a bordo. Como tal reprimirα y sancionarα las faltas disciplinarias cometidas por la tripulaciσn.</w:t>
      </w:r>
    </w:p>
    <w:p>
      <w:pPr>
        <w:jc w:val="both"/>
      </w:pPr>
      <w:rPr>
        <w:sz w:val="24"/>
        <w:color w:val="black"/>
      </w:rPr>
    </w:p>
    <w:p>
      <w:pPr>
        <w:jc w:val="both"/>
      </w:pPr>
      <w:r>
        <w:rPr>
          <w:rFonts w:hAnsi="Arial"/>
          <w:rFonts w:ascii="Arial"/>
          <w:sz w:val="24"/>
          <w:color w:val="black"/>
        </w:rPr>
        <w:t xml:space="preserve">14. Es representante del Armador y en cuanto a la nave y a la carga ejercerα los poderes que le asigna la ley.</w:t>
      </w:r>
    </w:p>
    <w:p>
      <w:pPr>
        <w:jc w:val="both"/>
      </w:pPr>
      <w:rPr>
        <w:sz w:val="24"/>
        <w:color w:val="black"/>
      </w:rPr>
    </w:p>
    <w:p>
      <w:pPr>
        <w:jc w:val="both"/>
      </w:pPr>
      <w:r>
        <w:rPr>
          <w:rFonts w:hAnsi="Arial"/>
          <w:rFonts w:ascii="Arial"/>
          <w:sz w:val="24"/>
          <w:color w:val="black"/>
        </w:rPr>
        <w:t xml:space="preserve">15. Como delegado de la Autoridad Pϊblica y en guarda del orden de la nave, durante el viaje, estα facultado para:</w:t>
      </w:r>
    </w:p>
    <w:p>
      <w:pPr>
        <w:jc w:val="both"/>
      </w:pPr>
      <w:rPr>
        <w:sz w:val="24"/>
        <w:color w:val="black"/>
      </w:rPr>
    </w:p>
    <w:p>
      <w:pPr>
        <w:jc w:val="both"/>
      </w:pPr>
      <w:r>
        <w:rPr>
          <w:rFonts w:hAnsi="Arial"/>
          <w:rFonts w:ascii="Arial"/>
          <w:sz w:val="24"/>
          <w:color w:val="black"/>
        </w:rPr>
        <w:t xml:space="preserve">a. Conocer e instruir las infracciones policivas en que incurran los pasajeros y tripulantes.</w:t>
      </w:r>
    </w:p>
    <w:p>
      <w:pPr>
        <w:jc w:val="both"/>
      </w:pPr>
      <w:rPr>
        <w:sz w:val="24"/>
        <w:color w:val="black"/>
      </w:rPr>
    </w:p>
    <w:p>
      <w:pPr>
        <w:jc w:val="both"/>
      </w:pPr>
      <w:r>
        <w:rPr>
          <w:rFonts w:hAnsi="Arial"/>
          <w:rFonts w:ascii="Arial"/>
          <w:sz w:val="24"/>
          <w:color w:val="black"/>
        </w:rPr>
        <w:t xml:space="preserve">b. En caso de delito adelanta la investigaciσn correspondiente, de acuerdo al Cσdigo de Procedimiento Penal, y</w:t>
      </w:r>
    </w:p>
    <w:p>
      <w:pPr>
        <w:jc w:val="both"/>
      </w:pPr>
      <w:rPr>
        <w:sz w:val="24"/>
        <w:color w:val="black"/>
      </w:rPr>
    </w:p>
    <w:p>
      <w:pPr>
        <w:jc w:val="both"/>
      </w:pPr>
      <w:r>
        <w:rPr>
          <w:rFonts w:hAnsi="Arial"/>
          <w:rFonts w:ascii="Arial"/>
          <w:sz w:val="24"/>
          <w:color w:val="black"/>
        </w:rPr>
        <w:t xml:space="preserve">c. Entregar los presuntos delincuentes a la autoridad respectiva.</w:t>
      </w:r>
    </w:p>
    <w:p>
      <w:pPr>
        <w:jc w:val="both"/>
      </w:pPr>
      <w:rPr>
        <w:sz w:val="24"/>
        <w:color w:val="black"/>
      </w:rPr>
    </w:p>
    <w:p>
      <w:pPr>
        <w:jc w:val="both"/>
      </w:pPr>
      <w:r>
        <w:rPr>
          <w:rFonts w:hAnsi="Arial"/>
          <w:rFonts w:ascii="Arial"/>
          <w:sz w:val="24"/>
          <w:color w:val="black"/>
        </w:rPr>
        <w:t xml:space="preserve">16. Estα asν mismo facultado para intervenir como funcionario pϊblico en las circunstancias seρaladas en el Artνculo </w:t>
      </w:r>
      <w:r>
        <w:fldChar w:fldCharType="begin"/>
      </w:r>
      <w:r>
        <w:instrText>HYPERLINK "http://www.redjurista.com/document.aspx?ajcode=c_comerc&amp;arts=1499"</w:instrText>
      </w:r>
      <w:r>
        <w:fldChar w:fldCharType="separate"/>
      </w:r>
      <w:r>
        <w:rPr>
          <w:rFonts w:hAnsi="Arial"/>
          <w:rFonts w:ascii="Arial"/>
          <w:sz w:val="24"/>
          <w:u w:val="single"/>
          <w:color w:val="black"/>
        </w:rPr>
        <w:t>1499</w:t>
      </w:r>
      <w:r>
        <w:fldChar w:fldCharType="end"/>
      </w:r>
      <w:r>
        <w:rPr>
          <w:rFonts w:hAnsi="Arial"/>
          <w:rFonts w:ascii="Arial"/>
          <w:sz w:val="24"/>
          <w:u w:val="none"/>
          <w:color w:val="black"/>
        </w:rPr>
        <w:t xml:space="preserve"> del Cσdigo de Comercio.</w:t>
      </w:r>
    </w:p>
    <w:p>
      <w:pPr>
        <w:jc w:val="both"/>
      </w:pPr>
      <w:rPr>
        <w:sz w:val="24"/>
        <w:color w:val="black"/>
      </w:rPr>
    </w:p>
    <w:p>
      <w:pPr>
        <w:jc w:val="both"/>
      </w:pPr>
      <w:r>
        <w:rPr>
          <w:rFonts w:hAnsi="Arial"/>
          <w:rFonts w:ascii="Arial"/>
          <w:sz w:val="24"/>
          <w:color w:val="black"/>
        </w:rPr>
        <w:t xml:space="preserve">17. Las demαs que le sean asignadas por la Ley los Reglamentos.</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3" w:name="2.4.1.1.2.37"/>
      <w:r>
        <w:rPr>
          <w:rFonts w:hAnsi="Arial"/>
          <w:rFonts w:ascii="Arial"/>
          <w:sz w:val="24"/>
          <w:color w:val="navy"/>
        </w:rPr>
        <w:t xml:space="preserve">ARTΝCULO 2.4.1.1.2.37. </w:t>
      </w:r>
      <w:r>
        <w:rPr>
          <w:rFonts w:hAnsi="Arial"/>
          <w:rFonts w:ascii="Arial"/>
          <w:sz w:val="24"/>
          <w:i/>
          <w:color w:val="navy"/>
        </w:rPr>
        <w:t xml:space="preserve">PERDIDA DEL BUQUE.</w:t>
      </w:r>
      <w:bookmarkEnd w:id="61423"/>
      <w:r>
        <w:rPr>
          <w:rFonts w:hAnsi="Arial"/>
          <w:rFonts w:ascii="Arial"/>
          <w:sz w:val="24"/>
          <w:b/>
          <w:i/>
          <w:color w:val="black"/>
        </w:rPr>
        <w:t xml:space="preserve"> </w:t>
      </w:r>
      <w:r>
        <w:rPr>
          <w:rFonts w:hAnsi="Arial"/>
          <w:rFonts w:ascii="Arial"/>
          <w:sz w:val="24"/>
          <w:color w:val="black"/>
        </w:rPr>
        <w:t xml:space="preserve">En el caso de que la pιrdida del buque se considere inminente y el Capitαn haya agotado todos los recursos para evitarla, procurarα primero la salvaciσn de los pasajeros, la tripulaciσn, el material y los documentos de valor, en su orden, siendo el ϊltimo en desembarcar.</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4" w:name="2.4.1.1.2.38"/>
      <w:r>
        <w:rPr>
          <w:rFonts w:hAnsi="Arial"/>
          <w:rFonts w:ascii="Arial"/>
          <w:sz w:val="24"/>
          <w:color w:val="navy"/>
        </w:rPr>
        <w:t xml:space="preserve">ARTΝCULO 2.4.1.1.2.38. </w:t>
      </w:r>
      <w:r>
        <w:rPr>
          <w:rFonts w:hAnsi="Arial"/>
          <w:rFonts w:ascii="Arial"/>
          <w:sz w:val="24"/>
          <w:i/>
          <w:color w:val="navy"/>
        </w:rPr>
        <w:t xml:space="preserve">DESEMPEΡO DEL CARGO.</w:t>
      </w:r>
      <w:bookmarkEnd w:id="61424"/>
      <w:r>
        <w:rPr>
          <w:rFonts w:hAnsi="Arial"/>
          <w:rFonts w:ascii="Arial"/>
          <w:sz w:val="24"/>
          <w:b/>
          <w:i/>
          <w:color w:val="black"/>
        </w:rPr>
        <w:t xml:space="preserve"> </w:t>
      </w:r>
      <w:r>
        <w:rPr>
          <w:rFonts w:hAnsi="Arial"/>
          <w:rFonts w:ascii="Arial"/>
          <w:sz w:val="24"/>
          <w:color w:val="black"/>
        </w:rPr>
        <w:t xml:space="preserve">Mientras se encuentre en desempeρo de su cargo, debe considerarse en servicio permanente, sin limitaciσn alguna.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5" w:name="2.4.1.1.2.39"/>
      <w:r>
        <w:rPr>
          <w:rFonts w:hAnsi="Arial"/>
          <w:rFonts w:ascii="Arial"/>
          <w:sz w:val="24"/>
          <w:color w:val="navy"/>
        </w:rPr>
        <w:t xml:space="preserve">ARTΝCULO 2.4.1.1.2.39. </w:t>
      </w:r>
      <w:r>
        <w:rPr>
          <w:rFonts w:hAnsi="Arial"/>
          <w:rFonts w:ascii="Arial"/>
          <w:sz w:val="24"/>
          <w:i/>
          <w:color w:val="navy"/>
        </w:rPr>
        <w:t xml:space="preserve">PATRONES DE EMBARCACIONES MENORES.</w:t>
      </w:r>
      <w:bookmarkEnd w:id="61425"/>
      <w:r>
        <w:rPr>
          <w:rFonts w:hAnsi="Arial"/>
          <w:rFonts w:ascii="Arial"/>
          <w:sz w:val="24"/>
          <w:b/>
          <w:i/>
          <w:color w:val="black"/>
        </w:rPr>
        <w:t xml:space="preserve"> </w:t>
      </w:r>
      <w:r>
        <w:rPr>
          <w:rFonts w:hAnsi="Arial"/>
          <w:rFonts w:ascii="Arial"/>
          <w:sz w:val="24"/>
          <w:color w:val="black"/>
        </w:rPr>
        <w:t xml:space="preserve">En cuanto hace referencia a los Patrones de embarcaciones menores, sus obligaciones y responsabilidades serαn similares a las enunciadas por los Capitanes, en la medida que corresponda al porte, tripulaciσn y equipamiento de la nave. La Autoridad Marνtima determinarα en cada caso, los documentos, reglamentos y equipos que deban llevar a bordo las naves menores.</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6" w:name="2.4.1.1.2.40"/>
      <w:r>
        <w:rPr>
          <w:rFonts w:hAnsi="Arial"/>
          <w:rFonts w:ascii="Arial"/>
          <w:sz w:val="24"/>
          <w:color w:val="navy"/>
        </w:rPr>
        <w:t xml:space="preserve">ARTΝCULO 2.4.1.1.2.40. </w:t>
      </w:r>
      <w:r>
        <w:rPr>
          <w:rFonts w:hAnsi="Arial"/>
          <w:rFonts w:ascii="Arial"/>
          <w:sz w:val="24"/>
          <w:i/>
          <w:color w:val="navy"/>
        </w:rPr>
        <w:t xml:space="preserve">CLASES DE FUNCIONES Y OBLIGACIONES DE LOS OFICIALES.</w:t>
      </w:r>
      <w:bookmarkEnd w:id="61426"/>
      <w:r>
        <w:rPr>
          <w:rFonts w:hAnsi="Arial"/>
          <w:rFonts w:ascii="Arial"/>
          <w:sz w:val="24"/>
          <w:b/>
          <w:i/>
          <w:color w:val="black"/>
        </w:rPr>
        <w:t xml:space="preserve"> </w:t>
      </w:r>
      <w:r>
        <w:rPr>
          <w:rFonts w:hAnsi="Arial"/>
          <w:rFonts w:ascii="Arial"/>
          <w:sz w:val="24"/>
          <w:color w:val="black"/>
        </w:rPr>
        <w:t xml:space="preserve">Las funciones y obligaciones de los Oficiales de a bordo son de dos clases, a saber:</w:t>
      </w:r>
    </w:p>
    <w:p>
      <w:pPr>
        <w:jc w:val="both"/>
      </w:pPr>
      <w:rPr>
        <w:sz w:val="24"/>
        <w:color w:val="black"/>
      </w:rPr>
    </w:p>
    <w:p>
      <w:pPr>
        <w:jc w:val="both"/>
      </w:pPr>
      <w:r>
        <w:rPr>
          <w:rFonts w:hAnsi="Arial"/>
          <w:rFonts w:ascii="Arial"/>
          <w:sz w:val="24"/>
          <w:color w:val="black"/>
        </w:rPr>
        <w:t xml:space="preserve">1. Generales.</w:t>
      </w:r>
    </w:p>
    <w:p>
      <w:pPr>
        <w:jc w:val="both"/>
      </w:pPr>
      <w:rPr>
        <w:sz w:val="24"/>
        <w:color w:val="black"/>
      </w:rPr>
    </w:p>
    <w:p>
      <w:pPr>
        <w:jc w:val="both"/>
      </w:pPr>
      <w:r>
        <w:rPr>
          <w:rFonts w:hAnsi="Arial"/>
          <w:rFonts w:ascii="Arial"/>
          <w:sz w:val="24"/>
          <w:color w:val="black"/>
        </w:rPr>
        <w:t xml:space="preserve">2. De cargo.</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7" w:name="2.4.1.1.2.41"/>
      <w:r>
        <w:rPr>
          <w:rFonts w:hAnsi="Arial"/>
          <w:rFonts w:ascii="Arial"/>
          <w:sz w:val="24"/>
          <w:color w:val="navy"/>
        </w:rPr>
        <w:t xml:space="preserve">ARTΝCULO 2.4.1.1.2.41. </w:t>
      </w:r>
      <w:r>
        <w:rPr>
          <w:rFonts w:hAnsi="Arial"/>
          <w:rFonts w:ascii="Arial"/>
          <w:sz w:val="24"/>
          <w:i/>
          <w:color w:val="navy"/>
        </w:rPr>
        <w:t xml:space="preserve">FUNCIONES Y OBLIGACIONES GENERALES DE LOS OFICIALES.</w:t>
      </w:r>
      <w:bookmarkEnd w:id="61427"/>
      <w:r>
        <w:rPr>
          <w:rFonts w:hAnsi="Arial"/>
          <w:rFonts w:ascii="Arial"/>
          <w:sz w:val="24"/>
          <w:b/>
          <w:i/>
          <w:color w:val="black"/>
        </w:rPr>
        <w:t xml:space="preserve"> </w:t>
      </w:r>
      <w:r>
        <w:rPr>
          <w:rFonts w:hAnsi="Arial"/>
          <w:rFonts w:ascii="Arial"/>
          <w:sz w:val="24"/>
          <w:color w:val="black"/>
        </w:rPr>
        <w:t xml:space="preserve">Son funciones y obligaciones generales de los Oficiales las siguientes:</w:t>
      </w:r>
    </w:p>
    <w:p>
      <w:pPr>
        <w:jc w:val="both"/>
      </w:pPr>
      <w:rPr>
        <w:sz w:val="24"/>
        <w:color w:val="black"/>
      </w:rPr>
    </w:p>
    <w:p>
      <w:pPr>
        <w:jc w:val="both"/>
      </w:pPr>
      <w:r>
        <w:rPr>
          <w:rFonts w:hAnsi="Arial"/>
          <w:rFonts w:ascii="Arial"/>
          <w:sz w:val="24"/>
          <w:color w:val="black"/>
        </w:rPr>
        <w:t xml:space="preserve">1. Prestar las guardias de mar y de puerto, de conformidad con lo dispuesto en el presente Capνtulo, y el Reglamento Internacional del buque.</w:t>
      </w:r>
    </w:p>
    <w:p>
      <w:pPr>
        <w:jc w:val="both"/>
      </w:pPr>
      <w:rPr>
        <w:sz w:val="24"/>
        <w:color w:val="black"/>
      </w:rPr>
    </w:p>
    <w:p>
      <w:pPr>
        <w:jc w:val="both"/>
      </w:pPr>
      <w:r>
        <w:rPr>
          <w:rFonts w:hAnsi="Arial"/>
          <w:rFonts w:ascii="Arial"/>
          <w:sz w:val="24"/>
          <w:color w:val="black"/>
        </w:rPr>
        <w:t xml:space="preserve">2. Cumplir y hacer cumplir por parte de la tripulaciσn subalterna las σrdenes del Capitαn y los Reglamentos de la Marina Mercante Colombiana y el Reglamento Internacional del Buque.</w:t>
      </w:r>
    </w:p>
    <w:p>
      <w:pPr>
        <w:jc w:val="both"/>
      </w:pPr>
      <w:rPr>
        <w:sz w:val="24"/>
        <w:color w:val="black"/>
      </w:rPr>
    </w:p>
    <w:p>
      <w:pPr>
        <w:jc w:val="both"/>
      </w:pPr>
      <w:r>
        <w:rPr>
          <w:rFonts w:hAnsi="Arial"/>
          <w:rFonts w:ascii="Arial"/>
          <w:sz w:val="24"/>
          <w:color w:val="black"/>
        </w:rPr>
        <w:t xml:space="preserve">3. Estar permanentemente vigilantes a fin de evitar o corregir cualquier circunstancia que ponga en peligro la seguridad de la nave o su operaciσn, o afecten la moral y buenas costumbres que deben prevalecer a bordo, informando inmediatamente al Capitαn si observan alguna irregularidad.</w:t>
      </w:r>
    </w:p>
    <w:p>
      <w:pPr>
        <w:jc w:val="both"/>
      </w:pPr>
      <w:rPr>
        <w:sz w:val="24"/>
        <w:color w:val="black"/>
      </w:rPr>
    </w:p>
    <w:p>
      <w:pPr>
        <w:jc w:val="both"/>
      </w:pPr>
      <w:r>
        <w:rPr>
          <w:rFonts w:hAnsi="Arial"/>
          <w:rFonts w:ascii="Arial"/>
          <w:sz w:val="24"/>
          <w:color w:val="black"/>
        </w:rPr>
        <w:t xml:space="preserve">4. Responder por el mantenimiento, conservaciσn y operaciσn del equipo y elementos a su cargo.</w:t>
      </w:r>
    </w:p>
    <w:p>
      <w:pPr>
        <w:jc w:val="both"/>
      </w:pPr>
      <w:rPr>
        <w:sz w:val="24"/>
        <w:color w:val="black"/>
      </w:rPr>
    </w:p>
    <w:p>
      <w:pPr>
        <w:jc w:val="both"/>
      </w:pPr>
      <w:r>
        <w:rPr>
          <w:rFonts w:hAnsi="Arial"/>
          <w:rFonts w:ascii="Arial"/>
          <w:sz w:val="24"/>
          <w:color w:val="black"/>
        </w:rPr>
        <w:t xml:space="preserve">5. Instruir al personal bajo su mando.</w:t>
      </w:r>
    </w:p>
    <w:p>
      <w:pPr>
        <w:jc w:val="both"/>
      </w:pPr>
      <w:rPr>
        <w:sz w:val="24"/>
        <w:color w:val="black"/>
      </w:rPr>
    </w:p>
    <w:p>
      <w:pPr>
        <w:jc w:val="both"/>
      </w:pPr>
      <w:r>
        <w:rPr>
          <w:rFonts w:hAnsi="Arial"/>
          <w:rFonts w:ascii="Arial"/>
          <w:sz w:val="24"/>
          <w:color w:val="black"/>
        </w:rPr>
        <w:t xml:space="preserve">6. Conocer perfectamente los deberes del cargo que desempeρa a bordo y los deberes de guardia que establece la presente Parte, tanto en el mar como en puerto.</w:t>
      </w:r>
    </w:p>
    <w:p>
      <w:pPr>
        <w:jc w:val="both"/>
      </w:pPr>
      <w:rPr>
        <w:sz w:val="24"/>
        <w:color w:val="black"/>
      </w:rPr>
    </w:p>
    <w:p>
      <w:pPr>
        <w:jc w:val="both"/>
      </w:pPr>
      <w:r>
        <w:rPr>
          <w:rFonts w:hAnsi="Arial"/>
          <w:rFonts w:ascii="Arial"/>
          <w:sz w:val="24"/>
          <w:color w:val="black"/>
        </w:rPr>
        <w:t xml:space="preserve">7. Los demαs que le asignen la Ley y los Reglamentos.</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8" w:name="2.4.1.1.2.42"/>
      <w:r>
        <w:rPr>
          <w:rFonts w:hAnsi="Arial"/>
          <w:rFonts w:ascii="Arial"/>
          <w:sz w:val="24"/>
          <w:color w:val="navy"/>
        </w:rPr>
        <w:t xml:space="preserve">ARTΝCULO 2.4.1.1.2.42. </w:t>
      </w:r>
      <w:r>
        <w:rPr>
          <w:rFonts w:hAnsi="Arial"/>
          <w:rFonts w:ascii="Arial"/>
          <w:sz w:val="24"/>
          <w:i/>
          <w:color w:val="navy"/>
        </w:rPr>
        <w:t xml:space="preserve">DEBERES DE CARGO DE LOS OFICIALES.</w:t>
      </w:r>
      <w:bookmarkEnd w:id="61428"/>
      <w:r>
        <w:rPr>
          <w:rFonts w:hAnsi="Arial"/>
          <w:rFonts w:ascii="Arial"/>
          <w:sz w:val="24"/>
          <w:b/>
          <w:i/>
          <w:color w:val="black"/>
        </w:rPr>
        <w:t xml:space="preserve"> </w:t>
      </w:r>
      <w:r>
        <w:rPr>
          <w:rFonts w:hAnsi="Arial"/>
          <w:rFonts w:ascii="Arial"/>
          <w:sz w:val="24"/>
          <w:color w:val="black"/>
        </w:rPr>
        <w:t xml:space="preserve">Los deberes de cargo de los Oficiales, son los siguientes:</w:t>
      </w:r>
    </w:p>
    <w:p>
      <w:pPr>
        <w:jc w:val="both"/>
      </w:pPr>
      <w:rPr>
        <w:sz w:val="24"/>
        <w:color w:val="black"/>
      </w:rPr>
    </w:p>
    <w:p>
      <w:pPr>
        <w:jc w:val="both"/>
      </w:pPr>
      <w:r>
        <w:rPr>
          <w:rFonts w:hAnsi="Arial"/>
          <w:rFonts w:ascii="Arial"/>
          <w:sz w:val="24"/>
          <w:color w:val="black"/>
        </w:rPr>
        <w:t xml:space="preserve">1. Del Primer Oficial</w:t>
      </w:r>
    </w:p>
    <w:p>
      <w:pPr>
        <w:jc w:val="both"/>
      </w:pPr>
      <w:rPr>
        <w:sz w:val="24"/>
        <w:color w:val="black"/>
      </w:rPr>
    </w:p>
    <w:p>
      <w:pPr>
        <w:jc w:val="both"/>
      </w:pPr>
      <w:r>
        <w:rPr>
          <w:rFonts w:hAnsi="Arial"/>
          <w:rFonts w:ascii="Arial"/>
          <w:sz w:val="24"/>
          <w:color w:val="black"/>
        </w:rPr>
        <w:t xml:space="preserve">a) Responder al Capitαn por la vigilancia y la seguridad de la carga y el cumplimiento de sus σrdenes relativas a esta, en particular sobre el manejo y estiba de grandes pesos.</w:t>
      </w:r>
    </w:p>
    <w:p>
      <w:pPr>
        <w:jc w:val="both"/>
      </w:pPr>
      <w:rPr>
        <w:sz w:val="24"/>
        <w:color w:val="black"/>
      </w:rPr>
    </w:p>
    <w:p>
      <w:pPr>
        <w:jc w:val="both"/>
      </w:pPr>
      <w:r>
        <w:rPr>
          <w:rFonts w:hAnsi="Arial"/>
          <w:rFonts w:ascii="Arial"/>
          <w:sz w:val="24"/>
          <w:color w:val="black"/>
        </w:rPr>
        <w:t xml:space="preserve">b) Es el auxiliar directo del Capitαn en lo relativo al mantenimiento de la disciplina a bordo.</w:t>
      </w:r>
    </w:p>
    <w:p>
      <w:pPr>
        <w:jc w:val="both"/>
      </w:pPr>
      <w:rPr>
        <w:sz w:val="24"/>
        <w:color w:val="black"/>
      </w:rPr>
    </w:p>
    <w:p>
      <w:pPr>
        <w:jc w:val="both"/>
      </w:pPr>
      <w:r>
        <w:rPr>
          <w:rFonts w:hAnsi="Arial"/>
          <w:rFonts w:ascii="Arial"/>
          <w:sz w:val="24"/>
          <w:color w:val="black"/>
        </w:rPr>
        <w:t xml:space="preserve">c) Representa al Capitαn en sus ausencias transitorias en puerto, siendo responsable porque los servicios se presten en igual forma.</w:t>
      </w:r>
    </w:p>
    <w:p>
      <w:pPr>
        <w:jc w:val="both"/>
      </w:pPr>
      <w:rPr>
        <w:sz w:val="24"/>
        <w:color w:val="black"/>
      </w:rPr>
    </w:p>
    <w:p>
      <w:pPr>
        <w:jc w:val="both"/>
      </w:pPr>
      <w:r>
        <w:rPr>
          <w:rFonts w:hAnsi="Arial"/>
          <w:rFonts w:ascii="Arial"/>
          <w:sz w:val="24"/>
          <w:color w:val="black"/>
        </w:rPr>
        <w:t xml:space="preserve">d) Es el superior directo del personal de cubierta.</w:t>
      </w:r>
    </w:p>
    <w:p>
      <w:pPr>
        <w:jc w:val="both"/>
      </w:pPr>
      <w:rPr>
        <w:sz w:val="24"/>
        <w:color w:val="black"/>
      </w:rPr>
    </w:p>
    <w:p>
      <w:pPr>
        <w:jc w:val="both"/>
      </w:pPr>
      <w:r>
        <w:rPr>
          <w:rFonts w:hAnsi="Arial"/>
          <w:rFonts w:ascii="Arial"/>
          <w:sz w:val="24"/>
          <w:color w:val="black"/>
        </w:rPr>
        <w:t xml:space="preserve">e) Responde al Capitαn por los trabajos de cubierta.</w:t>
      </w:r>
    </w:p>
    <w:p>
      <w:pPr>
        <w:jc w:val="both"/>
      </w:pPr>
      <w:rPr>
        <w:sz w:val="24"/>
        <w:color w:val="black"/>
      </w:rPr>
    </w:p>
    <w:p>
      <w:pPr>
        <w:jc w:val="both"/>
      </w:pPr>
      <w:r>
        <w:rPr>
          <w:rFonts w:hAnsi="Arial"/>
          <w:rFonts w:ascii="Arial"/>
          <w:sz w:val="24"/>
          <w:color w:val="black"/>
        </w:rPr>
        <w:t xml:space="preserve">f) Ordena, autoriza y controla todo trabajo extraordinario en cubierta.</w:t>
      </w:r>
    </w:p>
    <w:p>
      <w:pPr>
        <w:jc w:val="both"/>
      </w:pPr>
      <w:rPr>
        <w:sz w:val="24"/>
        <w:color w:val="black"/>
      </w:rPr>
    </w:p>
    <w:p>
      <w:pPr>
        <w:jc w:val="both"/>
      </w:pPr>
      <w:r>
        <w:rPr>
          <w:rFonts w:hAnsi="Arial"/>
          <w:rFonts w:ascii="Arial"/>
          <w:sz w:val="24"/>
          <w:color w:val="black"/>
        </w:rPr>
        <w:t xml:space="preserve">g) Responde directamente al Capitαn por el mantenimiento, conservaciσn y operaciσn del equipo y aparejos de carga, a la vez que por el alistamiento oportuno de las bodegas.</w:t>
      </w:r>
    </w:p>
    <w:p>
      <w:pPr>
        <w:jc w:val="both"/>
      </w:pPr>
      <w:rPr>
        <w:sz w:val="24"/>
        <w:color w:val="black"/>
      </w:rPr>
    </w:p>
    <w:p>
      <w:pPr>
        <w:jc w:val="both"/>
      </w:pPr>
      <w:r>
        <w:rPr>
          <w:rFonts w:hAnsi="Arial"/>
          <w:rFonts w:ascii="Arial"/>
          <w:sz w:val="24"/>
          <w:color w:val="black"/>
        </w:rPr>
        <w:t xml:space="preserve">h) Elabora las cιdulas de incendio, abandono y colisiσn, siguiιndolas instrucciones del Capitαn.</w:t>
      </w:r>
    </w:p>
    <w:p>
      <w:pPr>
        <w:jc w:val="both"/>
      </w:pPr>
      <w:rPr>
        <w:sz w:val="24"/>
        <w:color w:val="black"/>
      </w:rPr>
    </w:p>
    <w:p>
      <w:pPr>
        <w:jc w:val="both"/>
      </w:pPr>
      <w:r>
        <w:rPr>
          <w:rFonts w:hAnsi="Arial"/>
          <w:rFonts w:ascii="Arial"/>
          <w:sz w:val="24"/>
          <w:color w:val="black"/>
        </w:rPr>
        <w:t xml:space="preserve">i) Lleva los registros de los sondeos de los tanques de agua potable, suministrados por el Contramaestre e informa a Capitαn diariamente sobre las existencias.</w:t>
      </w:r>
    </w:p>
    <w:p>
      <w:pPr>
        <w:jc w:val="both"/>
      </w:pPr>
      <w:rPr>
        <w:sz w:val="24"/>
        <w:color w:val="black"/>
      </w:rPr>
    </w:p>
    <w:p>
      <w:pPr>
        <w:jc w:val="both"/>
      </w:pPr>
      <w:r>
        <w:rPr>
          <w:rFonts w:hAnsi="Arial"/>
          <w:rFonts w:ascii="Arial"/>
          <w:sz w:val="24"/>
          <w:color w:val="black"/>
        </w:rPr>
        <w:t xml:space="preserve">j) Las demαs que le asigne el Capitαn o el Reglamento Interno del buque, dentro de su capacidad y competencia.</w:t>
      </w:r>
    </w:p>
    <w:p>
      <w:pPr>
        <w:jc w:val="both"/>
      </w:pPr>
      <w:rPr>
        <w:sz w:val="24"/>
        <w:color w:val="black"/>
      </w:rPr>
    </w:p>
    <w:p>
      <w:pPr>
        <w:jc w:val="both"/>
      </w:pPr>
      <w:r>
        <w:rPr>
          <w:rFonts w:hAnsi="Arial"/>
          <w:rFonts w:ascii="Arial"/>
          <w:sz w:val="24"/>
          <w:color w:val="black"/>
        </w:rPr>
        <w:t xml:space="preserve">2. Del Segundo Oficial</w:t>
      </w:r>
    </w:p>
    <w:p>
      <w:pPr>
        <w:jc w:val="both"/>
      </w:pPr>
      <w:rPr>
        <w:sz w:val="24"/>
        <w:color w:val="black"/>
      </w:rPr>
    </w:p>
    <w:p>
      <w:pPr>
        <w:jc w:val="both"/>
      </w:pPr>
      <w:r>
        <w:rPr>
          <w:rFonts w:hAnsi="Arial"/>
          <w:rFonts w:ascii="Arial"/>
          <w:sz w:val="24"/>
          <w:color w:val="black"/>
        </w:rPr>
        <w:t xml:space="preserve">a) Responde ante el Capitαn por el buen estado y funcionamiento de los equipos y elementos de navegaciσn.</w:t>
      </w:r>
    </w:p>
    <w:p>
      <w:pPr>
        <w:jc w:val="both"/>
      </w:pPr>
      <w:rPr>
        <w:sz w:val="24"/>
        <w:color w:val="black"/>
      </w:rPr>
    </w:p>
    <w:p>
      <w:pPr>
        <w:jc w:val="both"/>
      </w:pPr>
      <w:r>
        <w:rPr>
          <w:rFonts w:hAnsi="Arial"/>
          <w:rFonts w:ascii="Arial"/>
          <w:sz w:val="24"/>
          <w:color w:val="black"/>
        </w:rPr>
        <w:t xml:space="preserve">b) Mantiene al dνa los libros y cartas de navegaciσn, haciendo en estas ϊltimas las correcciones y actualizaciones indicadas en las Ayudas a los Navegantes e informando oportunamente al Capitαn sobre ello.</w:t>
      </w:r>
    </w:p>
    <w:p>
      <w:pPr>
        <w:jc w:val="both"/>
      </w:pPr>
      <w:rPr>
        <w:sz w:val="24"/>
        <w:color w:val="black"/>
      </w:rPr>
    </w:p>
    <w:p>
      <w:pPr>
        <w:jc w:val="both"/>
      </w:pPr>
      <w:r>
        <w:rPr>
          <w:rFonts w:hAnsi="Arial"/>
          <w:rFonts w:ascii="Arial"/>
          <w:sz w:val="24"/>
          <w:color w:val="black"/>
        </w:rPr>
        <w:t xml:space="preserve">c) Las demαs que le asigne el Capitαn y el Reglamento Interno del buque, dentro de su capacidad y competencia.</w:t>
      </w:r>
    </w:p>
    <w:p>
      <w:pPr>
        <w:jc w:val="both"/>
      </w:pPr>
      <w:rPr>
        <w:sz w:val="24"/>
        <w:color w:val="black"/>
      </w:rPr>
    </w:p>
    <w:p>
      <w:pPr>
        <w:jc w:val="both"/>
      </w:pPr>
      <w:r>
        <w:rPr>
          <w:rFonts w:hAnsi="Arial"/>
          <w:rFonts w:ascii="Arial"/>
          <w:sz w:val="24"/>
          <w:color w:val="black"/>
        </w:rPr>
        <w:t xml:space="preserve">3. Del Tercer Oficial</w:t>
      </w:r>
    </w:p>
    <w:p>
      <w:pPr>
        <w:jc w:val="both"/>
      </w:pPr>
      <w:rPr>
        <w:sz w:val="24"/>
        <w:color w:val="black"/>
      </w:rPr>
    </w:p>
    <w:p>
      <w:pPr>
        <w:jc w:val="both"/>
      </w:pPr>
      <w:r>
        <w:rPr>
          <w:rFonts w:hAnsi="Arial"/>
          <w:rFonts w:ascii="Arial"/>
          <w:sz w:val="24"/>
          <w:color w:val="black"/>
        </w:rPr>
        <w:t xml:space="preserve">a) Responde al Capitαn por el buen estado de alistamiento y conservaciσn del material y equipos de salvamento y contra incendio.</w:t>
      </w:r>
    </w:p>
    <w:p>
      <w:pPr>
        <w:jc w:val="both"/>
      </w:pPr>
      <w:rPr>
        <w:sz w:val="24"/>
        <w:color w:val="black"/>
      </w:rPr>
    </w:p>
    <w:p>
      <w:pPr>
        <w:jc w:val="both"/>
      </w:pPr>
      <w:r>
        <w:rPr>
          <w:rFonts w:hAnsi="Arial"/>
          <w:rFonts w:ascii="Arial"/>
          <w:sz w:val="24"/>
          <w:color w:val="black"/>
        </w:rPr>
        <w:t xml:space="preserve">b) Tiene a su cargo el adiestramiento del personal subalterno en las labores de contra incendio y abandono del buque.</w:t>
      </w:r>
    </w:p>
    <w:p>
      <w:pPr>
        <w:jc w:val="both"/>
      </w:pPr>
      <w:rPr>
        <w:sz w:val="24"/>
        <w:color w:val="black"/>
      </w:rPr>
    </w:p>
    <w:p>
      <w:pPr>
        <w:jc w:val="both"/>
      </w:pPr>
      <w:r>
        <w:rPr>
          <w:rFonts w:hAnsi="Arial"/>
          <w:rFonts w:ascii="Arial"/>
          <w:sz w:val="24"/>
          <w:color w:val="black"/>
        </w:rPr>
        <w:t xml:space="preserve">c) Las demαs que le asigne el Capitαn y el Reglamento Interno del buque, dentro de su capacidad y competencia.</w:t>
      </w:r>
    </w:p>
    <w:p>
      <w:pPr>
        <w:jc w:val="both"/>
      </w:pPr>
      <w:rPr>
        <w:sz w:val="24"/>
        <w:color w:val="black"/>
      </w:rPr>
    </w:p>
    <w:p>
      <w:pPr>
        <w:jc w:val="both"/>
      </w:pPr>
      <w:r>
        <w:rPr>
          <w:rFonts w:hAnsi="Arial"/>
          <w:rFonts w:ascii="Arial"/>
          <w:sz w:val="24"/>
          <w:color w:val="black"/>
        </w:rPr>
        <w:t xml:space="preserve">4. Del Oficial Radioperador de Radiocomunicaciones Marνtimas</w:t>
      </w:r>
    </w:p>
    <w:p>
      <w:pPr>
        <w:jc w:val="both"/>
      </w:pPr>
      <w:rPr>
        <w:sz w:val="24"/>
        <w:color w:val="black"/>
      </w:rPr>
    </w:p>
    <w:p>
      <w:pPr>
        <w:jc w:val="both"/>
      </w:pPr>
      <w:r>
        <w:rPr>
          <w:rFonts w:hAnsi="Arial"/>
          <w:rFonts w:ascii="Arial"/>
          <w:sz w:val="24"/>
          <w:color w:val="black"/>
        </w:rPr>
        <w:t xml:space="preserve">a) Depende del Capitαn ante quien responde por el mantenimiento y operaciσn de los equipos de la estaciσn radiotelegrαfica y/o radiotelefσnica, incluyendo los equipos de comunicaciones de los botes salvavidas. En el caso del Operador de Radiocomunicaciones, responderα asimismo al Capitαn por el mantenimiento y operaciσn de los equipos de radionavegaciσn.</w:t>
      </w:r>
    </w:p>
    <w:p>
      <w:pPr>
        <w:jc w:val="both"/>
      </w:pPr>
      <w:rPr>
        <w:sz w:val="24"/>
        <w:color w:val="black"/>
      </w:rPr>
    </w:p>
    <w:p>
      <w:pPr>
        <w:jc w:val="both"/>
      </w:pPr>
      <w:r>
        <w:rPr>
          <w:rFonts w:hAnsi="Arial"/>
          <w:rFonts w:ascii="Arial"/>
          <w:sz w:val="24"/>
          <w:color w:val="black"/>
        </w:rPr>
        <w:t xml:space="preserve">b) Es responsable por el fiel cumplimiento de los Reglamentos y normas de radiocomunicaciones, tanto nacionales como internacionales.</w:t>
      </w:r>
    </w:p>
    <w:p>
      <w:pPr>
        <w:jc w:val="both"/>
      </w:pPr>
      <w:rPr>
        <w:sz w:val="24"/>
        <w:color w:val="black"/>
      </w:rPr>
    </w:p>
    <w:p>
      <w:pPr>
        <w:jc w:val="both"/>
      </w:pPr>
      <w:r>
        <w:rPr>
          <w:rFonts w:hAnsi="Arial"/>
          <w:rFonts w:ascii="Arial"/>
          <w:sz w:val="24"/>
          <w:color w:val="black"/>
        </w:rPr>
        <w:t xml:space="preserve">c) Guarda estricta reserva sobre las comunicaciones.</w:t>
      </w:r>
    </w:p>
    <w:p>
      <w:pPr>
        <w:jc w:val="both"/>
      </w:pPr>
      <w:rPr>
        <w:sz w:val="24"/>
        <w:color w:val="black"/>
      </w:rPr>
    </w:p>
    <w:p>
      <w:pPr>
        <w:jc w:val="both"/>
      </w:pPr>
      <w:r>
        <w:rPr>
          <w:rFonts w:hAnsi="Arial"/>
          <w:rFonts w:ascii="Arial"/>
          <w:sz w:val="24"/>
          <w:color w:val="black"/>
        </w:rPr>
        <w:t xml:space="preserve">d) Sin autorizaciσn expresa del Capitαn no suministrarα informaciσn a otras estaciones sobre la ruta o posiciσn del buque.</w:t>
      </w:r>
    </w:p>
    <w:p>
      <w:pPr>
        <w:jc w:val="both"/>
      </w:pPr>
      <w:rPr>
        <w:sz w:val="24"/>
        <w:color w:val="black"/>
      </w:rPr>
    </w:p>
    <w:p>
      <w:pPr>
        <w:jc w:val="both"/>
      </w:pPr>
      <w:r>
        <w:rPr>
          <w:rFonts w:hAnsi="Arial"/>
          <w:rFonts w:ascii="Arial"/>
          <w:sz w:val="24"/>
          <w:color w:val="black"/>
        </w:rPr>
        <w:t xml:space="preserve">e) Informarα al Capitαn sobre todas las comunicaciones recibidas.</w:t>
      </w:r>
    </w:p>
    <w:p>
      <w:pPr>
        <w:jc w:val="both"/>
      </w:pPr>
      <w:rPr>
        <w:sz w:val="24"/>
        <w:color w:val="black"/>
      </w:rPr>
    </w:p>
    <w:p>
      <w:pPr>
        <w:jc w:val="both"/>
      </w:pPr>
      <w:r>
        <w:rPr>
          <w:rFonts w:hAnsi="Arial"/>
          <w:rFonts w:ascii="Arial"/>
          <w:sz w:val="24"/>
          <w:color w:val="black"/>
        </w:rPr>
        <w:t xml:space="preserve">f) Atiende los programas de escucha ordenados por el Reglamento Nacional e Internacional, segϊn corresponda.</w:t>
      </w:r>
    </w:p>
    <w:p>
      <w:pPr>
        <w:jc w:val="both"/>
      </w:pPr>
      <w:rPr>
        <w:sz w:val="24"/>
        <w:color w:val="black"/>
      </w:rPr>
    </w:p>
    <w:p>
      <w:pPr>
        <w:jc w:val="both"/>
      </w:pPr>
      <w:r>
        <w:rPr>
          <w:rFonts w:hAnsi="Arial"/>
          <w:rFonts w:ascii="Arial"/>
          <w:sz w:val="24"/>
          <w:color w:val="black"/>
        </w:rPr>
        <w:t xml:space="preserve">g) Fijarα en lugar visible de la estaciσn, la patente de la estaciσn de radio, y su licencia de radiotelegrafista, expedidas por el Ministerio de Comunicaciones, como tambiιn su licencia de navegaciσn expedida por la Autoridad Marνtima Colombiana, lo mismo que los certificados de seguridad radiotelegrαfica y / o radiotelefσnica del buque, segϊn corresponda.</w:t>
      </w:r>
    </w:p>
    <w:p>
      <w:pPr>
        <w:jc w:val="both"/>
      </w:pPr>
      <w:rPr>
        <w:sz w:val="24"/>
        <w:color w:val="black"/>
      </w:rPr>
    </w:p>
    <w:p>
      <w:pPr>
        <w:jc w:val="both"/>
      </w:pPr>
      <w:r>
        <w:rPr>
          <w:rFonts w:hAnsi="Arial"/>
          <w:rFonts w:ascii="Arial"/>
          <w:sz w:val="24"/>
          <w:color w:val="black"/>
        </w:rPr>
        <w:t xml:space="preserve">h) En caso de abandono de la nave permanecerα en la estaciσn a σrdenes del Capitαn, hasta que este le ordene abandonarla.</w:t>
      </w:r>
    </w:p>
    <w:p>
      <w:pPr>
        <w:jc w:val="both"/>
      </w:pPr>
      <w:rPr>
        <w:sz w:val="24"/>
        <w:color w:val="black"/>
      </w:rPr>
    </w:p>
    <w:p>
      <w:pPr>
        <w:jc w:val="both"/>
      </w:pPr>
      <w:r>
        <w:rPr>
          <w:rFonts w:hAnsi="Arial"/>
          <w:rFonts w:ascii="Arial"/>
          <w:sz w:val="24"/>
          <w:color w:val="black"/>
        </w:rPr>
        <w:t xml:space="preserve">i) Tendrα ademαs en cuenta y darα cumplimiento a las instrucciones adicionales contenidas en las "Recomendaciones" de los Anexos correspondientes a las Resoluciones 5 y 6, adjuntas al Convenio, relativas a los Oficiales Radiotelegrafistas y al servicio de escucha radioelιctrica de seguridad, para estos y los operadores radiotelefonistas, como tambiιn del Anexo III de la Resoluciσn 7 del mismo Convenio.</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29" w:name="2.4.1.1.2.43"/>
      <w:r>
        <w:rPr>
          <w:rFonts w:hAnsi="Arial"/>
          <w:rFonts w:ascii="Arial"/>
          <w:sz w:val="24"/>
          <w:color w:val="navy"/>
        </w:rPr>
        <w:t xml:space="preserve">ARTΝCULO 2.4.1.1.2.43. </w:t>
      </w:r>
      <w:r>
        <w:rPr>
          <w:rFonts w:hAnsi="Arial"/>
          <w:rFonts w:ascii="Arial"/>
          <w:sz w:val="24"/>
          <w:i/>
          <w:color w:val="navy"/>
        </w:rPr>
        <w:t xml:space="preserve">SON FUNCIONES Y OBLIGACIONES DE LOS OFICIALES DE MΑQUINAS.</w:t>
      </w:r>
      <w:bookmarkEnd w:id="61429"/>
      <w:r>
        <w:rPr>
          <w:rFonts w:hAnsi="Arial"/>
          <w:rFonts w:ascii="Arial"/>
          <w:sz w:val="24"/>
          <w:b/>
          <w:i/>
          <w:color w:val="black"/>
        </w:rPr>
        <w:t xml:space="preserve"> </w:t>
      </w:r>
      <w:r>
        <w:rPr>
          <w:rFonts w:hAnsi="Arial"/>
          <w:rFonts w:ascii="Arial"/>
          <w:sz w:val="24"/>
          <w:color w:val="black"/>
        </w:rPr>
        <w:t xml:space="preserve">Son funciones y obligaciones de los Oficiales de Mαquinas, las siguientes:</w:t>
      </w:r>
    </w:p>
    <w:p>
      <w:pPr>
        <w:jc w:val="both"/>
      </w:pPr>
      <w:rPr>
        <w:sz w:val="24"/>
        <w:color w:val="black"/>
      </w:rPr>
    </w:p>
    <w:p>
      <w:pPr>
        <w:jc w:val="both"/>
      </w:pPr>
      <w:r>
        <w:rPr>
          <w:rFonts w:hAnsi="Arial"/>
          <w:rFonts w:ascii="Arial"/>
          <w:sz w:val="24"/>
          <w:color w:val="black"/>
        </w:rPr>
        <w:t xml:space="preserve">1. Del Oficial Maquinista Jefe</w:t>
      </w:r>
    </w:p>
    <w:p>
      <w:pPr>
        <w:jc w:val="both"/>
      </w:pPr>
      <w:rPr>
        <w:sz w:val="24"/>
        <w:color w:val="black"/>
      </w:rPr>
    </w:p>
    <w:p>
      <w:pPr>
        <w:jc w:val="both"/>
      </w:pPr>
      <w:r>
        <w:rPr>
          <w:rFonts w:hAnsi="Arial"/>
          <w:rFonts w:ascii="Arial"/>
          <w:sz w:val="24"/>
          <w:color w:val="black"/>
        </w:rPr>
        <w:t xml:space="preserve">a) Responder al Capitαn por la operaciσn, conservaciσn y mantenimiento de la maquinarνa del Departamento de Ingenierνa y los equipos y el material correspondiente.</w:t>
      </w:r>
    </w:p>
    <w:p>
      <w:pPr>
        <w:jc w:val="both"/>
      </w:pPr>
      <w:rPr>
        <w:sz w:val="24"/>
        <w:color w:val="black"/>
      </w:rPr>
    </w:p>
    <w:p>
      <w:pPr>
        <w:jc w:val="both"/>
      </w:pPr>
      <w:r>
        <w:rPr>
          <w:rFonts w:hAnsi="Arial"/>
          <w:rFonts w:ascii="Arial"/>
          <w:sz w:val="24"/>
          <w:color w:val="black"/>
        </w:rPr>
        <w:t xml:space="preserve">b) Atiende personalmente toda maniobra de la maquinarνa propulsora al entrar y salir de puerto o durante el paso por canales, estrechos o αreas peligrosas y en forma general, siempre que el Capitαn dirija personalmente una maniobra desde el puente.</w:t>
      </w:r>
    </w:p>
    <w:p>
      <w:pPr>
        <w:jc w:val="both"/>
      </w:pPr>
      <w:rPr>
        <w:sz w:val="24"/>
        <w:color w:val="black"/>
      </w:rPr>
    </w:p>
    <w:p>
      <w:pPr>
        <w:jc w:val="both"/>
      </w:pPr>
      <w:r>
        <w:rPr>
          <w:rFonts w:hAnsi="Arial"/>
          <w:rFonts w:ascii="Arial"/>
          <w:sz w:val="24"/>
          <w:color w:val="black"/>
        </w:rPr>
        <w:t xml:space="preserve">c) Es el superior directo de todo el personal de mαquinas.</w:t>
      </w:r>
    </w:p>
    <w:p>
      <w:pPr>
        <w:jc w:val="both"/>
      </w:pPr>
      <w:rPr>
        <w:sz w:val="24"/>
        <w:color w:val="black"/>
      </w:rPr>
    </w:p>
    <w:p>
      <w:pPr>
        <w:jc w:val="both"/>
      </w:pPr>
      <w:r>
        <w:rPr>
          <w:rFonts w:hAnsi="Arial"/>
          <w:rFonts w:ascii="Arial"/>
          <w:sz w:val="24"/>
          <w:color w:val="black"/>
        </w:rPr>
        <w:t xml:space="preserve">d) Responde al Capitαn por el control de las existencias de combustible y lubricantes para uso del departamento de mαquinas.</w:t>
      </w:r>
    </w:p>
    <w:p>
      <w:pPr>
        <w:jc w:val="both"/>
      </w:pPr>
      <w:rPr>
        <w:sz w:val="24"/>
        <w:color w:val="black"/>
      </w:rPr>
    </w:p>
    <w:p>
      <w:pPr>
        <w:jc w:val="both"/>
      </w:pPr>
      <w:r>
        <w:rPr>
          <w:rFonts w:hAnsi="Arial"/>
          <w:rFonts w:ascii="Arial"/>
          <w:sz w:val="24"/>
          <w:color w:val="black"/>
        </w:rPr>
        <w:t xml:space="preserve">e) Lleva el control y registro de las reparaciones y rutinas efectuadas a la maquinarνa a su cargo.</w:t>
      </w:r>
    </w:p>
    <w:p>
      <w:pPr>
        <w:jc w:val="both"/>
      </w:pPr>
      <w:rPr>
        <w:sz w:val="24"/>
        <w:color w:val="black"/>
      </w:rPr>
    </w:p>
    <w:p>
      <w:pPr>
        <w:jc w:val="both"/>
      </w:pPr>
      <w:r>
        <w:rPr>
          <w:rFonts w:hAnsi="Arial"/>
          <w:rFonts w:ascii="Arial"/>
          <w:sz w:val="24"/>
          <w:color w:val="black"/>
        </w:rPr>
        <w:t xml:space="preserve">f) Lleva el Libro de Σrdenes del Maquinista Jefe, donde figuran todas las σrdenes de carαcter general impartidas a los Oficiales de Mαquinas, quienes firmarαn en constancia de haber sido enterados.</w:t>
      </w:r>
    </w:p>
    <w:p>
      <w:pPr>
        <w:jc w:val="both"/>
      </w:pPr>
      <w:rPr>
        <w:sz w:val="24"/>
        <w:color w:val="black"/>
      </w:rPr>
    </w:p>
    <w:p>
      <w:pPr>
        <w:jc w:val="both"/>
      </w:pPr>
      <w:r>
        <w:rPr>
          <w:rFonts w:hAnsi="Arial"/>
          <w:rFonts w:ascii="Arial"/>
          <w:sz w:val="24"/>
          <w:color w:val="black"/>
        </w:rPr>
        <w:t xml:space="preserve">g) Ordena y supervigila toda reparaciσn que se ejecute en la maquinaria a su cargo, en particular cuando se trate de la maquinaria propulsora.</w:t>
      </w:r>
    </w:p>
    <w:p>
      <w:pPr>
        <w:jc w:val="both"/>
      </w:pPr>
      <w:rPr>
        <w:sz w:val="24"/>
        <w:color w:val="black"/>
      </w:rPr>
    </w:p>
    <w:p>
      <w:pPr>
        <w:jc w:val="both"/>
      </w:pPr>
      <w:r>
        <w:rPr>
          <w:rFonts w:hAnsi="Arial"/>
          <w:rFonts w:ascii="Arial"/>
          <w:sz w:val="24"/>
          <w:color w:val="black"/>
        </w:rPr>
        <w:t xml:space="preserve">h) Ordena o autoriza todo trabajo extraordinario en su departamento.</w:t>
      </w:r>
    </w:p>
    <w:p>
      <w:pPr>
        <w:jc w:val="both"/>
      </w:pPr>
      <w:rPr>
        <w:sz w:val="24"/>
        <w:color w:val="black"/>
      </w:rPr>
    </w:p>
    <w:p>
      <w:pPr>
        <w:jc w:val="both"/>
      </w:pPr>
      <w:r>
        <w:rPr>
          <w:rFonts w:hAnsi="Arial"/>
          <w:rFonts w:ascii="Arial"/>
          <w:sz w:val="24"/>
          <w:color w:val="black"/>
        </w:rPr>
        <w:t xml:space="preserve">i) Organiza y controla la debida instrucciσn del personal respecto de la operaciσn, mantenimiento y conservaciσn de la maquinaria del buque.</w:t>
      </w:r>
    </w:p>
    <w:p>
      <w:pPr>
        <w:jc w:val="both"/>
      </w:pPr>
      <w:rPr>
        <w:sz w:val="24"/>
        <w:color w:val="black"/>
      </w:rPr>
    </w:p>
    <w:p>
      <w:pPr>
        <w:jc w:val="both"/>
      </w:pPr>
      <w:r>
        <w:rPr>
          <w:rFonts w:hAnsi="Arial"/>
          <w:rFonts w:ascii="Arial"/>
          <w:sz w:val="24"/>
          <w:color w:val="black"/>
        </w:rPr>
        <w:t xml:space="preserve">j) Personalmente controla y verifica las condiciones de operaciσn de la maquinaria de gobierno, en particular antes de zarpar del puerto, y cuando se efectϊen reparaciones en la misma.</w:t>
      </w:r>
    </w:p>
    <w:p>
      <w:pPr>
        <w:jc w:val="both"/>
      </w:pPr>
      <w:rPr>
        <w:sz w:val="24"/>
        <w:color w:val="black"/>
      </w:rPr>
    </w:p>
    <w:p>
      <w:pPr>
        <w:jc w:val="both"/>
      </w:pPr>
      <w:r>
        <w:rPr>
          <w:rFonts w:hAnsi="Arial"/>
          <w:rFonts w:ascii="Arial"/>
          <w:sz w:val="24"/>
          <w:color w:val="black"/>
        </w:rPr>
        <w:t xml:space="preserve">k) Informa oportunamente al Capitαn sobre cualquier novedad de las mαquinas que afecte o limite la disponibilidad o la operaciσn de las mismas.</w:t>
      </w:r>
    </w:p>
    <w:p>
      <w:pPr>
        <w:jc w:val="both"/>
      </w:pPr>
      <w:rPr>
        <w:sz w:val="24"/>
        <w:color w:val="black"/>
      </w:rPr>
    </w:p>
    <w:p>
      <w:pPr>
        <w:jc w:val="both"/>
      </w:pPr>
      <w:r>
        <w:rPr>
          <w:rFonts w:hAnsi="Arial"/>
          <w:rFonts w:ascii="Arial"/>
          <w:sz w:val="24"/>
          <w:color w:val="black"/>
        </w:rPr>
        <w:t xml:space="preserve">l) Mientras se encuentre en desempeρo de su cargo, debe considerarse en servicio permanente.</w:t>
      </w:r>
    </w:p>
    <w:p>
      <w:pPr>
        <w:jc w:val="both"/>
      </w:pPr>
      <w:rPr>
        <w:sz w:val="24"/>
        <w:color w:val="black"/>
      </w:rPr>
    </w:p>
    <w:p>
      <w:pPr>
        <w:jc w:val="both"/>
      </w:pPr>
      <w:r>
        <w:rPr>
          <w:rFonts w:hAnsi="Arial"/>
          <w:rFonts w:ascii="Arial"/>
          <w:sz w:val="24"/>
          <w:color w:val="black"/>
        </w:rPr>
        <w:t xml:space="preserve">m) Las demαs que le asigne el Capitαn o el Reglamento Interno del buque, dentro de su capacidad y competencia.</w:t>
      </w:r>
    </w:p>
    <w:p>
      <w:pPr>
        <w:jc w:val="both"/>
      </w:pPr>
      <w:rPr>
        <w:sz w:val="24"/>
        <w:color w:val="black"/>
      </w:rPr>
    </w:p>
    <w:p>
      <w:pPr>
        <w:jc w:val="both"/>
      </w:pPr>
      <w:r>
        <w:rPr>
          <w:rFonts w:hAnsi="Arial"/>
          <w:rFonts w:ascii="Arial"/>
          <w:sz w:val="24"/>
          <w:color w:val="black"/>
        </w:rPr>
        <w:t xml:space="preserve">2. Del Primer Maquinista</w:t>
      </w:r>
    </w:p>
    <w:p>
      <w:pPr>
        <w:jc w:val="both"/>
      </w:pPr>
      <w:rPr>
        <w:sz w:val="24"/>
        <w:color w:val="black"/>
      </w:rPr>
    </w:p>
    <w:p>
      <w:pPr>
        <w:jc w:val="both"/>
      </w:pPr>
      <w:r>
        <w:rPr>
          <w:rFonts w:hAnsi="Arial"/>
          <w:rFonts w:ascii="Arial"/>
          <w:sz w:val="24"/>
          <w:color w:val="black"/>
        </w:rPr>
        <w:t xml:space="preserve">a) Responder al Maquinista Jefe por los trabajos de conservaciσn y mantenimiento de los grupos electrσgenos principales y la maquinaria auxiliar instalada en la sala de mαquinas.</w:t>
      </w:r>
    </w:p>
    <w:p>
      <w:pPr>
        <w:jc w:val="both"/>
      </w:pPr>
      <w:rPr>
        <w:sz w:val="24"/>
        <w:color w:val="black"/>
      </w:rPr>
    </w:p>
    <w:p>
      <w:pPr>
        <w:jc w:val="both"/>
      </w:pPr>
      <w:r>
        <w:rPr>
          <w:rFonts w:hAnsi="Arial"/>
          <w:rFonts w:ascii="Arial"/>
          <w:sz w:val="24"/>
          <w:color w:val="black"/>
        </w:rPr>
        <w:t xml:space="preserve">b) Lleva el control de los sondeos de combustible y lubricantes del departamento, los cuales presentarα diariamente al Maquinista Jefe y al Primer Oficial.</w:t>
      </w:r>
    </w:p>
    <w:p>
      <w:pPr>
        <w:jc w:val="both"/>
      </w:pPr>
      <w:rPr>
        <w:sz w:val="24"/>
        <w:color w:val="black"/>
      </w:rPr>
    </w:p>
    <w:p>
      <w:pPr>
        <w:jc w:val="both"/>
      </w:pPr>
      <w:r>
        <w:rPr>
          <w:rFonts w:hAnsi="Arial"/>
          <w:rFonts w:ascii="Arial"/>
          <w:sz w:val="24"/>
          <w:color w:val="black"/>
        </w:rPr>
        <w:t xml:space="preserve">c) Lleva el libro de trabajos extraordinarios del personal de mαquinas, libro que presentarα semanalmente al Maquinista Jefe para su revisiσn y firma.</w:t>
      </w:r>
    </w:p>
    <w:p>
      <w:pPr>
        <w:jc w:val="both"/>
      </w:pPr>
      <w:rPr>
        <w:sz w:val="24"/>
        <w:color w:val="black"/>
      </w:rPr>
    </w:p>
    <w:p>
      <w:pPr>
        <w:jc w:val="both"/>
      </w:pPr>
      <w:r>
        <w:rPr>
          <w:rFonts w:hAnsi="Arial"/>
          <w:rFonts w:ascii="Arial"/>
          <w:sz w:val="24"/>
          <w:color w:val="black"/>
        </w:rPr>
        <w:t xml:space="preserve">d) Mantiene al dνa los demαs libros y registros a su cargo.</w:t>
      </w:r>
    </w:p>
    <w:p>
      <w:pPr>
        <w:jc w:val="both"/>
      </w:pPr>
      <w:rPr>
        <w:sz w:val="24"/>
        <w:color w:val="black"/>
      </w:rPr>
    </w:p>
    <w:p>
      <w:pPr>
        <w:jc w:val="both"/>
      </w:pPr>
      <w:r>
        <w:rPr>
          <w:rFonts w:hAnsi="Arial"/>
          <w:rFonts w:ascii="Arial"/>
          <w:sz w:val="24"/>
          <w:color w:val="black"/>
        </w:rPr>
        <w:t xml:space="preserve">e) Los demαs que le asigne el Maquinista Jefe o el Reglamento Interno del buque, dentro de su capacidad y competencia.</w:t>
      </w:r>
    </w:p>
    <w:p>
      <w:pPr>
        <w:jc w:val="both"/>
      </w:pPr>
      <w:rPr>
        <w:sz w:val="24"/>
        <w:color w:val="black"/>
      </w:rPr>
    </w:p>
    <w:p>
      <w:pPr>
        <w:jc w:val="both"/>
      </w:pPr>
      <w:r>
        <w:rPr>
          <w:rFonts w:hAnsi="Arial"/>
          <w:rFonts w:ascii="Arial"/>
          <w:sz w:val="24"/>
          <w:color w:val="black"/>
        </w:rPr>
        <w:t xml:space="preserve">3. Del Segundo Maquinista</w:t>
      </w:r>
    </w:p>
    <w:p>
      <w:pPr>
        <w:jc w:val="both"/>
      </w:pPr>
      <w:rPr>
        <w:sz w:val="24"/>
        <w:color w:val="black"/>
      </w:rPr>
    </w:p>
    <w:p>
      <w:pPr>
        <w:jc w:val="both"/>
      </w:pPr>
      <w:r>
        <w:rPr>
          <w:rFonts w:hAnsi="Arial"/>
          <w:rFonts w:ascii="Arial"/>
          <w:sz w:val="24"/>
          <w:color w:val="black"/>
        </w:rPr>
        <w:t xml:space="preserve">a) Responde al Maquinista Jefe por los trabajos de mantenimiento y conservaciσn de las calderas, como tambiιn de los cabrestantes y chigres y demαs maquinaria instalada sobre cubierta, o fuera de la sala de mαquinas.</w:t>
      </w:r>
    </w:p>
    <w:p>
      <w:pPr>
        <w:jc w:val="both"/>
      </w:pPr>
      <w:rPr>
        <w:sz w:val="24"/>
        <w:color w:val="black"/>
      </w:rPr>
    </w:p>
    <w:p>
      <w:pPr>
        <w:jc w:val="both"/>
      </w:pPr>
      <w:r>
        <w:rPr>
          <w:rFonts w:hAnsi="Arial"/>
          <w:rFonts w:ascii="Arial"/>
          <w:sz w:val="24"/>
          <w:color w:val="black"/>
        </w:rPr>
        <w:t xml:space="preserve">b) Mantiene al dνa los libros y registros a su cargo.</w:t>
      </w:r>
    </w:p>
    <w:p>
      <w:pPr>
        <w:jc w:val="both"/>
      </w:pPr>
      <w:rPr>
        <w:sz w:val="24"/>
        <w:color w:val="black"/>
      </w:rPr>
    </w:p>
    <w:p>
      <w:pPr>
        <w:jc w:val="both"/>
      </w:pPr>
      <w:r>
        <w:rPr>
          <w:rFonts w:hAnsi="Arial"/>
          <w:rFonts w:ascii="Arial"/>
          <w:sz w:val="24"/>
          <w:color w:val="black"/>
        </w:rPr>
        <w:t xml:space="preserve">c) Los demαs que le asigne el Maquinista Jefe o el Reglamento Interno del buque, dentro de su capacidad y competencia.</w:t>
      </w:r>
    </w:p>
    <w:p>
      <w:pPr>
        <w:jc w:val="both"/>
      </w:pPr>
      <w:rPr>
        <w:sz w:val="24"/>
        <w:color w:val="black"/>
      </w:rPr>
    </w:p>
    <w:p>
      <w:pPr>
        <w:jc w:val="both"/>
      </w:pPr>
      <w:r>
        <w:rPr>
          <w:rFonts w:hAnsi="Arial"/>
          <w:rFonts w:ascii="Arial"/>
          <w:sz w:val="24"/>
          <w:color w:val="black"/>
        </w:rPr>
        <w:t xml:space="preserve">4. Del Tercer Maquinista</w:t>
      </w:r>
    </w:p>
    <w:p>
      <w:pPr>
        <w:jc w:val="both"/>
      </w:pPr>
      <w:rPr>
        <w:sz w:val="24"/>
        <w:color w:val="black"/>
      </w:rPr>
    </w:p>
    <w:p>
      <w:pPr>
        <w:jc w:val="both"/>
      </w:pPr>
      <w:r>
        <w:rPr>
          <w:rFonts w:hAnsi="Arial"/>
          <w:rFonts w:ascii="Arial"/>
          <w:sz w:val="24"/>
          <w:color w:val="black"/>
        </w:rPr>
        <w:t xml:space="preserve">a) Responde al Maquinista Jefe por la conservaciσn y mantenimiento de los sistemas de tuberνas de achique, lastre y contra incendio y los motores de los botes salvavidas.</w:t>
      </w:r>
    </w:p>
    <w:p>
      <w:pPr>
        <w:jc w:val="both"/>
      </w:pPr>
      <w:rPr>
        <w:sz w:val="24"/>
        <w:color w:val="black"/>
      </w:rPr>
    </w:p>
    <w:p>
      <w:pPr>
        <w:jc w:val="both"/>
      </w:pPr>
      <w:r>
        <w:rPr>
          <w:rFonts w:hAnsi="Arial"/>
          <w:rFonts w:ascii="Arial"/>
          <w:sz w:val="24"/>
          <w:color w:val="black"/>
        </w:rPr>
        <w:t xml:space="preserve">b) Mantiene al dνa los libros y registros a su cargo.</w:t>
      </w:r>
    </w:p>
    <w:p>
      <w:pPr>
        <w:jc w:val="both"/>
      </w:pPr>
      <w:rPr>
        <w:sz w:val="24"/>
        <w:color w:val="black"/>
      </w:rPr>
    </w:p>
    <w:p>
      <w:pPr>
        <w:jc w:val="both"/>
      </w:pPr>
      <w:r>
        <w:rPr>
          <w:rFonts w:hAnsi="Arial"/>
          <w:rFonts w:ascii="Arial"/>
          <w:sz w:val="24"/>
          <w:color w:val="black"/>
        </w:rPr>
        <w:t xml:space="preserve">c) Las demαs que le asignen el Maquinista Jefe y el Reglamento Interno del buque, dentro de su capacidad y competencia.</w:t>
      </w:r>
    </w:p>
    <w:p>
      <w:pPr>
        <w:jc w:val="both"/>
      </w:pPr>
      <w:rPr>
        <w:sz w:val="24"/>
        <w:color w:val="black"/>
      </w:rPr>
    </w:p>
    <w:p>
      <w:pPr>
        <w:jc w:val="both"/>
      </w:pPr>
      <w:r>
        <w:rPr>
          <w:rFonts w:hAnsi="Arial"/>
          <w:rFonts w:ascii="Arial"/>
          <w:sz w:val="24"/>
          <w:color w:val="black"/>
        </w:rPr>
        <w:t xml:space="preserve">1. Deberes de los Oficiales de Navegaciσn y Propulsiσn Adicionales que desempeρen otros cargos especνficos a bordo.</w:t>
      </w:r>
    </w:p>
    <w:p>
      <w:pPr>
        <w:jc w:val="both"/>
      </w:pPr>
      <w:rPr>
        <w:sz w:val="24"/>
        <w:color w:val="black"/>
      </w:rPr>
    </w:p>
    <w:p>
      <w:pPr>
        <w:jc w:val="both"/>
      </w:pPr>
      <w:r>
        <w:rPr>
          <w:rFonts w:hAnsi="Arial"/>
          <w:rFonts w:ascii="Arial"/>
          <w:sz w:val="24"/>
          <w:color w:val="black"/>
        </w:rPr>
        <w:t xml:space="preserve">Aquellos que les asigne el Reglamento Interno del buque, el Capitαn o el Maquinista Jefe, segϊn corresponda.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0" w:name="2.4.1.1.2.44"/>
      <w:r>
        <w:rPr>
          <w:rFonts w:hAnsi="Arial"/>
          <w:rFonts w:ascii="Arial"/>
          <w:sz w:val="24"/>
          <w:color w:val="navy"/>
        </w:rPr>
        <w:t xml:space="preserve">ARTΝCULO 2.4.1.1.2.44. </w:t>
      </w:r>
      <w:r>
        <w:rPr>
          <w:rFonts w:hAnsi="Arial"/>
          <w:rFonts w:ascii="Arial"/>
          <w:sz w:val="24"/>
          <w:i/>
          <w:color w:val="navy"/>
        </w:rPr>
        <w:t xml:space="preserve">DEBERES Y OBLIGACIONES DEL OFICIAL DE GUARDIA EN EL PUENTE.</w:t>
      </w:r>
      <w:bookmarkEnd w:id="61430"/>
      <w:r>
        <w:rPr>
          <w:rFonts w:hAnsi="Arial"/>
          <w:rFonts w:ascii="Arial"/>
          <w:sz w:val="24"/>
          <w:b/>
          <w:i/>
          <w:color w:val="black"/>
        </w:rPr>
        <w:t xml:space="preserve"> </w:t>
      </w:r>
      <w:r>
        <w:rPr>
          <w:rFonts w:hAnsi="Arial"/>
          <w:rFonts w:ascii="Arial"/>
          <w:sz w:val="24"/>
          <w:color w:val="black"/>
        </w:rPr>
        <w:t xml:space="preserve">Son deberes y obligaciones del Oficial de Guardia en el Puente, las siguientes;</w:t>
      </w:r>
    </w:p>
    <w:p>
      <w:pPr>
        <w:jc w:val="both"/>
      </w:pPr>
      <w:rPr>
        <w:sz w:val="24"/>
        <w:color w:val="black"/>
      </w:rPr>
    </w:p>
    <w:p>
      <w:pPr>
        <w:jc w:val="both"/>
      </w:pPr>
      <w:r>
        <w:rPr>
          <w:rFonts w:hAnsi="Arial"/>
          <w:rFonts w:ascii="Arial"/>
          <w:sz w:val="24"/>
          <w:color w:val="black"/>
        </w:rPr>
        <w:t xml:space="preserve">1. Cumplir y hacer cumplir los principios establecidos en la Regla II/1, del Convenio.</w:t>
      </w:r>
    </w:p>
    <w:p>
      <w:pPr>
        <w:jc w:val="both"/>
      </w:pPr>
      <w:rPr>
        <w:sz w:val="24"/>
        <w:color w:val="black"/>
      </w:rPr>
    </w:p>
    <w:p>
      <w:pPr>
        <w:jc w:val="both"/>
      </w:pPr>
      <w:r>
        <w:rPr>
          <w:rFonts w:hAnsi="Arial"/>
          <w:rFonts w:ascii="Arial"/>
          <w:sz w:val="24"/>
          <w:color w:val="black"/>
        </w:rPr>
        <w:t xml:space="preserve">2. Cumplir las recomendaciones sobre orientaciσn operacional contenidas en el Anexo de la Resoluciσn 1, del Convenio, para los oficiales encargados de guardias de navegaciσn.</w:t>
      </w:r>
    </w:p>
    <w:p>
      <w:pPr>
        <w:jc w:val="both"/>
      </w:pPr>
      <w:rPr>
        <w:sz w:val="24"/>
        <w:color w:val="black"/>
      </w:rPr>
    </w:p>
    <w:p>
      <w:pPr>
        <w:jc w:val="both"/>
      </w:pPr>
      <w:r>
        <w:rPr>
          <w:rFonts w:hAnsi="Arial"/>
          <w:rFonts w:ascii="Arial"/>
          <w:sz w:val="24"/>
          <w:color w:val="black"/>
        </w:rPr>
        <w:t xml:space="preserve">3. Los deberes y obligaciones adicionales contenidas en el presente Capνtulo como tambiιn en el Reglamento Interno del buque.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1" w:name="2.4.1.1.2.45"/>
      <w:r>
        <w:rPr>
          <w:rFonts w:hAnsi="Arial"/>
          <w:rFonts w:ascii="Arial"/>
          <w:sz w:val="24"/>
          <w:color w:val="navy"/>
        </w:rPr>
        <w:t xml:space="preserve">ARTΝCULO 2.4.1.1.2.45. </w:t>
      </w:r>
      <w:r>
        <w:rPr>
          <w:rFonts w:hAnsi="Arial"/>
          <w:rFonts w:ascii="Arial"/>
          <w:sz w:val="24"/>
          <w:i/>
          <w:color w:val="navy"/>
        </w:rPr>
        <w:t xml:space="preserve">DEBERES Y OBLIGACIONES DEL OFICIAL MAQUINISTA DE GUARDIA.</w:t>
      </w:r>
      <w:bookmarkEnd w:id="61431"/>
      <w:r>
        <w:rPr>
          <w:rFonts w:hAnsi="Arial"/>
          <w:rFonts w:ascii="Arial"/>
          <w:sz w:val="24"/>
          <w:b/>
          <w:i/>
          <w:color w:val="black"/>
        </w:rPr>
        <w:t xml:space="preserve"> </w:t>
      </w:r>
      <w:r>
        <w:rPr>
          <w:rFonts w:hAnsi="Arial"/>
          <w:rFonts w:ascii="Arial"/>
          <w:sz w:val="24"/>
          <w:color w:val="black"/>
        </w:rPr>
        <w:t xml:space="preserve">Son deberes y obligaciones del Oficial Maquinista de Guardia, las siguientes:</w:t>
      </w:r>
    </w:p>
    <w:p>
      <w:pPr>
        <w:jc w:val="both"/>
      </w:pPr>
      <w:rPr>
        <w:sz w:val="24"/>
        <w:color w:val="black"/>
      </w:rPr>
    </w:p>
    <w:p>
      <w:pPr>
        <w:jc w:val="both"/>
      </w:pPr>
      <w:r>
        <w:rPr>
          <w:rFonts w:hAnsi="Arial"/>
          <w:rFonts w:ascii="Arial"/>
          <w:sz w:val="24"/>
          <w:color w:val="black"/>
        </w:rPr>
        <w:t xml:space="preserve">1. Cumplir y hacer cumplir los principios establecidos en la Regla III/1, del Convenio.</w:t>
      </w:r>
    </w:p>
    <w:p>
      <w:pPr>
        <w:jc w:val="both"/>
      </w:pPr>
      <w:rPr>
        <w:sz w:val="24"/>
        <w:color w:val="black"/>
      </w:rPr>
    </w:p>
    <w:p>
      <w:pPr>
        <w:jc w:val="both"/>
      </w:pPr>
      <w:r>
        <w:rPr>
          <w:rFonts w:hAnsi="Arial"/>
          <w:rFonts w:ascii="Arial"/>
          <w:sz w:val="24"/>
          <w:color w:val="black"/>
        </w:rPr>
        <w:t xml:space="preserve">2. Cumplir las recomendaciones sobre orientaciσn operacional, contenidas en el Anexo y sus Partes I y II de la Resoluciσn 2, del Convenio, para los maquinistas encargados de la guardia de mαquinas.</w:t>
      </w:r>
    </w:p>
    <w:p>
      <w:pPr>
        <w:jc w:val="both"/>
      </w:pPr>
      <w:rPr>
        <w:sz w:val="24"/>
        <w:color w:val="black"/>
      </w:rPr>
    </w:p>
    <w:p>
      <w:pPr>
        <w:jc w:val="both"/>
      </w:pPr>
      <w:r>
        <w:rPr>
          <w:rFonts w:hAnsi="Arial"/>
          <w:rFonts w:ascii="Arial"/>
          <w:sz w:val="24"/>
          <w:color w:val="black"/>
        </w:rPr>
        <w:t xml:space="preserve">3. Los deberes y obligaciones adicionales contenidos en el presente Capνtulo como tambiιn en el Reglamento Interno del buque.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2" w:name="2.4.1.1.2.46"/>
      <w:r>
        <w:rPr>
          <w:rFonts w:hAnsi="Arial"/>
          <w:rFonts w:ascii="Arial"/>
          <w:sz w:val="24"/>
          <w:color w:val="navy"/>
        </w:rPr>
        <w:t xml:space="preserve">ARTΝCULO 2.4.1.1.2.46. </w:t>
      </w:r>
      <w:r>
        <w:rPr>
          <w:rFonts w:hAnsi="Arial"/>
          <w:rFonts w:ascii="Arial"/>
          <w:sz w:val="24"/>
          <w:i/>
          <w:color w:val="navy"/>
        </w:rPr>
        <w:t xml:space="preserve">FUNCIONES Y OBLIGACIONES DEL OFICIAL DE PUENTE DE GUARDIA EN PUERTO.</w:t>
      </w:r>
      <w:bookmarkEnd w:id="61432"/>
      <w:r>
        <w:rPr>
          <w:rFonts w:hAnsi="Arial"/>
          <w:rFonts w:ascii="Arial"/>
          <w:sz w:val="24"/>
          <w:b/>
          <w:i/>
          <w:color w:val="black"/>
        </w:rPr>
        <w:t xml:space="preserve"> </w:t>
      </w:r>
      <w:r>
        <w:rPr>
          <w:rFonts w:hAnsi="Arial"/>
          <w:rFonts w:ascii="Arial"/>
          <w:sz w:val="24"/>
          <w:color w:val="black"/>
        </w:rPr>
        <w:t xml:space="preserve">Son funciones y obligaciones del Oficial de Puente de Guardia en puerto, las siguientes:</w:t>
      </w:r>
    </w:p>
    <w:p>
      <w:pPr>
        <w:jc w:val="both"/>
      </w:pPr>
      <w:rPr>
        <w:sz w:val="24"/>
        <w:color w:val="black"/>
      </w:rPr>
    </w:p>
    <w:p>
      <w:pPr>
        <w:jc w:val="both"/>
      </w:pPr>
      <w:r>
        <w:rPr>
          <w:rFonts w:hAnsi="Arial"/>
          <w:rFonts w:ascii="Arial"/>
          <w:sz w:val="24"/>
          <w:color w:val="black"/>
        </w:rPr>
        <w:t xml:space="preserve">1. Lo dispuesto en las Reglas II/7 y II/8 del Convenio, en la medida que corresponda al puente, y las orientaciones contenidas en la Resoluciσn 3 del Convenio, y su Anexo.</w:t>
      </w:r>
    </w:p>
    <w:p>
      <w:pPr>
        <w:jc w:val="both"/>
      </w:pPr>
      <w:rPr>
        <w:sz w:val="24"/>
        <w:color w:val="black"/>
      </w:rPr>
    </w:p>
    <w:p>
      <w:pPr>
        <w:jc w:val="both"/>
      </w:pPr>
      <w:r>
        <w:rPr>
          <w:rFonts w:hAnsi="Arial"/>
          <w:rFonts w:ascii="Arial"/>
          <w:sz w:val="24"/>
          <w:color w:val="black"/>
        </w:rPr>
        <w:t xml:space="preserve">2. Los deberes y obligaciones adicionales contenidos en el presente Capνtulo como tambiιn en el Reglamento Interno del buque.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3" w:name="2.4.1.1.2.47"/>
      <w:r>
        <w:rPr>
          <w:rFonts w:hAnsi="Arial"/>
          <w:rFonts w:ascii="Arial"/>
          <w:sz w:val="24"/>
          <w:color w:val="navy"/>
        </w:rPr>
        <w:t xml:space="preserve">ARTΝCULO 2.4.1.1.2.47. </w:t>
      </w:r>
      <w:r>
        <w:rPr>
          <w:rFonts w:hAnsi="Arial"/>
          <w:rFonts w:ascii="Arial"/>
          <w:sz w:val="24"/>
          <w:i/>
          <w:color w:val="navy"/>
        </w:rPr>
        <w:t xml:space="preserve">GUARDIA DE PUERTO DE CUBIERTA.</w:t>
      </w:r>
      <w:bookmarkEnd w:id="61433"/>
      <w:r>
        <w:rPr>
          <w:rFonts w:hAnsi="Arial"/>
          <w:rFonts w:ascii="Arial"/>
          <w:sz w:val="24"/>
          <w:b/>
          <w:i/>
          <w:color w:val="black"/>
        </w:rPr>
        <w:t xml:space="preserve"> </w:t>
      </w:r>
      <w:r>
        <w:rPr>
          <w:rFonts w:hAnsi="Arial"/>
          <w:rFonts w:ascii="Arial"/>
          <w:sz w:val="24"/>
          <w:color w:val="black"/>
        </w:rPr>
        <w:t xml:space="preserve">La guardia de puerto de cubierta serα prestada por un Oficial si el buque tiene mαs de 500 T.A.B., o transporta mercancνas peligrosas. Caso contrario podrα ser prestada por un Contramaestre (marinero de Primera Clase) si el Capitαn lo considera competente para realizarla.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4" w:name="2.4.1.1.2.48"/>
      <w:r>
        <w:rPr>
          <w:rFonts w:hAnsi="Arial"/>
          <w:rFonts w:ascii="Arial"/>
          <w:sz w:val="24"/>
          <w:color w:val="navy"/>
        </w:rPr>
        <w:t xml:space="preserve">ARTΝCULO 2.4.1.1.2.48. </w:t>
      </w:r>
      <w:r>
        <w:rPr>
          <w:rFonts w:hAnsi="Arial"/>
          <w:rFonts w:ascii="Arial"/>
          <w:sz w:val="24"/>
          <w:i/>
          <w:color w:val="navy"/>
        </w:rPr>
        <w:t xml:space="preserve">DEBERES Y OBLIGACIONES DEL OFICIAL MAQUINISTA DE GUARDIA EN PUERTO.</w:t>
      </w:r>
      <w:bookmarkEnd w:id="61434"/>
      <w:r>
        <w:rPr>
          <w:rFonts w:hAnsi="Arial"/>
          <w:rFonts w:ascii="Arial"/>
          <w:sz w:val="24"/>
          <w:b/>
          <w:i/>
          <w:color w:val="black"/>
        </w:rPr>
        <w:t xml:space="preserve"> </w:t>
      </w:r>
      <w:r>
        <w:rPr>
          <w:rFonts w:hAnsi="Arial"/>
          <w:rFonts w:ascii="Arial"/>
          <w:sz w:val="24"/>
          <w:color w:val="black"/>
        </w:rPr>
        <w:t xml:space="preserve">Son deberes y obligaciones del Oficial Maquinista de Guardia en puerto, las siguientes:</w:t>
      </w:r>
    </w:p>
    <w:p>
      <w:pPr>
        <w:jc w:val="both"/>
      </w:pPr>
      <w:rPr>
        <w:sz w:val="24"/>
        <w:color w:val="black"/>
      </w:rPr>
    </w:p>
    <w:p>
      <w:pPr>
        <w:jc w:val="both"/>
      </w:pPr>
      <w:r>
        <w:rPr>
          <w:rFonts w:hAnsi="Arial"/>
          <w:rFonts w:ascii="Arial"/>
          <w:sz w:val="24"/>
          <w:color w:val="black"/>
        </w:rPr>
        <w:t xml:space="preserve">1. Lo dispuesto en las Reglas II/7 y II/8 del Convenio, en la medida que corresponda a las mαquinas.</w:t>
      </w:r>
    </w:p>
    <w:p>
      <w:pPr>
        <w:jc w:val="both"/>
      </w:pPr>
      <w:rPr>
        <w:sz w:val="24"/>
        <w:color w:val="black"/>
      </w:rPr>
    </w:p>
    <w:p>
      <w:pPr>
        <w:jc w:val="both"/>
      </w:pPr>
      <w:r>
        <w:rPr>
          <w:rFonts w:hAnsi="Arial"/>
          <w:rFonts w:ascii="Arial"/>
          <w:sz w:val="24"/>
          <w:color w:val="black"/>
        </w:rPr>
        <w:t xml:space="preserve">2. Los principios y orientaciones contenidas en la Resoluciσn 4 del Convenio y su Anexo.</w:t>
      </w:r>
    </w:p>
    <w:p>
      <w:pPr>
        <w:jc w:val="both"/>
      </w:pPr>
      <w:rPr>
        <w:sz w:val="24"/>
        <w:color w:val="black"/>
      </w:rPr>
    </w:p>
    <w:p>
      <w:pPr>
        <w:jc w:val="both"/>
      </w:pPr>
      <w:r>
        <w:rPr>
          <w:rFonts w:hAnsi="Arial"/>
          <w:rFonts w:ascii="Arial"/>
          <w:sz w:val="24"/>
          <w:color w:val="black"/>
        </w:rPr>
        <w:t xml:space="preserve">3. Los deberes y obligaciones adicionales contenidos en el presente Capνtulo, como tambiιn en el Reglamento Interno del buque.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5" w:name="2.4.1.1.2.49"/>
      <w:r>
        <w:rPr>
          <w:rFonts w:hAnsi="Arial"/>
          <w:rFonts w:ascii="Arial"/>
          <w:sz w:val="24"/>
          <w:color w:val="navy"/>
        </w:rPr>
        <w:t xml:space="preserve">ARTΝCULO 2.4.1.1.2.49. </w:t>
      </w:r>
      <w:r>
        <w:rPr>
          <w:rFonts w:hAnsi="Arial"/>
          <w:rFonts w:ascii="Arial"/>
          <w:sz w:val="24"/>
          <w:i/>
          <w:color w:val="navy"/>
        </w:rPr>
        <w:t xml:space="preserve">OFICIAL DE MΑQUINAS DE GUARDIA EN PUERTO.</w:t>
      </w:r>
      <w:bookmarkEnd w:id="61435"/>
      <w:r>
        <w:rPr>
          <w:rFonts w:hAnsi="Arial"/>
          <w:rFonts w:ascii="Arial"/>
          <w:sz w:val="24"/>
          <w:b/>
          <w:i/>
          <w:color w:val="black"/>
        </w:rPr>
        <w:t xml:space="preserve"> </w:t>
      </w:r>
      <w:r>
        <w:rPr>
          <w:rFonts w:hAnsi="Arial"/>
          <w:rFonts w:ascii="Arial"/>
          <w:sz w:val="24"/>
          <w:color w:val="black"/>
        </w:rPr>
        <w:t xml:space="preserve">En todo buque con potencia propulsora continua total, superior a 3.000 K.W. habrα siempre un Oficial de Mαquinas de guardia en puerto. En los de potencia menor de 3.000 K.W. se podrα prescindir de un Oficial maquinista de guardia en puerto, si el Capitαn y el Maquinista Jefe lo consideran seguro, siempre y cuando no se transporten mercancνas peligrosas a granel y haya Oficial de guardia de cubierta.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6" w:name="2.4.1.1.2.50"/>
      <w:r>
        <w:rPr>
          <w:rFonts w:hAnsi="Arial"/>
          <w:rFonts w:ascii="Arial"/>
          <w:sz w:val="24"/>
          <w:color w:val="navy"/>
        </w:rPr>
        <w:t xml:space="preserve">ARTΝCULO 2.4.1.1.2.50. </w:t>
      </w:r>
      <w:r>
        <w:rPr>
          <w:rFonts w:hAnsi="Arial"/>
          <w:rFonts w:ascii="Arial"/>
          <w:sz w:val="24"/>
          <w:i/>
          <w:color w:val="navy"/>
        </w:rPr>
        <w:t xml:space="preserve">DEBERES Y OBLIGACIONES DE LOS OFICIALES AUXILIARES DE MΑQUINAS.</w:t>
      </w:r>
      <w:bookmarkEnd w:id="61436"/>
      <w:r>
        <w:rPr>
          <w:rFonts w:hAnsi="Arial"/>
          <w:rFonts w:ascii="Arial"/>
          <w:sz w:val="24"/>
          <w:b/>
          <w:i/>
          <w:color w:val="black"/>
        </w:rPr>
        <w:t xml:space="preserve"> </w:t>
      </w:r>
      <w:r>
        <w:rPr>
          <w:rFonts w:hAnsi="Arial"/>
          <w:rFonts w:ascii="Arial"/>
          <w:sz w:val="24"/>
          <w:color w:val="black"/>
        </w:rPr>
        <w:t xml:space="preserve">Son deberes y obligaciones de los oficiales auxiliares de mαquinas (electricistas, electrσnicos de refrigeraciσn, etc.) las siguientes:</w:t>
      </w:r>
    </w:p>
    <w:p>
      <w:pPr>
        <w:jc w:val="both"/>
      </w:pPr>
      <w:rPr>
        <w:sz w:val="24"/>
        <w:color w:val="black"/>
      </w:rPr>
    </w:p>
    <w:p>
      <w:pPr>
        <w:jc w:val="both"/>
      </w:pPr>
      <w:r>
        <w:rPr>
          <w:rFonts w:hAnsi="Arial"/>
          <w:rFonts w:ascii="Arial"/>
          <w:sz w:val="24"/>
          <w:color w:val="black"/>
        </w:rPr>
        <w:t xml:space="preserve">1. Responder ante el Maquinista Jefe por la operaciσn, conservaciσn y mantenimiento de los equipos a su cargo.</w:t>
      </w:r>
    </w:p>
    <w:p>
      <w:pPr>
        <w:jc w:val="both"/>
      </w:pPr>
      <w:rPr>
        <w:sz w:val="24"/>
        <w:color w:val="black"/>
      </w:rPr>
    </w:p>
    <w:p>
      <w:pPr>
        <w:jc w:val="both"/>
      </w:pPr>
      <w:r>
        <w:rPr>
          <w:rFonts w:hAnsi="Arial"/>
          <w:rFonts w:ascii="Arial"/>
          <w:sz w:val="24"/>
          <w:color w:val="black"/>
        </w:rPr>
        <w:t xml:space="preserve">2. Informar al Oficial Maquinista de guardia y al Maquinista Jefe sobre cualquier irregularidad que se presente en la operaciσn de los equipos a su cargo y coordinar con este ϊltimo, las medidas que deban tomarse.</w:t>
      </w:r>
    </w:p>
    <w:p>
      <w:pPr>
        <w:jc w:val="both"/>
      </w:pPr>
      <w:rPr>
        <w:sz w:val="24"/>
        <w:color w:val="black"/>
      </w:rPr>
    </w:p>
    <w:p>
      <w:pPr>
        <w:jc w:val="both"/>
      </w:pPr>
      <w:r>
        <w:rPr>
          <w:rFonts w:hAnsi="Arial"/>
          <w:rFonts w:ascii="Arial"/>
          <w:sz w:val="24"/>
          <w:color w:val="black"/>
        </w:rPr>
        <w:t xml:space="preserve">3. Instruir debidamente al personal subalterno bajo sus σrdenes, sobre el mantenimiento, operaciσn y reparaciσn de los equipos a su cargo.</w:t>
      </w:r>
    </w:p>
    <w:p>
      <w:pPr>
        <w:jc w:val="both"/>
      </w:pPr>
      <w:rPr>
        <w:sz w:val="24"/>
        <w:color w:val="black"/>
      </w:rPr>
    </w:p>
    <w:p>
      <w:pPr>
        <w:jc w:val="both"/>
      </w:pPr>
      <w:r>
        <w:rPr>
          <w:rFonts w:hAnsi="Arial"/>
          <w:rFonts w:ascii="Arial"/>
          <w:sz w:val="24"/>
          <w:color w:val="black"/>
        </w:rPr>
        <w:t xml:space="preserve">4. Mantener al dνa las hojas de vida del equipo y material a su cargo.</w:t>
      </w:r>
    </w:p>
    <w:p>
      <w:pPr>
        <w:jc w:val="both"/>
      </w:pPr>
      <w:rPr>
        <w:sz w:val="24"/>
        <w:color w:val="black"/>
      </w:rPr>
    </w:p>
    <w:p>
      <w:pPr>
        <w:jc w:val="both"/>
      </w:pPr>
      <w:r>
        <w:rPr>
          <w:rFonts w:hAnsi="Arial"/>
          <w:rFonts w:ascii="Arial"/>
          <w:sz w:val="24"/>
          <w:color w:val="black"/>
        </w:rPr>
        <w:t xml:space="preserve">5. Las demαs que le asigne el Capitαn, el Maquinista Jefe o el Reglamento Interno del buque, dentro de su capacidad y competencia.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7" w:name="2.4.1.1.2.51"/>
      <w:r>
        <w:rPr>
          <w:rFonts w:hAnsi="Arial"/>
          <w:rFonts w:ascii="Arial"/>
          <w:sz w:val="24"/>
          <w:color w:val="navy"/>
        </w:rPr>
        <w:t xml:space="preserve">ARTΝCULO 2.4.1.1.2.51. </w:t>
      </w:r>
      <w:r>
        <w:rPr>
          <w:rFonts w:hAnsi="Arial"/>
          <w:rFonts w:ascii="Arial"/>
          <w:sz w:val="24"/>
          <w:i/>
          <w:color w:val="navy"/>
        </w:rPr>
        <w:t xml:space="preserve">DEBERES Y OBLIGACIONES DE LA MARINERΝA.</w:t>
      </w:r>
      <w:bookmarkEnd w:id="61437"/>
      <w:r>
        <w:rPr>
          <w:rFonts w:hAnsi="Arial"/>
          <w:rFonts w:ascii="Arial"/>
          <w:sz w:val="24"/>
          <w:b/>
          <w:i/>
          <w:color w:val="black"/>
        </w:rPr>
        <w:t xml:space="preserve"> </w:t>
      </w:r>
      <w:r>
        <w:rPr>
          <w:rFonts w:hAnsi="Arial"/>
          <w:rFonts w:ascii="Arial"/>
          <w:sz w:val="24"/>
          <w:color w:val="black"/>
        </w:rPr>
        <w:t xml:space="preserve">Los deberes y obligaciones de la Marinerνa son las siguientes:</w:t>
      </w:r>
    </w:p>
    <w:p>
      <w:pPr>
        <w:jc w:val="both"/>
      </w:pPr>
      <w:rPr>
        <w:sz w:val="24"/>
        <w:color w:val="black"/>
      </w:rPr>
    </w:p>
    <w:p>
      <w:pPr>
        <w:jc w:val="both"/>
      </w:pPr>
      <w:r>
        <w:rPr>
          <w:rFonts w:hAnsi="Arial"/>
          <w:rFonts w:ascii="Arial"/>
          <w:sz w:val="24"/>
          <w:color w:val="black"/>
        </w:rPr>
        <w:t xml:space="preserve">1. De la Marinerνa de Primera Clase, desempeρando cargos de Control y / o Supervisiσn, tales como Contramaestre, Almacenista de Mαquinas, Mecαnico Supervisor o Ayudante del Oficial Maquinista de Guardia, etc.</w:t>
      </w:r>
    </w:p>
    <w:p>
      <w:pPr>
        <w:jc w:val="both"/>
      </w:pPr>
      <w:rPr>
        <w:sz w:val="24"/>
        <w:color w:val="black"/>
      </w:rPr>
    </w:p>
    <w:p>
      <w:pPr>
        <w:jc w:val="both"/>
      </w:pPr>
      <w:r>
        <w:rPr>
          <w:rFonts w:hAnsi="Arial"/>
          <w:rFonts w:ascii="Arial"/>
          <w:sz w:val="24"/>
          <w:color w:val="black"/>
        </w:rPr>
        <w:t xml:space="preserve">a. Dirigir y supervisar el trabajo del personal a su cargo.</w:t>
      </w:r>
    </w:p>
    <w:p>
      <w:pPr>
        <w:jc w:val="both"/>
      </w:pPr>
      <w:rPr>
        <w:sz w:val="24"/>
        <w:color w:val="black"/>
      </w:rPr>
    </w:p>
    <w:p>
      <w:pPr>
        <w:jc w:val="both"/>
      </w:pPr>
      <w:r>
        <w:rPr>
          <w:rFonts w:hAnsi="Arial"/>
          <w:rFonts w:ascii="Arial"/>
          <w:sz w:val="24"/>
          <w:color w:val="black"/>
        </w:rPr>
        <w:t xml:space="preserve">b. Instruir debidamente al personal bajo sus σrdenes sobre la correcta ejecuciσn de los trabajos ordenados.</w:t>
      </w:r>
    </w:p>
    <w:p>
      <w:pPr>
        <w:jc w:val="both"/>
      </w:pPr>
      <w:rPr>
        <w:sz w:val="24"/>
        <w:color w:val="black"/>
      </w:rPr>
    </w:p>
    <w:p>
      <w:pPr>
        <w:jc w:val="both"/>
      </w:pPr>
      <w:r>
        <w:rPr>
          <w:rFonts w:hAnsi="Arial"/>
          <w:rFonts w:ascii="Arial"/>
          <w:sz w:val="24"/>
          <w:color w:val="black"/>
        </w:rPr>
        <w:t xml:space="preserve">c. Coordinar estrechamente con los oficiales, el control y mantenimiento de la disciplina a bordo.</w:t>
      </w:r>
    </w:p>
    <w:p>
      <w:pPr>
        <w:jc w:val="both"/>
      </w:pPr>
      <w:rPr>
        <w:sz w:val="24"/>
        <w:color w:val="black"/>
      </w:rPr>
    </w:p>
    <w:p>
      <w:pPr>
        <w:jc w:val="both"/>
      </w:pPr>
      <w:r>
        <w:rPr>
          <w:rFonts w:hAnsi="Arial"/>
          <w:rFonts w:ascii="Arial"/>
          <w:sz w:val="24"/>
          <w:color w:val="black"/>
        </w:rPr>
        <w:t xml:space="preserve">d. Cumplir las σrdenes que reciban de sus superiores inmediatos.</w:t>
      </w:r>
    </w:p>
    <w:p>
      <w:pPr>
        <w:jc w:val="both"/>
      </w:pPr>
      <w:rPr>
        <w:sz w:val="24"/>
        <w:color w:val="black"/>
      </w:rPr>
    </w:p>
    <w:p>
      <w:pPr>
        <w:jc w:val="both"/>
      </w:pPr>
      <w:r>
        <w:rPr>
          <w:rFonts w:hAnsi="Arial"/>
          <w:rFonts w:ascii="Arial"/>
          <w:sz w:val="24"/>
          <w:color w:val="black"/>
        </w:rPr>
        <w:t xml:space="preserve">2. De la Marinerνa que forma parte de las guardias de mar en el puente.</w:t>
      </w:r>
    </w:p>
    <w:p>
      <w:pPr>
        <w:jc w:val="both"/>
      </w:pPr>
      <w:rPr>
        <w:sz w:val="24"/>
        <w:color w:val="black"/>
      </w:rPr>
    </w:p>
    <w:p>
      <w:pPr>
        <w:jc w:val="both"/>
      </w:pPr>
      <w:r>
        <w:rPr>
          <w:rFonts w:hAnsi="Arial"/>
          <w:rFonts w:ascii="Arial"/>
          <w:sz w:val="24"/>
          <w:color w:val="black"/>
        </w:rPr>
        <w:t xml:space="preserve">a. Si actϊa como timonel, atenderα el gobierno del buque y el mantenimiento del rumbo, de acuerdo con las σrdenes del Capitαn y / o del Oficial de guardia en el puente.</w:t>
      </w:r>
    </w:p>
    <w:p>
      <w:pPr>
        <w:jc w:val="both"/>
      </w:pPr>
      <w:rPr>
        <w:sz w:val="24"/>
        <w:color w:val="black"/>
      </w:rPr>
    </w:p>
    <w:p>
      <w:pPr>
        <w:jc w:val="both"/>
      </w:pPr>
      <w:r>
        <w:rPr>
          <w:rFonts w:hAnsi="Arial"/>
          <w:rFonts w:ascii="Arial"/>
          <w:sz w:val="24"/>
          <w:color w:val="black"/>
        </w:rPr>
        <w:t xml:space="preserve">b. Mientras gobierne no ejecutarα no aceptarα deberes distintos, como los de vigνa, salvo en buques pequeρos en los que el puente de gobierno ofrezca visibilidad ininterrumpida en todas las direcciones, sin el entorpecimiento de la visiσn marνtima ni otros impedimentos para la realizaciσn de una vigilancia adecuada.</w:t>
      </w:r>
    </w:p>
    <w:p>
      <w:pPr>
        <w:jc w:val="both"/>
      </w:pPr>
      <w:rPr>
        <w:sz w:val="24"/>
        <w:color w:val="black"/>
      </w:rPr>
    </w:p>
    <w:p>
      <w:pPr>
        <w:jc w:val="both"/>
      </w:pPr>
      <w:r>
        <w:rPr>
          <w:rFonts w:hAnsi="Arial"/>
          <w:rFonts w:ascii="Arial"/>
          <w:sz w:val="24"/>
          <w:color w:val="black"/>
        </w:rPr>
        <w:t xml:space="preserve">c. Si se desempeρa como vigνa, ademαs de mantener una adecuada vigilancia con el fin de apreciar debidamente las circunstancias y los riesgos de abordajes, varada y otros que puedan presentarse para la navegaciσn, el vigνa tendrα la misiσn de percibir la posible presencia de buques o aeronaves en peligro, nαufragos, restos de naufragios y objetos a la deriva. En la realizaciσn de este servicio se observarαn las siguientes directrices:</w:t>
      </w:r>
    </w:p>
    <w:p>
      <w:pPr>
        <w:jc w:val="both"/>
      </w:pPr>
      <w:rPr>
        <w:sz w:val="24"/>
        <w:color w:val="black"/>
      </w:rPr>
    </w:p>
    <w:p>
      <w:pPr>
        <w:jc w:val="both"/>
      </w:pPr>
      <w:r>
        <w:rPr>
          <w:rFonts w:hAnsi="Arial"/>
          <w:rFonts w:ascii="Arial"/>
          <w:sz w:val="24"/>
          <w:color w:val="black"/>
        </w:rPr>
        <w:t xml:space="preserve">1. Ha de estar en permanente condiciσn de prestar toda su atenciσn a la realizaciσn de una adecuada vigilancia y no se le asignarα ninguna otra funciσn cuyo desempeρo pueda entorpecer esa tarea, ni el vigνa aceptarα una funciσn tal.</w:t>
      </w:r>
    </w:p>
    <w:p>
      <w:pPr>
        <w:jc w:val="both"/>
      </w:pPr>
      <w:rPr>
        <w:sz w:val="24"/>
        <w:color w:val="black"/>
      </w:rPr>
    </w:p>
    <w:p>
      <w:pPr>
        <w:jc w:val="both"/>
      </w:pPr>
      <w:r>
        <w:rPr>
          <w:rFonts w:hAnsi="Arial"/>
          <w:rFonts w:ascii="Arial"/>
          <w:sz w:val="24"/>
          <w:color w:val="black"/>
        </w:rPr>
        <w:t xml:space="preserve">2. Los deberes de vigνa y los de timonel son distintos y nunca se considerarα que el timonel estι actuando como vigνa mientras gobierna, salvo en los casos previstos en el numeral 2b, del presente artνculo.</w:t>
      </w:r>
    </w:p>
    <w:p>
      <w:pPr>
        <w:jc w:val="both"/>
      </w:pPr>
      <w:rPr>
        <w:sz w:val="24"/>
        <w:color w:val="black"/>
      </w:rPr>
    </w:p>
    <w:p>
      <w:pPr>
        <w:jc w:val="both"/>
      </w:pPr>
      <w:r>
        <w:rPr>
          <w:rFonts w:hAnsi="Arial"/>
          <w:rFonts w:ascii="Arial"/>
          <w:sz w:val="24"/>
          <w:color w:val="black"/>
        </w:rPr>
        <w:t xml:space="preserve">3. De la Marinerνa que forma parte de las Guardias de Mar en las Cαmaras de Mαquinas.</w:t>
      </w:r>
    </w:p>
    <w:p>
      <w:pPr>
        <w:jc w:val="both"/>
      </w:pPr>
      <w:rPr>
        <w:sz w:val="24"/>
        <w:color w:val="black"/>
      </w:rPr>
    </w:p>
    <w:p>
      <w:pPr>
        <w:jc w:val="both"/>
      </w:pPr>
      <w:r>
        <w:rPr>
          <w:rFonts w:hAnsi="Arial"/>
          <w:rFonts w:ascii="Arial"/>
          <w:sz w:val="24"/>
          <w:color w:val="black"/>
        </w:rPr>
        <w:t xml:space="preserve">a. Cumplir a cabalidad las σrdenes o instrucciones que reciba del Oficial Maquinista de Guardia.</w:t>
      </w:r>
    </w:p>
    <w:p>
      <w:pPr>
        <w:jc w:val="both"/>
      </w:pPr>
      <w:rPr>
        <w:sz w:val="24"/>
        <w:color w:val="black"/>
      </w:rPr>
    </w:p>
    <w:p>
      <w:pPr>
        <w:jc w:val="both"/>
      </w:pPr>
      <w:r>
        <w:rPr>
          <w:rFonts w:hAnsi="Arial"/>
          <w:rFonts w:ascii="Arial"/>
          <w:sz w:val="24"/>
          <w:color w:val="black"/>
        </w:rPr>
        <w:t xml:space="preserve">b. Si se desempeρa como ayudante del maquinista de guardia, cumplirα las instrucciones especiales que reciba del mismo y vigilarα la operaciσn y funcionamiento de la maquinaria, el estado de las tuberνas, las presiones, temperaturas, etc., comunicando al maquinista de guardia cualquier irregularidad que observe.</w:t>
      </w:r>
    </w:p>
    <w:p>
      <w:pPr>
        <w:jc w:val="both"/>
      </w:pPr>
      <w:rPr>
        <w:sz w:val="24"/>
        <w:color w:val="black"/>
      </w:rPr>
    </w:p>
    <w:p>
      <w:pPr>
        <w:jc w:val="both"/>
      </w:pPr>
      <w:r>
        <w:rPr>
          <w:rFonts w:hAnsi="Arial"/>
          <w:rFonts w:ascii="Arial"/>
          <w:sz w:val="24"/>
          <w:color w:val="black"/>
        </w:rPr>
        <w:t xml:space="preserve">c. Si se desempeρa como marineo de mαquinas de guardia en la Cαmara de Calderas, cumplirα las instrucciones y σrdenes que imparta el Oficial de Guardia, vigilando especialmente la presiσn de las calderas y el nivel de agua en las mismas, a fin de mantenerlos dentro de los lνmites de seguridad correspondientes y / o las instrucciones del maquinista de guardia.</w:t>
      </w:r>
    </w:p>
    <w:p>
      <w:pPr>
        <w:jc w:val="both"/>
      </w:pPr>
      <w:rPr>
        <w:sz w:val="24"/>
        <w:color w:val="black"/>
      </w:rPr>
    </w:p>
    <w:p>
      <w:pPr>
        <w:jc w:val="both"/>
      </w:pPr>
      <w:r>
        <w:rPr>
          <w:rFonts w:hAnsi="Arial"/>
          <w:rFonts w:ascii="Arial"/>
          <w:sz w:val="24"/>
          <w:color w:val="black"/>
        </w:rPr>
        <w:t xml:space="preserve">4. Del resto de la Marinerνa de Cubierta, Mαquinas y los Servicios.</w:t>
      </w:r>
    </w:p>
    <w:p>
      <w:pPr>
        <w:jc w:val="both"/>
      </w:pPr>
      <w:rPr>
        <w:sz w:val="24"/>
        <w:color w:val="black"/>
      </w:rPr>
    </w:p>
    <w:p>
      <w:pPr>
        <w:jc w:val="both"/>
      </w:pPr>
      <w:r>
        <w:rPr>
          <w:rFonts w:hAnsi="Arial"/>
          <w:rFonts w:ascii="Arial"/>
          <w:sz w:val="24"/>
          <w:color w:val="black"/>
        </w:rPr>
        <w:t xml:space="preserve">a. Ejecutar debidamente los trabajos que le sean asignados por sus superiores inmediatos.</w:t>
      </w:r>
    </w:p>
    <w:p>
      <w:pPr>
        <w:jc w:val="both"/>
      </w:pPr>
      <w:rPr>
        <w:sz w:val="24"/>
        <w:color w:val="black"/>
      </w:rPr>
    </w:p>
    <w:p>
      <w:pPr>
        <w:jc w:val="both"/>
      </w:pPr>
      <w:r>
        <w:rPr>
          <w:rFonts w:hAnsi="Arial"/>
          <w:rFonts w:ascii="Arial"/>
          <w:sz w:val="24"/>
          <w:color w:val="black"/>
        </w:rPr>
        <w:t xml:space="preserve">b. Cumplir las σrdenes e instrucciones que reciba de sus superiores.</w:t>
      </w:r>
    </w:p>
    <w:p>
      <w:pPr>
        <w:jc w:val="both"/>
      </w:pPr>
      <w:rPr>
        <w:sz w:val="24"/>
        <w:color w:val="black"/>
      </w:rPr>
    </w:p>
    <w:p>
      <w:pPr>
        <w:jc w:val="both"/>
      </w:pPr>
      <w:r>
        <w:rPr>
          <w:rFonts w:hAnsi="Arial"/>
          <w:rFonts w:ascii="Arial"/>
          <w:sz w:val="24"/>
          <w:color w:val="black"/>
        </w:rPr>
        <w:t xml:space="preserve">c. Informa a su superior inmediato sobre cualquier anormalidad o peligro que observe a bordo.</w:t>
      </w:r>
    </w:p>
    <w:p>
      <w:pPr>
        <w:jc w:val="both"/>
      </w:pPr>
      <w:rPr>
        <w:sz w:val="24"/>
        <w:color w:val="black"/>
      </w:rPr>
    </w:p>
    <w:p>
      <w:pPr>
        <w:jc w:val="both"/>
      </w:pPr>
      <w:r>
        <w:rPr>
          <w:rFonts w:hAnsi="Arial"/>
          <w:rFonts w:ascii="Arial"/>
          <w:sz w:val="24"/>
          <w:color w:val="black"/>
        </w:rPr>
        <w:t xml:space="preserve">d. Cuidar debidamente del material a su cargo.</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8" w:name="2.4.1.1.2.52"/>
      <w:r>
        <w:rPr>
          <w:rFonts w:hAnsi="Arial"/>
          <w:rFonts w:ascii="Arial"/>
          <w:sz w:val="24"/>
          <w:color w:val="navy"/>
        </w:rPr>
        <w:t xml:space="preserve">ARTΝCULO 2.4.1.1.2.52. </w:t>
      </w:r>
      <w:r>
        <w:rPr>
          <w:rFonts w:hAnsi="Arial"/>
          <w:rFonts w:ascii="Arial"/>
          <w:sz w:val="24"/>
          <w:i/>
          <w:color w:val="navy"/>
        </w:rPr>
        <w:t xml:space="preserve">OBLIGACIONES DE LOS PILOTINES.</w:t>
      </w:r>
      <w:bookmarkEnd w:id="61438"/>
      <w:r>
        <w:rPr>
          <w:rFonts w:hAnsi="Arial"/>
          <w:rFonts w:ascii="Arial"/>
          <w:sz w:val="24"/>
          <w:b/>
          <w:i/>
          <w:color w:val="black"/>
        </w:rPr>
        <w:t xml:space="preserve"> </w:t>
      </w:r>
      <w:r>
        <w:rPr>
          <w:rFonts w:hAnsi="Arial"/>
          <w:rFonts w:ascii="Arial"/>
          <w:sz w:val="24"/>
          <w:color w:val="black"/>
        </w:rPr>
        <w:t xml:space="preserve">Los pilotines embarcados para prαcticas estαn obligados a:</w:t>
      </w:r>
    </w:p>
    <w:p>
      <w:pPr>
        <w:jc w:val="both"/>
      </w:pPr>
      <w:rPr>
        <w:sz w:val="24"/>
        <w:color w:val="black"/>
      </w:rPr>
    </w:p>
    <w:p>
      <w:pPr>
        <w:jc w:val="both"/>
      </w:pPr>
      <w:r>
        <w:rPr>
          <w:rFonts w:hAnsi="Arial"/>
          <w:rFonts w:ascii="Arial"/>
          <w:sz w:val="24"/>
          <w:color w:val="black"/>
        </w:rPr>
        <w:t xml:space="preserve">1. Asistir a las guardias que le sean asignadas por el Capitαn o el Maquinista Jefe, segϊn el caso y cumplir las σrdenes e instrucciones del Oficial Instructor, del Oficial de Guardia o del Capitαn, o del Maquinista Jefe, segϊn corresponda.</w:t>
      </w:r>
    </w:p>
    <w:p>
      <w:pPr>
        <w:jc w:val="both"/>
      </w:pPr>
      <w:rPr>
        <w:sz w:val="24"/>
        <w:color w:val="black"/>
      </w:rPr>
    </w:p>
    <w:p>
      <w:pPr>
        <w:jc w:val="both"/>
      </w:pPr>
      <w:r>
        <w:rPr>
          <w:rFonts w:hAnsi="Arial"/>
          <w:rFonts w:ascii="Arial"/>
          <w:sz w:val="24"/>
          <w:color w:val="black"/>
        </w:rPr>
        <w:t xml:space="preserve">2. Colaborar en todas aquellas labores que por razσn de emergencia o accidente le sean asignadas y ordenadas por el Capitαn o el Maquinista Jefe.</w:t>
      </w:r>
    </w:p>
    <w:p>
      <w:pPr>
        <w:jc w:val="both"/>
      </w:pPr>
      <w:rPr>
        <w:sz w:val="24"/>
        <w:color w:val="black"/>
      </w:rPr>
    </w:p>
    <w:p>
      <w:pPr>
        <w:jc w:val="both"/>
      </w:pPr>
      <w:r>
        <w:rPr>
          <w:rFonts w:hAnsi="Arial"/>
          <w:rFonts w:ascii="Arial"/>
          <w:sz w:val="24"/>
          <w:color w:val="black"/>
        </w:rPr>
        <w:t xml:space="preserve">3. Ejecutar los ejercicios y trabajos que le fueren asignados por el Centro de Formaciσn, Capacitaciσn y Entrenamiento, respondiendo por el material que para dicho entrenamiento le fuese facilitado por la Escuela o por el buque.</w:t>
      </w:r>
    </w:p>
    <w:p>
      <w:pPr>
        <w:jc w:val="both"/>
      </w:pPr>
      <w:rPr>
        <w:sz w:val="24"/>
        <w:color w:val="black"/>
      </w:rPr>
    </w:p>
    <w:p>
      <w:pPr>
        <w:jc w:val="both"/>
      </w:pPr>
      <w:r>
        <w:rPr>
          <w:rFonts w:hAnsi="Arial"/>
          <w:rFonts w:ascii="Arial"/>
          <w:sz w:val="24"/>
          <w:color w:val="black"/>
        </w:rPr>
        <w:t xml:space="preserve">4. Presentar a la Direcciσn de la Escuela Nαutica al tιrmino del embarco, los cuadernos de prαcticas y ejercicios y los trabajos adicionales debidamente calificados por el Oficial Instructor, o por el Capitαn o el Maquinista Jefe, segϊn el caso.</w:t>
      </w:r>
    </w:p>
    <w:p>
      <w:pPr>
        <w:jc w:val="both"/>
      </w:pPr>
      <w:rPr>
        <w:sz w:val="24"/>
        <w:color w:val="black"/>
      </w:rPr>
    </w:p>
    <w:p>
      <w:pPr>
        <w:jc w:val="both"/>
      </w:pPr>
      <w:r>
        <w:rPr>
          <w:rFonts w:hAnsi="Arial"/>
          <w:rFonts w:ascii="Arial"/>
          <w:sz w:val="24"/>
          <w:color w:val="black"/>
        </w:rPr>
        <w:t xml:space="preserve">5. A bordo, los Pilotines dependen administrativamente del Oficial Instructor embarcado y si no hubiere Instructor, dependerαn directamente del Capitαn o del Maquinista Jefe, segϊn el caso.</w:t>
      </w:r>
    </w:p>
    <w:p>
      <w:pPr>
        <w:jc w:val="both"/>
      </w:pPr>
      <w:rPr>
        <w:sz w:val="24"/>
        <w:color w:val="black"/>
      </w:rPr>
    </w:p>
    <w:p>
      <w:pPr>
        <w:jc w:val="both"/>
      </w:pPr>
      <w:r>
        <w:rPr>
          <w:rFonts w:hAnsi="Arial"/>
          <w:rFonts w:ascii="Arial"/>
          <w:sz w:val="24"/>
          <w:color w:val="black"/>
        </w:rPr>
        <w:t xml:space="preserve">6. Cumplirαn como supernumerarios, las guardias y los trabajos que le sean asignados, sin que ello suponga vinculaciσn laboral con la empresa naviera respectiva.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39" w:name="2.4.1.1.2.53"/>
      <w:r>
        <w:rPr>
          <w:rFonts w:hAnsi="Arial"/>
          <w:rFonts w:ascii="Arial"/>
          <w:sz w:val="24"/>
          <w:color w:val="navy"/>
        </w:rPr>
        <w:t xml:space="preserve">ARTΝCULO 2.4.1.1.2.53. </w:t>
      </w:r>
      <w:r>
        <w:rPr>
          <w:rFonts w:hAnsi="Arial"/>
          <w:rFonts w:ascii="Arial"/>
          <w:sz w:val="24"/>
          <w:i/>
          <w:color w:val="navy"/>
        </w:rPr>
        <w:t xml:space="preserve">CATEGORΝA DE LOS PILOTINES.</w:t>
      </w:r>
      <w:bookmarkEnd w:id="61439"/>
      <w:r>
        <w:rPr>
          <w:rFonts w:hAnsi="Arial"/>
          <w:rFonts w:ascii="Arial"/>
          <w:sz w:val="24"/>
          <w:b/>
          <w:i/>
          <w:color w:val="black"/>
        </w:rPr>
        <w:t xml:space="preserve"> </w:t>
      </w:r>
      <w:r>
        <w:rPr>
          <w:rFonts w:hAnsi="Arial"/>
          <w:rFonts w:ascii="Arial"/>
          <w:sz w:val="24"/>
          <w:color w:val="black"/>
        </w:rPr>
        <w:t xml:space="preserve">Durante su permanencia a bordo, los Pilotines tendrαn categorνa de Oficial en entrenamiento, sin funciones ni obligaciones especνficas distintas de las enunciadas en los artνculos anteriores, estando sujetos para todos los efectos, al Reglamento Interno del buque.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40" w:name="2.4.1.1.2.54"/>
      <w:r>
        <w:rPr>
          <w:rFonts w:hAnsi="Arial"/>
          <w:rFonts w:ascii="Arial"/>
          <w:sz w:val="24"/>
          <w:color w:val="navy"/>
        </w:rPr>
        <w:t xml:space="preserve">ARTΝCULO 2.4.1.1.2.54. </w:t>
      </w:r>
      <w:r>
        <w:rPr>
          <w:rFonts w:hAnsi="Arial"/>
          <w:rFonts w:ascii="Arial"/>
          <w:sz w:val="24"/>
          <w:i/>
          <w:color w:val="navy"/>
        </w:rPr>
        <w:t xml:space="preserve">CAPITANES Y OFICIALES DE PUENTE REGIONALES DE CATEGORΝA "B" RESTRINGIDA.</w:t>
      </w:r>
      <w:bookmarkEnd w:id="61440"/>
      <w:r>
        <w:rPr>
          <w:rFonts w:hAnsi="Arial"/>
          <w:rFonts w:ascii="Arial"/>
          <w:sz w:val="24"/>
          <w:b/>
          <w:i/>
          <w:color w:val="black"/>
        </w:rPr>
        <w:t xml:space="preserve"> </w:t>
      </w:r>
      <w:r>
        <w:rPr>
          <w:rFonts w:hAnsi="Arial"/>
          <w:rFonts w:ascii="Arial"/>
          <w:sz w:val="24"/>
          <w:color w:val="black"/>
        </w:rPr>
        <w:t xml:space="preserve">La Direcciσn General Marνtima podrα habilitar Capitanes y Oficiales de Puente Regionales de Categorνa "B" Restringida, para desempeρar los respectivos cargos en buques hasta de 4.000 T.R.B. para el cual estαn facultados a bordo de buques que efectϊen navegaciσn de altura a las Islas de San Andrιs y Providencia u otras Islas colombianas situadas a mαs de 12 millas de la Costa Continental, si previamente acreditan haber efectuado a satisfacciσn, un curso adecuado de navegaciσn astronσmica, aceptado por dicha Autoridad.</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441" w:name="2.4.1.1.2.55"/>
      <w:r>
        <w:rPr>
          <w:rFonts w:hAnsi="Arial"/>
          <w:rFonts w:ascii="Arial"/>
          <w:sz w:val="24"/>
          <w:color w:val="navy"/>
        </w:rPr>
        <w:t xml:space="preserve">ARTΝCULO 2.4.1.1.2.55.</w:t>
      </w:r>
      <w:bookmarkEnd w:id="6144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2" w:name="2.4.1.1.2.56"/>
      <w:r>
        <w:rPr>
          <w:rFonts w:hAnsi="Arial"/>
          <w:rFonts w:ascii="Arial"/>
          <w:sz w:val="24"/>
          <w:color w:val="navy"/>
        </w:rPr>
        <w:t xml:space="preserve">ARTΝCULO 2.4.1.1.2.56.</w:t>
      </w:r>
      <w:bookmarkEnd w:id="6144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3" w:name="2.4.1.1.2.57"/>
      <w:r>
        <w:rPr>
          <w:rFonts w:hAnsi="Arial"/>
          <w:rFonts w:ascii="Arial"/>
          <w:sz w:val="24"/>
          <w:color w:val="navy"/>
        </w:rPr>
        <w:t xml:space="preserve">ARTΝCULO 2.4.1.1.2.57.</w:t>
      </w:r>
      <w:bookmarkEnd w:id="6144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4" w:name="2.4.1.1.2.58"/>
      <w:r>
        <w:rPr>
          <w:rFonts w:hAnsi="Arial"/>
          <w:rFonts w:ascii="Arial"/>
          <w:sz w:val="24"/>
          <w:color w:val="navy"/>
        </w:rPr>
        <w:t xml:space="preserve">ARTΝCULO 2.4.1.1.2.58.</w:t>
      </w:r>
      <w:bookmarkEnd w:id="6144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5" w:name="2.4.1.1.2.59"/>
      <w:r>
        <w:rPr>
          <w:rFonts w:hAnsi="Arial"/>
          <w:rFonts w:ascii="Arial"/>
          <w:sz w:val="24"/>
          <w:color w:val="navy"/>
        </w:rPr>
        <w:t xml:space="preserve">ARTΝCULO 2.4.1.1.2.59.</w:t>
      </w:r>
      <w:bookmarkEnd w:id="6144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6" w:name="2.4.1.1.2.60"/>
      <w:r>
        <w:rPr>
          <w:rFonts w:hAnsi="Arial"/>
          <w:rFonts w:ascii="Arial"/>
          <w:sz w:val="24"/>
          <w:color w:val="navy"/>
        </w:rPr>
        <w:t xml:space="preserve">ARTΝCULO 2.4.1.1.2.60.</w:t>
      </w:r>
      <w:bookmarkEnd w:id="6144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7" w:name="2.4.1.1.2.61"/>
      <w:r>
        <w:rPr>
          <w:rFonts w:hAnsi="Arial"/>
          <w:rFonts w:ascii="Arial"/>
          <w:sz w:val="24"/>
          <w:color w:val="navy"/>
        </w:rPr>
        <w:t xml:space="preserve">ARTΝCULO 2.4.1.1.2.61.</w:t>
      </w:r>
      <w:bookmarkEnd w:id="6144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center"/>
      </w:pPr>
      <w:r>
        <w:rPr>
          <w:rFonts w:hAnsi="Arial"/>
          <w:rFonts w:ascii="Arial"/>
          <w:sz w:val="24"/>
          <w:vanish/>
          <w:color w:val="black"/>
        </w:rPr>
        <w:t>&amp;$</w:t>
      </w:r>
      <w:bookmarkStart w:id="61448" w:name="SECCIÓN 2.4.1.1.3"/>
      <w:r>
        <w:rPr>
          <w:rFonts w:hAnsi="Arial"/>
          <w:rFonts w:ascii="Arial"/>
          <w:sz w:val="24"/>
          <w:color w:val="navy"/>
        </w:rPr>
        <w:t xml:space="preserve">SECCIΣN 3. </w:t>
      </w:r>
    </w:p>
    <w:p>
      <w:pPr>
        <w:jc w:val="center"/>
      </w:pPr>
      <w:r>
        <w:rPr>
          <w:rFonts w:hAnsi="Arial"/>
          <w:rFonts w:ascii="Arial"/>
          <w:sz w:val="24"/>
          <w:color w:val="navy"/>
        </w:rPr>
        <w:t xml:space="preserve">DE LOS CENTROS DE FORMACIΣN, CAPACITACIΣN Y ENTRENAMIENTO DE GENTE DE MAR.</w:t>
      </w:r>
      <w:bookmarkEnd w:id="61448"/>
      <w:r>
        <w:rPr>
          <w:rFonts w:hAnsi="Arial"/>
          <w:rFonts w:ascii="Arial"/>
          <w:sz w:val="24"/>
          <w:b/>
          <w:color w:val="black"/>
        </w:rPr>
        <w:t xml:space="preserve"> </w:t>
      </w:r>
    </w:p>
    <w:p>
      <w:pPr>
        <w:jc w:val="both"/>
      </w:pPr>
      <w:rPr>
        <w:color w:val="black"/>
      </w:rPr>
    </w:p>
    <w:p>
      <w:pPr>
        <w:jc w:val="center"/>
      </w:pPr>
      <w:r>
        <w:rPr>
          <w:rFonts w:hAnsi="Arial"/>
          <w:rFonts w:ascii="Arial"/>
          <w:sz w:val="24"/>
          <w:color w:val="black"/>
        </w:rPr>
        <w:t xml:space="preserve">&lt;Secciσn derogada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49" w:name="2.4.1.1.3.1"/>
      <w:r>
        <w:rPr>
          <w:rFonts w:hAnsi="Arial"/>
          <w:rFonts w:ascii="Arial"/>
          <w:sz w:val="24"/>
          <w:color w:val="navy"/>
        </w:rPr>
        <w:t xml:space="preserve">ARTΝCULO 2.4.1.1.3.1.</w:t>
      </w:r>
      <w:bookmarkEnd w:id="6144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0" w:name="2.4.1.1.3.2"/>
      <w:r>
        <w:rPr>
          <w:rFonts w:hAnsi="Arial"/>
          <w:rFonts w:ascii="Arial"/>
          <w:sz w:val="24"/>
          <w:color w:val="navy"/>
        </w:rPr>
        <w:t xml:space="preserve">ARTΝCULO 2.4.1.1.3.2.</w:t>
      </w:r>
      <w:bookmarkEnd w:id="6145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1" w:name="2.4.1.1.3.3"/>
      <w:r>
        <w:rPr>
          <w:rFonts w:hAnsi="Arial"/>
          <w:rFonts w:ascii="Arial"/>
          <w:sz w:val="24"/>
          <w:color w:val="navy"/>
        </w:rPr>
        <w:t xml:space="preserve">ARTΝCULO 2.4.1.1.3.3.</w:t>
      </w:r>
      <w:bookmarkEnd w:id="6145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2" w:name="2.4.1.1.3.4"/>
      <w:r>
        <w:rPr>
          <w:rFonts w:hAnsi="Arial"/>
          <w:rFonts w:ascii="Arial"/>
          <w:sz w:val="24"/>
          <w:color w:val="navy"/>
        </w:rPr>
        <w:t xml:space="preserve">ARTΝCULO 2.4.1.1.3.4.</w:t>
      </w:r>
      <w:bookmarkEnd w:id="6145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3" w:name="2.4.1.1.3.5"/>
      <w:r>
        <w:rPr>
          <w:rFonts w:hAnsi="Arial"/>
          <w:rFonts w:ascii="Arial"/>
          <w:sz w:val="24"/>
          <w:color w:val="navy"/>
        </w:rPr>
        <w:t xml:space="preserve">ARTΝCULO 2.4.1.1.3.5.</w:t>
      </w:r>
      <w:bookmarkEnd w:id="6145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center"/>
      </w:pPr>
      <w:rPr>
        <w:sz w:val="24"/>
        <w:color w:val="black"/>
      </w:rPr>
    </w:p>
    <w:p>
      <w:pPr>
        <w:jc w:val="center"/>
      </w:pPr>
      <w:r>
        <w:rPr>
          <w:rFonts w:hAnsi="Arial"/>
          <w:rFonts w:ascii="Arial"/>
          <w:sz w:val="24"/>
          <w:vanish/>
          <w:color w:val="black"/>
        </w:rPr>
        <w:t>&amp;$</w:t>
      </w:r>
      <w:bookmarkStart w:id="61454" w:name="SECCIÓN 2.4.1.1.4"/>
      <w:r>
        <w:rPr>
          <w:rFonts w:hAnsi="Arial"/>
          <w:rFonts w:ascii="Arial"/>
          <w:sz w:val="24"/>
          <w:color w:val="navy"/>
        </w:rPr>
        <w:t xml:space="preserve">SECCIΣN 4. </w:t>
      </w:r>
    </w:p>
    <w:p>
      <w:pPr>
        <w:jc w:val="center"/>
      </w:pPr>
      <w:r>
        <w:rPr>
          <w:rFonts w:hAnsi="Arial"/>
          <w:rFonts w:ascii="Arial"/>
          <w:sz w:val="24"/>
          <w:color w:val="navy"/>
        </w:rPr>
        <w:t xml:space="preserve">DE LOS ESTUDIOS NΑUTICOS EFECTUADOS POR NACIONALES COLOMBIANOS EN EL EXTERIOR.</w:t>
      </w:r>
      <w:bookmarkEnd w:id="61454"/>
      <w:r>
        <w:rPr>
          <w:rFonts w:hAnsi="Arial"/>
          <w:rFonts w:ascii="Arial"/>
          <w:sz w:val="24"/>
          <w:b/>
          <w:color w:val="black"/>
        </w:rPr>
        <w:t xml:space="preserve"> </w:t>
      </w:r>
    </w:p>
    <w:p>
      <w:pPr>
        <w:jc w:val="both"/>
      </w:pPr>
      <w:rPr>
        <w:sz w:val="24"/>
        <w:color w:val="black"/>
      </w:rPr>
    </w:p>
    <w:p>
      <w:pPr>
        <w:jc w:val="center"/>
      </w:pPr>
      <w:r>
        <w:rPr>
          <w:rFonts w:hAnsi="Arial"/>
          <w:rFonts w:ascii="Arial"/>
          <w:sz w:val="24"/>
          <w:color w:val="black"/>
        </w:rPr>
        <w:t xml:space="preserve">&lt;Secciσn derogada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both"/>
      </w:pPr>
      <w:r>
        <w:rPr>
          <w:rFonts w:hAnsi="Arial"/>
          <w:rFonts w:ascii="Arial"/>
          <w:sz w:val="24"/>
          <w:vanish/>
          <w:color w:val="black"/>
        </w:rPr>
        <w:t>&amp;$</w:t>
      </w:r>
      <w:bookmarkStart w:id="61455" w:name="2.4.1.1.4.1"/>
      <w:r>
        <w:rPr>
          <w:rFonts w:hAnsi="Arial"/>
          <w:rFonts w:ascii="Arial"/>
          <w:sz w:val="24"/>
          <w:color w:val="navy"/>
        </w:rPr>
        <w:t xml:space="preserve">ARTΝCULO 2.4.1.1.4.1.</w:t>
      </w:r>
      <w:bookmarkEnd w:id="6145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6" w:name="2.4.1.1.4.2"/>
      <w:r>
        <w:rPr>
          <w:rFonts w:hAnsi="Arial"/>
          <w:rFonts w:ascii="Arial"/>
          <w:sz w:val="24"/>
          <w:color w:val="navy"/>
        </w:rPr>
        <w:t xml:space="preserve">ARTΝCULO 2.4.1.1.4.2.</w:t>
      </w:r>
      <w:bookmarkEnd w:id="6145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center"/>
      </w:pPr>
      <w:r>
        <w:rPr>
          <w:rFonts w:hAnsi="Arial"/>
          <w:rFonts w:ascii="Arial"/>
          <w:sz w:val="24"/>
          <w:vanish/>
          <w:color w:val="black"/>
        </w:rPr>
        <w:t>&amp;$</w:t>
      </w:r>
      <w:bookmarkStart w:id="61457" w:name="SECCIÓN 2.4.1.1.5"/>
      <w:r>
        <w:rPr>
          <w:rFonts w:hAnsi="Arial"/>
          <w:rFonts w:ascii="Arial"/>
          <w:sz w:val="24"/>
          <w:color w:val="navy"/>
        </w:rPr>
        <w:t xml:space="preserve">SECCIΣN 5. </w:t>
      </w:r>
    </w:p>
    <w:p>
      <w:pPr>
        <w:jc w:val="center"/>
      </w:pPr>
      <w:r>
        <w:rPr>
          <w:rFonts w:hAnsi="Arial"/>
          <w:rFonts w:ascii="Arial"/>
          <w:sz w:val="24"/>
          <w:color w:val="navy"/>
        </w:rPr>
        <w:t xml:space="preserve">DE LA REFRENDACIΣN DE LICENCIAS DE NAVEGACIΣN A MARINOS EXTRANJEROS.</w:t>
      </w:r>
      <w:bookmarkEnd w:id="61457"/>
      <w:r>
        <w:rPr>
          <w:rFonts w:hAnsi="Arial"/>
          <w:rFonts w:ascii="Arial"/>
          <w:sz w:val="24"/>
          <w:b/>
          <w:color w:val="black"/>
        </w:rPr>
        <w:t xml:space="preserve"> </w:t>
      </w:r>
    </w:p>
    <w:p>
      <w:pPr>
        <w:jc w:val="center"/>
      </w:pPr>
      <w:rPr>
        <w:sz w:val="24"/>
        <w:color w:val="black"/>
      </w:rPr>
    </w:p>
    <w:p>
      <w:pPr>
        <w:jc w:val="center"/>
      </w:pPr>
      <w:r>
        <w:rPr>
          <w:rFonts w:hAnsi="Arial"/>
          <w:rFonts w:ascii="Arial"/>
          <w:sz w:val="24"/>
          <w:color w:val="black"/>
        </w:rPr>
        <w:t xml:space="preserve">&lt;Secciσn derogada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8" w:name="2.4.1.1.5.1"/>
      <w:r>
        <w:rPr>
          <w:rFonts w:hAnsi="Arial"/>
          <w:rFonts w:ascii="Arial"/>
          <w:sz w:val="24"/>
          <w:color w:val="navy"/>
        </w:rPr>
        <w:t xml:space="preserve">ARTΝCULO 2.4.1.1.5.1.</w:t>
      </w:r>
      <w:bookmarkEnd w:id="6145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59" w:name="2.4.1.1.5.2"/>
      <w:r>
        <w:rPr>
          <w:rFonts w:hAnsi="Arial"/>
          <w:rFonts w:ascii="Arial"/>
          <w:sz w:val="24"/>
          <w:color w:val="navy"/>
        </w:rPr>
        <w:t xml:space="preserve">ARTΝCULO 2.4.1.1.5.2.</w:t>
      </w:r>
      <w:bookmarkEnd w:id="6145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60" w:name="2.4.1.1.5.3"/>
      <w:r>
        <w:rPr>
          <w:rFonts w:hAnsi="Arial"/>
          <w:rFonts w:ascii="Arial"/>
          <w:sz w:val="24"/>
          <w:color w:val="navy"/>
        </w:rPr>
        <w:t xml:space="preserve">ARTΝCULO 2.4.1.1.5.3.</w:t>
      </w:r>
      <w:bookmarkEnd w:id="6146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61" w:name="2.4.1.1.5.4"/>
      <w:r>
        <w:rPr>
          <w:rFonts w:hAnsi="Arial"/>
          <w:rFonts w:ascii="Arial"/>
          <w:sz w:val="24"/>
          <w:color w:val="navy"/>
        </w:rPr>
        <w:t xml:space="preserve">ARTΝCULO 2.4.1.1.5.4.</w:t>
      </w:r>
      <w:bookmarkEnd w:id="6146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62" w:name="2.4.1.1.5.5"/>
      <w:r>
        <w:rPr>
          <w:rFonts w:hAnsi="Arial"/>
          <w:rFonts w:ascii="Arial"/>
          <w:sz w:val="24"/>
          <w:color w:val="navy"/>
        </w:rPr>
        <w:t xml:space="preserve">ARTΝCULO 2.4.1.1.5.5.</w:t>
      </w:r>
      <w:bookmarkEnd w:id="6146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center"/>
      </w:pPr>
      <w:r>
        <w:rPr>
          <w:rFonts w:hAnsi="Arial"/>
          <w:rFonts w:ascii="Arial"/>
          <w:sz w:val="24"/>
          <w:vanish/>
          <w:color w:val="black"/>
        </w:rPr>
        <w:t>&amp;$</w:t>
      </w:r>
      <w:bookmarkStart w:id="61463" w:name="SECCIÓN 2.4.1.1.6"/>
      <w:r>
        <w:rPr>
          <w:rFonts w:hAnsi="Arial"/>
          <w:rFonts w:ascii="Arial"/>
          <w:sz w:val="24"/>
          <w:color w:val="navy"/>
        </w:rPr>
        <w:t xml:space="preserve">SECCIΣN 6. </w:t>
      </w:r>
    </w:p>
    <w:p>
      <w:pPr>
        <w:jc w:val="center"/>
      </w:pPr>
      <w:r>
        <w:rPr>
          <w:rFonts w:hAnsi="Arial"/>
          <w:rFonts w:ascii="Arial"/>
          <w:sz w:val="24"/>
          <w:color w:val="navy"/>
        </w:rPr>
        <w:t xml:space="preserve">DE LAS INFRACCIONES, SANCIONES Y MULTAS.</w:t>
      </w:r>
      <w:bookmarkEnd w:id="6146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464" w:name="2.4.1.1.6.1"/>
      <w:r>
        <w:rPr>
          <w:rFonts w:hAnsi="Arial"/>
          <w:rFonts w:ascii="Arial"/>
          <w:sz w:val="24"/>
          <w:color w:val="navy"/>
        </w:rPr>
        <w:t xml:space="preserve">ARTΝCULO 2.4.1.1.6.1. </w:t>
      </w:r>
      <w:r>
        <w:rPr>
          <w:rFonts w:hAnsi="Arial"/>
          <w:rFonts w:ascii="Arial"/>
          <w:sz w:val="24"/>
          <w:i/>
          <w:color w:val="navy"/>
        </w:rPr>
        <w:t xml:space="preserve">SANCIONES Y MULTAS.</w:t>
      </w:r>
      <w:bookmarkEnd w:id="61464"/>
      <w:r>
        <w:rPr>
          <w:rFonts w:hAnsi="Arial"/>
          <w:rFonts w:ascii="Arial"/>
          <w:sz w:val="24"/>
          <w:b/>
          <w:i/>
          <w:color w:val="black"/>
        </w:rPr>
        <w:t xml:space="preserve"> </w:t>
      </w:r>
      <w:r>
        <w:rPr>
          <w:rFonts w:hAnsi="Arial"/>
          <w:rFonts w:ascii="Arial"/>
          <w:sz w:val="24"/>
          <w:color w:val="black"/>
        </w:rPr>
        <w:t xml:space="preserve">De conformidad con lo dispuesto en el Artνculo </w:t>
      </w:r>
      <w:r>
        <w:fldChar w:fldCharType="begin"/>
      </w:r>
      <w:r>
        <w:instrText>HYPERLINK "http://www.redjurista.com/document.aspx?ajcode=d2324_84&amp;arts=80"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2324 de 1984, establιcense las siguientes sanciones y multas por infracciones en que incurra la gente de mar como tripulante de buque de bandera colombiana, como tambiιn los Armadores que contraten o enganchen gente de mar que no cumpla las disposiciones de la presente Capνtulo.</w:t>
      </w:r>
    </w:p>
    <w:p>
      <w:pPr>
        <w:jc w:val="both"/>
      </w:pPr>
      <w:rPr>
        <w:sz w:val="24"/>
        <w:color w:val="black"/>
      </w:rPr>
    </w:p>
    <w:p>
      <w:pPr>
        <w:jc w:val="both"/>
      </w:pPr>
      <w:r>
        <w:rPr>
          <w:rFonts w:hAnsi="Arial"/>
          <w:rFonts w:ascii="Arial"/>
          <w:sz w:val="24"/>
          <w:color w:val="black"/>
        </w:rPr>
        <w:t xml:space="preserve">1. El Capitαn (y por analogνa el Patrσn) que acepte a bordo de su buque en tripulante sin la licencia de navegaciσn correspondiente al cargo, o con la licencia respectiva vencida, se harα acreedor a una multa entre uno (1) y treinta (30) salarios mνnimos diarios, por primera vez, y suspensiσn de la licencia de navegaciσn hasta por tres (3) meses por reincidencia. La suspensiσn mνnima serα de treinta (30) dνas.</w:t>
      </w:r>
    </w:p>
    <w:p>
      <w:pPr>
        <w:jc w:val="both"/>
      </w:pPr>
      <w:rPr>
        <w:sz w:val="24"/>
        <w:color w:val="black"/>
      </w:rPr>
    </w:p>
    <w:p>
      <w:pPr>
        <w:jc w:val="both"/>
      </w:pPr>
      <w:r>
        <w:rPr>
          <w:rFonts w:hAnsi="Arial"/>
          <w:rFonts w:ascii="Arial"/>
          <w:sz w:val="24"/>
          <w:color w:val="black"/>
        </w:rPr>
        <w:t xml:space="preserve">2. El Oficial que ejerza cargo a bordo de buques de bandera colombiana, sin tener la licencia de navegaciσn colombiana vαlida requerida, serα sancionado con multa entre uno (1) y veinte (20) salarios mνnimos diarios, debiendo ser desembarcado. En caso de reincidencia le serα suspendida la licencia hasta por tres (3) meses, a juicio de la Autoridad Marνtima, segϊn el cargo desempeρado a bordo.</w:t>
      </w:r>
    </w:p>
    <w:p>
      <w:pPr>
        <w:jc w:val="both"/>
      </w:pPr>
      <w:rPr>
        <w:sz w:val="24"/>
        <w:color w:val="black"/>
      </w:rPr>
    </w:p>
    <w:p>
      <w:pPr>
        <w:jc w:val="both"/>
      </w:pPr>
      <w:r>
        <w:rPr>
          <w:rFonts w:hAnsi="Arial"/>
          <w:rFonts w:ascii="Arial"/>
          <w:sz w:val="24"/>
          <w:color w:val="black"/>
        </w:rPr>
        <w:t xml:space="preserve">3. El Marinero, de cualquier clase y categorνa, que ejerza cargo a bordo sin estar en posesiσn de la respectiva licencia de navegaciσn colombiana, vigente, incurrirα en multa entre uno (1) y diez (10) salarios mνnimos diarios y serα desembarcado.</w:t>
      </w:r>
    </w:p>
    <w:p>
      <w:pPr>
        <w:jc w:val="both"/>
      </w:pPr>
      <w:rPr>
        <w:sz w:val="24"/>
        <w:color w:val="black"/>
      </w:rPr>
    </w:p>
    <w:p>
      <w:pPr>
        <w:jc w:val="both"/>
      </w:pPr>
      <w:r>
        <w:rPr>
          <w:rFonts w:hAnsi="Arial"/>
          <w:rFonts w:ascii="Arial"/>
          <w:sz w:val="24"/>
          <w:color w:val="black"/>
        </w:rPr>
        <w:t xml:space="preserve">4. El capitαn de buque que al llegar a puerto colombiano no informe debida y oportunamente al Capitαn de Puerto sobre actos de indisciplina ocurridos a bordo por parte de un tripulante o tripulantes en el viaje, incurrirα en multa entre cinco (5) y treinta (30) salarios mνnimos diarios por la primera vez, y la suspensiσn de su licencia de navegaciσn entre tres (3) y seis (6) meses, en caso de reincidencia.</w:t>
      </w:r>
    </w:p>
    <w:p>
      <w:pPr>
        <w:jc w:val="both"/>
      </w:pPr>
      <w:rPr>
        <w:sz w:val="24"/>
        <w:color w:val="black"/>
      </w:rPr>
    </w:p>
    <w:p>
      <w:pPr>
        <w:jc w:val="both"/>
      </w:pPr>
      <w:r>
        <w:rPr>
          <w:rFonts w:hAnsi="Arial"/>
          <w:rFonts w:ascii="Arial"/>
          <w:sz w:val="24"/>
          <w:color w:val="black"/>
        </w:rPr>
        <w:t xml:space="preserve">5. El Armador que autorice u ordene el embarco de cualquier tripulante que no tenga la correspondiente licencia colombiana vigente, incurrirα en una multa de diez (10) a sesenta (60) salarios mνnimos diarios por primera vez, y entre sesenta (60) y cien (100) salarios mνnimos diarios en caso de reincidencia, de conformidad con la categorνa del tripulante.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65" w:name="2.4.1.1.6.2"/>
      <w:r>
        <w:rPr>
          <w:rFonts w:hAnsi="Arial"/>
          <w:rFonts w:ascii="Arial"/>
          <w:sz w:val="24"/>
          <w:color w:val="navy"/>
        </w:rPr>
        <w:t xml:space="preserve">ARTΝCULO 2.4.1.1.6.2. </w:t>
      </w:r>
      <w:r>
        <w:rPr>
          <w:rFonts w:hAnsi="Arial"/>
          <w:rFonts w:ascii="Arial"/>
          <w:sz w:val="24"/>
          <w:i/>
          <w:color w:val="navy"/>
        </w:rPr>
        <w:t xml:space="preserve">SUSPENSIΣN DE LICENCIAS.</w:t>
      </w:r>
      <w:bookmarkEnd w:id="61465"/>
      <w:r>
        <w:rPr>
          <w:rFonts w:hAnsi="Arial"/>
          <w:rFonts w:ascii="Arial"/>
          <w:sz w:val="24"/>
          <w:b/>
          <w:i/>
          <w:color w:val="black"/>
        </w:rPr>
        <w:t xml:space="preserve"> </w:t>
      </w:r>
      <w:r>
        <w:rPr>
          <w:rFonts w:hAnsi="Arial"/>
          <w:rFonts w:ascii="Arial"/>
          <w:sz w:val="24"/>
          <w:color w:val="black"/>
        </w:rPr>
        <w:t xml:space="preserve">Serαn causales de suspensiσn de la licencia de navegaciσn entre seis (6) meses y cinco (5) aρos, las siguientes:</w:t>
      </w:r>
    </w:p>
    <w:p>
      <w:pPr>
        <w:jc w:val="both"/>
      </w:pPr>
      <w:rPr>
        <w:sz w:val="24"/>
        <w:color w:val="black"/>
      </w:rPr>
    </w:p>
    <w:p>
      <w:pPr>
        <w:jc w:val="both"/>
      </w:pPr>
      <w:r>
        <w:rPr>
          <w:rFonts w:hAnsi="Arial"/>
          <w:rFonts w:ascii="Arial"/>
          <w:sz w:val="24"/>
          <w:color w:val="black"/>
        </w:rPr>
        <w:t xml:space="preserve">1. Negligencia en el servicio.</w:t>
      </w:r>
    </w:p>
    <w:p>
      <w:pPr>
        <w:jc w:val="both"/>
      </w:pPr>
      <w:rPr>
        <w:sz w:val="24"/>
        <w:color w:val="black"/>
      </w:rPr>
    </w:p>
    <w:p>
      <w:pPr>
        <w:jc w:val="both"/>
      </w:pPr>
      <w:r>
        <w:rPr>
          <w:rFonts w:hAnsi="Arial"/>
          <w:rFonts w:ascii="Arial"/>
          <w:sz w:val="24"/>
          <w:color w:val="black"/>
        </w:rPr>
        <w:t xml:space="preserve">2. Ser encontrado responsable legal de causar accidente al buque, que potencialmente hubiese podido causar daρo a personas, o daρos graves al buque, a otros o a las instalaciones en tierra.</w:t>
      </w:r>
    </w:p>
    <w:p>
      <w:pPr>
        <w:jc w:val="both"/>
      </w:pPr>
      <w:rPr>
        <w:sz w:val="24"/>
        <w:color w:val="black"/>
      </w:rPr>
    </w:p>
    <w:p>
      <w:pPr>
        <w:jc w:val="both"/>
      </w:pPr>
      <w:r>
        <w:rPr>
          <w:rFonts w:hAnsi="Arial"/>
          <w:rFonts w:ascii="Arial"/>
          <w:sz w:val="24"/>
          <w:color w:val="black"/>
        </w:rPr>
        <w:t xml:space="preserve">3. Haber sido llamado a juicio por delitos cometidos dentro del servicio o con ocasiσn del mismo.</w:t>
      </w:r>
    </w:p>
    <w:p>
      <w:pPr>
        <w:jc w:val="both"/>
      </w:pPr>
      <w:rPr>
        <w:sz w:val="24"/>
        <w:color w:val="black"/>
      </w:rPr>
    </w:p>
    <w:p>
      <w:pPr>
        <w:jc w:val="both"/>
      </w:pPr>
      <w:r>
        <w:rPr>
          <w:rFonts w:hAnsi="Arial"/>
          <w:rFonts w:ascii="Arial"/>
          <w:sz w:val="24"/>
          <w:color w:val="black"/>
        </w:rPr>
        <w:t xml:space="preserve">4. Engaρado al Capitαn o al Armador mediante presentaciσn de documentos falsos, para su admisiσn, o con el propσsito de obtener provecho indebido.</w:t>
      </w:r>
    </w:p>
    <w:p>
      <w:pPr>
        <w:jc w:val="both"/>
      </w:pPr>
      <w:rPr>
        <w:sz w:val="24"/>
        <w:color w:val="black"/>
      </w:rPr>
    </w:p>
    <w:p>
      <w:pPr>
        <w:jc w:val="both"/>
      </w:pPr>
      <w:r>
        <w:rPr>
          <w:rFonts w:hAnsi="Arial"/>
          <w:rFonts w:ascii="Arial"/>
          <w:sz w:val="24"/>
          <w:color w:val="black"/>
        </w:rPr>
        <w:t xml:space="preserve">5. Todo acto de violencia, injuria o malos tratos, o grave indisciplina en que incurra el tripulante contra el Capitαn, o cualquier miembro de la tripulaciσn, el Armador, directivo visitante, o pasajero.</w:t>
      </w:r>
    </w:p>
    <w:p>
      <w:pPr>
        <w:jc w:val="both"/>
      </w:pPr>
      <w:rPr>
        <w:sz w:val="24"/>
        <w:color w:val="black"/>
      </w:rPr>
    </w:p>
    <w:p>
      <w:pPr>
        <w:jc w:val="both"/>
      </w:pPr>
      <w:r>
        <w:rPr>
          <w:rFonts w:hAnsi="Arial"/>
          <w:rFonts w:ascii="Arial"/>
          <w:sz w:val="24"/>
          <w:color w:val="black"/>
        </w:rPr>
        <w:t xml:space="preserve">6. Todo daρo material causado intencionalmente al buque, o su carga.</w:t>
      </w:r>
    </w:p>
    <w:p>
      <w:pPr>
        <w:jc w:val="both"/>
      </w:pPr>
      <w:rPr>
        <w:sz w:val="24"/>
        <w:color w:val="black"/>
      </w:rPr>
    </w:p>
    <w:p>
      <w:pPr>
        <w:jc w:val="both"/>
      </w:pPr>
      <w:r>
        <w:rPr>
          <w:rFonts w:hAnsi="Arial"/>
          <w:rFonts w:ascii="Arial"/>
          <w:sz w:val="24"/>
          <w:color w:val="black"/>
        </w:rPr>
        <w:t xml:space="preserve">7. Toda grave negligencia del tripulante que ponga en peligro la seguridad de las personas, o del buque.</w:t>
      </w:r>
    </w:p>
    <w:p>
      <w:pPr>
        <w:jc w:val="both"/>
      </w:pPr>
      <w:rPr>
        <w:sz w:val="24"/>
        <w:color w:val="black"/>
      </w:rPr>
    </w:p>
    <w:p>
      <w:pPr>
        <w:jc w:val="both"/>
      </w:pPr>
      <w:r>
        <w:rPr>
          <w:rFonts w:hAnsi="Arial"/>
          <w:rFonts w:ascii="Arial"/>
          <w:sz w:val="24"/>
          <w:color w:val="black"/>
        </w:rPr>
        <w:t xml:space="preserve">8. Todo acto inmoral o delictuoso que el tripulante cometa a bordo.</w:t>
      </w:r>
    </w:p>
    <w:p>
      <w:pPr>
        <w:jc w:val="both"/>
      </w:pPr>
      <w:rPr>
        <w:sz w:val="24"/>
        <w:color w:val="black"/>
      </w:rPr>
    </w:p>
    <w:p>
      <w:pPr>
        <w:jc w:val="both"/>
      </w:pPr>
      <w:r>
        <w:rPr>
          <w:rFonts w:hAnsi="Arial"/>
          <w:rFonts w:ascii="Arial"/>
          <w:sz w:val="24"/>
          <w:color w:val="black"/>
        </w:rPr>
        <w:t xml:space="preserve">9. Cualquier violaciσn grave de los deberes u obligaciones especiales que incumben al tripulante, de acuerdo con los artνculos </w:t>
      </w:r>
      <w:r>
        <w:fldChar w:fldCharType="begin"/>
      </w:r>
      <w:r>
        <w:instrText>HYPERLINK "http://www.redjurista.com/document.aspx?ajcode=c_sustra&amp;arts=58"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y </w:t>
      </w:r>
      <w:r>
        <w:fldChar w:fldCharType="begin"/>
      </w:r>
      <w:r>
        <w:instrText>HYPERLINK "http://www.redjurista.com/document.aspx?ajcode=c_sustra&amp;arts=60"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del Cσdigo Sustantivo del Trabajo, o cualquier falta grave calificada como tal en pactos o convenios colectivos, fallos arbνtrales, contratos individuales o reglamentos.</w:t>
      </w:r>
    </w:p>
    <w:p>
      <w:pPr>
        <w:jc w:val="both"/>
      </w:pPr>
      <w:rPr>
        <w:sz w:val="24"/>
        <w:color w:val="black"/>
      </w:rPr>
    </w:p>
    <w:p>
      <w:pPr>
        <w:jc w:val="both"/>
      </w:pPr>
      <w:r>
        <w:rPr>
          <w:rFonts w:hAnsi="Arial"/>
          <w:rFonts w:ascii="Arial"/>
          <w:sz w:val="24"/>
          <w:color w:val="black"/>
        </w:rPr>
        <w:t xml:space="preserve">10. La detenciσn preventiva del trabajador por mαs de treinta (30) dνas, a menos que posteriormente sea absuelto, o cuando la causa de la sanciσn sea suficiente por sν misma para justificar la extinciσn del contrato de trabajo.</w:t>
      </w:r>
    </w:p>
    <w:p>
      <w:pPr>
        <w:jc w:val="both"/>
      </w:pPr>
      <w:rPr>
        <w:sz w:val="24"/>
        <w:color w:val="black"/>
      </w:rPr>
    </w:p>
    <w:p>
      <w:pPr>
        <w:jc w:val="both"/>
      </w:pPr>
      <w:r>
        <w:rPr>
          <w:rFonts w:hAnsi="Arial"/>
          <w:rFonts w:ascii="Arial"/>
          <w:sz w:val="24"/>
          <w:color w:val="black"/>
        </w:rPr>
        <w:t xml:space="preserve">11. El sistemαtico incumplimiento por parte del tripulante, sin razones vαlidas, de sus obligaciones reglamentarias o legales.</w:t>
      </w:r>
    </w:p>
    <w:p>
      <w:pPr>
        <w:jc w:val="both"/>
      </w:pPr>
      <w:rPr>
        <w:sz w:val="24"/>
        <w:color w:val="black"/>
      </w:rPr>
    </w:p>
    <w:p>
      <w:pPr>
        <w:jc w:val="both"/>
      </w:pPr>
      <w:r>
        <w:rPr>
          <w:rFonts w:hAnsi="Arial"/>
          <w:rFonts w:ascii="Arial"/>
          <w:sz w:val="24"/>
          <w:color w:val="black"/>
        </w:rPr>
        <w:t xml:space="preserve">12. Todo vicio del tripulante cuya prαctica perturbe la disciplina a bordo.</w:t>
      </w:r>
    </w:p>
    <w:p>
      <w:pPr>
        <w:jc w:val="both"/>
      </w:pPr>
      <w:rPr>
        <w:sz w:val="24"/>
        <w:color w:val="black"/>
      </w:rPr>
    </w:p>
    <w:p>
      <w:pPr>
        <w:jc w:val="both"/>
      </w:pPr>
      <w:r>
        <w:rPr>
          <w:rFonts w:hAnsi="Arial"/>
          <w:rFonts w:ascii="Arial"/>
          <w:sz w:val="24"/>
          <w:color w:val="black"/>
        </w:rPr>
        <w:t xml:space="preserve">13. La renuncia sistemαtica del tripulante a aceptar las medidas preventivas, profilαcticas o curativas, prescritas por el Mιdico o el Capitαn o por las Autoridades, para evitar enfermedades o accidentes.</w:t>
      </w:r>
    </w:p>
    <w:p>
      <w:pPr>
        <w:jc w:val="both"/>
      </w:pPr>
      <w:rPr>
        <w:sz w:val="24"/>
        <w:color w:val="black"/>
      </w:rPr>
    </w:p>
    <w:p>
      <w:pPr>
        <w:jc w:val="both"/>
      </w:pPr>
      <w:r>
        <w:rPr>
          <w:rFonts w:hAnsi="Arial"/>
          <w:rFonts w:ascii="Arial"/>
          <w:sz w:val="24"/>
          <w:color w:val="black"/>
        </w:rPr>
        <w:t xml:space="preserve">14. El padecer de enfermedad que le impida vivir en comunidad, o lo inhabilite para el desempeρo de sus funciones a bordo, mientras dure dicha enfermedad o inhabilidad.</w:t>
      </w:r>
    </w:p>
    <w:p>
      <w:pPr>
        <w:jc w:val="both"/>
      </w:pPr>
      <w:rPr>
        <w:sz w:val="24"/>
        <w:color w:val="black"/>
      </w:rPr>
    </w:p>
    <w:p>
      <w:pPr>
        <w:jc w:val="both"/>
      </w:pPr>
      <w:r>
        <w:rPr>
          <w:rFonts w:hAnsi="Arial"/>
          <w:rFonts w:ascii="Arial"/>
          <w:sz w:val="24"/>
          <w:color w:val="black"/>
        </w:rPr>
        <w:t xml:space="preserve">15. Incumplimiento a las normas y reglamentos de la Marina Mercante Colombiana.</w:t>
      </w:r>
    </w:p>
    <w:p>
      <w:pPr>
        <w:jc w:val="both"/>
      </w:pPr>
      <w:rPr>
        <w:sz w:val="24"/>
        <w:color w:val="black"/>
      </w:rPr>
    </w:p>
    <w:p>
      <w:pPr>
        <w:jc w:val="both"/>
      </w:pPr>
      <w:r>
        <w:rPr>
          <w:rFonts w:hAnsi="Arial"/>
          <w:rFonts w:ascii="Arial"/>
          <w:sz w:val="24"/>
          <w:color w:val="black"/>
        </w:rPr>
        <w:t xml:space="preserve">16. El abandono del buque en puerto sin causa justificada.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66" w:name="2.4.1.1.6.3"/>
      <w:r>
        <w:rPr>
          <w:rFonts w:hAnsi="Arial"/>
          <w:rFonts w:ascii="Arial"/>
          <w:sz w:val="24"/>
          <w:color w:val="navy"/>
        </w:rPr>
        <w:t xml:space="preserve">ARTΝCULO 2.4.1.1.6.3. </w:t>
      </w:r>
      <w:r>
        <w:rPr>
          <w:rFonts w:hAnsi="Arial"/>
          <w:rFonts w:ascii="Arial"/>
          <w:sz w:val="24"/>
          <w:i/>
          <w:color w:val="navy"/>
        </w:rPr>
        <w:t xml:space="preserve">LIQUIDACIΣN DE LAS MULTAS.</w:t>
      </w:r>
      <w:bookmarkEnd w:id="61466"/>
      <w:r>
        <w:rPr>
          <w:rFonts w:hAnsi="Arial"/>
          <w:rFonts w:ascii="Arial"/>
          <w:sz w:val="24"/>
          <w:b/>
          <w:i/>
          <w:color w:val="black"/>
        </w:rPr>
        <w:t xml:space="preserve"> </w:t>
      </w:r>
      <w:r>
        <w:rPr>
          <w:rFonts w:hAnsi="Arial"/>
          <w:rFonts w:ascii="Arial"/>
          <w:sz w:val="24"/>
          <w:color w:val="black"/>
        </w:rPr>
        <w:t xml:space="preserve">Para la liquidaciσn de las multas en salarios mνnimos de conformidad con los artνculos anteriores del presente Tνtulo, se tomarα el salario mνnimo diario vigente en la fecha en la cual sea cometida la infracciσn, o en su defecto cuando sea constatada por la Autoridad Marνtima.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67" w:name="2.4.1.1.6.4"/>
      <w:r>
        <w:rPr>
          <w:rFonts w:hAnsi="Arial"/>
          <w:rFonts w:ascii="Arial"/>
          <w:sz w:val="24"/>
          <w:color w:val="navy"/>
        </w:rPr>
        <w:t xml:space="preserve">ARTΝCULO 2.4.1.1.6.4. </w:t>
      </w:r>
      <w:r>
        <w:rPr>
          <w:rFonts w:hAnsi="Arial"/>
          <w:rFonts w:ascii="Arial"/>
          <w:sz w:val="24"/>
          <w:i/>
          <w:color w:val="navy"/>
        </w:rPr>
        <w:t xml:space="preserve">CANCELACIΣN DE LAS LICENCIAS.</w:t>
      </w:r>
      <w:bookmarkEnd w:id="61467"/>
      <w:r>
        <w:rPr>
          <w:rFonts w:hAnsi="Arial"/>
          <w:rFonts w:ascii="Arial"/>
          <w:sz w:val="24"/>
          <w:b/>
          <w:i/>
          <w:color w:val="black"/>
        </w:rPr>
        <w:t xml:space="preserve"> </w:t>
      </w:r>
      <w:r>
        <w:rPr>
          <w:rFonts w:hAnsi="Arial"/>
          <w:rFonts w:ascii="Arial"/>
          <w:sz w:val="24"/>
          <w:color w:val="black"/>
        </w:rPr>
        <w:t xml:space="preserve">Son causales de la cancelaciσn de la Licencia de Navegaciσn las siguientes:</w:t>
      </w:r>
    </w:p>
    <w:p>
      <w:pPr>
        <w:jc w:val="both"/>
      </w:pPr>
      <w:rPr>
        <w:sz w:val="24"/>
        <w:color w:val="black"/>
      </w:rPr>
    </w:p>
    <w:p>
      <w:pPr>
        <w:jc w:val="both"/>
      </w:pPr>
      <w:r>
        <w:rPr>
          <w:rFonts w:hAnsi="Arial"/>
          <w:rFonts w:ascii="Arial"/>
          <w:sz w:val="24"/>
          <w:color w:val="black"/>
        </w:rPr>
        <w:t xml:space="preserve">1. La reincidencia en los hechos seρalados en el artνculo </w:t>
      </w:r>
      <w:r>
        <w:fldChar w:fldCharType="begin"/>
      </w:r>
      <w:r>
        <w:instrText>HYPERLINK "http://www.redjurista.com/document.aspx?ajcode=d1070015&amp;arts=2.4.1.1.6.2"</w:instrText>
      </w:r>
      <w:r>
        <w:fldChar w:fldCharType="separate"/>
      </w:r>
      <w:r>
        <w:rPr>
          <w:rFonts w:hAnsi="Arial"/>
          <w:rFonts w:ascii="Arial"/>
          <w:sz w:val="24"/>
          <w:u w:val="single"/>
          <w:color w:val="black"/>
        </w:rPr>
        <w:t>2.4.1.1.6.2</w:t>
      </w:r>
      <w:r>
        <w:fldChar w:fldCharType="end"/>
      </w:r>
      <w:r>
        <w:rPr>
          <w:rFonts w:hAnsi="Arial"/>
          <w:rFonts w:ascii="Arial"/>
          <w:sz w:val="24"/>
          <w:u w:val="none"/>
          <w:color w:val="black"/>
        </w:rPr>
        <w:t xml:space="preserve">., si la gravedad de los mismos, a juicio de la Autoridad Marνtima Nacional asν lo aconsejare, o fuese indicativo de que el tripulante carece de condiciones profesionales y/o morales para la prαctica de la actividad marνtima.</w:t>
      </w:r>
    </w:p>
    <w:p>
      <w:pPr>
        <w:jc w:val="both"/>
      </w:pPr>
      <w:rPr>
        <w:sz w:val="24"/>
        <w:color w:val="black"/>
      </w:rPr>
    </w:p>
    <w:p>
      <w:pPr>
        <w:jc w:val="both"/>
      </w:pPr>
      <w:r>
        <w:rPr>
          <w:rFonts w:hAnsi="Arial"/>
          <w:rFonts w:ascii="Arial"/>
          <w:sz w:val="24"/>
          <w:color w:val="black"/>
        </w:rPr>
        <w:t xml:space="preserve">2. El cometer alguno de los hechos descritos en el artνculo </w:t>
      </w:r>
      <w:r>
        <w:fldChar w:fldCharType="begin"/>
      </w:r>
      <w:r>
        <w:instrText>HYPERLINK "http://www.redjurista.com/document.aspx?ajcode=d1070015&amp;arts=2.4.1.1.6.2"</w:instrText>
      </w:r>
      <w:r>
        <w:fldChar w:fldCharType="separate"/>
      </w:r>
      <w:r>
        <w:rPr>
          <w:rFonts w:hAnsi="Arial"/>
          <w:rFonts w:ascii="Arial"/>
          <w:sz w:val="24"/>
          <w:u w:val="single"/>
          <w:color w:val="black"/>
        </w:rPr>
        <w:t>2.4.1.1.6.2</w:t>
      </w:r>
      <w:r>
        <w:fldChar w:fldCharType="end"/>
      </w:r>
      <w:r>
        <w:rPr>
          <w:rFonts w:hAnsi="Arial"/>
          <w:rFonts w:ascii="Arial"/>
          <w:sz w:val="24"/>
          <w:u w:val="none"/>
          <w:color w:val="black"/>
        </w:rPr>
        <w:t xml:space="preserve">., por primera vez cuando su gravedad lo justifique, a juicio de la Autoridad Marνtima, o incurrir en el delito del Narcotrαfico.</w:t>
      </w:r>
    </w:p>
    <w:p>
      <w:pPr>
        <w:jc w:val="both"/>
      </w:pPr>
      <w:rPr>
        <w:sz w:val="24"/>
        <w:color w:val="black"/>
      </w:rPr>
    </w:p>
    <w:p>
      <w:pPr>
        <w:jc w:val="both"/>
      </w:pPr>
      <w:r>
        <w:rPr>
          <w:rFonts w:hAnsi="Arial"/>
          <w:rFonts w:ascii="Arial"/>
          <w:sz w:val="24"/>
          <w:color w:val="black"/>
        </w:rPr>
        <w:t xml:space="preserve">3. El haber dado lugar por culpa grave o dolo, a accidente grave en la propia nave o en otra, o haber causado perjuicios a terceros en puerto, a juicio de la Autoridad Marνtima.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68" w:name="2.4.1.1.6.5"/>
      <w:r>
        <w:rPr>
          <w:rFonts w:hAnsi="Arial"/>
          <w:rFonts w:ascii="Arial"/>
          <w:sz w:val="24"/>
          <w:color w:val="navy"/>
        </w:rPr>
        <w:t xml:space="preserve">ARTΝCULO 2.4.1.1.6.5. </w:t>
      </w:r>
      <w:r>
        <w:rPr>
          <w:rFonts w:hAnsi="Arial"/>
          <w:rFonts w:ascii="Arial"/>
          <w:sz w:val="24"/>
          <w:i/>
          <w:color w:val="navy"/>
        </w:rPr>
        <w:t xml:space="preserve">COMPETENCIA INVESTIGACIONES.</w:t>
      </w:r>
      <w:bookmarkEnd w:id="61468"/>
      <w:r>
        <w:rPr>
          <w:rFonts w:hAnsi="Arial"/>
          <w:rFonts w:ascii="Arial"/>
          <w:sz w:val="24"/>
          <w:b/>
          <w:i/>
          <w:color w:val="black"/>
        </w:rPr>
        <w:t xml:space="preserve"> </w:t>
      </w:r>
      <w:r>
        <w:rPr>
          <w:rFonts w:hAnsi="Arial"/>
          <w:rFonts w:ascii="Arial"/>
          <w:sz w:val="24"/>
          <w:color w:val="black"/>
        </w:rPr>
        <w:t xml:space="preserve">Los hechos a que se refieren los artνculos </w:t>
      </w:r>
      <w:r>
        <w:fldChar w:fldCharType="begin"/>
      </w:r>
      <w:r>
        <w:instrText>HYPERLINK "http://www.redjurista.com/document.aspx?ajcode=d1070015&amp;arts=2.4.1.1.6.1"</w:instrText>
      </w:r>
      <w:r>
        <w:fldChar w:fldCharType="separate"/>
      </w:r>
      <w:r>
        <w:rPr>
          <w:rFonts w:hAnsi="Arial"/>
          <w:rFonts w:ascii="Arial"/>
          <w:sz w:val="24"/>
          <w:u w:val="single"/>
          <w:color w:val="black"/>
        </w:rPr>
        <w:t>2.4.1.1.6.1</w:t>
      </w:r>
      <w:r>
        <w:fldChar w:fldCharType="end"/>
      </w:r>
      <w:r>
        <w:rPr>
          <w:rFonts w:hAnsi="Arial"/>
          <w:rFonts w:ascii="Arial"/>
          <w:sz w:val="24"/>
          <w:u w:val="none"/>
          <w:color w:val="black"/>
        </w:rPr>
        <w:t xml:space="preserve">., a </w:t>
      </w:r>
      <w:r>
        <w:fldChar w:fldCharType="begin"/>
      </w:r>
      <w:r>
        <w:instrText>HYPERLINK "http://www.redjurista.com/document.aspx?ajcode=d1070015&amp;arts=2.4.1.1.6.4"</w:instrText>
      </w:r>
      <w:r>
        <w:fldChar w:fldCharType="separate"/>
      </w:r>
      <w:r>
        <w:rPr>
          <w:rFonts w:hAnsi="Arial"/>
          <w:rFonts w:ascii="Arial"/>
          <w:sz w:val="24"/>
          <w:u w:val="single"/>
          <w:color w:val="black"/>
        </w:rPr>
        <w:t>2.4.1.1.6.4</w:t>
      </w:r>
      <w:r>
        <w:fldChar w:fldCharType="end"/>
      </w:r>
      <w:r>
        <w:rPr>
          <w:rFonts w:hAnsi="Arial"/>
          <w:rFonts w:ascii="Arial"/>
          <w:sz w:val="24"/>
          <w:u w:val="none"/>
          <w:color w:val="black"/>
        </w:rPr>
        <w:t xml:space="preserve">., inclusive, serαn investigados por el Capitαn de Puerto que conozca de los hechos en primera instancia y su fallo tendrα los recursos que para tales casos seρala la Ley.</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69" w:name="2.4.1.1.6.6"/>
      <w:r>
        <w:rPr>
          <w:rFonts w:hAnsi="Arial"/>
          <w:rFonts w:ascii="Arial"/>
          <w:sz w:val="24"/>
          <w:color w:val="navy"/>
        </w:rPr>
        <w:t xml:space="preserve">ARTΝCULO 2.4.1.1.6.6. </w:t>
      </w:r>
      <w:r>
        <w:rPr>
          <w:rFonts w:hAnsi="Arial"/>
          <w:rFonts w:ascii="Arial"/>
          <w:sz w:val="24"/>
          <w:i/>
          <w:color w:val="navy"/>
        </w:rPr>
        <w:t xml:space="preserve">INDEPENDENCIA DE LAS SANCIONES Y MULTAS.</w:t>
      </w:r>
      <w:bookmarkEnd w:id="61469"/>
      <w:r>
        <w:rPr>
          <w:rFonts w:hAnsi="Arial"/>
          <w:rFonts w:ascii="Arial"/>
          <w:sz w:val="24"/>
          <w:b/>
          <w:i/>
          <w:color w:val="black"/>
        </w:rPr>
        <w:t xml:space="preserve"> </w:t>
      </w:r>
      <w:r>
        <w:rPr>
          <w:rFonts w:hAnsi="Arial"/>
          <w:rFonts w:ascii="Arial"/>
          <w:sz w:val="24"/>
          <w:color w:val="black"/>
        </w:rPr>
        <w:t xml:space="preserve">Las sanciones y multas a que se refiere la presente Secciσn se aplicarαn sin perjuicio de las sanciones policivas, civiles y penales a que dι lugar.</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470" w:name="SECCIÓN 2.4.1.1.7"/>
      <w:r>
        <w:rPr>
          <w:rFonts w:hAnsi="Arial"/>
          <w:rFonts w:ascii="Arial"/>
          <w:sz w:val="24"/>
          <w:color w:val="navy"/>
        </w:rPr>
        <w:t xml:space="preserve">SECCIΣN 7. </w:t>
      </w:r>
    </w:p>
    <w:p>
      <w:pPr>
        <w:jc w:val="center"/>
      </w:pPr>
      <w:r>
        <w:rPr>
          <w:rFonts w:hAnsi="Arial"/>
          <w:rFonts w:ascii="Arial"/>
          <w:sz w:val="24"/>
          <w:color w:val="navy"/>
        </w:rPr>
        <w:t xml:space="preserve">OTRAS DISPOSICIONES COMUNES A LAS SECCIONES ANTERIORES.</w:t>
      </w:r>
    </w:p>
    <w:p>
      <w:pPr>
        <w:jc w:val="both"/>
      </w:pPr>
      <w:bookmarkEnd w:id="61470"/>
    </w:p>
    <w:p>
      <w:pPr>
        <w:jc w:val="center"/>
      </w:pPr>
      <w:r>
        <w:rPr>
          <w:rFonts w:hAnsi="Arial"/>
          <w:rFonts w:ascii="Arial"/>
          <w:sz w:val="24"/>
          <w:color w:val="black"/>
        </w:rPr>
        <w:t xml:space="preserve">&lt;Secciσn derogada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w:t>
      </w:r>
    </w:p>
    <w:p>
      <w:pPr>
        <w:jc w:val="both"/>
      </w:pPr>
      <w:rPr>
        <w:color w:val="black"/>
      </w:rPr>
    </w:p>
    <w:p>
      <w:pPr>
        <w:jc w:val="both"/>
      </w:pPr>
      <w:r>
        <w:rPr>
          <w:rFonts w:hAnsi="Arial"/>
          <w:rFonts w:ascii="Arial"/>
          <w:sz w:val="24"/>
          <w:vanish/>
          <w:color w:val="black"/>
        </w:rPr>
        <w:t>&amp;$</w:t>
      </w:r>
      <w:bookmarkStart w:id="61471" w:name="2.4.1.1.7.1"/>
      <w:r>
        <w:rPr>
          <w:rFonts w:hAnsi="Arial"/>
          <w:rFonts w:ascii="Arial"/>
          <w:sz w:val="24"/>
          <w:color w:val="navy"/>
        </w:rPr>
        <w:t xml:space="preserve">ARTΝCULO 2.4.1.1.7.1.</w:t>
      </w:r>
      <w:bookmarkEnd w:id="6147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2" w:name="2.4.1.1.7.2"/>
      <w:r>
        <w:rPr>
          <w:rFonts w:hAnsi="Arial"/>
          <w:rFonts w:ascii="Arial"/>
          <w:sz w:val="24"/>
          <w:color w:val="navy"/>
        </w:rPr>
        <w:t xml:space="preserve">ARTΝCULO 2.4.1.1.7.2.</w:t>
      </w:r>
      <w:bookmarkEnd w:id="6147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3" w:name="2.4.1.1.7.3"/>
      <w:r>
        <w:rPr>
          <w:rFonts w:hAnsi="Arial"/>
          <w:rFonts w:ascii="Arial"/>
          <w:sz w:val="24"/>
          <w:color w:val="navy"/>
        </w:rPr>
        <w:t xml:space="preserve">ARTΝCULO 2.4.1.1.7.3.</w:t>
      </w:r>
      <w:bookmarkEnd w:id="6147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4" w:name="2.4.1.1.7.4"/>
      <w:r>
        <w:rPr>
          <w:rFonts w:hAnsi="Arial"/>
          <w:rFonts w:ascii="Arial"/>
          <w:sz w:val="24"/>
          <w:color w:val="navy"/>
        </w:rPr>
        <w:t xml:space="preserve">ARTΝCULO 2.4.1.1.7.4.</w:t>
      </w:r>
      <w:bookmarkEnd w:id="6147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keepNext/>
      </w:pPr>
      <w:r>
        <w:rPr>
          <w:rFonts w:hAnsi="Arial"/>
          <w:rFonts w:ascii="Arial"/>
          <w:sz w:val="24"/>
          <w:vanish/>
          <w:color w:val="black"/>
        </w:rPr>
        <w:t>&amp;$</w:t>
      </w:r>
      <w:bookmarkStart w:id="61475" w:name="2.4.1.1.7.5"/>
      <w:r>
        <w:rPr>
          <w:rFonts w:hAnsi="Arial"/>
          <w:rFonts w:ascii="Arial"/>
          <w:sz w:val="24"/>
          <w:color w:val="navy"/>
        </w:rPr>
        <w:t xml:space="preserve">ARTΝCULO 2.4.1.1.7.5.</w:t>
      </w:r>
      <w:bookmarkEnd w:id="6147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6" w:name="2.4.1.1.7.6"/>
      <w:r>
        <w:rPr>
          <w:rFonts w:hAnsi="Arial"/>
          <w:rFonts w:ascii="Arial"/>
          <w:sz w:val="24"/>
          <w:color w:val="navy"/>
        </w:rPr>
        <w:t xml:space="preserve">ARTΝCULO 2.4.1.1.7.6.</w:t>
      </w:r>
      <w:bookmarkEnd w:id="6147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7" w:name="2.4.1.1.7.7"/>
      <w:r>
        <w:rPr>
          <w:rFonts w:hAnsi="Arial"/>
          <w:rFonts w:ascii="Arial"/>
          <w:sz w:val="24"/>
          <w:color w:val="navy"/>
        </w:rPr>
        <w:t xml:space="preserve">ARTΝCULO 2.4.1.1.7.7.</w:t>
      </w:r>
      <w:bookmarkEnd w:id="6147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8" w:name="2.4.1.1.7.8"/>
      <w:r>
        <w:rPr>
          <w:rFonts w:hAnsi="Arial"/>
          <w:rFonts w:ascii="Arial"/>
          <w:sz w:val="24"/>
          <w:color w:val="navy"/>
        </w:rPr>
        <w:t xml:space="preserve">ARTΝCULO 2.4.1.1.7.8.</w:t>
      </w:r>
      <w:bookmarkEnd w:id="6147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79" w:name="2.4.1.1.7.9"/>
      <w:r>
        <w:rPr>
          <w:rFonts w:hAnsi="Arial"/>
          <w:rFonts w:ascii="Arial"/>
          <w:sz w:val="24"/>
          <w:color w:val="navy"/>
        </w:rPr>
        <w:t xml:space="preserve">ARTΝCULO 2.4.1.1.7.9.</w:t>
      </w:r>
      <w:bookmarkEnd w:id="6147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0" w:name="2.4.1.1.7.10"/>
      <w:r>
        <w:rPr>
          <w:rFonts w:hAnsi="Arial"/>
          <w:rFonts w:ascii="Arial"/>
          <w:sz w:val="24"/>
          <w:color w:val="navy"/>
        </w:rPr>
        <w:t xml:space="preserve">ARTΝCULO 2.4.1.1.7.10.</w:t>
      </w:r>
      <w:bookmarkEnd w:id="6148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center"/>
      </w:pPr>
      <w:r>
        <w:rPr>
          <w:rFonts w:hAnsi="Arial"/>
          <w:rFonts w:ascii="Arial"/>
          <w:sz w:val="24"/>
          <w:vanish/>
          <w:color w:val="black"/>
        </w:rPr>
        <w:t>&amp;$</w:t>
      </w:r>
      <w:bookmarkStart w:id="61481" w:name="SECCIÓN 2.4.1.1.8"/>
      <w:r>
        <w:rPr>
          <w:rFonts w:hAnsi="Arial"/>
          <w:rFonts w:ascii="Arial"/>
          <w:sz w:val="24"/>
          <w:color w:val="navy"/>
        </w:rPr>
        <w:t xml:space="preserve">SECCIΣN 8. </w:t>
      </w:r>
    </w:p>
    <w:p>
      <w:pPr>
        <w:jc w:val="center"/>
      </w:pPr>
      <w:r>
        <w:rPr>
          <w:rFonts w:hAnsi="Arial"/>
          <w:rFonts w:ascii="Arial"/>
          <w:sz w:val="24"/>
          <w:color w:val="navy"/>
        </w:rPr>
        <w:t xml:space="preserve">DE LAS TRIPULACIONES DE LAS NAVES DE PESCA COMERCIAL, DE RECREO Y OTRAS.</w:t>
      </w:r>
    </w:p>
    <w:p>
      <w:pPr>
        <w:jc w:val="both"/>
      </w:pPr>
      <w:bookmarkEnd w:id="61481"/>
    </w:p>
    <w:p>
      <w:pPr>
        <w:jc w:val="both"/>
      </w:pPr>
      <w:r>
        <w:rPr>
          <w:rFonts w:hAnsi="Arial"/>
          <w:rFonts w:ascii="Arial"/>
          <w:sz w:val="24"/>
          <w:vanish/>
          <w:color w:val="black"/>
        </w:rPr>
        <w:t>&amp;$</w:t>
      </w:r>
      <w:bookmarkStart w:id="61482" w:name="2.4.1.1.8.1"/>
      <w:r>
        <w:rPr>
          <w:rFonts w:hAnsi="Arial"/>
          <w:rFonts w:ascii="Arial"/>
          <w:sz w:val="24"/>
          <w:color w:val="navy"/>
        </w:rPr>
        <w:t xml:space="preserve">ARTΝCULO 2.4.1.1.8.1.</w:t>
      </w:r>
      <w:bookmarkEnd w:id="6148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3" w:name="2.4.1.1.8.2"/>
      <w:r>
        <w:rPr>
          <w:rFonts w:hAnsi="Arial"/>
          <w:rFonts w:ascii="Arial"/>
          <w:sz w:val="24"/>
          <w:color w:val="navy"/>
        </w:rPr>
        <w:t xml:space="preserve">ARTΝCULO 2.4.1.1.8.2.</w:t>
      </w:r>
      <w:bookmarkEnd w:id="6148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4" w:name="2.4.1.1.8.3"/>
      <w:r>
        <w:rPr>
          <w:rFonts w:hAnsi="Arial"/>
          <w:rFonts w:ascii="Arial"/>
          <w:sz w:val="24"/>
          <w:color w:val="navy"/>
        </w:rPr>
        <w:t xml:space="preserve">ARTΝCULO 2.4.1.1.8.3.</w:t>
      </w:r>
      <w:bookmarkEnd w:id="6148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5" w:name="2.4.1.1.8.4"/>
      <w:r>
        <w:rPr>
          <w:rFonts w:hAnsi="Arial"/>
          <w:rFonts w:ascii="Arial"/>
          <w:sz w:val="24"/>
          <w:color w:val="navy"/>
        </w:rPr>
        <w:t xml:space="preserve">ARTΝCULO 2.4.1.1.8.4.</w:t>
      </w:r>
      <w:bookmarkEnd w:id="6148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6" w:name="2.4.1.1.8.5"/>
      <w:r>
        <w:rPr>
          <w:rFonts w:hAnsi="Arial"/>
          <w:rFonts w:ascii="Arial"/>
          <w:sz w:val="24"/>
          <w:color w:val="navy"/>
        </w:rPr>
        <w:t xml:space="preserve">ARTΝCULO 2.4.1.1.8.5.</w:t>
      </w:r>
      <w:bookmarkEnd w:id="6148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7" w:name="2.4.1.1.8.6"/>
      <w:r>
        <w:rPr>
          <w:rFonts w:hAnsi="Arial"/>
          <w:rFonts w:ascii="Arial"/>
          <w:sz w:val="24"/>
          <w:color w:val="navy"/>
        </w:rPr>
        <w:t xml:space="preserve">ARTΝCULO 2.4.1.1.8.6.</w:t>
      </w:r>
      <w:bookmarkEnd w:id="6148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8" w:name="2.4.1.1.8.7"/>
      <w:r>
        <w:rPr>
          <w:rFonts w:hAnsi="Arial"/>
          <w:rFonts w:ascii="Arial"/>
          <w:sz w:val="24"/>
          <w:color w:val="navy"/>
        </w:rPr>
        <w:t xml:space="preserve">ARTΝCULO 2.4.1.1.8.7.</w:t>
      </w:r>
      <w:bookmarkEnd w:id="6148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89" w:name="2.4.1.1.8.8"/>
      <w:r>
        <w:rPr>
          <w:rFonts w:hAnsi="Arial"/>
          <w:rFonts w:ascii="Arial"/>
          <w:sz w:val="24"/>
          <w:color w:val="navy"/>
        </w:rPr>
        <w:t xml:space="preserve">ARTΝCULO 2.4.1.1.8.8.</w:t>
      </w:r>
      <w:bookmarkEnd w:id="6148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0" w:name="2.4.1.1.8.9"/>
      <w:r>
        <w:rPr>
          <w:rFonts w:hAnsi="Arial"/>
          <w:rFonts w:ascii="Arial"/>
          <w:sz w:val="24"/>
          <w:color w:val="navy"/>
        </w:rPr>
        <w:t xml:space="preserve">ARTΝCULO 2.4.1.1.8.9.</w:t>
      </w:r>
      <w:bookmarkEnd w:id="6149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1" w:name="2.4.1.1.8.10"/>
      <w:r>
        <w:rPr>
          <w:rFonts w:hAnsi="Arial"/>
          <w:rFonts w:ascii="Arial"/>
          <w:sz w:val="24"/>
          <w:color w:val="navy"/>
        </w:rPr>
        <w:t xml:space="preserve">ARTΝCULO 2.4.1.1.8.10.</w:t>
      </w:r>
      <w:bookmarkEnd w:id="6149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2" w:name="2.4.1.1.8.11"/>
      <w:r>
        <w:rPr>
          <w:rFonts w:hAnsi="Arial"/>
          <w:rFonts w:ascii="Arial"/>
          <w:sz w:val="24"/>
          <w:color w:val="navy"/>
        </w:rPr>
        <w:t xml:space="preserve">ARTΝCULO 2.4.1.1.8.11.</w:t>
      </w:r>
      <w:bookmarkEnd w:id="6149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3" w:name="2.4.1.1.8.12"/>
      <w:r>
        <w:rPr>
          <w:rFonts w:hAnsi="Arial"/>
          <w:rFonts w:ascii="Arial"/>
          <w:sz w:val="24"/>
          <w:color w:val="navy"/>
        </w:rPr>
        <w:t xml:space="preserve">ARTΝCULO 2.4.1.1.8.12.</w:t>
      </w:r>
      <w:bookmarkEnd w:id="6149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4" w:name="2.4.1.1.8.13"/>
      <w:r>
        <w:rPr>
          <w:rFonts w:hAnsi="Arial"/>
          <w:rFonts w:ascii="Arial"/>
          <w:sz w:val="24"/>
          <w:color w:val="navy"/>
        </w:rPr>
        <w:t xml:space="preserve">ARTΝCULO 2.4.1.1.8.13.</w:t>
      </w:r>
      <w:bookmarkEnd w:id="6149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495" w:name="2.4.1.1.8.14"/>
      <w:r>
        <w:rPr>
          <w:rFonts w:hAnsi="Arial"/>
          <w:rFonts w:ascii="Arial"/>
          <w:sz w:val="24"/>
          <w:color w:val="navy"/>
        </w:rPr>
        <w:t xml:space="preserve">ARTΝCULO 2.4.1.1.8.14. </w:t>
      </w:r>
      <w:r>
        <w:rPr>
          <w:rFonts w:hAnsi="Arial"/>
          <w:rFonts w:ascii="Arial"/>
          <w:sz w:val="24"/>
          <w:i/>
          <w:color w:val="navy"/>
        </w:rPr>
        <w:t xml:space="preserve">FUNCIONES Y OBLIGACIONES DEL CAPITΑN DE BUQUE DE PESCA.</w:t>
      </w:r>
      <w:bookmarkEnd w:id="61495"/>
      <w:r>
        <w:rPr>
          <w:rFonts w:hAnsi="Arial"/>
          <w:rFonts w:ascii="Arial"/>
          <w:sz w:val="24"/>
          <w:b/>
          <w:i/>
          <w:color w:val="black"/>
        </w:rPr>
        <w:t xml:space="preserve"> </w:t>
      </w:r>
      <w:r>
        <w:rPr>
          <w:rFonts w:hAnsi="Arial"/>
          <w:rFonts w:ascii="Arial"/>
          <w:sz w:val="24"/>
          <w:color w:val="black"/>
        </w:rPr>
        <w:t xml:space="preserve">Son funciones y obligaciones del Capitαn de buque de pesca, y en la medida que le correspondiere, del Patrσn de Pesca, las siguientes:</w:t>
      </w:r>
    </w:p>
    <w:p>
      <w:pPr>
        <w:jc w:val="both"/>
      </w:pPr>
      <w:rPr>
        <w:sz w:val="24"/>
        <w:color w:val="black"/>
      </w:rPr>
    </w:p>
    <w:p>
      <w:pPr>
        <w:jc w:val="both"/>
      </w:pPr>
      <w:r>
        <w:rPr>
          <w:rFonts w:hAnsi="Arial"/>
          <w:rFonts w:ascii="Arial"/>
          <w:sz w:val="24"/>
          <w:color w:val="black"/>
        </w:rPr>
        <w:t xml:space="preserve">1. Dirigir la navegaciσn de la nave y / o las faenas de pesca.</w:t>
      </w:r>
    </w:p>
    <w:p>
      <w:pPr>
        <w:jc w:val="both"/>
      </w:pPr>
      <w:rPr>
        <w:sz w:val="24"/>
        <w:color w:val="black"/>
      </w:rPr>
    </w:p>
    <w:p>
      <w:pPr>
        <w:jc w:val="both"/>
      </w:pPr>
      <w:r>
        <w:rPr>
          <w:rFonts w:hAnsi="Arial"/>
          <w:rFonts w:ascii="Arial"/>
          <w:sz w:val="24"/>
          <w:color w:val="black"/>
        </w:rPr>
        <w:t xml:space="preserve">2. Respaldar la legνtima autoridad de sus oficiales para el mantenimiento de la disciplina a bordo y la seguridad de la nave.</w:t>
      </w:r>
    </w:p>
    <w:p>
      <w:pPr>
        <w:jc w:val="both"/>
      </w:pPr>
      <w:rPr>
        <w:sz w:val="24"/>
        <w:color w:val="black"/>
      </w:rPr>
    </w:p>
    <w:p>
      <w:pPr>
        <w:jc w:val="both"/>
      </w:pPr>
      <w:r>
        <w:rPr>
          <w:rFonts w:hAnsi="Arial"/>
          <w:rFonts w:ascii="Arial"/>
          <w:sz w:val="24"/>
          <w:color w:val="black"/>
        </w:rPr>
        <w:t xml:space="preserve">3. Tener a bordo, vigentes, todos los certificados y documentos de la nave que le corresponda llevar y presentarlos a las autoridades competentes cuando estas lo soliciten.</w:t>
      </w:r>
    </w:p>
    <w:p>
      <w:pPr>
        <w:jc w:val="both"/>
      </w:pPr>
      <w:rPr>
        <w:sz w:val="24"/>
        <w:color w:val="black"/>
      </w:rPr>
    </w:p>
    <w:p>
      <w:pPr>
        <w:jc w:val="both"/>
      </w:pPr>
      <w:r>
        <w:rPr>
          <w:rFonts w:hAnsi="Arial"/>
          <w:rFonts w:ascii="Arial"/>
          <w:sz w:val="24"/>
          <w:color w:val="black"/>
        </w:rPr>
        <w:t xml:space="preserve">4. Prevenir y controlar la contaminaciσn del mar por parte del buque, de conformidad con las normas nacionales vigentes.</w:t>
      </w:r>
    </w:p>
    <w:p>
      <w:pPr>
        <w:jc w:val="both"/>
      </w:pPr>
      <w:rPr>
        <w:sz w:val="24"/>
        <w:color w:val="black"/>
      </w:rPr>
    </w:p>
    <w:p>
      <w:pPr>
        <w:jc w:val="both"/>
      </w:pPr>
      <w:r>
        <w:rPr>
          <w:rFonts w:hAnsi="Arial"/>
          <w:rFonts w:ascii="Arial"/>
          <w:sz w:val="24"/>
          <w:color w:val="black"/>
        </w:rPr>
        <w:t xml:space="preserve">5. Programar los ejercicios sobre zafarranchos de emergencias, a la vez que las respectivas cιdulas.</w:t>
      </w:r>
    </w:p>
    <w:p>
      <w:pPr>
        <w:jc w:val="both"/>
      </w:pPr>
      <w:rPr>
        <w:sz w:val="24"/>
        <w:color w:val="black"/>
      </w:rPr>
    </w:p>
    <w:p>
      <w:pPr>
        <w:jc w:val="both"/>
      </w:pPr>
      <w:r>
        <w:rPr>
          <w:rFonts w:hAnsi="Arial"/>
          <w:rFonts w:ascii="Arial"/>
          <w:sz w:val="24"/>
          <w:color w:val="black"/>
        </w:rPr>
        <w:t xml:space="preserve">6. Es en todo momento y circunstancia el responsable directo por la seguridad de la nave, el producto de la pesca y las tripulaciones, y ejercerα la autoridad suprema a bordo.</w:t>
      </w:r>
    </w:p>
    <w:p>
      <w:pPr>
        <w:jc w:val="both"/>
      </w:pPr>
      <w:rPr>
        <w:sz w:val="24"/>
        <w:color w:val="black"/>
      </w:rPr>
    </w:p>
    <w:p>
      <w:pPr>
        <w:jc w:val="both"/>
      </w:pPr>
      <w:r>
        <w:rPr>
          <w:rFonts w:hAnsi="Arial"/>
          <w:rFonts w:ascii="Arial"/>
          <w:sz w:val="24"/>
          <w:color w:val="black"/>
        </w:rPr>
        <w:t xml:space="preserve">7. Las demαs que le asignen la Ley y los Reglamentos.</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"http://www.redjurista.com/document.aspx?ajcode=d1597_88&amp;arts=110"</w:instrText>
      </w:r>
      <w:r>
        <w:fldChar w:fldCharType="separate"/>
      </w:r>
      <w:r>
        <w:rPr>
          <w:rFonts w:hAnsi="Arial"/>
          <w:rFonts w:ascii="Arial"/>
          <w:sz w:val="24"/>
          <w:i/>
          <w:u w:val="single"/>
          <w:color w:val="black"/>
        </w:rPr>
        <w:t>110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96" w:name="2.4.1.1.8.15"/>
      <w:r>
        <w:rPr>
          <w:rFonts w:hAnsi="Arial"/>
          <w:rFonts w:ascii="Arial"/>
          <w:sz w:val="24"/>
          <w:color w:val="navy"/>
        </w:rPr>
        <w:t xml:space="preserve">ARTΝCULO 2.4.1.1.8.15. </w:t>
      </w:r>
      <w:r>
        <w:rPr>
          <w:rFonts w:hAnsi="Arial"/>
          <w:rFonts w:ascii="Arial"/>
          <w:sz w:val="24"/>
          <w:i/>
          <w:color w:val="navy"/>
        </w:rPr>
        <w:t xml:space="preserve">CASOS DE NAUFRAGIO O PΙRDIDA DEL BUQUE.</w:t>
      </w:r>
      <w:bookmarkEnd w:id="61496"/>
      <w:r>
        <w:rPr>
          <w:rFonts w:hAnsi="Arial"/>
          <w:rFonts w:ascii="Arial"/>
          <w:sz w:val="24"/>
          <w:b/>
          <w:i/>
          <w:color w:val="black"/>
        </w:rPr>
        <w:t xml:space="preserve"> </w:t>
      </w:r>
      <w:r>
        <w:rPr>
          <w:rFonts w:hAnsi="Arial"/>
          <w:rFonts w:ascii="Arial"/>
          <w:sz w:val="24"/>
          <w:color w:val="black"/>
        </w:rPr>
        <w:t xml:space="preserve">En caso de naufragio o de que la pιrdida del buque sea inminente, procurarα salvar los tripulantes, el material y los documentos de valor en su orden.</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"http://www.redjurista.com/document.aspx?ajcode=d1597_88&amp;arts=111"</w:instrText>
      </w:r>
      <w:r>
        <w:fldChar w:fldCharType="separate"/>
      </w:r>
      <w:r>
        <w:rPr>
          <w:rFonts w:hAnsi="Arial"/>
          <w:rFonts w:ascii="Arial"/>
          <w:sz w:val="24"/>
          <w:i/>
          <w:u w:val="single"/>
          <w:color w:val="black"/>
        </w:rPr>
        <w:t>111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97" w:name="2.4.1.1.8.16"/>
      <w:r>
        <w:rPr>
          <w:rFonts w:hAnsi="Arial"/>
          <w:rFonts w:ascii="Arial"/>
          <w:sz w:val="24"/>
          <w:color w:val="navy"/>
        </w:rPr>
        <w:t xml:space="preserve">ARTΝCULO 2.4.1.1.8.16. </w:t>
      </w:r>
      <w:r>
        <w:rPr>
          <w:rFonts w:hAnsi="Arial"/>
          <w:rFonts w:ascii="Arial"/>
          <w:sz w:val="24"/>
          <w:i/>
          <w:color w:val="navy"/>
        </w:rPr>
        <w:t xml:space="preserve">DESEMPEΡO DEL CARGO.</w:t>
      </w:r>
      <w:bookmarkEnd w:id="61497"/>
      <w:r>
        <w:rPr>
          <w:rFonts w:hAnsi="Arial"/>
          <w:rFonts w:ascii="Arial"/>
          <w:sz w:val="24"/>
          <w:b/>
          <w:i/>
          <w:color w:val="black"/>
        </w:rPr>
        <w:t xml:space="preserve"> </w:t>
      </w:r>
      <w:r>
        <w:rPr>
          <w:rFonts w:hAnsi="Arial"/>
          <w:rFonts w:ascii="Arial"/>
          <w:sz w:val="24"/>
          <w:color w:val="black"/>
        </w:rPr>
        <w:t xml:space="preserve">Mientras se encuentre en el desempeρo de su cargo, debe considerarse en servicio permanente, sin limitaciones de ninguna clase.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"http://www.redjurista.com/document.aspx?ajcode=d1597_88&amp;arts=112"</w:instrText>
      </w:r>
      <w:r>
        <w:fldChar w:fldCharType="separate"/>
      </w:r>
      <w:r>
        <w:rPr>
          <w:rFonts w:hAnsi="Arial"/>
          <w:rFonts w:ascii="Arial"/>
          <w:sz w:val="24"/>
          <w:i/>
          <w:u w:val="single"/>
          <w:color w:val="black"/>
        </w:rPr>
        <w:t>112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98" w:name="2.4.1.1.8.17"/>
      <w:r>
        <w:rPr>
          <w:rFonts w:hAnsi="Arial"/>
          <w:rFonts w:ascii="Arial"/>
          <w:sz w:val="24"/>
          <w:color w:val="navy"/>
        </w:rPr>
        <w:t xml:space="preserve">ARTΝCULO 2.4.1.1.8.17. </w:t>
      </w:r>
      <w:r>
        <w:rPr>
          <w:rFonts w:hAnsi="Arial"/>
          <w:rFonts w:ascii="Arial"/>
          <w:sz w:val="24"/>
          <w:i/>
          <w:color w:val="navy"/>
        </w:rPr>
        <w:t xml:space="preserve">CLASES DE FUNCIONES Y OBLIGACIONES DE LOS OFICIALES DE PESCA.</w:t>
      </w:r>
      <w:bookmarkEnd w:id="61498"/>
      <w:r>
        <w:rPr>
          <w:rFonts w:hAnsi="Arial"/>
          <w:rFonts w:ascii="Arial"/>
          <w:sz w:val="24"/>
          <w:b/>
          <w:i/>
          <w:color w:val="black"/>
        </w:rPr>
        <w:t xml:space="preserve"> </w:t>
      </w:r>
      <w:r>
        <w:rPr>
          <w:rFonts w:hAnsi="Arial"/>
          <w:rFonts w:ascii="Arial"/>
          <w:sz w:val="24"/>
          <w:color w:val="black"/>
        </w:rPr>
        <w:t xml:space="preserve">Las funciones y obligaciones de los Oficiales de a bordo son de dos clases, a saber:</w:t>
      </w:r>
    </w:p>
    <w:p>
      <w:pPr>
        <w:jc w:val="both"/>
      </w:pPr>
      <w:rPr>
        <w:sz w:val="24"/>
        <w:color w:val="black"/>
      </w:rPr>
    </w:p>
    <w:p>
      <w:pPr>
        <w:jc w:val="both"/>
      </w:pPr>
      <w:r>
        <w:rPr>
          <w:rFonts w:hAnsi="Arial"/>
          <w:rFonts w:ascii="Arial"/>
          <w:sz w:val="24"/>
          <w:color w:val="black"/>
        </w:rPr>
        <w:t xml:space="preserve">1. Generales</w:t>
      </w:r>
    </w:p>
    <w:p>
      <w:pPr>
        <w:jc w:val="both"/>
      </w:pPr>
      <w:rPr>
        <w:sz w:val="24"/>
        <w:color w:val="black"/>
      </w:rPr>
    </w:p>
    <w:p>
      <w:pPr>
        <w:jc w:val="both"/>
      </w:pPr>
      <w:r>
        <w:rPr>
          <w:rFonts w:hAnsi="Arial"/>
          <w:rFonts w:ascii="Arial"/>
          <w:sz w:val="24"/>
          <w:color w:val="black"/>
        </w:rPr>
        <w:t xml:space="preserve">2. De cargo</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"http://www.redjurista.com/document.aspx?ajcode=d1597_88&amp;arts=113"</w:instrText>
      </w:r>
      <w:r>
        <w:fldChar w:fldCharType="separate"/>
      </w:r>
      <w:r>
        <w:rPr>
          <w:rFonts w:hAnsi="Arial"/>
          <w:rFonts w:ascii="Arial"/>
          <w:sz w:val="24"/>
          <w:i/>
          <w:u w:val="single"/>
          <w:color w:val="black"/>
        </w:rPr>
        <w:t>113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499" w:name="2.4.1.1.8.18"/>
      <w:r>
        <w:rPr>
          <w:rFonts w:hAnsi="Arial"/>
          <w:rFonts w:ascii="Arial"/>
          <w:sz w:val="24"/>
          <w:color w:val="navy"/>
        </w:rPr>
        <w:t xml:space="preserve">ARTΝCULO 2.4.1.1.8.18. </w:t>
      </w:r>
      <w:r>
        <w:rPr>
          <w:rFonts w:hAnsi="Arial"/>
          <w:rFonts w:ascii="Arial"/>
          <w:sz w:val="24"/>
          <w:i/>
          <w:color w:val="navy"/>
        </w:rPr>
        <w:t xml:space="preserve">FUNCIONES Y OBLIGACIONES GENERALES DE LOS OFICIALES DE PESCA.</w:t>
      </w:r>
      <w:bookmarkEnd w:id="61499"/>
      <w:r>
        <w:rPr>
          <w:rFonts w:hAnsi="Arial"/>
          <w:rFonts w:ascii="Arial"/>
          <w:sz w:val="24"/>
          <w:b/>
          <w:i/>
          <w:color w:val="black"/>
        </w:rPr>
        <w:t xml:space="preserve"> </w:t>
      </w:r>
      <w:r>
        <w:rPr>
          <w:rFonts w:hAnsi="Arial"/>
          <w:rFonts w:ascii="Arial"/>
          <w:sz w:val="24"/>
          <w:color w:val="black"/>
        </w:rPr>
        <w:t xml:space="preserve">Son funciones y obligaciones generales de la Oficialidad de Pesca, las siguientes:</w:t>
      </w:r>
    </w:p>
    <w:p>
      <w:pPr>
        <w:jc w:val="both"/>
      </w:pPr>
      <w:rPr>
        <w:sz w:val="24"/>
        <w:color w:val="black"/>
      </w:rPr>
    </w:p>
    <w:p>
      <w:pPr>
        <w:jc w:val="both"/>
      </w:pPr>
      <w:r>
        <w:rPr>
          <w:rFonts w:hAnsi="Arial"/>
          <w:rFonts w:ascii="Arial"/>
          <w:sz w:val="24"/>
          <w:color w:val="black"/>
        </w:rPr>
        <w:t xml:space="preserve">1. Prestar las guardia de mar que correspondan a la navegaciσn que efectϊe la nave y las de puerto, cuando estas fueren necesarias y dispuestas por el Armador o Capitαn, siguiendo las instrucciones y cumpliendo en la medida que sean aplicables los deberes generales para garantizar la seguridad de la nave y su tripulaciσn, establecidas para los Oficiales de guardia de buques del transporte comercial marνtimo en la Primera Parte del presente Capνtulo, y los deberes adicionales especiales para los Oficiales de Pesca que promulgue la Autoridad Marνtima.</w:t>
      </w:r>
    </w:p>
    <w:p>
      <w:pPr>
        <w:jc w:val="both"/>
      </w:pPr>
      <w:rPr>
        <w:sz w:val="24"/>
        <w:color w:val="black"/>
      </w:rPr>
    </w:p>
    <w:p>
      <w:pPr>
        <w:jc w:val="both"/>
      </w:pPr>
      <w:r>
        <w:rPr>
          <w:rFonts w:hAnsi="Arial"/>
          <w:rFonts w:ascii="Arial"/>
          <w:sz w:val="24"/>
          <w:color w:val="black"/>
        </w:rPr>
        <w:t xml:space="preserve">2. Cumplir y hacer cumplir a bordo por parte de la tripulaciσn, las σrdenes del Capitαn y del Armador, como tambiιn las disposiciones reglamentaras correspondientes.</w:t>
      </w:r>
    </w:p>
    <w:p>
      <w:pPr>
        <w:jc w:val="both"/>
      </w:pPr>
      <w:rPr>
        <w:sz w:val="24"/>
        <w:color w:val="black"/>
      </w:rPr>
    </w:p>
    <w:p>
      <w:pPr>
        <w:jc w:val="both"/>
      </w:pPr>
      <w:r>
        <w:rPr>
          <w:rFonts w:hAnsi="Arial"/>
          <w:rFonts w:ascii="Arial"/>
          <w:sz w:val="24"/>
          <w:color w:val="black"/>
        </w:rPr>
        <w:t xml:space="preserve">3. Estar permanentemente vigilante para evitar o corregir cualquier irregularidad que ponga en peligro la seguridad de la nave o su operaciσn, informando inmediatamente al Capitαn cuando se observe alguna irregularidad.</w:t>
      </w:r>
    </w:p>
    <w:p>
      <w:pPr>
        <w:jc w:val="both"/>
      </w:pPr>
      <w:rPr>
        <w:sz w:val="24"/>
        <w:color w:val="black"/>
      </w:rPr>
    </w:p>
    <w:p>
      <w:pPr>
        <w:jc w:val="both"/>
      </w:pPr>
      <w:r>
        <w:rPr>
          <w:rFonts w:hAnsi="Arial"/>
          <w:rFonts w:ascii="Arial"/>
          <w:sz w:val="24"/>
          <w:color w:val="black"/>
        </w:rPr>
        <w:t xml:space="preserve">4. Responder por el mantenimiento, conservaciσn y operaciσn del equipo y elementos a su cargo, en la medida que le hayan sido asignados por el Capitαn o Armador.</w:t>
      </w:r>
    </w:p>
    <w:p>
      <w:pPr>
        <w:jc w:val="both"/>
      </w:pPr>
      <w:rPr>
        <w:sz w:val="24"/>
        <w:color w:val="black"/>
      </w:rPr>
    </w:p>
    <w:p>
      <w:pPr>
        <w:jc w:val="both"/>
      </w:pPr>
      <w:r>
        <w:rPr>
          <w:rFonts w:hAnsi="Arial"/>
          <w:rFonts w:ascii="Arial"/>
          <w:sz w:val="24"/>
          <w:color w:val="black"/>
        </w:rPr>
        <w:t xml:space="preserve">5. Instruir marineramente al personal bajo su mando.</w:t>
      </w:r>
    </w:p>
    <w:p>
      <w:pPr>
        <w:jc w:val="both"/>
      </w:pPr>
      <w:rPr>
        <w:sz w:val="24"/>
        <w:color w:val="black"/>
      </w:rPr>
    </w:p>
    <w:p>
      <w:pPr>
        <w:jc w:val="both"/>
      </w:pPr>
      <w:r>
        <w:rPr>
          <w:rFonts w:hAnsi="Arial"/>
          <w:rFonts w:ascii="Arial"/>
          <w:sz w:val="24"/>
          <w:color w:val="black"/>
        </w:rPr>
        <w:t xml:space="preserve">6. Conocer perfectamente los deberes del cargo que desempeρe a bordo, de acuerdo con la reglamentaciσn que sobre ello expida la Autoridad Marνtima, o en su defecto, las σrdenes del Capitαn o del Armador.</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"http://www.redjurista.com/document.aspx?ajcode=d1597_88&amp;arts=114"</w:instrText>
      </w:r>
      <w:r>
        <w:fldChar w:fldCharType="separate"/>
      </w:r>
      <w:r>
        <w:rPr>
          <w:rFonts w:hAnsi="Arial"/>
          <w:rFonts w:ascii="Arial"/>
          <w:sz w:val="24"/>
          <w:i/>
          <w:u w:val="single"/>
          <w:color w:val="black"/>
        </w:rPr>
        <w:t>114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00" w:name="2.4.1.1.8.19"/>
      <w:r>
        <w:rPr>
          <w:rFonts w:hAnsi="Arial"/>
          <w:rFonts w:ascii="Arial"/>
          <w:sz w:val="24"/>
          <w:color w:val="navy"/>
        </w:rPr>
        <w:t xml:space="preserve">ARTΝCULO 2.4.1.1.8.19. </w:t>
      </w:r>
      <w:r>
        <w:rPr>
          <w:rFonts w:hAnsi="Arial"/>
          <w:rFonts w:ascii="Arial"/>
          <w:sz w:val="24"/>
          <w:i/>
          <w:color w:val="navy"/>
        </w:rPr>
        <w:t xml:space="preserve">DEBERES DE CARGO DE LOS OFICIALES DE PESCA.</w:t>
      </w:r>
      <w:bookmarkEnd w:id="61500"/>
      <w:r>
        <w:rPr>
          <w:rFonts w:hAnsi="Arial"/>
          <w:rFonts w:ascii="Arial"/>
          <w:sz w:val="24"/>
          <w:b/>
          <w:i/>
          <w:color w:val="black"/>
        </w:rPr>
        <w:t xml:space="preserve"> </w:t>
      </w:r>
      <w:r>
        <w:rPr>
          <w:rFonts w:hAnsi="Arial"/>
          <w:rFonts w:ascii="Arial"/>
          <w:sz w:val="24"/>
          <w:color w:val="black"/>
        </w:rPr>
        <w:t xml:space="preserve">Los deberes de Cargo de los Oficiales de Pesca serαn reglamentados por la Autoridad Marνtima oportunamente. Hasta tanto dichos deberes de cargo no hayan sido asignados por la Autoridad Marνtima, dichos deberes serαn asignados por el Capitαn o por el Armador.</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"http://www.redjurista.com/document.aspx?ajcode=d1597_88&amp;arts=115"</w:instrText>
      </w:r>
      <w:r>
        <w:fldChar w:fldCharType="separate"/>
      </w:r>
      <w:r>
        <w:rPr>
          <w:rFonts w:hAnsi="Arial"/>
          <w:rFonts w:ascii="Arial"/>
          <w:sz w:val="24"/>
          <w:i/>
          <w:u w:val="single"/>
          <w:color w:val="black"/>
        </w:rPr>
        <w:t>115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01" w:name="2.4.1.1.8.20"/>
      <w:r>
        <w:rPr>
          <w:rFonts w:hAnsi="Arial"/>
          <w:rFonts w:ascii="Arial"/>
          <w:sz w:val="24"/>
          <w:color w:val="navy"/>
        </w:rPr>
        <w:t xml:space="preserve">ARTΝCULO 2.4.1.1.8.20. </w:t>
      </w:r>
      <w:r>
        <w:rPr>
          <w:rFonts w:hAnsi="Arial"/>
          <w:rFonts w:ascii="Arial"/>
          <w:sz w:val="24"/>
          <w:i/>
          <w:color w:val="navy"/>
        </w:rPr>
        <w:t xml:space="preserve">DEBERES Y OBLIGACIONES DE LA MARINERΝA.</w:t>
      </w:r>
      <w:bookmarkEnd w:id="61501"/>
      <w:r>
        <w:rPr>
          <w:rFonts w:hAnsi="Arial"/>
          <w:rFonts w:ascii="Arial"/>
          <w:sz w:val="24"/>
          <w:b/>
          <w:i/>
          <w:color w:val="black"/>
        </w:rPr>
        <w:t xml:space="preserve"> </w:t>
      </w:r>
      <w:r>
        <w:rPr>
          <w:rFonts w:hAnsi="Arial"/>
          <w:rFonts w:ascii="Arial"/>
          <w:sz w:val="24"/>
          <w:color w:val="black"/>
        </w:rPr>
        <w:t xml:space="preserve">Los deberes y obligaciones de la Marinerνa son los siguientes:</w:t>
      </w:r>
    </w:p>
    <w:p>
      <w:pPr>
        <w:jc w:val="both"/>
      </w:pPr>
      <w:rPr>
        <w:sz w:val="24"/>
        <w:color w:val="black"/>
      </w:rPr>
    </w:p>
    <w:p>
      <w:pPr>
        <w:jc w:val="both"/>
      </w:pPr>
      <w:r>
        <w:rPr>
          <w:rFonts w:hAnsi="Arial"/>
          <w:rFonts w:ascii="Arial"/>
          <w:sz w:val="24"/>
          <w:color w:val="black"/>
        </w:rPr>
        <w:t xml:space="preserve">1. De la Marinerνa de Primera Clase desempeρando cargos de supervisiσn a bordo</w:t>
      </w:r>
    </w:p>
    <w:p>
      <w:pPr>
        <w:jc w:val="both"/>
      </w:pPr>
      <w:rPr>
        <w:sz w:val="24"/>
        <w:color w:val="black"/>
      </w:rPr>
    </w:p>
    <w:p>
      <w:pPr>
        <w:jc w:val="both"/>
      </w:pPr>
      <w:r>
        <w:rPr>
          <w:rFonts w:hAnsi="Arial"/>
          <w:rFonts w:ascii="Arial"/>
          <w:sz w:val="24"/>
          <w:color w:val="black"/>
        </w:rPr>
        <w:t xml:space="preserve">a. Dirigir y supervisar el trabajo del personal a su cargo.</w:t>
      </w:r>
    </w:p>
    <w:p>
      <w:pPr>
        <w:jc w:val="both"/>
      </w:pPr>
      <w:rPr>
        <w:sz w:val="24"/>
        <w:color w:val="black"/>
      </w:rPr>
    </w:p>
    <w:p>
      <w:pPr>
        <w:jc w:val="both"/>
      </w:pPr>
      <w:r>
        <w:rPr>
          <w:rFonts w:hAnsi="Arial"/>
          <w:rFonts w:ascii="Arial"/>
          <w:sz w:val="24"/>
          <w:color w:val="black"/>
        </w:rPr>
        <w:t xml:space="preserve">b. Instruir debidamente a dicho personal sobre la correcta ejecuciσn de los trabajos.</w:t>
      </w:r>
    </w:p>
    <w:p>
      <w:pPr>
        <w:jc w:val="both"/>
      </w:pPr>
      <w:rPr>
        <w:sz w:val="24"/>
        <w:color w:val="black"/>
      </w:rPr>
    </w:p>
    <w:p>
      <w:pPr>
        <w:jc w:val="both"/>
      </w:pPr>
      <w:r>
        <w:rPr>
          <w:rFonts w:hAnsi="Arial"/>
          <w:rFonts w:ascii="Arial"/>
          <w:sz w:val="24"/>
          <w:color w:val="black"/>
        </w:rPr>
        <w:t xml:space="preserve">c. Colaborar con el Capitαn y los Oficiales en el mantenimiento de la disciplina a bordo.</w:t>
      </w:r>
    </w:p>
    <w:p>
      <w:pPr>
        <w:jc w:val="both"/>
      </w:pPr>
      <w:rPr>
        <w:sz w:val="24"/>
        <w:color w:val="black"/>
      </w:rPr>
    </w:p>
    <w:p>
      <w:pPr>
        <w:jc w:val="both"/>
      </w:pPr>
      <w:r>
        <w:rPr>
          <w:rFonts w:hAnsi="Arial"/>
          <w:rFonts w:ascii="Arial"/>
          <w:sz w:val="24"/>
          <w:color w:val="black"/>
        </w:rPr>
        <w:t xml:space="preserve">d. Ejecutar las σrdenes que reciba de sus superiores.</w:t>
      </w:r>
    </w:p>
    <w:p>
      <w:pPr>
        <w:jc w:val="both"/>
      </w:pPr>
      <w:rPr>
        <w:sz w:val="24"/>
        <w:color w:val="black"/>
      </w:rPr>
    </w:p>
    <w:p>
      <w:pPr>
        <w:jc w:val="both"/>
      </w:pPr>
      <w:r>
        <w:rPr>
          <w:rFonts w:hAnsi="Arial"/>
          <w:rFonts w:ascii="Arial"/>
          <w:sz w:val="24"/>
          <w:color w:val="black"/>
        </w:rPr>
        <w:t xml:space="preserve">2. Del resto de la Marinerνa</w:t>
      </w:r>
    </w:p>
    <w:p>
      <w:pPr>
        <w:jc w:val="both"/>
      </w:pPr>
      <w:rPr>
        <w:sz w:val="24"/>
        <w:color w:val="black"/>
      </w:rPr>
    </w:p>
    <w:p>
      <w:pPr>
        <w:jc w:val="both"/>
      </w:pPr>
      <w:r>
        <w:rPr>
          <w:rFonts w:hAnsi="Arial"/>
          <w:rFonts w:ascii="Arial"/>
          <w:sz w:val="24"/>
          <w:color w:val="black"/>
        </w:rPr>
        <w:t xml:space="preserve">a. Si actϊa como Timonel, atenderα el gobierno del buque y el mantenimiento del rumbo, de acuerdo con las σrdenes del Capitαn y/o del Oficial de guardia, segϊn el caso</w:t>
      </w:r>
    </w:p>
    <w:p>
      <w:pPr>
        <w:jc w:val="both"/>
      </w:pPr>
      <w:rPr>
        <w:sz w:val="24"/>
        <w:color w:val="black"/>
      </w:rPr>
    </w:p>
    <w:p>
      <w:pPr>
        <w:jc w:val="both"/>
      </w:pPr>
      <w:r>
        <w:rPr>
          <w:rFonts w:hAnsi="Arial"/>
          <w:rFonts w:ascii="Arial"/>
          <w:sz w:val="24"/>
          <w:color w:val="black"/>
        </w:rPr>
        <w:t xml:space="preserve">b. Si actϊa como vigνa, ademαs de mantener una adecuada vigilancia para apreciar las circunstancias y los riesgos de abordaje, varada y otros que puedan presentase, el vigνa tendrα la misiσn de percibir buques o naves en peligro, nαufragos, restos de naufragios y objetos a la deriva. Para estos deberes, asν como para los del timonel en la medida que corresponda o puedan ser aplicables, se guiarαn, por lo establecido en la Parte Primera de este Capνtulo, para cargos iguales o equivalentes.</w:t>
      </w:r>
    </w:p>
    <w:p>
      <w:pPr>
        <w:jc w:val="both"/>
      </w:pPr>
      <w:rPr>
        <w:sz w:val="24"/>
        <w:color w:val="black"/>
      </w:rPr>
    </w:p>
    <w:p>
      <w:pPr>
        <w:jc w:val="both"/>
      </w:pPr>
      <w:r>
        <w:rPr>
          <w:rFonts w:hAnsi="Arial"/>
          <w:rFonts w:ascii="Arial"/>
          <w:sz w:val="24"/>
          <w:color w:val="black"/>
        </w:rPr>
        <w:t xml:space="preserve">c. Llevar a cabo las faenas de pesca de conformidad con la organizaciσn interna del buque y las σrdenes e instrucciones del Armador y / o del Capitαn.</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"http://www.redjurista.com/document.aspx?ajcode=d1597_88&amp;arts=116"</w:instrText>
      </w:r>
      <w:r>
        <w:fldChar w:fldCharType="separate"/>
      </w:r>
      <w:r>
        <w:rPr>
          <w:rFonts w:hAnsi="Arial"/>
          <w:rFonts w:ascii="Arial"/>
          <w:sz w:val="24"/>
          <w:i/>
          <w:u w:val="single"/>
          <w:color w:val="black"/>
        </w:rPr>
        <w:t>116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02" w:name="2.4.1.1.8.21"/>
      <w:r>
        <w:rPr>
          <w:rFonts w:hAnsi="Arial"/>
          <w:rFonts w:ascii="Arial"/>
          <w:sz w:val="24"/>
          <w:color w:val="navy"/>
        </w:rPr>
        <w:t xml:space="preserve">ARTΝCULO 2.4.1.1.8.21. </w:t>
      </w:r>
      <w:r>
        <w:rPr>
          <w:rFonts w:hAnsi="Arial"/>
          <w:rFonts w:ascii="Arial"/>
          <w:sz w:val="24"/>
          <w:i/>
          <w:color w:val="navy"/>
        </w:rPr>
        <w:t xml:space="preserve">ACREDITACIΣN DE IDONEIDAD.</w:t>
      </w:r>
      <w:bookmarkEnd w:id="61502"/>
      <w:r>
        <w:rPr>
          <w:rFonts w:hAnsi="Arial"/>
          <w:rFonts w:ascii="Arial"/>
          <w:sz w:val="24"/>
          <w:b/>
          <w:i/>
          <w:color w:val="black"/>
        </w:rPr>
        <w:t xml:space="preserve"> </w:t>
      </w:r>
      <w:r>
        <w:rPr>
          <w:rFonts w:hAnsi="Arial"/>
          <w:rFonts w:ascii="Arial"/>
          <w:sz w:val="24"/>
          <w:color w:val="black"/>
        </w:rPr>
        <w:t xml:space="preserve">Solamente se acreditarα la idoneidad del Patrσn de Pesca Artesanal. Los demαs tripulantes ϊnicamente requerirαn de una tarjeta de constancia de inscripciones, en la Capitanνa de Puerto. Si se trata de Nave Mayor la persona al mando de la nave deberα estar en posesiσn de Licencia de Capitαn de Pesca Regional.</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"http://www.redjurista.com/document.aspx?ajcode=d1597_88&amp;arts=117"</w:instrText>
      </w:r>
      <w:r>
        <w:fldChar w:fldCharType="separate"/>
      </w:r>
      <w:r>
        <w:rPr>
          <w:rFonts w:hAnsi="Arial"/>
          <w:rFonts w:ascii="Arial"/>
          <w:sz w:val="24"/>
          <w:i/>
          <w:u w:val="single"/>
          <w:color w:val="black"/>
        </w:rPr>
        <w:t>117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03" w:name="2.4.1.1.8.22"/>
      <w:r>
        <w:rPr>
          <w:rFonts w:hAnsi="Arial"/>
          <w:rFonts w:ascii="Arial"/>
          <w:sz w:val="24"/>
          <w:color w:val="navy"/>
        </w:rPr>
        <w:t xml:space="preserve">ARTΝCULO 2.4.1.1.8.22.</w:t>
      </w:r>
      <w:bookmarkEnd w:id="6150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4" w:name="2.4.1.1.8.23"/>
      <w:r>
        <w:rPr>
          <w:rFonts w:hAnsi="Arial"/>
          <w:rFonts w:ascii="Arial"/>
          <w:sz w:val="24"/>
          <w:color w:val="navy"/>
        </w:rPr>
        <w:t xml:space="preserve">ARTΝCULO 2.4.1.1.8.23.</w:t>
      </w:r>
      <w:bookmarkEnd w:id="6150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5" w:name="2.4.1.1.8.24."/>
      <w:r>
        <w:rPr>
          <w:rFonts w:hAnsi="Arial"/>
          <w:rFonts w:ascii="Arial"/>
          <w:sz w:val="24"/>
          <w:color w:val="navy"/>
        </w:rPr>
        <w:t xml:space="preserve">ARTΝCULO 2.4.1.1.8.24.</w:t>
      </w:r>
      <w:bookmarkEnd w:id="6150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6" w:name="2.4.1.1.8.25"/>
      <w:r>
        <w:rPr>
          <w:rFonts w:hAnsi="Arial"/>
          <w:rFonts w:ascii="Arial"/>
          <w:sz w:val="24"/>
          <w:color w:val="navy"/>
        </w:rPr>
        <w:t xml:space="preserve">ARTΝCULO 2.4.1.1.8.25.</w:t>
      </w:r>
      <w:bookmarkEnd w:id="6150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7" w:name="2.4.1.1.8.26"/>
      <w:r>
        <w:rPr>
          <w:rFonts w:hAnsi="Arial"/>
          <w:rFonts w:ascii="Arial"/>
          <w:sz w:val="24"/>
          <w:color w:val="navy"/>
        </w:rPr>
        <w:t xml:space="preserve">ARTΝCULO 2.4.1.1.8.26.</w:t>
      </w:r>
      <w:bookmarkEnd w:id="6150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8" w:name="2.4.1.1.8.27"/>
      <w:r>
        <w:rPr>
          <w:rFonts w:hAnsi="Arial"/>
          <w:rFonts w:ascii="Arial"/>
          <w:sz w:val="24"/>
          <w:color w:val="navy"/>
        </w:rPr>
        <w:t xml:space="preserve">ARTΝCULO 2.4.1.1.8.27.</w:t>
      </w:r>
      <w:bookmarkEnd w:id="61508"/>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09" w:name="2.4.1.1.8.28"/>
      <w:r>
        <w:rPr>
          <w:rFonts w:hAnsi="Arial"/>
          <w:rFonts w:ascii="Arial"/>
          <w:sz w:val="24"/>
          <w:color w:val="navy"/>
        </w:rPr>
        <w:t xml:space="preserve">ARTΝCULO 2.4.1.1.8.28.</w:t>
      </w:r>
      <w:bookmarkEnd w:id="61509"/>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0" w:name="2.4.1.1.8.29"/>
      <w:r>
        <w:rPr>
          <w:rFonts w:hAnsi="Arial"/>
          <w:rFonts w:ascii="Arial"/>
          <w:sz w:val="24"/>
          <w:color w:val="navy"/>
        </w:rPr>
        <w:t xml:space="preserve">ARTΝCULO 2.4.1.1.8.29.</w:t>
      </w:r>
      <w:bookmarkEnd w:id="61510"/>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1" w:name="2.4.1.1.8.30"/>
      <w:r>
        <w:rPr>
          <w:rFonts w:hAnsi="Arial"/>
          <w:rFonts w:ascii="Arial"/>
          <w:sz w:val="24"/>
          <w:color w:val="navy"/>
        </w:rPr>
        <w:t xml:space="preserve">ARTΝCULO 2.4.1.1.8.30.</w:t>
      </w:r>
      <w:bookmarkEnd w:id="61511"/>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2" w:name="2.4.1.1.8.31"/>
      <w:r>
        <w:rPr>
          <w:rFonts w:hAnsi="Arial"/>
          <w:rFonts w:ascii="Arial"/>
          <w:sz w:val="24"/>
          <w:color w:val="navy"/>
        </w:rPr>
        <w:t xml:space="preserve">ARTΝCULO 2.4.1.1.8.31.</w:t>
      </w:r>
      <w:bookmarkEnd w:id="61512"/>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3" w:name="2.4.1.1.8.32"/>
      <w:r>
        <w:rPr>
          <w:rFonts w:hAnsi="Arial"/>
          <w:rFonts w:ascii="Arial"/>
          <w:sz w:val="24"/>
          <w:color w:val="navy"/>
        </w:rPr>
        <w:t xml:space="preserve">ARTΝCULO 2.4.1.1.8.32.</w:t>
      </w:r>
      <w:bookmarkEnd w:id="61513"/>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4" w:name="2.4.1.1.8.33"/>
      <w:r>
        <w:rPr>
          <w:rFonts w:hAnsi="Arial"/>
          <w:rFonts w:ascii="Arial"/>
          <w:sz w:val="24"/>
          <w:color w:val="navy"/>
        </w:rPr>
        <w:t xml:space="preserve">ARTΝCULO 2.4.1.1.8.33.</w:t>
      </w:r>
      <w:bookmarkEnd w:id="61514"/>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5" w:name="2.4.1.1.8.34"/>
      <w:r>
        <w:rPr>
          <w:rFonts w:hAnsi="Arial"/>
          <w:rFonts w:ascii="Arial"/>
          <w:sz w:val="24"/>
          <w:color w:val="navy"/>
        </w:rPr>
        <w:t xml:space="preserve">ARTΝCULO 2.4.1.1.8.34.</w:t>
      </w:r>
      <w:bookmarkEnd w:id="61515"/>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6" w:name="2.4.1.1.8.35"/>
      <w:r>
        <w:rPr>
          <w:rFonts w:hAnsi="Arial"/>
          <w:rFonts w:ascii="Arial"/>
          <w:sz w:val="24"/>
          <w:color w:val="navy"/>
        </w:rPr>
        <w:t xml:space="preserve">ARTΝCULO 2.4.1.1.8.35.</w:t>
      </w:r>
      <w:bookmarkEnd w:id="61516"/>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color w:val="black"/>
      </w:rPr>
    </w:p>
    <w:p>
      <w:pPr>
        <w:jc w:val="both"/>
      </w:pPr>
      <w:r>
        <w:rPr>
          <w:rFonts w:hAnsi="Arial"/>
          <w:rFonts w:ascii="Arial"/>
          <w:sz w:val="24"/>
          <w:vanish/>
          <w:color w:val="black"/>
        </w:rPr>
        <w:t>&amp;$</w:t>
      </w:r>
      <w:bookmarkStart w:id="61517" w:name="2.4.1.1.8.36"/>
      <w:r>
        <w:rPr>
          <w:rFonts w:hAnsi="Arial"/>
          <w:rFonts w:ascii="Arial"/>
          <w:sz w:val="24"/>
          <w:color w:val="navy"/>
        </w:rPr>
        <w:t xml:space="preserve">ARTΝCULO 2.4.1.1.8.36.</w:t>
      </w:r>
      <w:bookmarkEnd w:id="61517"/>
      <w:r>
        <w:rPr>
          <w:rFonts w:hAnsi="Arial"/>
          <w:rFonts w:ascii="Arial"/>
          <w:sz w:val="24"/>
          <w:color w:val="black"/>
        </w:rPr>
        <w:t xml:space="preserve"> &lt;Artνculo derogado por el artνculo </w:t>
      </w:r>
      <w:r>
        <w:fldChar w:fldCharType="begin"/>
      </w:r>
      <w:r>
        <w:instrText>HYPERLINK "http://www.redjurista.com/document.aspx?ajcode=d1063024&amp;arts=3"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1063 de 2024&gt; </w:t>
      </w:r>
    </w:p>
    <w:p>
      <w:pPr>
        <w:jc w:val="both"/>
      </w:pPr>
      <w:rPr>
        <w:sz w:val="24"/>
        <w:color w:val="black"/>
      </w:rPr>
    </w:p>
    <w:p>
      <w:pPr>
        <w:jc w:val="both"/>
      </w:pPr>
      <w:r>
        <w:rPr>
          <w:rFonts w:hAnsi="Arial"/>
          <w:rFonts w:ascii="Arial"/>
          <w:sz w:val="24"/>
          <w:vanish/>
          <w:color w:val="black"/>
        </w:rPr>
        <w:t>&amp;$</w:t>
      </w:r>
      <w:bookmarkStart w:id="61518" w:name="2.4.1.1.8.37"/>
      <w:r>
        <w:rPr>
          <w:rFonts w:hAnsi="Arial"/>
          <w:rFonts w:ascii="Arial"/>
          <w:sz w:val="24"/>
          <w:color w:val="navy"/>
        </w:rPr>
        <w:t xml:space="preserve">ARTΝCULO 2.4.1.1.8.37. </w:t>
      </w:r>
      <w:r>
        <w:rPr>
          <w:rFonts w:hAnsi="Arial"/>
          <w:rFonts w:ascii="Arial"/>
          <w:sz w:val="24"/>
          <w:i/>
          <w:color w:val="navy"/>
        </w:rPr>
        <w:t xml:space="preserve">MATERIAS Y PROGRAMAS PARA CURSOS DE FORMACIΣN, CAPACITACIΣN Y ENTRENAMIENTO.</w:t>
      </w:r>
      <w:bookmarkEnd w:id="61518"/>
      <w:r>
        <w:rPr>
          <w:rFonts w:hAnsi="Arial"/>
          <w:rFonts w:ascii="Arial"/>
          <w:sz w:val="24"/>
          <w:b/>
          <w:i/>
          <w:color w:val="black"/>
        </w:rPr>
        <w:t xml:space="preserve"> </w:t>
      </w:r>
      <w:r>
        <w:rPr>
          <w:rFonts w:hAnsi="Arial"/>
          <w:rFonts w:ascii="Arial"/>
          <w:sz w:val="24"/>
          <w:color w:val="black"/>
        </w:rPr>
        <w:t xml:space="preserve">La Autoridad Marνtima elaborarα y publicarα las listas de materias y los respectivos programas, tanto para la formaciσn (cursos de Centro de Formaciσn, Capacitaciσn y Entrenamiento) de la gente de mar a que se refiere el presente capνtulo, como para los ascensos de dicho personal. Tales listas y programas serαn establecidos por la Autoridad Marνtima mediante el Acto Administrativo correspondiente.</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"http://www.redjurista.com/document.aspx?ajcode=d1597_88&amp;arts=133"</w:instrText>
      </w:r>
      <w:r>
        <w:fldChar w:fldCharType="separate"/>
      </w:r>
      <w:r>
        <w:rPr>
          <w:rFonts w:hAnsi="Arial"/>
          <w:rFonts w:ascii="Arial"/>
          <w:sz w:val="24"/>
          <w:i/>
          <w:u w:val="single"/>
          <w:color w:val="black"/>
        </w:rPr>
        <w:t>133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19" w:name="2.4.1.1.8.38"/>
      <w:r>
        <w:rPr>
          <w:rFonts w:hAnsi="Arial"/>
          <w:rFonts w:ascii="Arial"/>
          <w:sz w:val="24"/>
          <w:color w:val="navy"/>
        </w:rPr>
        <w:t xml:space="preserve">ARTΝCULO 2.4.1.1.8.38. </w:t>
      </w:r>
      <w:r>
        <w:rPr>
          <w:rFonts w:hAnsi="Arial"/>
          <w:rFonts w:ascii="Arial"/>
          <w:sz w:val="24"/>
          <w:i/>
          <w:color w:val="navy"/>
        </w:rPr>
        <w:t xml:space="preserve">DISPOSICIONES DISCIPLINARIAS.</w:t>
      </w:r>
      <w:bookmarkEnd w:id="61519"/>
      <w:r>
        <w:rPr>
          <w:rFonts w:hAnsi="Arial"/>
          <w:rFonts w:ascii="Arial"/>
          <w:sz w:val="24"/>
          <w:b/>
          <w:i/>
          <w:color w:val="black"/>
        </w:rPr>
        <w:t xml:space="preserve"> </w:t>
      </w:r>
      <w:r>
        <w:rPr>
          <w:rFonts w:hAnsi="Arial"/>
          <w:rFonts w:ascii="Arial"/>
          <w:sz w:val="24"/>
          <w:color w:val="black"/>
        </w:rPr>
        <w:t xml:space="preserve">Tanto las naves de pesca industrial como los yates de recreo y sus tripulaciones, estarαn sujetas a las disposiciones disciplinarias vigentes para la navegaciσn comercial marνtima. Los demαs tripulantes quedan excluidos de tales disposiciones, excepciσn hecha de aquellos en posesiσn de una Licencia de Navegaciσn, a quienes en caso de infracciones comprobadas podrαn ser sancionados con suspensiσn o cancelaciσn de la respectiva Licencia de Navegaciσn, segϊn corresponda.</w:t>
      </w:r>
    </w:p>
    <w:p>
      <w:pPr>
        <w:jc w:val="both"/>
      </w:pPr>
      <w:rPr>
        <w:sz w:val="24"/>
        <w:color w:val="black"/>
      </w:rPr>
    </w:p>
    <w:p>
      <w:pPr>
        <w:jc w:val="both"/>
      </w:pPr>
      <w:r>
        <w:rPr>
          <w:rFonts w:hAnsi="Arial"/>
          <w:rFonts w:ascii="Arial"/>
          <w:sz w:val="24"/>
          <w:i/>
          <w:color w:val="black"/>
        </w:rPr>
        <w:t xml:space="preserve">(Decreto 1597 de 1988 artνculo </w:t>
      </w:r>
      <w:r>
        <w:fldChar w:fldCharType="begin"/>
      </w:r>
      <w:r>
        <w:instrText>HYPERLINK "http://www.redjurista.com/document.aspx?ajcode=d1597_88&amp;arts=134"</w:instrText>
      </w:r>
      <w:r>
        <w:fldChar w:fldCharType="separate"/>
      </w:r>
      <w:r>
        <w:rPr>
          <w:rFonts w:hAnsi="Arial"/>
          <w:rFonts w:ascii="Arial"/>
          <w:sz w:val="24"/>
          <w:i/>
          <w:u w:val="single"/>
          <w:color w:val="black"/>
        </w:rPr>
        <w:t>134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20" w:name="CAPÍTULO 2.4.1.2"/>
      <w:r>
        <w:rPr>
          <w:rFonts w:hAnsi="Arial"/>
          <w:rFonts w:ascii="Arial"/>
          <w:sz w:val="24"/>
          <w:color w:val="navy"/>
        </w:rPr>
        <w:t xml:space="preserve">CAPΝTULO 2. </w:t>
      </w:r>
    </w:p>
    <w:p>
      <w:pPr>
        <w:jc w:val="center"/>
      </w:pPr>
      <w:r>
        <w:rPr>
          <w:rFonts w:hAnsi="Arial"/>
          <w:rFonts w:ascii="Arial"/>
          <w:sz w:val="24"/>
          <w:color w:val="navy"/>
        </w:rPr>
        <w:t xml:space="preserve">DEL SERVICIO PΪBLICO DE PRACTICAJE.</w:t>
      </w:r>
      <w:bookmarkEnd w:id="61520"/>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521" w:name="SECCIÓN 2.4.1.2.1"/>
      <w:r>
        <w:rPr>
          <w:rFonts w:hAnsi="Arial"/>
          <w:rFonts w:ascii="Arial"/>
          <w:sz w:val="24"/>
          <w:color w:val="navy"/>
        </w:rPr>
        <w:t xml:space="preserve">SECCIΣN 1. </w:t>
      </w:r>
    </w:p>
    <w:p>
      <w:pPr>
        <w:jc w:val="center"/>
      </w:pPr>
      <w:r>
        <w:rPr>
          <w:rFonts w:hAnsi="Arial"/>
          <w:rFonts w:ascii="Arial"/>
          <w:sz w:val="24"/>
          <w:color w:val="navy"/>
        </w:rPr>
        <w:t>GENERALIDADES.</w:t>
      </w:r>
      <w:bookmarkEnd w:id="6152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22" w:name="2.4.1.2.1.1"/>
      <w:r>
        <w:rPr>
          <w:rFonts w:hAnsi="Arial"/>
          <w:rFonts w:ascii="Arial"/>
          <w:sz w:val="24"/>
          <w:color w:val="navy"/>
        </w:rPr>
        <w:t xml:space="preserve">ARTΝCULO 2.4.1.2.1.1. </w:t>
      </w:r>
      <w:r>
        <w:rPr>
          <w:rFonts w:hAnsi="Arial"/>
          <w:rFonts w:ascii="Arial"/>
          <w:sz w:val="24"/>
          <w:i/>
          <w:color w:val="navy"/>
        </w:rPr>
        <w:t>DEFINICIONES.</w:t>
      </w:r>
      <w:bookmarkEnd w:id="61522"/>
      <w:r>
        <w:rPr>
          <w:rFonts w:hAnsi="Arial"/>
          <w:rFonts w:ascii="Arial"/>
          <w:sz w:val="24"/>
          <w:b/>
          <w:i/>
          <w:color w:val="black"/>
        </w:rPr>
        <w:t xml:space="preserve"> </w:t>
      </w:r>
      <w:r>
        <w:rPr>
          <w:rFonts w:hAnsi="Arial"/>
          <w:rFonts w:ascii="Arial"/>
          <w:sz w:val="24"/>
          <w:color w:val="black"/>
        </w:rPr>
        <w:t xml:space="preserve">Para efectos del presente Capνtulo, se establecen las siguientes definiciones:</w:t>
      </w:r>
    </w:p>
    <w:p>
      <w:pPr>
        <w:jc w:val="both"/>
      </w:pPr>
      <w:rPr>
        <w:sz w:val="24"/>
        <w:color w:val="black"/>
      </w:rPr>
    </w:p>
    <w:p>
      <w:pPr>
        <w:jc w:val="both"/>
      </w:pPr>
      <w:r>
        <w:rPr>
          <w:rFonts w:hAnsi="Arial"/>
          <w:rFonts w:ascii="Arial"/>
          <w:sz w:val="24"/>
          <w:color w:val="black"/>
        </w:rPr>
        <w:t xml:space="preserve">1. Αrea marνtima y fluvial de practicaje. Es el αrea geogrαfica donde se desarrolla el servicio de practicaje, determinada por la Autoridad Marνtima Nacional debido a los riesgos inherentes a la navegaciσn en aguas restringidas, donde se velarα por la seguridad de la navegaciσn, seguridad de la vida humana en el mar, la prevenciσn de la contaminaciσn del medio ambiente marino y de daρos a bienes.</w:t>
      </w:r>
    </w:p>
    <w:p>
      <w:pPr>
        <w:jc w:val="both"/>
      </w:pPr>
      <w:rPr>
        <w:sz w:val="24"/>
        <w:color w:val="black"/>
      </w:rPr>
    </w:p>
    <w:p>
      <w:pPr>
        <w:jc w:val="both"/>
      </w:pPr>
      <w:r>
        <w:rPr>
          <w:rFonts w:hAnsi="Arial"/>
          <w:rFonts w:ascii="Arial"/>
          <w:sz w:val="24"/>
          <w:color w:val="black"/>
        </w:rPr>
        <w:t xml:space="preserve">2. Autorizaciσn transitoria para prestar el servicio en una jurisdicciσn. Es la autorizaciσn excepcional, conferida por la Autoridad Marνtima Nacional, mediante la cual autoriza a un piloto prαctico para desempeρarse en una jurisdicciσn diferente a la que ordinariamente desarrolla su actividad, por solicitud motivada de una empresa de practicaje, o para garantizar la prestaciσn del servicio pϊblico de practicaje, el entrenamiento de aspirantes a pilotos, de pilotos prαcticos por cambio de categorνa y/o jurisdicciσn.</w:t>
      </w:r>
    </w:p>
    <w:p>
      <w:pPr>
        <w:jc w:val="both"/>
      </w:pPr>
      <w:rPr>
        <w:sz w:val="24"/>
        <w:color w:val="black"/>
      </w:rPr>
    </w:p>
    <w:p>
      <w:pPr>
        <w:jc w:val="both"/>
      </w:pPr>
      <w:r>
        <w:rPr>
          <w:rFonts w:hAnsi="Arial"/>
          <w:rFonts w:ascii="Arial"/>
          <w:sz w:val="24"/>
          <w:color w:val="black"/>
        </w:rPr>
        <w:t xml:space="preserve">3. Cambio de jurisdicciσn. Es la situaciσn que se presenta cuando un piloto prαctico con licencia vigente para una jurisdicciσn especνfica solicita a la Autoridad Marνtima Nacional dejar de ejercer la actividad de practicaje en la jurisdicciσn para la cual se encuentra licenciado, con el fin de ejercer el practicaje en otra jurisdicciσn especνfica.</w:t>
      </w:r>
    </w:p>
    <w:p>
      <w:pPr>
        <w:jc w:val="both"/>
      </w:pPr>
      <w:rPr>
        <w:sz w:val="24"/>
        <w:color w:val="black"/>
      </w:rPr>
    </w:p>
    <w:p>
      <w:pPr>
        <w:jc w:val="both"/>
      </w:pPr>
      <w:r>
        <w:rPr>
          <w:rFonts w:hAnsi="Arial"/>
          <w:rFonts w:ascii="Arial"/>
          <w:sz w:val="24"/>
          <w:color w:val="black"/>
        </w:rPr>
        <w:t xml:space="preserve">4. Clasificaciσn de aptitud psicofνsica. Es la realizada por la Autoridad Marνtima con base en los resultados de los exαmenes mιdicos y la prueba fνsica.</w:t>
      </w:r>
    </w:p>
    <w:p>
      <w:pPr>
        <w:jc w:val="both"/>
      </w:pPr>
      <w:rPr>
        <w:sz w:val="24"/>
        <w:color w:val="black"/>
      </w:rPr>
    </w:p>
    <w:p>
      <w:pPr>
        <w:jc w:val="both"/>
      </w:pPr>
      <w:r>
        <w:rPr>
          <w:rFonts w:hAnsi="Arial"/>
          <w:rFonts w:ascii="Arial"/>
          <w:sz w:val="24"/>
          <w:color w:val="black"/>
        </w:rPr>
        <w:t xml:space="preserve">5. Examen de inglιs. Es la prueba que se efectϊa al aspirante a piloto prαctico, y al piloto prαctico calificado, sobre dominio del idioma inglιs y sobre su conocimiento y comprensiσn del vocabulario y frases normalizadas de la Organizaciσn Marνtima Internacional, OMI, la cual debe ser realizada por un Centro o Instituto especializado y reconocido por la Autoridad Marνtima Nacional.</w:t>
      </w:r>
    </w:p>
    <w:p>
      <w:pPr>
        <w:jc w:val="both"/>
      </w:pPr>
      <w:rPr>
        <w:color w:val="black"/>
      </w:rPr>
    </w:p>
    <w:p>
      <w:pPr>
        <w:jc w:val="both"/>
      </w:pPr>
      <w:r>
        <w:rPr>
          <w:rFonts w:hAnsi="Arial"/>
          <w:rFonts w:ascii="Arial"/>
          <w:sz w:val="24"/>
          <w:color w:val="black"/>
        </w:rPr>
        <w:t xml:space="preserve">6. Lancha de prαctico. Es la embarcaciσn debidamente registrada y matriculada ante la Autoridad Marνtima, destinada a apoyar la maniobra durante el embarque y desembarque del piloto prαctico, que cumple con las caracterνsticas establecidas en las normas internacionales y nacionales.</w:t>
      </w:r>
    </w:p>
    <w:p>
      <w:pPr>
        <w:jc w:val="both"/>
      </w:pPr>
      <w:rPr>
        <w:sz w:val="24"/>
        <w:color w:val="black"/>
      </w:rPr>
    </w:p>
    <w:p>
      <w:pPr>
        <w:jc w:val="both"/>
      </w:pPr>
      <w:r>
        <w:rPr>
          <w:rFonts w:hAnsi="Arial"/>
          <w:rFonts w:ascii="Arial"/>
          <w:sz w:val="24"/>
          <w:color w:val="black"/>
        </w:rPr>
        <w:t xml:space="preserve">7. Perνodo de reposo. Es el perνodo de tiempo continuo, antes o despuιs del perνodo de servicio, durante el cual el piloto prαctico no estα disponible para efectuar el servicio pϊblico de practicaje.</w:t>
      </w:r>
    </w:p>
    <w:p>
      <w:pPr>
        <w:jc w:val="both"/>
      </w:pPr>
      <w:rPr>
        <w:sz w:val="24"/>
        <w:color w:val="black"/>
      </w:rPr>
    </w:p>
    <w:p>
      <w:pPr>
        <w:jc w:val="both"/>
      </w:pPr>
      <w:r>
        <w:rPr>
          <w:rFonts w:hAnsi="Arial"/>
          <w:rFonts w:ascii="Arial"/>
          <w:sz w:val="24"/>
          <w:color w:val="black"/>
        </w:rPr>
        <w:t xml:space="preserve">8. Perνodo de servicio. Es el tiempo continuo durante el cual el piloto prαctico estα a disposiciσn para realizar el servicio, entendido de la siguiente forma:</w:t>
      </w:r>
    </w:p>
    <w:p>
      <w:pPr>
        <w:jc w:val="both"/>
      </w:pPr>
      <w:rPr>
        <w:sz w:val="24"/>
        <w:color w:val="black"/>
      </w:rPr>
    </w:p>
    <w:p>
      <w:pPr>
        <w:jc w:val="both"/>
      </w:pPr>
      <w:r>
        <w:rPr>
          <w:rFonts w:hAnsi="Arial"/>
          <w:rFonts w:ascii="Arial"/>
          <w:sz w:val="24"/>
          <w:color w:val="black"/>
        </w:rPr>
        <w:t xml:space="preserve">a) Perνodo a bordo. Es el perνodo de tiempo durante el cual el piloto prαctico estarα prestando efectivamente el servicio a bordo de los buques;</w:t>
      </w:r>
    </w:p>
    <w:p>
      <w:pPr>
        <w:jc w:val="both"/>
      </w:pPr>
      <w:rPr>
        <w:sz w:val="24"/>
        <w:color w:val="black"/>
      </w:rPr>
    </w:p>
    <w:p>
      <w:pPr>
        <w:jc w:val="both"/>
      </w:pPr>
      <w:r>
        <w:rPr>
          <w:rFonts w:hAnsi="Arial"/>
          <w:rFonts w:ascii="Arial"/>
          <w:sz w:val="24"/>
          <w:color w:val="black"/>
        </w:rPr>
        <w:t xml:space="preserve">b) Perνodo de sobre aviso o retιn. Es el perνodo de tiempo durante el cual el piloto no estα prestando efectivamente el servicio a bordo de los buques o de la lancha de pilotos.</w:t>
      </w:r>
    </w:p>
    <w:p>
      <w:pPr>
        <w:jc w:val="both"/>
      </w:pPr>
      <w:rPr>
        <w:sz w:val="24"/>
        <w:color w:val="black"/>
      </w:rPr>
    </w:p>
    <w:p>
      <w:pPr>
        <w:jc w:val="both"/>
      </w:pPr>
      <w:r>
        <w:rPr>
          <w:rFonts w:hAnsi="Arial"/>
          <w:rFonts w:ascii="Arial"/>
          <w:sz w:val="24"/>
          <w:color w:val="black"/>
        </w:rPr>
        <w:t xml:space="preserve">9. Piloto prαctico no formal. Es el piloto prαctico particular con conocimientos y prαctica en navegaciσn y maniobras de practicaje, el cual sσlo puede desempeρarse en las zonas especiales de practicaje determinadas por la Autoridad Marνtima.</w:t>
      </w:r>
    </w:p>
    <w:p>
      <w:pPr>
        <w:jc w:val="both"/>
      </w:pPr>
      <w:rPr>
        <w:color w:val="black"/>
      </w:rPr>
    </w:p>
    <w:p>
      <w:pPr>
        <w:jc w:val="both"/>
      </w:pPr>
      <w:r>
        <w:rPr>
          <w:rFonts w:hAnsi="Arial"/>
          <w:rFonts w:ascii="Arial"/>
          <w:sz w:val="24"/>
          <w:color w:val="black"/>
        </w:rPr>
        <w:t xml:space="preserve">10. Prueba fνsica. Es el examen fνsico que determina las capacidades y condiciones especiales para la prestaciσn del servicio y aquellas que pueden afectar la seguridad personal del piloto prαctico y de las demαs personas ante una emergencia. La prueba se presentarα en las entidades determinadas por la Direcciσn General Marνtima, para tal fin.</w:t>
      </w:r>
    </w:p>
    <w:p>
      <w:pPr>
        <w:jc w:val="both"/>
      </w:pPr>
      <w:rPr>
        <w:color w:val="black"/>
      </w:rPr>
    </w:p>
    <w:p>
      <w:pPr>
        <w:jc w:val="both"/>
      </w:pPr>
      <w:r>
        <w:rPr>
          <w:rFonts w:hAnsi="Arial"/>
          <w:rFonts w:ascii="Arial"/>
          <w:sz w:val="24"/>
          <w:color w:val="black"/>
        </w:rPr>
        <w:t xml:space="preserve">11. Servicio de practicaje. Es el conjunto de actividades de asesorνa al Capitαn de un buque, debidas al experto conocimiento de las particularidades locales y cualquier clase de maniobra con embarcaciones, en las aguas restringidas de un puerto o αrea marνtima y fluvial de practicaje, con el fin de asegurar unos niveles σptimos en la gestiσn de los riesgos involucrados de la navegaciσn restringida incluyendo la necesidad de un juicio independiente de las presiones comerciales inherentes al transporte marνtimo y asν asegurar la protecciσn de vidas, bienes y medio ambiente. Estα constituido por el Piloto Prαctico, la lancha de Prαctico, la estaciσn de Pilotos y el servicio de amarre.</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23" w:name="2.4.1.2.1.2"/>
      <w:r>
        <w:rPr>
          <w:rFonts w:hAnsi="Arial"/>
          <w:rFonts w:ascii="Arial"/>
          <w:sz w:val="24"/>
          <w:color w:val="navy"/>
        </w:rPr>
        <w:t xml:space="preserve">ARTΝCULO 2.4.1.2.1.2. </w:t>
      </w:r>
      <w:r>
        <w:rPr>
          <w:rFonts w:hAnsi="Arial"/>
          <w:rFonts w:ascii="Arial"/>
          <w:sz w:val="24"/>
          <w:i/>
          <w:color w:val="navy"/>
        </w:rPr>
        <w:t xml:space="preserve">ΑREAS DE PRACTICAJE.</w:t>
      </w:r>
      <w:bookmarkEnd w:id="61523"/>
      <w:r>
        <w:rPr>
          <w:rFonts w:hAnsi="Arial"/>
          <w:rFonts w:ascii="Arial"/>
          <w:sz w:val="24"/>
          <w:b/>
          <w:i/>
          <w:color w:val="black"/>
        </w:rPr>
        <w:t xml:space="preserve"> </w:t>
      </w:r>
      <w:r>
        <w:rPr>
          <w:rFonts w:hAnsi="Arial"/>
          <w:rFonts w:ascii="Arial"/>
          <w:sz w:val="24"/>
          <w:color w:val="black"/>
        </w:rPr>
        <w:t xml:space="preserve">La Autoridad Marνtima de acuerdo con sus competencias determinarα las αreas para el ejercicio del servicio pϊblico de practicaje, en las αreas marνtimas y fluviales de su jurisdicciσn.</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b/>
          <w:vanish/>
          <w:color w:val="black"/>
        </w:rPr>
        <w:t>&amp;$</w:t>
      </w:r>
      <w:bookmarkStart w:id="61524" w:name="2.4.1.2.1.3"/>
      <w:r>
        <w:rPr>
          <w:rFonts w:hAnsi="Arial"/>
          <w:rFonts w:ascii="Arial"/>
          <w:sz w:val="24"/>
          <w:color w:val="navy"/>
        </w:rPr>
        <w:t xml:space="preserve">ARTΝCULO 2.4.1.2.1.3. SERVICIO DE PRACTICAJE EN PROYECTOS QUE SE DESARROLLEN MEDIANTE ESQUEMA DE ASOCIACIΣN PΪBLICO-PRIVADA.</w:t>
      </w:r>
      <w:bookmarkEnd w:id="6152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"http://www.redjurista.com/document.aspx?ajcode=d0557022&amp;arts=1"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557 de 2022. El nuevo texto es el siguiente:&gt; En proyectos que se desarrollen mediante esquema de Asociaciσn Pϊblico-Privada relacionados con el mantenimiento y/o profundizaciσn de canales de acceso a puertos que impliquen el uso de equipos y actividades de dragado y exijan la participaciσn de piloto prαctico acorde a los mandatos legales, el responsable del proyecto deberα garantizar el desarrollo del servicio pϊblico de practicaje a bordo de las dragas.</w:t>
      </w:r>
    </w:p>
    <w:p>
      <w:pPr>
        <w:jc w:val="both"/>
      </w:pPr>
      <w:rPr>
        <w:sz w:val="24"/>
        <w:b/>
        <w:color w:val="black"/>
      </w:rPr>
    </w:p>
    <w:p>
      <w:pPr>
        <w:jc w:val="both"/>
      </w:pPr>
      <w:r>
        <w:rPr>
          <w:rFonts w:hAnsi="Arial"/>
          <w:rFonts w:ascii="Arial"/>
          <w:sz w:val="24"/>
          <w:color w:val="black"/>
        </w:rPr>
        <w:t xml:space="preserve">El responsable del proyecto podrα contratar directamente a uno o varios pilotos prαcticos como personas naturales, o a travιs de una empresa de practicaje, para lo cual, se deberα solicitar el servicio por las personas designadas por la ley.</w:t>
      </w:r>
    </w:p>
    <w:p>
      <w:pPr>
        <w:jc w:val="both"/>
      </w:pPr>
      <w:rPr>
        <w:sz w:val="24"/>
        <w:b/>
        <w:color w:val="black"/>
      </w:rPr>
    </w:p>
    <w:p>
      <w:pPr>
        <w:jc w:val="both"/>
      </w:pPr>
      <w:r>
        <w:rPr>
          <w:rFonts w:hAnsi="Arial"/>
          <w:rFonts w:ascii="Arial"/>
          <w:sz w:val="24"/>
          <w:color w:val="black"/>
        </w:rPr>
        <w:t xml:space="preserve">Para lo anterior, la Autoridad Marνtima Nacional verificarα la idoneidad de las personas naturales a travιs de su licencia de practicaje.</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responsable del proyecto podrα disponer o contratar el transporte de estos asesores con el cumplimiento de los requerimientos tιcnicos y de ley para este tipo de traslados.</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Se podrα autorizar a un piloto prαctico para desempeρarse en una jurisdicciσn diferente de aquella en la que ordinariamente desarrolla su actividad, siempre que cuenten con la autorizaciσn de la Autoridad Marνtima Nacional y se cumplan los mandatos legales.</w:t>
      </w:r>
    </w:p>
    <w:p>
      <w:pPr>
        <w:jc w:val="both"/>
      </w:pPr>
      <w:rPr>
        <w:sz w:val="24"/>
        <w:color w:val="black"/>
      </w:rPr>
    </w:p>
    <w:p>
      <w:pPr>
        <w:jc w:val="center"/>
      </w:pPr>
      <w:r>
        <w:rPr>
          <w:rFonts w:hAnsi="Arial"/>
          <w:rFonts w:ascii="Arial"/>
          <w:sz w:val="24"/>
          <w:vanish/>
          <w:color w:val="black"/>
        </w:rPr>
        <w:t>&amp;$</w:t>
      </w:r>
      <w:bookmarkStart w:id="61525" w:name="SECCIÓN 2.4.1.2.2"/>
      <w:r>
        <w:rPr>
          <w:rFonts w:hAnsi="Arial"/>
          <w:rFonts w:ascii="Arial"/>
          <w:sz w:val="24"/>
          <w:color w:val="navy"/>
        </w:rPr>
        <w:t xml:space="preserve">SECCIΣN 2. </w:t>
      </w:r>
    </w:p>
    <w:p>
      <w:pPr>
        <w:jc w:val="center"/>
      </w:pPr>
      <w:r>
        <w:rPr>
          <w:rFonts w:hAnsi="Arial"/>
          <w:rFonts w:ascii="Arial"/>
          <w:sz w:val="24"/>
          <w:color w:val="navy"/>
        </w:rPr>
        <w:t xml:space="preserve">DE LOS PILOTOS PRΑCTICOS.</w:t>
      </w:r>
      <w:bookmarkEnd w:id="6152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26" w:name="2.4.1.2.2.1"/>
      <w:r>
        <w:rPr>
          <w:rFonts w:hAnsi="Arial"/>
          <w:rFonts w:ascii="Arial"/>
          <w:sz w:val="24"/>
          <w:color w:val="navy"/>
        </w:rPr>
        <w:t xml:space="preserve">ARTΝCULO 2.4.1.2.2.1. </w:t>
      </w:r>
      <w:r>
        <w:rPr>
          <w:rFonts w:hAnsi="Arial"/>
          <w:rFonts w:ascii="Arial"/>
          <w:sz w:val="24"/>
          <w:i/>
          <w:color w:val="navy"/>
        </w:rPr>
        <w:t xml:space="preserve">APTITUD SICOFΝSICA DEL PILOTO PRΑCTICO.</w:t>
      </w:r>
      <w:bookmarkEnd w:id="61526"/>
      <w:r>
        <w:rPr>
          <w:rFonts w:hAnsi="Arial"/>
          <w:rFonts w:ascii="Arial"/>
          <w:sz w:val="24"/>
          <w:b/>
          <w:i/>
          <w:color w:val="black"/>
        </w:rPr>
        <w:t xml:space="preserve"> </w:t>
      </w:r>
      <w:r>
        <w:rPr>
          <w:rFonts w:hAnsi="Arial"/>
          <w:rFonts w:ascii="Arial"/>
          <w:sz w:val="24"/>
          <w:color w:val="black"/>
        </w:rPr>
        <w:t xml:space="preserve">La certificaciσn de aptitud psicofνsica es una condiciσn esencial para la expediciσn de la licencia de practicaje, razσn por la cual todos los pilotos prαcticos deberαn presentar anualmente los exαmenes que acrediten su aptitud y sus condiciones psicofνsicas, en los formatos determinados para tal fin por la Autoridad Marνtima Nacional.</w:t>
      </w:r>
    </w:p>
    <w:p>
      <w:pPr>
        <w:jc w:val="both"/>
      </w:pPr>
      <w:rPr>
        <w:sz w:val="24"/>
        <w:color w:val="black"/>
      </w:rPr>
    </w:p>
    <w:p>
      <w:pPr>
        <w:jc w:val="both"/>
      </w:pPr>
      <w:r>
        <w:rPr>
          <w:rFonts w:hAnsi="Arial"/>
          <w:rFonts w:ascii="Arial"/>
          <w:sz w:val="24"/>
          <w:color w:val="black"/>
        </w:rPr>
        <w:t xml:space="preserve">La certificaciσn de la aptitud psicofνsica del piloto prαctico deberα ser emitida por el centro asistencial en que se realicen los exαmenes con base en el resultado de los mismos.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exαmenes mιdicos deben ser realizados por un centro asistencial de nivel 3 en atenciσn de salud, acreditado ante el Ministerio de Salud y Protecciσn Social, de acuerdo al formato de evaluaciσn determinado por la Autoridad Marνtima Nacional.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Todo mιdico que efectϊe el examen, deberα conocer y observar los parαmetros y utilizar el formato de acuerdo a lo establecido por la Autoridad Marνtima Nacional.</w:t>
      </w:r>
    </w:p>
    <w:p>
      <w:pPr>
        <w:jc w:val="both"/>
      </w:pPr>
      <w:rPr>
        <w:sz w:val="24"/>
        <w:color w:val="black"/>
      </w:rPr>
    </w:p>
    <w:p>
      <w:pPr>
        <w:jc w:val="both"/>
      </w:pPr>
      <w:r>
        <w:rPr>
          <w:rFonts w:hAnsi="Arial"/>
          <w:rFonts w:ascii="Arial"/>
          <w:sz w:val="24"/>
          <w:color w:val="black"/>
        </w:rPr>
        <w:t xml:space="preserve">La certificaciσn debe ir firmada por cada uno de los especialistas intervinientes en el examen y junto a la firma se debe anotar el nϊmero de registro mιdico.</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La no presentaciσn de la certificaciσn en la fecha debida harα presumir la pιrdida de las condiciones necesarias y la Autoridad Marνtima asν lo declararα mediante acto administrativo debidamente motivado.</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En el caso de que un piloto prαctico sufra una herida o enfermedad grave que le impida el desempeρo de la actividad de practicaje, deberα presentar nuevamente el examen mιdico, asν como la prueba fνsica, con el fin de que le sea certificada su aptitud.</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27" w:name="2.4.1.2.2.2"/>
      <w:r>
        <w:rPr>
          <w:rFonts w:hAnsi="Arial"/>
          <w:rFonts w:ascii="Arial"/>
          <w:sz w:val="24"/>
          <w:color w:val="navy"/>
        </w:rPr>
        <w:t xml:space="preserve">ARTΝCULO 2.4.1.2.2.2. </w:t>
      </w:r>
      <w:r>
        <w:rPr>
          <w:rFonts w:hAnsi="Arial"/>
          <w:rFonts w:ascii="Arial"/>
          <w:sz w:val="24"/>
          <w:i/>
          <w:color w:val="navy"/>
        </w:rPr>
        <w:t xml:space="preserve">PILOTO PRΑCTICO NO FORMAL.</w:t>
      </w:r>
      <w:bookmarkEnd w:id="61527"/>
      <w:r>
        <w:rPr>
          <w:rFonts w:hAnsi="Arial"/>
          <w:rFonts w:ascii="Arial"/>
          <w:sz w:val="24"/>
          <w:b/>
          <w:i/>
          <w:color w:val="black"/>
        </w:rPr>
        <w:t xml:space="preserve"> </w:t>
      </w:r>
      <w:r>
        <w:rPr>
          <w:rFonts w:hAnsi="Arial"/>
          <w:rFonts w:ascii="Arial"/>
          <w:sz w:val="24"/>
          <w:color w:val="black"/>
        </w:rPr>
        <w:t xml:space="preserve">Para obtener licencia como piloto prαctico no formal deberα cumplir los siguientes requisitos:</w:t>
      </w:r>
    </w:p>
    <w:p>
      <w:pPr>
        <w:jc w:val="both"/>
      </w:pPr>
      <w:rPr>
        <w:sz w:val="24"/>
        <w:color w:val="black"/>
      </w:rPr>
    </w:p>
    <w:p>
      <w:pPr>
        <w:jc w:val="both"/>
      </w:pPr>
      <w:r>
        <w:rPr>
          <w:rFonts w:hAnsi="Arial"/>
          <w:rFonts w:ascii="Arial"/>
          <w:sz w:val="24"/>
          <w:color w:val="black"/>
        </w:rPr>
        <w:t xml:space="preserve">1. Ser un residente del αrea.</w:t>
      </w:r>
    </w:p>
    <w:p>
      <w:pPr>
        <w:jc w:val="both"/>
      </w:pPr>
      <w:rPr>
        <w:sz w:val="24"/>
        <w:color w:val="black"/>
      </w:rPr>
    </w:p>
    <w:p>
      <w:pPr>
        <w:jc w:val="both"/>
      </w:pPr>
      <w:r>
        <w:rPr>
          <w:rFonts w:hAnsi="Arial"/>
          <w:rFonts w:ascii="Arial"/>
          <w:sz w:val="24"/>
          <w:color w:val="black"/>
        </w:rPr>
        <w:t xml:space="preserve">2. Examen mιdico.</w:t>
      </w:r>
    </w:p>
    <w:p>
      <w:pPr>
        <w:jc w:val="both"/>
      </w:pPr>
      <w:rPr>
        <w:sz w:val="24"/>
        <w:color w:val="black"/>
      </w:rPr>
    </w:p>
    <w:p>
      <w:pPr>
        <w:jc w:val="both"/>
      </w:pPr>
      <w:r>
        <w:rPr>
          <w:rFonts w:hAnsi="Arial"/>
          <w:rFonts w:ascii="Arial"/>
          <w:sz w:val="24"/>
          <w:color w:val="black"/>
        </w:rPr>
        <w:t xml:space="preserve">3. Prueba fνsica.</w:t>
      </w:r>
    </w:p>
    <w:p>
      <w:pPr>
        <w:jc w:val="both"/>
      </w:pPr>
      <w:rPr>
        <w:sz w:val="24"/>
        <w:color w:val="black"/>
      </w:rPr>
    </w:p>
    <w:p>
      <w:pPr>
        <w:jc w:val="both"/>
      </w:pPr>
      <w:r>
        <w:rPr>
          <w:rFonts w:hAnsi="Arial"/>
          <w:rFonts w:ascii="Arial"/>
          <w:sz w:val="24"/>
          <w:color w:val="black"/>
        </w:rPr>
        <w:t xml:space="preserve">4. Examen prαctico en el que se demuestre el conocimiento del αrea especνfica de navegaciσn.</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licencia que acredita a una persona como piloto prαctico particular no formal, se expedirα por la Autoridad Marνtima Nacional solamente en los casos que se requiera garantizar la seguridad de la navegaciσn y el desarrollo de las comunidades locales.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persona con licencia de piloto prαctico particular no formal solo podrα ejercer la actividad en el αrea especνfica.</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Los pilotos prαcticos no formales, que tengan licencia vigente, para cambio de categorνa, deberαn cumplir los requisitos seρalados en la Ley </w:t>
      </w:r>
      <w:r>
        <w:fldChar w:fldCharType="begin"/>
      </w:r>
      <w:r>
        <w:instrText>HYPERLINK "http://www.redjurista.com/document.aspx?ajcode=l0658001&amp;arts=INICIO"</w:instrText>
      </w:r>
      <w:r>
        <w:fldChar w:fldCharType="separate"/>
      </w:r>
      <w:r>
        <w:rPr>
          <w:rFonts w:hAnsi="Arial"/>
          <w:rFonts w:ascii="Arial"/>
          <w:sz w:val="24"/>
          <w:u w:val="single"/>
          <w:color w:val="black"/>
        </w:rPr>
        <w:t>658</w:t>
      </w:r>
      <w:r>
        <w:fldChar w:fldCharType="end"/>
      </w:r>
      <w:r>
        <w:rPr>
          <w:rFonts w:hAnsi="Arial"/>
          <w:rFonts w:ascii="Arial"/>
          <w:sz w:val="24"/>
          <w:u w:val="none"/>
          <w:color w:val="black"/>
        </w:rPr>
        <w:t xml:space="preserve"> de 2001 y en el presente Capνtulo.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528" w:name="SECCIÓN 2.4.1.2.3"/>
      <w:r>
        <w:rPr>
          <w:rFonts w:hAnsi="Arial"/>
          <w:rFonts w:ascii="Arial"/>
          <w:sz w:val="24"/>
          <w:color w:val="navy"/>
        </w:rPr>
        <w:t xml:space="preserve">SECCIΣN 3. </w:t>
      </w:r>
    </w:p>
    <w:p>
      <w:pPr>
        <w:jc w:val="center"/>
      </w:pPr>
      <w:r>
        <w:rPr>
          <w:rFonts w:hAnsi="Arial"/>
          <w:rFonts w:ascii="Arial"/>
          <w:sz w:val="24"/>
          <w:color w:val="navy"/>
        </w:rPr>
        <w:t xml:space="preserve">DE LAS LICENCIAS.</w:t>
      </w:r>
      <w:bookmarkEnd w:id="6152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29" w:name="2.4.1.2.3.1"/>
      <w:r>
        <w:rPr>
          <w:rFonts w:hAnsi="Arial"/>
          <w:rFonts w:ascii="Arial"/>
          <w:sz w:val="24"/>
          <w:color w:val="navy"/>
        </w:rPr>
        <w:t xml:space="preserve">ARTΝCULO 2.4.1.2.3.1. </w:t>
      </w:r>
      <w:r>
        <w:rPr>
          <w:rFonts w:hAnsi="Arial"/>
          <w:rFonts w:ascii="Arial"/>
          <w:sz w:val="24"/>
          <w:i/>
          <w:color w:val="navy"/>
        </w:rPr>
        <w:t xml:space="preserve">RENOVACIΣN DE LA LICENCIA.</w:t>
      </w:r>
      <w:bookmarkEnd w:id="61529"/>
      <w:r>
        <w:rPr>
          <w:rFonts w:hAnsi="Arial"/>
          <w:rFonts w:ascii="Arial"/>
          <w:sz w:val="24"/>
          <w:b/>
          <w:i/>
          <w:color w:val="black"/>
        </w:rPr>
        <w:t xml:space="preserve"> </w:t>
      </w:r>
      <w:r>
        <w:rPr>
          <w:rFonts w:hAnsi="Arial"/>
          <w:rFonts w:ascii="Arial"/>
          <w:sz w:val="24"/>
          <w:color w:val="black"/>
        </w:rPr>
        <w:t xml:space="preserve">Para la renovaciσn de la licencia de piloto prαctico en la misma categorνa, el interesado deberα diligenciar el formato correspondiente anexando:</w:t>
      </w:r>
    </w:p>
    <w:p>
      <w:pPr>
        <w:jc w:val="both"/>
      </w:pPr>
      <w:rPr>
        <w:sz w:val="24"/>
        <w:color w:val="black"/>
      </w:rPr>
    </w:p>
    <w:p>
      <w:pPr>
        <w:jc w:val="both"/>
      </w:pPr>
      <w:r>
        <w:rPr>
          <w:rFonts w:hAnsi="Arial"/>
          <w:rFonts w:ascii="Arial"/>
          <w:sz w:val="24"/>
          <w:color w:val="black"/>
        </w:rPr>
        <w:t xml:space="preserve">1. Examen mιdico.</w:t>
      </w:r>
    </w:p>
    <w:p>
      <w:pPr>
        <w:jc w:val="both"/>
      </w:pPr>
      <w:rPr>
        <w:sz w:val="24"/>
        <w:color w:val="black"/>
      </w:rPr>
    </w:p>
    <w:p>
      <w:pPr>
        <w:jc w:val="both"/>
      </w:pPr>
      <w:r>
        <w:rPr>
          <w:rFonts w:hAnsi="Arial"/>
          <w:rFonts w:ascii="Arial"/>
          <w:sz w:val="24"/>
          <w:color w:val="black"/>
        </w:rPr>
        <w:t xml:space="preserve">2. Prueba fνsica.</w:t>
      </w:r>
    </w:p>
    <w:p>
      <w:pPr>
        <w:jc w:val="both"/>
      </w:pPr>
      <w:rPr>
        <w:sz w:val="24"/>
        <w:color w:val="black"/>
      </w:rPr>
    </w:p>
    <w:p>
      <w:pPr>
        <w:jc w:val="both"/>
      </w:pPr>
      <w:r>
        <w:rPr>
          <w:rFonts w:hAnsi="Arial"/>
          <w:rFonts w:ascii="Arial"/>
          <w:sz w:val="24"/>
          <w:color w:val="black"/>
        </w:rPr>
        <w:t xml:space="preserve">3. Certificado expedido por la Capitanνa de Puerto en el cual conste la ejecuciσn de, por lo menos, veinticinco (25) maniobras diurnas y veinticinco (25) maniobras nocturnas en el aρo anterior excepto para los puertos de Tumaco, Coveρas, San Andrιs y Puerto Bolνvar, cuyo nϊmero de maniobras serα fijado por la Autoridad Marνtima Nacional.</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w:t>
      </w:r>
    </w:p>
    <w:p>
      <w:pPr>
        <w:jc w:val="both"/>
      </w:pPr>
      <w:rPr>
        <w:sz w:val="24"/>
        <w:color w:val="black"/>
      </w:rPr>
    </w:p>
    <w:p>
      <w:pPr>
        <w:jc w:val="both"/>
      </w:pPr>
      <w:r>
        <w:rPr>
          <w:rFonts w:hAnsi="Arial"/>
          <w:rFonts w:ascii="Arial"/>
          <w:sz w:val="24"/>
          <w:color w:val="black"/>
        </w:rPr>
        <w:t xml:space="preserve">4. Allegar certificado de la Capitanνa de Puerto, en el que conste su desempeρo como piloto prαctico.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Autoridad Marνtima Nacional podrα cambiar el nϊmero de maniobras para cada puerto con base a las necesidades, trαfico y dinαmica del transporte marνtimo.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30" w:name="2.4.1.2.3.2"/>
      <w:r>
        <w:rPr>
          <w:rFonts w:hAnsi="Arial"/>
          <w:rFonts w:ascii="Arial"/>
          <w:sz w:val="24"/>
          <w:color w:val="navy"/>
        </w:rPr>
        <w:t xml:space="preserve">ARTΝCULO 2.4.1.2.3.2. </w:t>
      </w:r>
      <w:r>
        <w:rPr>
          <w:rFonts w:hAnsi="Arial"/>
          <w:rFonts w:ascii="Arial"/>
          <w:sz w:val="24"/>
          <w:i/>
          <w:color w:val="navy"/>
        </w:rPr>
        <w:t xml:space="preserve">TRΑMITE EXTEMPORΑNEO DE RENOVACIΣN DE LA LICENCIA DE PILOTO PRΑCTICO.</w:t>
      </w:r>
      <w:bookmarkEnd w:id="61530"/>
      <w:r>
        <w:rPr>
          <w:rFonts w:hAnsi="Arial"/>
          <w:rFonts w:ascii="Arial"/>
          <w:sz w:val="24"/>
          <w:b/>
          <w:i/>
          <w:color w:val="black"/>
        </w:rPr>
        <w:t xml:space="preserve"> </w:t>
      </w:r>
      <w:r>
        <w:rPr>
          <w:rFonts w:hAnsi="Arial"/>
          <w:rFonts w:ascii="Arial"/>
          <w:sz w:val="24"/>
          <w:color w:val="black"/>
        </w:rPr>
        <w:t xml:space="preserve">El piloto prαctico que solicite renovar su licencia fuera del tιrmino establecido en el artνculo </w:t>
      </w:r>
      <w:r>
        <w:fldChar w:fldCharType="begin"/>
      </w:r>
      <w:r>
        <w:instrText>HYPERLINK "http://www.redjurista.com/document.aspx?ajcode=l0658001&amp;arts=28"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658 de 2001, se le expedirα una nueva siempre y cuando acredite los requisitos establecidos para obtener una similar en la categorνa que ostentaba y no haya incurrido en inactividad por mαs de 12 meses contados a partir de la ϊltima maniobra certificada por la Capitanνa de Puerto, en vigencia de la licencia.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piloto prαctico que solicite la renovaciσn fuera del tιrmino establecido e incurra en una inactividad mayor a 12 meses contados a partir de la ϊltima maniobra certificada por la Capitanνa de Puerto, en vigencia de la licencia, deberα cumplir los requisitos establecidos en el numeral 1 del artνculo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w:t>
      </w:r>
    </w:p>
    <w:p>
      <w:pPr>
        <w:jc w:val="both"/>
      </w:pPr>
      <w:rPr>
        <w:sz w:val="24"/>
        <w:color w:val="black"/>
      </w:rPr>
    </w:p>
    <w:p>
      <w:pPr>
        <w:jc w:val="both"/>
      </w:pPr>
      <w:r>
        <w:rPr>
          <w:rFonts w:hAnsi="Arial"/>
          <w:rFonts w:ascii="Arial"/>
          <w:sz w:val="24"/>
          <w:i/>
          <w:color w:val="black"/>
        </w:rPr>
        <w:t xml:space="preserve">(Decreto 3703 de 2007 artνculo </w:t>
      </w:r>
      <w:r>
        <w:fldChar w:fldCharType="begin"/>
      </w:r>
      <w:r>
        <w:instrText>HYPERLINK "http://www.redjurista.com/document.aspx?ajcode=d3703007&amp;arts=1"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31" w:name="2.4.1.2.3.3"/>
      <w:r>
        <w:rPr>
          <w:rFonts w:hAnsi="Arial"/>
          <w:rFonts w:ascii="Arial"/>
          <w:sz w:val="24"/>
          <w:color w:val="navy"/>
        </w:rPr>
        <w:t xml:space="preserve">ARTΝCULO 2.4.1.2.3.3. </w:t>
      </w:r>
      <w:r>
        <w:rPr>
          <w:rFonts w:hAnsi="Arial"/>
          <w:rFonts w:ascii="Arial"/>
          <w:sz w:val="24"/>
          <w:i/>
          <w:color w:val="navy"/>
        </w:rPr>
        <w:t xml:space="preserve">EXAMEN DE INGLΙS.</w:t>
      </w:r>
      <w:bookmarkEnd w:id="61531"/>
      <w:r>
        <w:rPr>
          <w:rFonts w:hAnsi="Arial"/>
          <w:rFonts w:ascii="Arial"/>
          <w:sz w:val="24"/>
          <w:b/>
          <w:i/>
          <w:color w:val="black"/>
        </w:rPr>
        <w:t xml:space="preserve"> </w:t>
      </w:r>
      <w:r>
        <w:rPr>
          <w:rFonts w:hAnsi="Arial"/>
          <w:rFonts w:ascii="Arial"/>
          <w:sz w:val="24"/>
          <w:color w:val="black"/>
        </w:rPr>
        <w:t xml:space="preserve">Todos los pilotos prαcticos con licencia vigente, deben presentar cada dos aρos un examen sobre dominio del idioma inglιs y su conocimiento y comprensiσn del vocabulario y frases normalizadas de la Organizaciσn Marνtima Internacional, OMI, el cual debe ser realizado por un Centro o Instituto Especializado y reconocido por la Autoridad Marνtima Nacional.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la presentaciσn de este primer examen de inglιs, los pilotos prαcticos tendrαn tres (3) oportunidades, debiendo alcanzar en la ϊltima prueba el porcentaje del 80%.</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532" w:name="SECCIÓN 2.4.1.2.4"/>
      <w:r>
        <w:rPr>
          <w:rFonts w:hAnsi="Arial"/>
          <w:rFonts w:ascii="Arial"/>
          <w:sz w:val="24"/>
          <w:color w:val="navy"/>
        </w:rPr>
        <w:t xml:space="preserve">SECCIΣN 4. </w:t>
      </w:r>
    </w:p>
    <w:p>
      <w:pPr>
        <w:jc w:val="center"/>
      </w:pPr>
      <w:r>
        <w:rPr>
          <w:rFonts w:hAnsi="Arial"/>
          <w:rFonts w:ascii="Arial"/>
          <w:sz w:val="24"/>
          <w:color w:val="navy"/>
        </w:rPr>
        <w:t xml:space="preserve">DEL PROCESO DE SELECCIΣN.</w:t>
      </w:r>
      <w:bookmarkEnd w:id="6153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33" w:name="2.4.1.2.4.1"/>
      <w:r>
        <w:rPr>
          <w:rFonts w:hAnsi="Arial"/>
          <w:rFonts w:ascii="Arial"/>
          <w:sz w:val="24"/>
          <w:color w:val="navy"/>
        </w:rPr>
        <w:t xml:space="preserve">ARTΝCULO 2.4.1.2.4.1. </w:t>
      </w:r>
      <w:r>
        <w:rPr>
          <w:rFonts w:hAnsi="Arial"/>
          <w:rFonts w:ascii="Arial"/>
          <w:sz w:val="24"/>
          <w:i/>
          <w:color w:val="navy"/>
        </w:rPr>
        <w:t>CONVOCATORIAS.</w:t>
      </w:r>
      <w:bookmarkEnd w:id="61533"/>
      <w:r>
        <w:rPr>
          <w:rFonts w:hAnsi="Arial"/>
          <w:rFonts w:ascii="Arial"/>
          <w:sz w:val="24"/>
          <w:b/>
          <w:i/>
          <w:color w:val="black"/>
        </w:rPr>
        <w:t xml:space="preserve"> </w:t>
      </w:r>
      <w:r>
        <w:rPr>
          <w:rFonts w:hAnsi="Arial"/>
          <w:rFonts w:ascii="Arial"/>
          <w:sz w:val="24"/>
          <w:color w:val="black"/>
        </w:rPr>
        <w:t xml:space="preserve">La Autoridad Marνtima Nacional recibirα solicitudes para entrenamiento de aspirantes a piloto prαctico, dentro de los 10 primeros dνas hαbiles de enero, mayo y septiembre de cada aρo.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"http://www.redjurista.com/document.aspx?ajcode=d3703007&amp;arts=2"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3703 de 2007)</w:t>
      </w:r>
    </w:p>
    <w:p>
      <w:pPr>
        <w:jc w:val="both"/>
      </w:pPr>
      <w:rPr>
        <w:sz w:val="24"/>
        <w:color w:val="black"/>
      </w:rPr>
    </w:p>
    <w:p>
      <w:pPr>
        <w:jc w:val="both"/>
      </w:pPr>
      <w:r>
        <w:rPr>
          <w:rFonts w:hAnsi="Arial"/>
          <w:rFonts w:ascii="Arial"/>
          <w:sz w:val="24"/>
          <w:vanish/>
          <w:color w:val="black"/>
        </w:rPr>
        <w:t>&amp;$</w:t>
      </w:r>
      <w:bookmarkStart w:id="61534" w:name="2.4.1.2.4.2"/>
      <w:r>
        <w:rPr>
          <w:rFonts w:hAnsi="Arial"/>
          <w:rFonts w:ascii="Arial"/>
          <w:sz w:val="24"/>
          <w:color w:val="navy"/>
        </w:rPr>
        <w:t xml:space="preserve">ARTΝCULO 2.4.1.2.4.2. </w:t>
      </w:r>
      <w:r>
        <w:rPr>
          <w:rFonts w:hAnsi="Arial"/>
          <w:rFonts w:ascii="Arial"/>
          <w:sz w:val="24"/>
          <w:i/>
          <w:color w:val="navy"/>
        </w:rPr>
        <w:t xml:space="preserve">PROCESO DE SELECCIΣN PARA ASPIRANTE A PILOTO PRΑCTICO.</w:t>
      </w:r>
      <w:bookmarkEnd w:id="61534"/>
      <w:r>
        <w:rPr>
          <w:rFonts w:hAnsi="Arial"/>
          <w:rFonts w:ascii="Arial"/>
          <w:sz w:val="24"/>
          <w:b/>
          <w:i/>
          <w:color w:val="black"/>
        </w:rPr>
        <w:t xml:space="preserve"> </w:t>
      </w:r>
      <w:r>
        <w:rPr>
          <w:rFonts w:hAnsi="Arial"/>
          <w:rFonts w:ascii="Arial"/>
          <w:sz w:val="24"/>
          <w:color w:val="black"/>
        </w:rPr>
        <w:t xml:space="preserve">Para ser admitidos al proceso de selecciσn los aspirantes a piloto prαctico deberαn haber cumplido con los requisitos seρalados en el artνculo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w:t>
      </w:r>
    </w:p>
    <w:p>
      <w:pPr>
        <w:jc w:val="both"/>
      </w:pPr>
      <w:rPr>
        <w:sz w:val="24"/>
        <w:color w:val="black"/>
      </w:rPr>
    </w:p>
    <w:p>
      <w:pPr>
        <w:jc w:val="both"/>
      </w:pPr>
      <w:r>
        <w:rPr>
          <w:rFonts w:hAnsi="Arial"/>
          <w:rFonts w:ascii="Arial"/>
          <w:sz w:val="24"/>
          <w:color w:val="black"/>
        </w:rPr>
        <w:t xml:space="preserve">El proceso de selecciσn para aspirantes a piloto prαctico constarα de las siguientes etapas:</w:t>
      </w:r>
    </w:p>
    <w:p>
      <w:pPr>
        <w:jc w:val="both"/>
      </w:pPr>
      <w:rPr>
        <w:sz w:val="24"/>
        <w:color w:val="black"/>
      </w:rPr>
    </w:p>
    <w:p>
      <w:pPr>
        <w:jc w:val="both"/>
      </w:pPr>
      <w:r>
        <w:rPr>
          <w:rFonts w:hAnsi="Arial"/>
          <w:rFonts w:ascii="Arial"/>
          <w:sz w:val="24"/>
          <w:color w:val="black"/>
        </w:rPr>
        <w:t xml:space="preserve">1. Para la evaluaciσn:</w:t>
      </w:r>
    </w:p>
    <w:p>
      <w:pPr>
        <w:jc w:val="both"/>
      </w:pPr>
      <w:rPr>
        <w:sz w:val="24"/>
        <w:color w:val="black"/>
      </w:rPr>
    </w:p>
    <w:p>
      <w:pPr>
        <w:jc w:val="both"/>
      </w:pPr>
      <w:r>
        <w:rPr>
          <w:rFonts w:hAnsi="Arial"/>
          <w:rFonts w:ascii="Arial"/>
          <w:sz w:val="24"/>
          <w:color w:val="black"/>
        </w:rPr>
        <w:t xml:space="preserve">a) Evaluaciσn de admisiσn;</w:t>
      </w:r>
    </w:p>
    <w:p>
      <w:pPr>
        <w:jc w:val="both"/>
      </w:pPr>
      <w:rPr>
        <w:sz w:val="24"/>
        <w:color w:val="black"/>
      </w:rPr>
    </w:p>
    <w:p>
      <w:pPr>
        <w:jc w:val="both"/>
      </w:pPr>
      <w:r>
        <w:rPr>
          <w:rFonts w:hAnsi="Arial"/>
          <w:rFonts w:ascii="Arial"/>
          <w:sz w:val="24"/>
          <w:color w:val="black"/>
        </w:rPr>
        <w:t xml:space="preserve">b) Examen mιdico y psicolσgico;</w:t>
      </w:r>
    </w:p>
    <w:p>
      <w:pPr>
        <w:jc w:val="both"/>
      </w:pPr>
      <w:rPr>
        <w:sz w:val="24"/>
        <w:color w:val="black"/>
      </w:rPr>
    </w:p>
    <w:p>
      <w:pPr>
        <w:jc w:val="both"/>
      </w:pPr>
      <w:r>
        <w:rPr>
          <w:rFonts w:hAnsi="Arial"/>
          <w:rFonts w:ascii="Arial"/>
          <w:sz w:val="24"/>
          <w:color w:val="black"/>
        </w:rPr>
        <w:t xml:space="preserve">c) Prueba fνsica;</w:t>
      </w:r>
    </w:p>
    <w:p>
      <w:pPr>
        <w:jc w:val="both"/>
      </w:pPr>
      <w:rPr>
        <w:sz w:val="24"/>
        <w:color w:val="black"/>
      </w:rPr>
    </w:p>
    <w:p>
      <w:pPr>
        <w:jc w:val="both"/>
      </w:pPr>
      <w:r>
        <w:rPr>
          <w:rFonts w:hAnsi="Arial"/>
          <w:rFonts w:ascii="Arial"/>
          <w:sz w:val="24"/>
          <w:color w:val="black"/>
        </w:rPr>
        <w:t xml:space="preserve">d) Examen de inglιs.</w:t>
      </w:r>
    </w:p>
    <w:p>
      <w:pPr>
        <w:jc w:val="both"/>
      </w:pPr>
      <w:rPr>
        <w:sz w:val="24"/>
        <w:color w:val="black"/>
      </w:rPr>
    </w:p>
    <w:p>
      <w:pPr>
        <w:jc w:val="both"/>
      </w:pPr>
      <w:r>
        <w:rPr>
          <w:rFonts w:hAnsi="Arial"/>
          <w:rFonts w:ascii="Arial"/>
          <w:sz w:val="24"/>
          <w:color w:val="black"/>
        </w:rPr>
        <w:t xml:space="preserve">2. Para entrenamiento:</w:t>
      </w:r>
    </w:p>
    <w:p>
      <w:pPr>
        <w:jc w:val="both"/>
      </w:pPr>
      <w:rPr>
        <w:sz w:val="24"/>
        <w:color w:val="black"/>
      </w:rPr>
    </w:p>
    <w:p>
      <w:pPr>
        <w:jc w:val="both"/>
      </w:pPr>
      <w:r>
        <w:rPr>
          <w:rFonts w:hAnsi="Arial"/>
          <w:rFonts w:ascii="Arial"/>
          <w:sz w:val="24"/>
          <w:color w:val="black"/>
        </w:rPr>
        <w:t xml:space="preserve">a) Maniobras de entrenamiento;</w:t>
      </w:r>
    </w:p>
    <w:p>
      <w:pPr>
        <w:jc w:val="both"/>
      </w:pPr>
      <w:rPr>
        <w:sz w:val="24"/>
        <w:color w:val="black"/>
      </w:rPr>
    </w:p>
    <w:p>
      <w:pPr>
        <w:jc w:val="both"/>
      </w:pPr>
      <w:r>
        <w:rPr>
          <w:rFonts w:hAnsi="Arial"/>
          <w:rFonts w:ascii="Arial"/>
          <w:sz w:val="24"/>
          <w:color w:val="black"/>
        </w:rPr>
        <w:t xml:space="preserve">b) Examen de competencia.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Cada etapa de evaluaciσn serα eliminatoria, y el haber aprobado la etapa es requisito indispensable para poder participar en la siguiente.</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aspirantes a piloto prαctico oficial estarαn sometidos al mismo proceso de selecciσn, salvo lo establecido respecto a la fecha de las convocatorias.</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35" w:name="2.4.1.2.4.3"/>
      <w:r>
        <w:rPr>
          <w:rFonts w:hAnsi="Arial"/>
          <w:rFonts w:ascii="Arial"/>
          <w:sz w:val="24"/>
          <w:color w:val="navy"/>
        </w:rPr>
        <w:t xml:space="preserve">ARTΝCULO 2.4.1.2.4.3. </w:t>
      </w:r>
      <w:r>
        <w:rPr>
          <w:rFonts w:hAnsi="Arial"/>
          <w:rFonts w:ascii="Arial"/>
          <w:sz w:val="24"/>
          <w:i/>
          <w:color w:val="navy"/>
        </w:rPr>
        <w:t xml:space="preserve">EVALUACIΣN DE ADMISIΣN.</w:t>
      </w:r>
      <w:bookmarkEnd w:id="61535"/>
      <w:r>
        <w:rPr>
          <w:rFonts w:hAnsi="Arial"/>
          <w:rFonts w:ascii="Arial"/>
          <w:sz w:val="24"/>
          <w:b/>
          <w:i/>
          <w:color w:val="black"/>
        </w:rPr>
        <w:t xml:space="preserve"> </w:t>
      </w:r>
      <w:r>
        <w:rPr>
          <w:rFonts w:hAnsi="Arial"/>
          <w:rFonts w:ascii="Arial"/>
          <w:sz w:val="24"/>
          <w:color w:val="black"/>
        </w:rPr>
        <w:t xml:space="preserve">La evaluaciσn de admisiσn comprenderα los siguientes temas:</w:t>
      </w:r>
    </w:p>
    <w:p>
      <w:pPr>
        <w:jc w:val="both"/>
      </w:pPr>
      <w:rPr>
        <w:sz w:val="24"/>
        <w:color w:val="black"/>
      </w:rPr>
    </w:p>
    <w:p>
      <w:pPr>
        <w:jc w:val="both"/>
      </w:pPr>
      <w:r>
        <w:rPr>
          <w:rFonts w:hAnsi="Arial"/>
          <w:rFonts w:ascii="Arial"/>
          <w:sz w:val="24"/>
          <w:color w:val="black"/>
        </w:rPr>
        <w:t xml:space="preserve">a) Reglamentaciσn marνtima nacional e internacional;</w:t>
      </w:r>
    </w:p>
    <w:p>
      <w:pPr>
        <w:jc w:val="both"/>
      </w:pPr>
      <w:rPr>
        <w:sz w:val="24"/>
        <w:color w:val="black"/>
      </w:rPr>
    </w:p>
    <w:p>
      <w:pPr>
        <w:jc w:val="both"/>
      </w:pPr>
      <w:r>
        <w:rPr>
          <w:rFonts w:hAnsi="Arial"/>
          <w:rFonts w:ascii="Arial"/>
          <w:sz w:val="24"/>
          <w:color w:val="black"/>
        </w:rPr>
        <w:t xml:space="preserve">b) Reglamento Internacional para Prevenir Abordajes-COLREG/72-incorporado a la legislaciσn nacional mediante Ley </w:t>
      </w:r>
      <w:r>
        <w:fldChar w:fldCharType="begin"/>
      </w:r>
      <w:r>
        <w:instrText>HYPERLINK "http://www.redjurista.com/document.aspx?ajcode=l0013_81&amp;arts=INICIO"</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1981;</w:t>
      </w:r>
    </w:p>
    <w:p>
      <w:pPr>
        <w:jc w:val="both"/>
      </w:pPr>
      <w:rPr>
        <w:sz w:val="24"/>
        <w:color w:val="black"/>
      </w:rPr>
    </w:p>
    <w:p>
      <w:pPr>
        <w:jc w:val="both"/>
      </w:pPr>
      <w:r>
        <w:rPr>
          <w:rFonts w:hAnsi="Arial"/>
          <w:rFonts w:ascii="Arial"/>
          <w:sz w:val="24"/>
          <w:color w:val="black"/>
        </w:rPr>
        <w:t xml:space="preserve">c) Maniobras de navegaciσn y</w:t>
      </w:r>
    </w:p>
    <w:p>
      <w:pPr>
        <w:jc w:val="both"/>
      </w:pPr>
      <w:rPr>
        <w:sz w:val="24"/>
        <w:color w:val="black"/>
      </w:rPr>
    </w:p>
    <w:p>
      <w:pPr>
        <w:jc w:val="both"/>
      </w:pPr>
      <w:r>
        <w:rPr>
          <w:rFonts w:hAnsi="Arial"/>
          <w:rFonts w:ascii="Arial"/>
          <w:sz w:val="24"/>
          <w:color w:val="black"/>
        </w:rPr>
        <w:t xml:space="preserve">d) Meteorologνa e hidrografνa.</w:t>
      </w:r>
    </w:p>
    <w:p>
      <w:pPr>
        <w:jc w:val="both"/>
      </w:pPr>
      <w:rPr>
        <w:sz w:val="24"/>
        <w:color w:val="black"/>
      </w:rPr>
    </w:p>
    <w:p>
      <w:pPr>
        <w:jc w:val="both"/>
      </w:pPr>
      <w:r>
        <w:rPr>
          <w:rFonts w:hAnsi="Arial"/>
          <w:rFonts w:ascii="Arial"/>
          <w:sz w:val="24"/>
          <w:color w:val="black"/>
        </w:rPr>
        <w:t xml:space="preserve">El examen tendrα carαcter eliminatorio y serα aprobado cuando se obtenga una puntuaciσn superior al 80%.</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36" w:name="2.4.1.2.4.4"/>
      <w:r>
        <w:rPr>
          <w:rFonts w:hAnsi="Arial"/>
          <w:rFonts w:ascii="Arial"/>
          <w:sz w:val="24"/>
          <w:color w:val="navy"/>
        </w:rPr>
        <w:t xml:space="preserve">ARTΝCULO 2.4.1.2.4.4. </w:t>
      </w:r>
      <w:r>
        <w:rPr>
          <w:rFonts w:hAnsi="Arial"/>
          <w:rFonts w:ascii="Arial"/>
          <w:sz w:val="24"/>
          <w:i/>
          <w:color w:val="navy"/>
        </w:rPr>
        <w:t xml:space="preserve">EXAMEN MΙDICO Y PSICOLΣGICO.</w:t>
      </w:r>
      <w:bookmarkEnd w:id="61536"/>
      <w:r>
        <w:rPr>
          <w:rFonts w:hAnsi="Arial"/>
          <w:rFonts w:ascii="Arial"/>
          <w:sz w:val="24"/>
          <w:b/>
          <w:i/>
          <w:color w:val="black"/>
        </w:rPr>
        <w:t xml:space="preserve"> </w:t>
      </w:r>
      <w:r>
        <w:rPr>
          <w:rFonts w:hAnsi="Arial"/>
          <w:rFonts w:ascii="Arial"/>
          <w:sz w:val="24"/>
          <w:color w:val="black"/>
        </w:rPr>
        <w:t xml:space="preserve">El aspirante a piloto prαctico de segunda categorνa, con el fin de comprobar su aptitud, deberα allegar los exαmenes mιdicos que determine la Autoridad Marνtima Nacional.</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certificaciones anteriores, deben haber sido expedidas por un centro asistencial de nivel 3 en atenciσn de salud, acreditado ante el Ministerio de Protecciσn Social, de acuerdo al formato de evaluaciσn determinado por la Autoridad Marνtima Nacional.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Todo mιdico que efectϊe el examen, deberα conocer y observar los parαmetros, determinados por la Autoridad Marνtima Nacional, para dar su evaluaciσn, debiendo utilizar el formato diseρado para tal fin.</w:t>
      </w:r>
    </w:p>
    <w:p>
      <w:pPr>
        <w:jc w:val="both"/>
      </w:pPr>
      <w:rPr>
        <w:sz w:val="24"/>
        <w:color w:val="black"/>
      </w:rPr>
    </w:p>
    <w:p>
      <w:pPr>
        <w:jc w:val="both"/>
      </w:pPr>
      <w:r>
        <w:rPr>
          <w:rFonts w:hAnsi="Arial"/>
          <w:rFonts w:ascii="Arial"/>
          <w:sz w:val="24"/>
          <w:color w:val="black"/>
        </w:rPr>
        <w:t xml:space="preserve">La certificaciσn debe ir firmada por cada uno de los especialistas intervinientes en el examen y junto a la firma se debe anotar el nϊmero de registro mιdico.</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El aspirante a piloto prαctico de segunda categorνa, que en sus exαmenes mιdicos presente condiciones de incapacidad fνsica para su desempeρo no podrα avanzar a la siguiente etapa de evaluaciσn.</w:t>
      </w:r>
    </w:p>
    <w:p>
      <w:pPr>
        <w:jc w:val="both"/>
      </w:pPr>
      <w:rPr>
        <w:sz w:val="24"/>
        <w:color w:val="black"/>
      </w:rPr>
    </w:p>
    <w:p>
      <w:pPr>
        <w:jc w:val="both"/>
      </w:pPr>
      <w:r>
        <w:rPr>
          <w:rFonts w:hAnsi="Arial"/>
          <w:rFonts w:ascii="Arial"/>
          <w:sz w:val="24"/>
          <w:color w:val="black"/>
        </w:rPr>
        <w:t xml:space="preserve">Cualquier otra condiciσn que implique una incapacidad repentina o una complicaciσn debilitante y cualquier condiciσn que requiera medicaciσn y perjudique el tiempo de reacciσn o de alerta o juicio, serαn consideradas como incapacitantes, debiendo practicarse una segunda evaluaciσn mιdica en la que se verifique si dicha condiciσn impide el desempeρo de la actividad.</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37" w:name="2.4.1.2.4.5"/>
      <w:r>
        <w:rPr>
          <w:rFonts w:hAnsi="Arial"/>
          <w:rFonts w:ascii="Arial"/>
          <w:sz w:val="24"/>
          <w:color w:val="navy"/>
        </w:rPr>
        <w:t xml:space="preserve">ARTΝCULO 2.4.1.2.4.5. </w:t>
      </w:r>
      <w:r>
        <w:rPr>
          <w:rFonts w:hAnsi="Arial"/>
          <w:rFonts w:ascii="Arial"/>
          <w:sz w:val="24"/>
          <w:i/>
          <w:color w:val="navy"/>
        </w:rPr>
        <w:t xml:space="preserve">PRUEBA FΝSICA.</w:t>
      </w:r>
      <w:bookmarkEnd w:id="61537"/>
      <w:r>
        <w:rPr>
          <w:rFonts w:hAnsi="Arial"/>
          <w:rFonts w:ascii="Arial"/>
          <w:sz w:val="24"/>
          <w:b/>
          <w:i/>
          <w:color w:val="black"/>
        </w:rPr>
        <w:t xml:space="preserve"> </w:t>
      </w:r>
      <w:r>
        <w:rPr>
          <w:rFonts w:hAnsi="Arial"/>
          <w:rFonts w:ascii="Arial"/>
          <w:sz w:val="24"/>
          <w:color w:val="black"/>
        </w:rPr>
        <w:t xml:space="preserve">Debe ser realizada por el aspirante a piloto prαctico de segunda categorνa que haya sido seleccionado como apto, de conformidad con los resultados de los exαmenes mιdicos.</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38" w:name="2.4.1.2.4.6"/>
      <w:r>
        <w:rPr>
          <w:rFonts w:hAnsi="Arial"/>
          <w:rFonts w:ascii="Arial"/>
          <w:sz w:val="24"/>
          <w:color w:val="navy"/>
        </w:rPr>
        <w:t xml:space="preserve">ARTΝCULO 2.4.1.2.4.6. </w:t>
      </w:r>
      <w:r>
        <w:rPr>
          <w:rFonts w:hAnsi="Arial"/>
          <w:rFonts w:ascii="Arial"/>
          <w:sz w:val="24"/>
          <w:i/>
          <w:color w:val="navy"/>
        </w:rPr>
        <w:t xml:space="preserve">VALIDEZ DE LOS EXΑMENES.</w:t>
      </w:r>
      <w:bookmarkEnd w:id="61538"/>
      <w:r>
        <w:rPr>
          <w:rFonts w:hAnsi="Arial"/>
          <w:rFonts w:ascii="Arial"/>
          <w:sz w:val="24"/>
          <w:b/>
          <w:i/>
          <w:color w:val="black"/>
        </w:rPr>
        <w:t xml:space="preserve"> </w:t>
      </w:r>
      <w:r>
        <w:rPr>
          <w:rFonts w:hAnsi="Arial"/>
          <w:rFonts w:ascii="Arial"/>
          <w:sz w:val="24"/>
          <w:color w:val="black"/>
        </w:rPr>
        <w:t xml:space="preserve">La evaluaciσn de admisiσn y el examen de inglιs tendrαn una validez de 12 meses contados a partir de la fecha de su expediciσn. El examen mιdico y la prueba de condiciσn fνsica tendrαn una validez de 3 meses, a partir de la fecha de expediciσn.</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39" w:name="2.4.1.2.4.7"/>
      <w:r>
        <w:rPr>
          <w:rFonts w:hAnsi="Arial"/>
          <w:rFonts w:ascii="Arial"/>
          <w:sz w:val="24"/>
          <w:color w:val="navy"/>
        </w:rPr>
        <w:t xml:space="preserve">ARTΝCULO 2.4.1.2.4.7. </w:t>
      </w:r>
      <w:r>
        <w:rPr>
          <w:rFonts w:hAnsi="Arial"/>
          <w:rFonts w:ascii="Arial"/>
          <w:sz w:val="24"/>
          <w:i/>
          <w:color w:val="navy"/>
        </w:rPr>
        <w:t xml:space="preserve">EXAMEN DE INGLΙS.</w:t>
      </w:r>
      <w:bookmarkEnd w:id="61539"/>
      <w:r>
        <w:rPr>
          <w:rFonts w:hAnsi="Arial"/>
          <w:rFonts w:ascii="Arial"/>
          <w:sz w:val="24"/>
          <w:b/>
          <w:i/>
          <w:color w:val="black"/>
        </w:rPr>
        <w:t xml:space="preserve"> </w:t>
      </w:r>
      <w:r>
        <w:rPr>
          <w:rFonts w:hAnsi="Arial"/>
          <w:rFonts w:ascii="Arial"/>
          <w:sz w:val="24"/>
          <w:color w:val="black"/>
        </w:rPr>
        <w:t xml:space="preserve">El aspirante a piloto prαctico de segunda categorνa serα evaluado en su dominio del idioma y en el conocimiento del vocabulario y frases normalizadas de la Organizaciσn Marνtima Internacional-OMI-para las comunicaciones marνtimas, realizado por un Centro o Instituto Especializado y reconocido por la Autoridad Marνtima Nacional, en el cual debe obtener una calificaciσn igual o superior al 80%.</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40" w:name="2.4.1.2.4.8"/>
      <w:r>
        <w:rPr>
          <w:rFonts w:hAnsi="Arial"/>
          <w:rFonts w:ascii="Arial"/>
          <w:sz w:val="24"/>
          <w:color w:val="navy"/>
        </w:rPr>
        <w:t xml:space="preserve">ARTΝCULO 2.4.1.2.4.8. </w:t>
      </w:r>
      <w:r>
        <w:rPr>
          <w:rFonts w:hAnsi="Arial"/>
          <w:rFonts w:ascii="Arial"/>
          <w:sz w:val="24"/>
          <w:i/>
          <w:color w:val="navy"/>
        </w:rPr>
        <w:t xml:space="preserve">MANIOBRAS DE ENTRENAMIENTO.</w:t>
      </w:r>
      <w:bookmarkEnd w:id="61540"/>
      <w:r>
        <w:rPr>
          <w:rFonts w:hAnsi="Arial"/>
          <w:rFonts w:ascii="Arial"/>
          <w:sz w:val="24"/>
          <w:b/>
          <w:i/>
          <w:color w:val="black"/>
        </w:rPr>
        <w:t xml:space="preserve"> </w:t>
      </w:r>
      <w:r>
        <w:rPr>
          <w:rFonts w:hAnsi="Arial"/>
          <w:rFonts w:ascii="Arial"/>
          <w:sz w:val="24"/>
          <w:color w:val="black"/>
        </w:rPr>
        <w:t xml:space="preserve">Aprobadas las pruebas anteriores, el aspirante a piloto prαctico, asν como los pilotos prαcticos por cambio de categorνa y/ o de jurisdicciσn deberαn llevar a cabo el nϊmero de maniobras requeridas para obtener la licencia en la categorνa correspondiente.</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41" w:name="2.4.1.2.4.9"/>
      <w:r>
        <w:rPr>
          <w:rFonts w:hAnsi="Arial"/>
          <w:rFonts w:ascii="Arial"/>
          <w:sz w:val="24"/>
          <w:color w:val="navy"/>
        </w:rPr>
        <w:t xml:space="preserve">ARTΝCULO 2.4.1.2.4.9. </w:t>
      </w:r>
      <w:r>
        <w:rPr>
          <w:rFonts w:hAnsi="Arial"/>
          <w:rFonts w:ascii="Arial"/>
          <w:sz w:val="24"/>
          <w:i/>
          <w:color w:val="navy"/>
        </w:rPr>
        <w:t xml:space="preserve">EXAMEN DE COMPETENCIA.</w:t>
      </w:r>
      <w:bookmarkEnd w:id="61541"/>
      <w:r>
        <w:rPr>
          <w:rFonts w:hAnsi="Arial"/>
          <w:rFonts w:ascii="Arial"/>
          <w:sz w:val="24"/>
          <w:b/>
          <w:i/>
          <w:color w:val="black"/>
        </w:rPr>
        <w:t xml:space="preserve"> </w:t>
      </w:r>
      <w:r>
        <w:rPr>
          <w:rFonts w:hAnsi="Arial"/>
          <w:rFonts w:ascii="Arial"/>
          <w:sz w:val="24"/>
          <w:color w:val="black"/>
        </w:rPr>
        <w:t xml:space="preserve">Terminada la fase de entrenamiento prαctico de maniobras se realizarα un examen de competencia que constarα de una parte teσrica escrita, realizada por la Autoridad Marνtima local y una parte prαctica evaluada por la Junta Examinadora, la cual se integrarα de conformidad con lo preceptuado en el artνculo </w:t>
      </w:r>
      <w:r>
        <w:fldChar w:fldCharType="begin"/>
      </w:r>
      <w:r>
        <w:instrText>HYPERLINK "http://www.redjurista.com/document.aspx?ajcode=l0658001&amp;arts=41"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658 de 2001.</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realizar el examen de competencia en la parte prαctica, en cada maniobra de evaluaciσn deben estar presentes por lo menos dos de los integrantes de la junta examinadora y cada uno de ellos debe asistir como mνnimo a 6 de las 8 maniobras de calificaciσn.</w:t>
      </w:r>
    </w:p>
    <w:p>
      <w:pPr>
        <w:jc w:val="both"/>
      </w:pPr>
      <w:rPr>
        <w:sz w:val="24"/>
        <w:color w:val="black"/>
      </w:rPr>
    </w:p>
    <w:p>
      <w:pPr>
        <w:jc w:val="both"/>
      </w:pPr>
      <w:r>
        <w:rPr>
          <w:rFonts w:hAnsi="Arial"/>
          <w:rFonts w:ascii="Arial"/>
          <w:sz w:val="24"/>
          <w:color w:val="black"/>
        </w:rPr>
        <w:t xml:space="preserve">Las maniobras de evaluaciσn se realizarαn en los buques designados por el Capitαn de Puerto, de acuerdo a la categorνa del evaluado:</w:t>
      </w:r>
    </w:p>
    <w:p>
      <w:pPr>
        <w:jc w:val="both"/>
      </w:pPr>
      <w:rPr>
        <w:sz w:val="24"/>
        <w:color w:val="black"/>
      </w:rPr>
    </w:p>
    <w:p>
      <w:pPr>
        <w:jc w:val="both"/>
      </w:pPr>
      <w:r>
        <w:rPr>
          <w:rFonts w:hAnsi="Arial"/>
          <w:rFonts w:ascii="Arial"/>
          <w:sz w:val="24"/>
          <w:color w:val="black"/>
        </w:rPr>
        <w:t xml:space="preserve">1. Para pilotos prαcticos de segunda categorνa: buques 2.000 T.R.B. hasta 10.000 T.R.B.</w:t>
      </w:r>
    </w:p>
    <w:p>
      <w:pPr>
        <w:jc w:val="both"/>
      </w:pPr>
      <w:rPr>
        <w:sz w:val="24"/>
        <w:color w:val="black"/>
      </w:rPr>
    </w:p>
    <w:p>
      <w:pPr>
        <w:jc w:val="both"/>
      </w:pPr>
      <w:r>
        <w:rPr>
          <w:rFonts w:hAnsi="Arial"/>
          <w:rFonts w:ascii="Arial"/>
          <w:sz w:val="24"/>
          <w:color w:val="black"/>
        </w:rPr>
        <w:t xml:space="preserve">2. Para pilotos prαcticos de primera categorνa: buques superiores a 10.000 T.R.B. y hasta 50.000 T.R.B.</w:t>
      </w:r>
    </w:p>
    <w:p>
      <w:pPr>
        <w:jc w:val="both"/>
      </w:pPr>
      <w:rPr>
        <w:sz w:val="24"/>
        <w:color w:val="black"/>
      </w:rPr>
    </w:p>
    <w:p>
      <w:pPr>
        <w:jc w:val="both"/>
      </w:pPr>
      <w:r>
        <w:rPr>
          <w:rFonts w:hAnsi="Arial"/>
          <w:rFonts w:ascii="Arial"/>
          <w:sz w:val="24"/>
          <w:color w:val="black"/>
        </w:rPr>
        <w:t xml:space="preserve">3. Para pilotos prαctico maestro: buques mayores de 50.000 T.R.B.</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 xml:space="preserve">, adicionado por el artνculo </w:t>
      </w:r>
      <w:r>
        <w:fldChar w:fldCharType="begin"/>
      </w:r>
      <w:r>
        <w:instrText>HYPERLINK "http://www.redjurista.com/document.aspx?ajcode=d3703007&amp;arts=3"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 del Decreto 3703 de 2007)</w:t>
      </w:r>
    </w:p>
    <w:p>
      <w:pPr>
        <w:jc w:val="both"/>
      </w:pPr>
      <w:rPr>
        <w:sz w:val="24"/>
        <w:color w:val="black"/>
      </w:rPr>
    </w:p>
    <w:p>
      <w:pPr>
        <w:jc w:val="both"/>
      </w:pPr>
      <w:r>
        <w:rPr>
          <w:rFonts w:hAnsi="Arial"/>
          <w:rFonts w:ascii="Arial"/>
          <w:sz w:val="24"/>
          <w:vanish/>
          <w:color w:val="black"/>
        </w:rPr>
        <w:t>&amp;$</w:t>
      </w:r>
      <w:bookmarkStart w:id="61542" w:name="2.4.1.2.4.10"/>
      <w:r>
        <w:rPr>
          <w:rFonts w:hAnsi="Arial"/>
          <w:rFonts w:ascii="Arial"/>
          <w:sz w:val="24"/>
          <w:color w:val="navy"/>
        </w:rPr>
        <w:t xml:space="preserve">ARTΝCULO 2.4.1.2.4.10. </w:t>
      </w:r>
      <w:r>
        <w:rPr>
          <w:rFonts w:hAnsi="Arial"/>
          <w:rFonts w:ascii="Arial"/>
          <w:sz w:val="24"/>
          <w:i/>
          <w:color w:val="navy"/>
        </w:rPr>
        <w:t xml:space="preserve">PILOTOS PRΑCTICOS POR CAMBIO DE CATEGORΝA Y/O JURISDICCIΣN.</w:t>
      </w:r>
      <w:bookmarkEnd w:id="61542"/>
      <w:r>
        <w:rPr>
          <w:rFonts w:hAnsi="Arial"/>
          <w:rFonts w:ascii="Arial"/>
          <w:sz w:val="24"/>
          <w:b/>
          <w:i/>
          <w:color w:val="black"/>
        </w:rPr>
        <w:t xml:space="preserve"> </w:t>
      </w:r>
      <w:r>
        <w:rPr>
          <w:rFonts w:hAnsi="Arial"/>
          <w:rFonts w:ascii="Arial"/>
          <w:sz w:val="24"/>
          <w:color w:val="black"/>
        </w:rPr>
        <w:t xml:space="preserve">Los pilotos prαcticos que vayan a cambiar de jurisdicciσn o de categorνa, ademαs de cumplir con los requisitos seρalados en los artνculos </w:t>
      </w:r>
      <w:r>
        <w:fldChar w:fldCharType="begin"/>
      </w:r>
      <w:r>
        <w:instrText>HYPERLINK "http://www.redjurista.com/document.aspx?ajcode=l0658001&amp;arts=22"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y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 estarαn sometidos al siguiente proceso:</w:t>
      </w:r>
    </w:p>
    <w:p>
      <w:pPr>
        <w:jc w:val="both"/>
      </w:pPr>
      <w:rPr>
        <w:sz w:val="24"/>
        <w:color w:val="black"/>
      </w:rPr>
    </w:p>
    <w:p>
      <w:pPr>
        <w:jc w:val="both"/>
      </w:pPr>
      <w:r>
        <w:rPr>
          <w:rFonts w:hAnsi="Arial"/>
          <w:rFonts w:ascii="Arial"/>
          <w:sz w:val="24"/>
          <w:color w:val="black"/>
        </w:rPr>
        <w:t xml:space="preserve">1. Examen mιdico y psicolσgico.</w:t>
      </w:r>
    </w:p>
    <w:p>
      <w:pPr>
        <w:jc w:val="both"/>
      </w:pPr>
      <w:rPr>
        <w:sz w:val="24"/>
        <w:color w:val="black"/>
      </w:rPr>
    </w:p>
    <w:p>
      <w:pPr>
        <w:jc w:val="both"/>
      </w:pPr>
      <w:r>
        <w:rPr>
          <w:rFonts w:hAnsi="Arial"/>
          <w:rFonts w:ascii="Arial"/>
          <w:sz w:val="24"/>
          <w:color w:val="black"/>
        </w:rPr>
        <w:t xml:space="preserve">2. Prueba fνsica.</w:t>
      </w:r>
    </w:p>
    <w:p>
      <w:pPr>
        <w:jc w:val="both"/>
      </w:pPr>
      <w:rPr>
        <w:sz w:val="24"/>
        <w:color w:val="black"/>
      </w:rPr>
    </w:p>
    <w:p>
      <w:pPr>
        <w:jc w:val="both"/>
      </w:pPr>
      <w:r>
        <w:rPr>
          <w:rFonts w:hAnsi="Arial"/>
          <w:rFonts w:ascii="Arial"/>
          <w:sz w:val="24"/>
          <w:color w:val="black"/>
        </w:rPr>
        <w:t xml:space="preserve">3. Maniobras de entrenamiento</w:t>
      </w:r>
    </w:p>
    <w:p>
      <w:pPr>
        <w:jc w:val="both"/>
      </w:pPr>
      <w:rPr>
        <w:sz w:val="24"/>
        <w:color w:val="black"/>
      </w:rPr>
    </w:p>
    <w:p>
      <w:pPr>
        <w:jc w:val="both"/>
      </w:pPr>
      <w:r>
        <w:rPr>
          <w:rFonts w:hAnsi="Arial"/>
          <w:rFonts w:ascii="Arial"/>
          <w:sz w:val="24"/>
          <w:color w:val="black"/>
        </w:rPr>
        <w:t xml:space="preserve">4. Examen de competencia.</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1543" w:name="SECCIÓN 2.4.1.2.5"/>
      <w:r>
        <w:rPr>
          <w:rFonts w:hAnsi="Arial"/>
          <w:rFonts w:ascii="Arial"/>
          <w:sz w:val="24"/>
          <w:color w:val="navy"/>
        </w:rPr>
        <w:t xml:space="preserve">SECCIΣN 5. </w:t>
      </w:r>
    </w:p>
    <w:p>
      <w:pPr>
        <w:jc w:val="center"/>
      </w:pPr>
      <w:r>
        <w:rPr>
          <w:rFonts w:hAnsi="Arial"/>
          <w:rFonts w:ascii="Arial"/>
          <w:sz w:val="24"/>
          <w:color w:val="navy"/>
        </w:rPr>
        <w:t xml:space="preserve">DEL ENTRENAMIENTO DE ASPIRANTES A PILOTO PRΑCTICO DE SEGUNDA CATEGORΝA Y PILOTOS POR CAMBIO DE CATEGORΝA Y JURISDICCIΣN.</w:t>
      </w:r>
      <w:bookmarkEnd w:id="6154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44" w:name="2.4.1.2.5.1"/>
      <w:r>
        <w:rPr>
          <w:rFonts w:hAnsi="Arial"/>
          <w:rFonts w:ascii="Arial"/>
          <w:sz w:val="24"/>
          <w:color w:val="navy"/>
        </w:rPr>
        <w:t xml:space="preserve">ARTΝCULO 2.4.1.2.5.1. </w:t>
      </w:r>
      <w:r>
        <w:rPr>
          <w:rFonts w:hAnsi="Arial"/>
          <w:rFonts w:ascii="Arial"/>
          <w:sz w:val="24"/>
          <w:i/>
          <w:color w:val="navy"/>
        </w:rPr>
        <w:t xml:space="preserve">PROCEDIMIENTO PARA LA SOLICITUD Y PRΑCTICA DE LAS MANIOBRAS QUE HACEN PARTE DEL ENTRENAMIENTO.</w:t>
      </w:r>
      <w:bookmarkEnd w:id="61544"/>
      <w:r>
        <w:rPr>
          <w:rFonts w:hAnsi="Arial"/>
          <w:rFonts w:ascii="Arial"/>
          <w:sz w:val="24"/>
          <w:b/>
          <w:i/>
          <w:color w:val="black"/>
        </w:rPr>
        <w:t xml:space="preserve"> </w:t>
      </w:r>
      <w:r>
        <w:rPr>
          <w:rFonts w:hAnsi="Arial"/>
          <w:rFonts w:ascii="Arial"/>
          <w:sz w:val="24"/>
          <w:color w:val="black"/>
        </w:rPr>
        <w:t xml:space="preserve">El interesado quedarα sometido al procedimiento que a continuaciσn se detalla:</w:t>
      </w:r>
    </w:p>
    <w:p>
      <w:pPr>
        <w:jc w:val="both"/>
      </w:pPr>
      <w:rPr>
        <w:sz w:val="24"/>
        <w:color w:val="black"/>
      </w:rPr>
    </w:p>
    <w:p>
      <w:pPr>
        <w:jc w:val="both"/>
      </w:pPr>
      <w:r>
        <w:rPr>
          <w:rFonts w:hAnsi="Arial"/>
          <w:rFonts w:ascii="Arial"/>
          <w:sz w:val="24"/>
          <w:color w:val="black"/>
        </w:rPr>
        <w:t xml:space="preserve">1. Solicitud formal de entrenamiento.</w:t>
      </w:r>
    </w:p>
    <w:p>
      <w:pPr>
        <w:jc w:val="both"/>
      </w:pPr>
      <w:rPr>
        <w:sz w:val="24"/>
        <w:color w:val="black"/>
      </w:rPr>
    </w:p>
    <w:p>
      <w:pPr>
        <w:jc w:val="both"/>
      </w:pPr>
      <w:r>
        <w:rPr>
          <w:rFonts w:hAnsi="Arial"/>
          <w:rFonts w:ascii="Arial"/>
          <w:sz w:val="24"/>
          <w:color w:val="black"/>
        </w:rPr>
        <w:t xml:space="preserve">a) El aspirante a piloto prαctico, piloto prαctico por cambio de categorνa o de jurisdicciσn, directamente o por intermedio de una empresa de practicaje inscrita ante la Autoridad Marνtima Nacional y con licencia vigente para la jurisdicciσn especνfica en la que aspira a obtener licencia, solicitarα formalmente a la Autoridad Marνtima Nacional por intermedio de la Capitanνa de Puerto, la autorizaciσn para su entrenamiento.</w:t>
      </w:r>
    </w:p>
    <w:p>
      <w:pPr>
        <w:jc w:val="both"/>
      </w:pPr>
      <w:rPr>
        <w:sz w:val="24"/>
        <w:color w:val="black"/>
      </w:rPr>
    </w:p>
    <w:p>
      <w:pPr>
        <w:jc w:val="both"/>
      </w:pPr>
      <w:r>
        <w:rPr>
          <w:rFonts w:hAnsi="Arial"/>
          <w:rFonts w:ascii="Arial"/>
          <w:sz w:val="24"/>
          <w:color w:val="black"/>
        </w:rPr>
        <w:t xml:space="preserve">Cuando la solicitud se haya presentado a travιs de una empresa de practicaje, esta avalarα la peticiσn y se responsabilizarα del entrenamiento, debiendo presentar a la Autoridad Marνtima Nacional, copia de la pσliza en la que conste el seguro de responsabilidad civil extracontractual constituido para tal fin. En el caso de que la solicitud se presente directamente, la Autoridad Marνtima Nacional exigirα la contrataciσn de un seguro de responsabilidad civil extracontractual para garantizar los siniestros que puedan ocurrir durante el entrenamiento;</w:t>
      </w:r>
    </w:p>
    <w:p>
      <w:pPr>
        <w:jc w:val="both"/>
      </w:pPr>
      <w:rPr>
        <w:sz w:val="24"/>
        <w:color w:val="black"/>
      </w:rPr>
    </w:p>
    <w:p>
      <w:pPr>
        <w:jc w:val="both"/>
      </w:pPr>
      <w:r>
        <w:rPr>
          <w:rFonts w:hAnsi="Arial"/>
          <w:rFonts w:ascii="Arial"/>
          <w:sz w:val="24"/>
          <w:color w:val="black"/>
        </w:rPr>
        <w:t xml:space="preserve">b) Las Capitanνas de Puerto recibirαn solicitudes para entrenamiento de conformidad con lo dispuesto en el artνculo </w:t>
      </w:r>
      <w:r>
        <w:fldChar w:fldCharType="begin"/>
      </w:r>
      <w:r>
        <w:instrText>HYPERLINK "http://www.redjurista.com/document.aspx?ajcode=d1070015&amp;arts=2.4.1.2.4.1"</w:instrText>
      </w:r>
      <w:r>
        <w:fldChar w:fldCharType="separate"/>
      </w:r>
      <w:r>
        <w:rPr>
          <w:rFonts w:hAnsi="Arial"/>
          <w:rFonts w:ascii="Arial"/>
          <w:sz w:val="24"/>
          <w:u w:val="single"/>
          <w:color w:val="black"/>
        </w:rPr>
        <w:t>2.4.1.2.4.1</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color w:val="black"/>
        </w:rPr>
        <w:t xml:space="preserve">2. Comunicaciσn de aceptaciσn de la solicitud y coordinaciσn del entrenamiento.</w:t>
      </w:r>
    </w:p>
    <w:p>
      <w:pPr>
        <w:jc w:val="both"/>
      </w:pPr>
      <w:rPr>
        <w:sz w:val="24"/>
        <w:color w:val="black"/>
      </w:rPr>
    </w:p>
    <w:p>
      <w:pPr>
        <w:jc w:val="both"/>
      </w:pPr>
      <w:r>
        <w:rPr>
          <w:rFonts w:hAnsi="Arial"/>
          <w:rFonts w:ascii="Arial"/>
          <w:sz w:val="24"/>
          <w:color w:val="black"/>
        </w:rPr>
        <w:t xml:space="preserve">Autorizado el entrenamiento de Practicaje por la Autoridad Marνtima Nacional, la Capitanνa de Puerto confirmarα por escrito al representante legal de la Empresa de Practicaje de la jurisdicciσn especνfica, o al solicitante que actϊa en su propio nombre, segϊn el caso, que puede iniciarse el entrenamiento y coordinarα las condiciones en las cuales se iniciarα el entrenamiento, comunicando la fecha de iniciaciσn del mismo.</w:t>
      </w:r>
    </w:p>
    <w:p>
      <w:pPr>
        <w:jc w:val="both"/>
      </w:pPr>
      <w:rPr>
        <w:sz w:val="24"/>
        <w:color w:val="black"/>
      </w:rPr>
    </w:p>
    <w:p>
      <w:pPr>
        <w:jc w:val="both"/>
      </w:pPr>
      <w:r>
        <w:rPr>
          <w:rFonts w:hAnsi="Arial"/>
          <w:rFonts w:ascii="Arial"/>
          <w:sz w:val="24"/>
          <w:color w:val="black"/>
        </w:rPr>
        <w:t xml:space="preserve">3. Entrenamiento personalizado individual.</w:t>
      </w:r>
    </w:p>
    <w:p>
      <w:pPr>
        <w:jc w:val="both"/>
      </w:pPr>
      <w:rPr>
        <w:sz w:val="24"/>
        <w:color w:val="black"/>
      </w:rPr>
    </w:p>
    <w:p>
      <w:pPr>
        <w:jc w:val="both"/>
      </w:pPr>
      <w:r>
        <w:rPr>
          <w:rFonts w:hAnsi="Arial"/>
          <w:rFonts w:ascii="Arial"/>
          <w:sz w:val="24"/>
          <w:color w:val="black"/>
        </w:rPr>
        <w:t xml:space="preserve">El entrenamiento de Practicaje tanto de los aspirantes a piloto prαctico como del piloto prαctico por cambio de categorνa o de jurisdicciσn, se llevarα a cabo en forma personalizada e individual.</w:t>
      </w:r>
    </w:p>
    <w:p>
      <w:pPr>
        <w:jc w:val="both"/>
      </w:pPr>
      <w:rPr>
        <w:sz w:val="24"/>
        <w:color w:val="black"/>
      </w:rPr>
    </w:p>
    <w:p>
      <w:pPr>
        <w:jc w:val="both"/>
      </w:pPr>
      <w:r>
        <w:rPr>
          <w:rFonts w:hAnsi="Arial"/>
          <w:rFonts w:ascii="Arial"/>
          <w:sz w:val="24"/>
          <w:color w:val="black"/>
        </w:rPr>
        <w:t xml:space="preserve">4. Control de las maniobras de entrenamiento.</w:t>
      </w:r>
    </w:p>
    <w:p>
      <w:pPr>
        <w:jc w:val="both"/>
      </w:pPr>
      <w:rPr>
        <w:sz w:val="24"/>
        <w:color w:val="black"/>
      </w:rPr>
    </w:p>
    <w:p>
      <w:pPr>
        <w:jc w:val="both"/>
      </w:pPr>
      <w:r>
        <w:rPr>
          <w:rFonts w:hAnsi="Arial"/>
          <w:rFonts w:ascii="Arial"/>
          <w:sz w:val="24"/>
          <w:color w:val="black"/>
        </w:rPr>
        <w:t xml:space="preserve">a) La Capitanνa de Puerto de la jurisdicciσn especνfica donde se desarrolle un entrenamiento de Practicaje llevarα el registro y control de las maniobras de entrenamiento en el Libro de Control de Pilotos Prαcticos y de acuerdo al formato determinado por la Autoridad Marνtima Nacional, el cual debe ser firmado por el piloto instructor, el Capitαn de la nave y el Capitαn de Puerto;</w:t>
      </w:r>
    </w:p>
    <w:p>
      <w:pPr>
        <w:jc w:val="both"/>
      </w:pPr>
      <w:rPr>
        <w:sz w:val="24"/>
        <w:color w:val="black"/>
      </w:rPr>
    </w:p>
    <w:p>
      <w:pPr>
        <w:jc w:val="both"/>
      </w:pPr>
      <w:r>
        <w:rPr>
          <w:rFonts w:hAnsi="Arial"/>
          <w:rFonts w:ascii="Arial"/>
          <w:sz w:val="24"/>
          <w:color w:val="black"/>
        </w:rPr>
        <w:t xml:space="preserve">b) El cumplimiento de entrenamiento para los aspirantes a piloto prαctico, piloto prαctico por cambio de categorνa o cambio de jurisdicciσn serα supervisado por el piloto titular de la maniobra quien serα el responsable del desarrollo integral del entrenamiento de pilotos actuando como supervisor.</w:t>
      </w:r>
    </w:p>
    <w:p>
      <w:pPr>
        <w:jc w:val="both"/>
      </w:pPr>
      <w:rPr>
        <w:sz w:val="24"/>
        <w:color w:val="black"/>
      </w:rPr>
    </w:p>
    <w:p>
      <w:pPr>
        <w:jc w:val="both"/>
      </w:pPr>
      <w:r>
        <w:rPr>
          <w:rFonts w:hAnsi="Arial"/>
          <w:rFonts w:ascii="Arial"/>
          <w:sz w:val="24"/>
          <w:color w:val="black"/>
        </w:rPr>
        <w:t xml:space="preserve">Serαn nombrados como pilotos titulares de la maniobra de entrenamiento, mνnimo el 30% de los pilotos de igual o superior categorνa, que tengan licencia vigente en la respectiva jurisdicciσn.</w:t>
      </w:r>
    </w:p>
    <w:p>
      <w:pPr>
        <w:jc w:val="both"/>
      </w:pPr>
      <w:rPr>
        <w:sz w:val="24"/>
        <w:color w:val="black"/>
      </w:rPr>
    </w:p>
    <w:p>
      <w:pPr>
        <w:jc w:val="both"/>
      </w:pPr>
      <w:r>
        <w:rPr>
          <w:rFonts w:hAnsi="Arial"/>
          <w:rFonts w:ascii="Arial"/>
          <w:sz w:val="24"/>
          <w:color w:val="black"/>
        </w:rPr>
        <w:t xml:space="preserve">El entrenamiento serα certificado por el Capitαn de Puerto o la persona que ιl designe para el respectivo registro y control de maniobras, con base en la evaluaciσn del piloto supervisor.</w:t>
      </w:r>
    </w:p>
    <w:p>
      <w:pPr>
        <w:jc w:val="both"/>
      </w:pPr>
      <w:rPr>
        <w:sz w:val="24"/>
        <w:color w:val="black"/>
      </w:rPr>
    </w:p>
    <w:p>
      <w:pPr>
        <w:jc w:val="both"/>
      </w:pPr>
      <w:r>
        <w:rPr>
          <w:rFonts w:hAnsi="Arial"/>
          <w:rFonts w:ascii="Arial"/>
          <w:sz w:val="24"/>
          <w:color w:val="black"/>
        </w:rPr>
        <w:t xml:space="preserve">5. Finalizaciσn de las maniobras de entrenamiento.</w:t>
      </w:r>
    </w:p>
    <w:p>
      <w:pPr>
        <w:jc w:val="both"/>
      </w:pPr>
      <w:rPr>
        <w:sz w:val="24"/>
        <w:color w:val="black"/>
      </w:rPr>
    </w:p>
    <w:p>
      <w:pPr>
        <w:jc w:val="both"/>
      </w:pPr>
      <w:r>
        <w:rPr>
          <w:rFonts w:hAnsi="Arial"/>
          <w:rFonts w:ascii="Arial"/>
          <w:sz w:val="24"/>
          <w:color w:val="black"/>
        </w:rPr>
        <w:t xml:space="preserve">Se considera finalizado el entrenamiento de Practicaje cuando se cumplan los siguientes requisitos:</w:t>
      </w:r>
    </w:p>
    <w:p>
      <w:pPr>
        <w:jc w:val="both"/>
      </w:pPr>
      <w:rPr>
        <w:sz w:val="24"/>
        <w:color w:val="black"/>
      </w:rPr>
    </w:p>
    <w:p>
      <w:pPr>
        <w:jc w:val="both"/>
      </w:pPr>
      <w:r>
        <w:rPr>
          <w:rFonts w:hAnsi="Arial"/>
          <w:rFonts w:ascii="Arial"/>
          <w:sz w:val="24"/>
          <w:color w:val="black"/>
        </w:rPr>
        <w:t xml:space="preserve">a) Se expida el certificado de finalizaciσn del entrenamiento de practicaje por la Capitanνa de Puerto, en el que conste fecha y hora de ejecuciσn de las maniobras, nombre, bandera y tonelaje de los buques respectivos;</w:t>
      </w:r>
    </w:p>
    <w:p>
      <w:pPr>
        <w:jc w:val="both"/>
      </w:pPr>
      <w:rPr>
        <w:sz w:val="24"/>
        <w:color w:val="black"/>
      </w:rPr>
    </w:p>
    <w:p>
      <w:pPr>
        <w:jc w:val="both"/>
      </w:pPr>
      <w:r>
        <w:rPr>
          <w:rFonts w:hAnsi="Arial"/>
          <w:rFonts w:ascii="Arial"/>
          <w:sz w:val="24"/>
          <w:color w:val="black"/>
        </w:rPr>
        <w:t xml:space="preserve">b) Se apruebe el Examen de Competencia en la parte teσrica y se realicen las maniobras de evaluaciσn prαctica, que determine la Capitanνa de Puerto respectiva, de acuerdo con el tipo de maniobras que se realicen en la jurisdicciσn, sin que el nϊmero sea inferior a cuatro (4) diurnas y cuatro (4) nocturnas y califique la Junta Examinadora, debiendo obtener una calificaciσn igual o superior a ocho punto cero (8.0) sobre diez punto cero (10.0) para cada evaluaciσn.</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Para el entrenamiento de los pilotos prαcticos oficiales, la Autoridad Marνtima Nacional designarα la empresa de practicaje que estarα obligada a realizar y garantizar el entrenamiento de los mismos, en los tιrminos determinados por esta.</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"http://www.redjurista.com/document.aspx?ajcode=d3703007&amp;arts=INICIO"</w:instrText>
      </w:r>
      <w:r>
        <w:fldChar w:fldCharType="separate"/>
      </w:r>
      <w:r>
        <w:rPr>
          <w:rFonts w:hAnsi="Arial"/>
          <w:rFonts w:ascii="Arial"/>
          <w:sz w:val="24"/>
          <w:i/>
          <w:u w:val="single"/>
          <w:color w:val="black"/>
        </w:rPr>
        <w:t>3703</w:t>
      </w:r>
      <w:r>
        <w:fldChar w:fldCharType="end"/>
      </w:r>
      <w:r>
        <w:rPr>
          <w:rFonts w:hAnsi="Arial"/>
          <w:rFonts w:ascii="Arial"/>
          <w:sz w:val="24"/>
          <w:i/>
          <w:u w:val="none"/>
          <w:color w:val="black"/>
        </w:rPr>
        <w:t xml:space="preserve"> de 2007)</w:t>
      </w:r>
    </w:p>
    <w:p>
      <w:pPr>
        <w:jc w:val="both"/>
      </w:pPr>
      <w:rPr>
        <w:color w:val="black"/>
      </w:rPr>
    </w:p>
    <w:p>
      <w:pPr>
        <w:jc w:val="both"/>
      </w:pPr>
      <w:r>
        <w:rPr>
          <w:rFonts w:hAnsi="Arial"/>
          <w:rFonts w:ascii="Arial"/>
          <w:sz w:val="24"/>
          <w:vanish/>
          <w:color w:val="black"/>
        </w:rPr>
        <w:t>&amp;$</w:t>
      </w:r>
      <w:bookmarkStart w:id="61545" w:name="2.4.1.2.5.2"/>
      <w:r>
        <w:rPr>
          <w:rFonts w:hAnsi="Arial"/>
          <w:rFonts w:ascii="Arial"/>
          <w:sz w:val="24"/>
          <w:color w:val="navy"/>
        </w:rPr>
        <w:t xml:space="preserve">ARTΝCULO 2.4.1.2.5.2. </w:t>
      </w:r>
      <w:r>
        <w:rPr>
          <w:rFonts w:hAnsi="Arial"/>
          <w:rFonts w:ascii="Arial"/>
          <w:sz w:val="24"/>
          <w:i/>
          <w:color w:val="navy"/>
        </w:rPr>
        <w:t xml:space="preserve">PRΑCTICA DE NUEVOS EXΑMENES DE COMPETENCIA.</w:t>
      </w:r>
      <w:bookmarkEnd w:id="61545"/>
      <w:r>
        <w:rPr>
          <w:rFonts w:hAnsi="Arial"/>
          <w:rFonts w:ascii="Arial"/>
          <w:sz w:val="24"/>
          <w:b/>
          <w:i/>
          <w:color w:val="black"/>
        </w:rPr>
        <w:t xml:space="preserve"> </w:t>
      </w:r>
      <w:r>
        <w:rPr>
          <w:rFonts w:hAnsi="Arial"/>
          <w:rFonts w:ascii="Arial"/>
          <w:sz w:val="24"/>
          <w:color w:val="black"/>
        </w:rPr>
        <w:t xml:space="preserve">El Piloto Prαctico por cambio de Categorνa o de Jurisdicciσn que no apruebe el examen de competencia prαctico, que realiza la Junta Examinadora, deberα realizar diez (10) maniobras adicionales de entrenamiento, cinco (5) diurnas y cinco (5) nocturnas en un lapso mαximo de dos (2) meses bajo la estricta supervisiσn del Piloto Prαctico responsable de la Maniobra que debe ser de igual o superior categorνa.</w:t>
      </w:r>
    </w:p>
    <w:p>
      <w:pPr>
        <w:jc w:val="both"/>
      </w:pPr>
      <w:rPr>
        <w:sz w:val="24"/>
        <w:color w:val="black"/>
      </w:rPr>
    </w:p>
    <w:p>
      <w:pPr>
        <w:jc w:val="both"/>
      </w:pPr>
      <w:r>
        <w:rPr>
          <w:rFonts w:hAnsi="Arial"/>
          <w:rFonts w:ascii="Arial"/>
          <w:sz w:val="24"/>
          <w:color w:val="black"/>
        </w:rPr>
        <w:t xml:space="preserve">Cumplido lo anterior podrα solicitar a la Capitanνa de Puerto correspondiente la prαctica de una segunda y ϊltima evaluaciσn.</w:t>
      </w:r>
    </w:p>
    <w:p>
      <w:pPr>
        <w:jc w:val="both"/>
      </w:pPr>
      <w:rPr>
        <w:sz w:val="24"/>
        <w:color w:val="black"/>
      </w:rPr>
    </w:p>
    <w:p>
      <w:pPr>
        <w:jc w:val="both"/>
      </w:pPr>
      <w:r>
        <w:rPr>
          <w:rFonts w:hAnsi="Arial"/>
          <w:rFonts w:ascii="Arial"/>
          <w:sz w:val="24"/>
          <w:color w:val="black"/>
        </w:rPr>
        <w:t xml:space="preserve">Cuando el aspirante a piloto prαctico o el piloto prαctico por jurisdicciσn diferente no apruebe el examen de competencia teσrico, podrα realizar una segunda y ϊltima evaluaciσn, en un plazo mαximo de tres (3) meses siguientes contados a partir de la fecha de presentaciσn del ϊltimo examen.</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46" w:name="2.4.1.2.5.3"/>
      <w:r>
        <w:rPr>
          <w:rFonts w:hAnsi="Arial"/>
          <w:rFonts w:ascii="Arial"/>
          <w:sz w:val="24"/>
          <w:color w:val="navy"/>
        </w:rPr>
        <w:t xml:space="preserve">ARTΝCULO 2.4.1.2.5.3. </w:t>
      </w:r>
      <w:r>
        <w:rPr>
          <w:rFonts w:hAnsi="Arial"/>
          <w:rFonts w:ascii="Arial"/>
          <w:sz w:val="24"/>
          <w:i/>
          <w:color w:val="navy"/>
        </w:rPr>
        <w:t xml:space="preserve">MANIOBRAS DE ENTRENAMIENTO PARA OBTENER LICENCIA DE PILOTO PRΑCTICO Y POR CAMBIO DE CATEGORΝA.</w:t>
      </w:r>
      <w:bookmarkEnd w:id="61546"/>
      <w:r>
        <w:rPr>
          <w:rFonts w:hAnsi="Arial"/>
          <w:rFonts w:ascii="Arial"/>
          <w:sz w:val="24"/>
          <w:b/>
          <w:i/>
          <w:color w:val="black"/>
        </w:rPr>
        <w:t xml:space="preserve"> </w:t>
      </w:r>
      <w:r>
        <w:rPr>
          <w:rFonts w:hAnsi="Arial"/>
          <w:rFonts w:ascii="Arial"/>
          <w:sz w:val="24"/>
          <w:color w:val="black"/>
        </w:rPr>
        <w:t xml:space="preserve">Los aspirantes a piloto prαctico, los pilotos prαcticos por cambio de categorνa deberαn efectuar las siguientes maniobras de entrenamiento, asν:</w:t>
      </w:r>
    </w:p>
    <w:p>
      <w:pPr>
        <w:jc w:val="both"/>
      </w:pPr>
      <w:rPr>
        <w:sz w:val="24"/>
        <w:color w:val="black"/>
      </w:rPr>
    </w:p>
    <w:p>
      <w:pPr>
        <w:jc w:val="both"/>
      </w:pPr>
      <w:r>
        <w:rPr>
          <w:rFonts w:hAnsi="Arial"/>
          <w:rFonts w:ascii="Arial"/>
          <w:sz w:val="24"/>
          <w:color w:val="black"/>
        </w:rPr>
        <w:t xml:space="preserve">1. Aspirantes a piloto prαctico de segunda categorνa.</w:t>
      </w:r>
    </w:p>
    <w:p>
      <w:pPr>
        <w:jc w:val="both"/>
      </w:pPr>
      <w:rPr>
        <w:sz w:val="24"/>
        <w:color w:val="black"/>
      </w:rPr>
    </w:p>
    <w:p>
      <w:pPr>
        <w:jc w:val="both"/>
      </w:pPr>
      <w:r>
        <w:rPr>
          <w:rFonts w:hAnsi="Arial"/>
          <w:rFonts w:ascii="Arial"/>
          <w:sz w:val="24"/>
          <w:color w:val="black"/>
        </w:rPr>
        <w:t xml:space="preserve">Entrenamiento efectivo, con una duraciσn mνnima de seis (6) meses y realizaciσn mνnimo de noventa (90) maniobras, cuarenta y cinco (45) diurnas y cuarenta y cinco (45) nocturnas.</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 y fondeo.</w:t>
      </w:r>
    </w:p>
    <w:p>
      <w:pPr>
        <w:jc w:val="both"/>
      </w:pPr>
      <w:rPr>
        <w:sz w:val="24"/>
        <w:color w:val="black"/>
      </w:rPr>
    </w:p>
    <w:p>
      <w:pPr>
        <w:jc w:val="both"/>
      </w:pPr>
      <w:r>
        <w:rPr>
          <w:rFonts w:hAnsi="Arial"/>
          <w:rFonts w:ascii="Arial"/>
          <w:sz w:val="24"/>
          <w:color w:val="black"/>
        </w:rPr>
        <w:t xml:space="preserve">1) Fase de observaciσn. Los dos (2) primeros meses de entrenamiento serαn de observaciσn, asistiendo mνnimo a quince (15) maniobras diurnas y quince (15) maniobras nocturnas, como asistente del Piloto Prαctico responsable de la maniobra en buques de todo tipo y tonelaje.</w:t>
      </w:r>
    </w:p>
    <w:p>
      <w:pPr>
        <w:jc w:val="both"/>
      </w:pPr>
      <w:rPr>
        <w:sz w:val="24"/>
        <w:color w:val="black"/>
      </w:rPr>
    </w:p>
    <w:p>
      <w:pPr>
        <w:jc w:val="both"/>
      </w:pPr>
      <w:r>
        <w:rPr>
          <w:rFonts w:hAnsi="Arial"/>
          <w:rFonts w:ascii="Arial"/>
          <w:sz w:val="24"/>
          <w:color w:val="black"/>
        </w:rPr>
        <w:t xml:space="preserve">2) Fase de participaciσn. Los dos (2) meses subsiguientes serαn de participaciσn activa y gradual en las maniobras, segϊn decisiσn que adopte el Piloto Prαctico responsable de la maniobra, con asistencia mνnima a quince (15) maniobras diurnas y quince (15) maniobras nocturnas, en buques de todo tipo y tonelaje, igual o superior a 2000 Toneladas de Registro Bruto, TRB.</w:t>
      </w:r>
    </w:p>
    <w:p>
      <w:pPr>
        <w:jc w:val="both"/>
      </w:pPr>
      <w:rPr>
        <w:sz w:val="24"/>
        <w:color w:val="black"/>
      </w:rPr>
    </w:p>
    <w:p>
      <w:pPr>
        <w:jc w:val="both"/>
      </w:pPr>
      <w:r>
        <w:rPr>
          <w:rFonts w:hAnsi="Arial"/>
          <w:rFonts w:ascii="Arial"/>
          <w:sz w:val="24"/>
          <w:color w:val="black"/>
        </w:rPr>
        <w:t xml:space="preserve">3) Fase activa. Los dos (2) meses finales corresponderαn como mνnimo a quince (15) maniobras diurnas y quince (15) maniobras nocturnas directamente realizadas por el aspirante a piloto prαctico bajo la estrecha supervisiσn del Piloto Prαctico responsable de la maniobra en buques desde 2000 hasta de 10.000 Toneladas de Registro Bruto, TRB.</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A criterio del Piloto Prαctico responsable de la maniobra, el tiempo de duraciσn de cada fase se podrα ampliar o reducir, debiendo llenar un registro determinando las observaciones que soporten tal criterio; en todo caso el tiempo mνnimo de duraciσn del entrenamiento debe ser de 6 meses.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las jurisdicciones especνficas donde el nϊmero de maniobras de entrenamiento de practicaje, requeridas en las diferentes categorνas, no se pueda completar en el tiempo aquν establecido, debido al bajo trαfico de buques, certificado por la Autoridad Marνtima Nacional, la duraciσn de las maniobras se podrα extender hasta por un periodo de seis (6) meses. La Autoridad Marνtima Nacional podrα cambiar el nϊmero de maniobras y/o el tiempo de realizaciσn, para cada puerto con base en las necesidades, trαfico y dinαmica del transporte marνtimo.</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Para las Jurisdicciones especνficas donde existan diferentes zonas portuarias las maniobras aquν establecidas, se efectuarαn proporcionalmente en las diferentes zonas portuarias de la jurisdicciσn.</w:t>
      </w:r>
    </w:p>
    <w:p>
      <w:pPr>
        <w:jc w:val="both"/>
      </w:pPr>
      <w:rPr>
        <w:sz w:val="24"/>
        <w:color w:val="black"/>
      </w:rPr>
    </w:p>
    <w:p>
      <w:pPr>
        <w:jc w:val="both"/>
      </w:pPr>
      <w:r>
        <w:rPr>
          <w:rFonts w:hAnsi="Arial"/>
          <w:rFonts w:ascii="Arial"/>
          <w:sz w:val="24"/>
          <w:color w:val="black"/>
        </w:rPr>
        <w:t xml:space="preserve">2. Piloto prαctico por cambio de categorνa:</w:t>
      </w:r>
    </w:p>
    <w:p>
      <w:pPr>
        <w:jc w:val="both"/>
      </w:pPr>
      <w:rPr>
        <w:sz w:val="24"/>
        <w:color w:val="black"/>
      </w:rPr>
    </w:p>
    <w:p>
      <w:pPr>
        <w:jc w:val="both"/>
      </w:pPr>
      <w:r>
        <w:rPr>
          <w:rFonts w:hAnsi="Arial"/>
          <w:rFonts w:ascii="Arial"/>
          <w:sz w:val="24"/>
          <w:color w:val="black"/>
        </w:rPr>
        <w:t xml:space="preserve">2.1. Piloto prαctico de segunda aspirante a primera categorνa. El piloto prαctico de segunda categorνa aspirante a primera categorνa que cumpla los requisitos establecidos en el numeral 2 del artνculo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 para efectos de dar aplicaciσn a los literales f) y g) del mismo artνculo deberα:</w:t>
      </w:r>
    </w:p>
    <w:p>
      <w:pPr>
        <w:jc w:val="both"/>
      </w:pPr>
      <w:rPr>
        <w:sz w:val="24"/>
        <w:color w:val="black"/>
      </w:rPr>
    </w:p>
    <w:p>
      <w:pPr>
        <w:jc w:val="both"/>
      </w:pPr>
      <w:r>
        <w:rPr>
          <w:rFonts w:hAnsi="Arial"/>
          <w:rFonts w:ascii="Arial"/>
          <w:sz w:val="24"/>
          <w:color w:val="black"/>
        </w:rPr>
        <w:t xml:space="preserve">a) Acreditar la realizaciσn de un mνnimo de trescientas (300) maniobras como piloto prαctico de segunda categorνa en la jurisdicciσn de la Capitanνa de Puerto;</w:t>
      </w:r>
    </w:p>
    <w:p>
      <w:pPr>
        <w:jc w:val="both"/>
      </w:pPr>
      <w:rPr>
        <w:sz w:val="24"/>
        <w:color w:val="black"/>
      </w:rPr>
    </w:p>
    <w:p>
      <w:pPr>
        <w:jc w:val="both"/>
      </w:pPr>
      <w:r>
        <w:rPr>
          <w:rFonts w:hAnsi="Arial"/>
          <w:rFonts w:ascii="Arial"/>
          <w:sz w:val="24"/>
          <w:color w:val="black"/>
        </w:rPr>
        <w:t xml:space="preserve">Para las jurisdicciones de Tumaco, Coveρas y San Andrιs el nϊmero mνnimo de maniobras, efectuadas como piloto dentro de la categorνa serα el determinado por la Autoridad Marνtima Nacional, de acuerdo con las estadνsticas de trαfico marνtimo reportadas para la jurisdicciσn en estudio.</w:t>
      </w:r>
    </w:p>
    <w:p>
      <w:pPr>
        <w:jc w:val="both"/>
      </w:pPr>
      <w:rPr>
        <w:sz w:val="24"/>
        <w:color w:val="black"/>
      </w:rPr>
    </w:p>
    <w:p>
      <w:pPr>
        <w:jc w:val="both"/>
      </w:pPr>
      <w:r>
        <w:rPr>
          <w:rFonts w:hAnsi="Arial"/>
          <w:rFonts w:ascii="Arial"/>
          <w:sz w:val="24"/>
          <w:color w:val="black"/>
        </w:rPr>
        <w:t xml:space="preserve">No obstante, los pilotos que se acrediten en cualquiera de las anteriores jurisdicciones, al momento de solicitar licencia para una segunda jurisdicciσn deben acreditar la realizaciσn de la totalidad de maniobras que se exigen para que se les reconozca su categorνa en dicha αrea.</w:t>
      </w:r>
    </w:p>
    <w:p>
      <w:pPr>
        <w:jc w:val="both"/>
      </w:pPr>
      <w:rPr>
        <w:sz w:val="24"/>
        <w:color w:val="black"/>
      </w:rPr>
    </w:p>
    <w:p>
      <w:pPr>
        <w:jc w:val="both"/>
      </w:pPr>
      <w:r>
        <w:rPr>
          <w:rFonts w:hAnsi="Arial"/>
          <w:rFonts w:ascii="Arial"/>
          <w:sz w:val="24"/>
          <w:color w:val="black"/>
        </w:rPr>
        <w:t xml:space="preserve">b) Realizar un entrenamiento efectivo, con una duraciσn mνnima de dos (2) meses y realizaciσn de veinticinco (25) maniobras diurnas y veinticinco (25) maniobras nocturnas en el puerto respectivo en embarcaciones de tonelaje superior a 10.000 Toneladas de Registro Bruto, TRB, y menores de 50.000 Toneladas de Registro Bruto, TRB, bajo la estrecha supervisiσn del Piloto Prαctico titular de la maniobra, que deberα poseer licencia vigente de Primera Categorνa o superior.</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 y fondeo.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las jurisdicciones especνficas donde el nϊmero de maniobras de entrenamiento de practicaje, requeridas en las diferentes categorνas, no se pueda completar en el tiempo aquν establecido, debido al bajo trαfico de buques, certificado por la Autoridad Marνtima Nacional, la duraciσn de las maniobras se podrα extender hasta por un periodo de seis (6) meses. La Autoridad Marνtima Nacional podrα cambiar el nϊmero de maniobras y/o el tiempo de realizaciσn para cada puerto con base en las necesidades, trαfico y dinαmica del transporte marνtimo.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las Jurisdicciones especνficas donde existan diferentes zonas portuarias las maniobras aquν establecidas, se efectuarαn proporcionalmente en las diferentes zonas portuarias de la jurisdicciσn.</w:t>
      </w:r>
    </w:p>
    <w:p>
      <w:pPr>
        <w:jc w:val="both"/>
      </w:pPr>
      <w:rPr>
        <w:sz w:val="24"/>
        <w:color w:val="black"/>
      </w:rPr>
    </w:p>
    <w:p>
      <w:pPr>
        <w:jc w:val="both"/>
      </w:pPr>
      <w:r>
        <w:rPr>
          <w:rFonts w:hAnsi="Arial"/>
          <w:rFonts w:ascii="Arial"/>
          <w:sz w:val="24"/>
          <w:color w:val="black"/>
        </w:rPr>
        <w:t xml:space="preserve">2.2. Piloto prαctico de primera categorνa aspirante a piloto maestro. El piloto prαctico de primera categorνa aspirante a maestro que cumpla los requisitos establecidos en el numeral 3 del artνculo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 para efectos de dar aplicaciσn a los literales f) y g) del mismo artνculo deberα:</w:t>
      </w:r>
    </w:p>
    <w:p>
      <w:pPr>
        <w:jc w:val="both"/>
      </w:pPr>
      <w:rPr>
        <w:sz w:val="24"/>
        <w:color w:val="black"/>
      </w:rPr>
    </w:p>
    <w:p>
      <w:pPr>
        <w:jc w:val="both"/>
      </w:pPr>
      <w:r>
        <w:rPr>
          <w:rFonts w:hAnsi="Arial"/>
          <w:rFonts w:ascii="Arial"/>
          <w:sz w:val="24"/>
          <w:color w:val="black"/>
        </w:rPr>
        <w:t xml:space="preserve">a) Acreditar la realizaciσn de un mνnimo de cuatrocientas (400) maniobras como piloto prαctico de primera categorνa en la jurisdicciσn;</w:t>
      </w:r>
    </w:p>
    <w:p>
      <w:pPr>
        <w:jc w:val="both"/>
      </w:pPr>
      <w:rPr>
        <w:sz w:val="24"/>
        <w:color w:val="black"/>
      </w:rPr>
    </w:p>
    <w:p>
      <w:pPr>
        <w:jc w:val="both"/>
      </w:pPr>
      <w:r>
        <w:rPr>
          <w:rFonts w:hAnsi="Arial"/>
          <w:rFonts w:ascii="Arial"/>
          <w:sz w:val="24"/>
          <w:color w:val="black"/>
        </w:rPr>
        <w:t xml:space="preserve">Para las jurisdicciones de Tumaco, Coveρas y San Andrιs el nϊmero mνnimo de maniobras, efectuadas como piloto dentro de la categorνa serα el determinado por la Autoridad Marνtima Nacional, de acuerdo con las estadνsticas de trαfico marνtimo reportadas para la jurisdicciσn en estudio.</w:t>
      </w:r>
    </w:p>
    <w:p>
      <w:pPr>
        <w:jc w:val="both"/>
      </w:pPr>
      <w:rPr>
        <w:sz w:val="24"/>
        <w:color w:val="black"/>
      </w:rPr>
    </w:p>
    <w:p>
      <w:pPr>
        <w:jc w:val="both"/>
      </w:pPr>
      <w:r>
        <w:rPr>
          <w:rFonts w:hAnsi="Arial"/>
          <w:rFonts w:ascii="Arial"/>
          <w:sz w:val="24"/>
          <w:color w:val="black"/>
        </w:rPr>
        <w:t xml:space="preserve">No obstante, los pilotos que se acrediten en cualquiera de las anteriores jurisdicciones, al momento de solicitar licencia para una segunda jurisdicciσn deben acreditar la realizaciσn de la totalidad de maniobras que se exigen para que se les reconozca su categorνa en dicha αrea.</w:t>
      </w:r>
    </w:p>
    <w:p>
      <w:pPr>
        <w:jc w:val="both"/>
      </w:pPr>
      <w:rPr>
        <w:sz w:val="24"/>
        <w:color w:val="black"/>
      </w:rPr>
    </w:p>
    <w:p>
      <w:pPr>
        <w:jc w:val="both"/>
      </w:pPr>
      <w:r>
        <w:rPr>
          <w:rFonts w:hAnsi="Arial"/>
          <w:rFonts w:ascii="Arial"/>
          <w:sz w:val="24"/>
          <w:color w:val="black"/>
        </w:rPr>
        <w:t xml:space="preserve">b) Realizar un entrenamiento efectivo, con una duraciσn mνnima de dos (2) meses y realizaciσn de cincuenta (50) maniobras de entrenamiento, veinticinco (25) diurnas y veinticinco (25) nocturnas en buques de arqueo igual o superior a 50.000 Toneladas de Registro Bruto, TRB, dentro de los tres (3) meses siguientes contados a partir de la fecha del inicio del entrenamiento.</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 y fondeo.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las jurisdicciones especνficas donde el nϊmero de maniobras de entrenamiento de practicaje, requeridas en las diferentes categorνas, no se pueda completar en el tiempo aquν establecido, debido al bajo trαfico de buques, certificado por la Autoridad Marνtima Nacional, la duraciσn de las maniobras se podrα extender hasta por un periodo de seis (6) meses. La Autoridad Marνtima Nacional podrα cambiar el nϊmero de maniobras y/o el tiempo de realizaciσn, para cada puerto con base en las necesidades, trαfico y dinαmica del transporte marνtimo.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las jurisdicciones especνficas donde existan diferentes zonas portuarias las maniobras aquν establecidas, se efectuarαn proporcionalmente en las diferentes zonas portuarias de la jurisdicciσn.</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 xml:space="preserve">, adicionado por el Decreto </w:t>
      </w:r>
      <w:r>
        <w:fldChar w:fldCharType="begin"/>
      </w:r>
      <w:r>
        <w:instrText>HYPERLINK "http://www.redjurista.com/document.aspx?ajcode=d3703007&amp;arts=INICIO"</w:instrText>
      </w:r>
      <w:r>
        <w:fldChar w:fldCharType="separate"/>
      </w:r>
      <w:r>
        <w:rPr>
          <w:rFonts w:hAnsi="Arial"/>
          <w:rFonts w:ascii="Arial"/>
          <w:sz w:val="24"/>
          <w:i/>
          <w:u w:val="single"/>
          <w:color w:val="black"/>
        </w:rPr>
        <w:t>3703</w:t>
      </w:r>
      <w:r>
        <w:fldChar w:fldCharType="end"/>
      </w:r>
      <w:r>
        <w:rPr>
          <w:rFonts w:hAnsi="Arial"/>
          <w:rFonts w:ascii="Arial"/>
          <w:sz w:val="24"/>
          <w:i/>
          <w:u w:val="none"/>
          <w:color w:val="black"/>
        </w:rPr>
        <w:t xml:space="preserve"> de 2007)</w:t>
      </w:r>
    </w:p>
    <w:p>
      <w:pPr>
        <w:jc w:val="both"/>
      </w:pPr>
      <w:rPr>
        <w:sz w:val="24"/>
        <w:color w:val="black"/>
      </w:rPr>
    </w:p>
    <w:p>
      <w:pPr>
        <w:jc w:val="both"/>
      </w:pPr>
      <w:r>
        <w:rPr>
          <w:rFonts w:hAnsi="Arial"/>
          <w:rFonts w:ascii="Arial"/>
          <w:sz w:val="24"/>
          <w:vanish/>
          <w:color w:val="black"/>
        </w:rPr>
        <w:t>&amp;$</w:t>
      </w:r>
      <w:bookmarkStart w:id="61547" w:name="2.4.1.2.5.4"/>
      <w:r>
        <w:rPr>
          <w:rFonts w:hAnsi="Arial"/>
          <w:rFonts w:ascii="Arial"/>
          <w:sz w:val="24"/>
          <w:color w:val="navy"/>
        </w:rPr>
        <w:t xml:space="preserve">ARTΝCULO 2.4.1.2.5.4. </w:t>
      </w:r>
      <w:r>
        <w:rPr>
          <w:rFonts w:hAnsi="Arial"/>
          <w:rFonts w:ascii="Arial"/>
          <w:sz w:val="24"/>
          <w:i/>
          <w:color w:val="navy"/>
        </w:rPr>
        <w:t xml:space="preserve">LICENCIA DE PRACTICAJE PARA JURISDICCIΣN DIFERENTE.</w:t>
      </w:r>
      <w:bookmarkEnd w:id="61547"/>
      <w:r>
        <w:rPr>
          <w:rFonts w:hAnsi="Arial"/>
          <w:rFonts w:ascii="Arial"/>
          <w:sz w:val="24"/>
          <w:b/>
          <w:i/>
          <w:color w:val="black"/>
        </w:rPr>
        <w:t xml:space="preserve"> </w:t>
      </w:r>
      <w:r>
        <w:rPr>
          <w:rFonts w:hAnsi="Arial"/>
          <w:rFonts w:ascii="Arial"/>
          <w:sz w:val="24"/>
          <w:color w:val="black"/>
        </w:rPr>
        <w:t xml:space="preserve">El Piloto Prαctico con Licencia vigente para una jurisdicciσn especνfica para desarrollar la actividad de Practicaje en una jurisdicciσn especνfica diferente, que cumpla los requisitos establecidos en el artνculo </w:t>
      </w:r>
      <w:r>
        <w:fldChar w:fldCharType="begin"/>
      </w:r>
      <w:r>
        <w:instrText>HYPERLINK "http://www.redjurista.com/document.aspx?ajcode=l0658001&amp;arts=22"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658 de 2001, para efectos de dar aplicaciσn a los numerales 3o y 4o del mismo artνculo deberα:</w:t>
      </w:r>
    </w:p>
    <w:p>
      <w:pPr>
        <w:jc w:val="both"/>
      </w:pPr>
      <w:rPr>
        <w:sz w:val="24"/>
        <w:color w:val="black"/>
      </w:rPr>
    </w:p>
    <w:p>
      <w:pPr>
        <w:jc w:val="both"/>
      </w:pPr>
      <w:r>
        <w:rPr>
          <w:rFonts w:hAnsi="Arial"/>
          <w:rFonts w:ascii="Arial"/>
          <w:sz w:val="24"/>
          <w:color w:val="black"/>
        </w:rPr>
        <w:t xml:space="preserve">a) Acreditar el desempeρo durante tres (3) aρos o mαs, como piloto prαctico en la jurisdicciσn actual, con la realizaciσn mνnima de ciento cincuenta (150) maniobras de practicaje;</w:t>
      </w:r>
    </w:p>
    <w:p>
      <w:pPr>
        <w:jc w:val="both"/>
      </w:pPr>
      <w:rPr>
        <w:sz w:val="24"/>
        <w:color w:val="black"/>
      </w:rPr>
    </w:p>
    <w:p>
      <w:pPr>
        <w:jc w:val="both"/>
      </w:pPr>
      <w:r>
        <w:rPr>
          <w:rFonts w:hAnsi="Arial"/>
          <w:rFonts w:ascii="Arial"/>
          <w:sz w:val="24"/>
          <w:color w:val="black"/>
        </w:rPr>
        <w:t xml:space="preserve">b) Efectuar cincuenta (50) maniobras de entrenamiento veinticinco (25) diurnas y veinticinco (25) nocturnas en un periodo de cuatro (4) meses, en la jurisdicciσn especνfica de la Capitanνa de Puerto en la cual aspira a obtener Licencia de Piloto Prαctico bajo la estrecha supervisiσn del Piloto Prαctico titular de la maniobra.</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 y fondeo.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las jurisdicciones especνficas donde el nϊmero de maniobras de entrenamiento de practicaje, requeridas en las diferentes categorνas, no se pueda contemplar en el tiempo aquν establecido debido al bajo trαfico de buques, certificado por la Autoridad Marνtima Nacional, la duraciσn de las maniobras se podrα extender hasta por un periodo de seis (6) meses. La Autoridad Marνtima Nacional podrα cambiar el nϊmero de maniobras y/o el tiempo de realizaciσn, para cada puerto con base en las necesidades, trαfico y dinαmica del transporte marνtimo.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las jurisdicciones especνficas donde existan diferentes terminales portuarios las cincuenta (50) maniobras de que trata el presente artνculo, se efectuarαn mνnimo en el 30% de aquellas donde ingresen buques correspondientes al tonelaje para el cual se solicita el entrenamiento.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"http://www.redjurista.com/document.aspx?ajcode=d3703007&amp;arts=7"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 del Decreto 3703 de 2007)</w:t>
      </w:r>
    </w:p>
    <w:p>
      <w:pPr>
        <w:jc w:val="both"/>
      </w:pPr>
      <w:rPr>
        <w:color w:val="black"/>
      </w:rPr>
    </w:p>
    <w:p>
      <w:pPr>
        <w:jc w:val="both"/>
      </w:pPr>
      <w:r>
        <w:rPr>
          <w:rFonts w:hAnsi="Arial"/>
          <w:rFonts w:ascii="Arial"/>
          <w:sz w:val="24"/>
          <w:vanish/>
          <w:color w:val="black"/>
        </w:rPr>
        <w:t>&amp;$</w:t>
      </w:r>
      <w:bookmarkStart w:id="61548" w:name="2.4.1.2.5.5"/>
      <w:r>
        <w:rPr>
          <w:rFonts w:hAnsi="Arial"/>
          <w:rFonts w:ascii="Arial"/>
          <w:sz w:val="24"/>
          <w:color w:val="navy"/>
        </w:rPr>
        <w:t xml:space="preserve">ARTΝCULO 2.4.1.2.5.5. </w:t>
      </w:r>
      <w:r>
        <w:rPr>
          <w:rFonts w:hAnsi="Arial"/>
          <w:rFonts w:ascii="Arial"/>
          <w:sz w:val="24"/>
          <w:i/>
          <w:color w:val="navy"/>
        </w:rPr>
        <w:t xml:space="preserve">PROCEDIMIENTO PARA LA SOLICITUD Y PRΑCTICA DE LAS MANIOBRAS QUE HACEN PARTE DEL ENTRENAMIENTO PARA OTRA JURISDICCIΣN.</w:t>
      </w:r>
      <w:bookmarkEnd w:id="61548"/>
      <w:r>
        <w:rPr>
          <w:rFonts w:hAnsi="Arial"/>
          <w:rFonts w:ascii="Arial"/>
          <w:sz w:val="24"/>
          <w:b/>
          <w:i/>
          <w:color w:val="black"/>
        </w:rPr>
        <w:t xml:space="preserve"> </w:t>
      </w:r>
      <w:r>
        <w:rPr>
          <w:rFonts w:hAnsi="Arial"/>
          <w:rFonts w:ascii="Arial"/>
          <w:sz w:val="24"/>
          <w:color w:val="black"/>
        </w:rPr>
        <w:t xml:space="preserve">El procedimiento para el entrenamiento de pilotos que soliciten jurisdicciσn diferente, serα el que a continuaciσn se detalla:</w:t>
      </w:r>
    </w:p>
    <w:p>
      <w:pPr>
        <w:jc w:val="both"/>
      </w:pPr>
      <w:rPr>
        <w:sz w:val="24"/>
        <w:color w:val="black"/>
      </w:rPr>
    </w:p>
    <w:p>
      <w:pPr>
        <w:jc w:val="both"/>
      </w:pPr>
      <w:r>
        <w:rPr>
          <w:rFonts w:hAnsi="Arial"/>
          <w:rFonts w:ascii="Arial"/>
          <w:sz w:val="24"/>
          <w:color w:val="black"/>
        </w:rPr>
        <w:t xml:space="preserve">1. Solicitud formal de entrenamiento.</w:t>
      </w:r>
    </w:p>
    <w:p>
      <w:pPr>
        <w:jc w:val="both"/>
      </w:pPr>
      <w:rPr>
        <w:sz w:val="24"/>
        <w:color w:val="black"/>
      </w:rPr>
    </w:p>
    <w:p>
      <w:pPr>
        <w:jc w:val="both"/>
      </w:pPr>
      <w:r>
        <w:rPr>
          <w:rFonts w:hAnsi="Arial"/>
          <w:rFonts w:ascii="Arial"/>
          <w:sz w:val="24"/>
          <w:color w:val="black"/>
        </w:rPr>
        <w:t xml:space="preserve">a) El piloto prαctico que solicite otra jurisdicciσn, directamente o por intermedio de una empresa de practicaje inscrita ante la Autoridad Marνtima Nacional y con licencia vigente para la otra jurisdicciσn, solicitarα formalmente a la Autoridad Marνtima Nacional por intermedio de la Capitanνa de Puerto de la otra jurisdicciσn, la autorizaciσn para su entrenamiento.</w:t>
      </w:r>
    </w:p>
    <w:p>
      <w:pPr>
        <w:jc w:val="both"/>
      </w:pPr>
      <w:rPr>
        <w:sz w:val="24"/>
        <w:color w:val="black"/>
      </w:rPr>
    </w:p>
    <w:p>
      <w:pPr>
        <w:jc w:val="both"/>
      </w:pPr>
      <w:r>
        <w:rPr>
          <w:rFonts w:hAnsi="Arial"/>
          <w:rFonts w:ascii="Arial"/>
          <w:sz w:val="24"/>
          <w:color w:val="black"/>
        </w:rPr>
        <w:t xml:space="preserve">Cuando la solicitud se haya presentado a travιs de una empresa de practicaje, esta avalarα la peticiσn y se responsabilizarα del entrenamiento, debiendo presentar a la Autoridad Marνtima Nacional, copia de la pσliza en la que conste el seguro de responsabilidad civil extracontractual constituido para tal fin. En el caso de que la solicitud se presente directamente, la Autoridad Marνtima Nacional exigirα la contrataciσn de un seguro de responsabilidad civil extracontractual para garantizar el pago de los daρos y perjuicios causados por los siniestros que puedan ocurrir durante el entrenamiento;</w:t>
      </w:r>
    </w:p>
    <w:p>
      <w:pPr>
        <w:jc w:val="both"/>
      </w:pPr>
      <w:rPr>
        <w:sz w:val="24"/>
        <w:color w:val="black"/>
      </w:rPr>
    </w:p>
    <w:p>
      <w:pPr>
        <w:jc w:val="both"/>
      </w:pPr>
      <w:r>
        <w:rPr>
          <w:rFonts w:hAnsi="Arial"/>
          <w:rFonts w:ascii="Arial"/>
          <w:sz w:val="24"/>
          <w:color w:val="black"/>
        </w:rPr>
        <w:t xml:space="preserve">b) Las Capitanνas de Puerto recibirαn solicitudes de entrenamiento para otra jurisdicciσn diferente en cualquier ιpoca del aρo.</w:t>
      </w:r>
    </w:p>
    <w:p>
      <w:pPr>
        <w:jc w:val="both"/>
      </w:pPr>
      <w:rPr>
        <w:sz w:val="24"/>
        <w:color w:val="black"/>
      </w:rPr>
    </w:p>
    <w:p>
      <w:pPr>
        <w:jc w:val="both"/>
      </w:pPr>
      <w:r>
        <w:rPr>
          <w:rFonts w:hAnsi="Arial"/>
          <w:rFonts w:ascii="Arial"/>
          <w:sz w:val="24"/>
          <w:color w:val="black"/>
        </w:rPr>
        <w:t xml:space="preserve">2. Comunicaciσn de aceptaciσn de la solicitud y coordinaciσn del entrenamiento.</w:t>
      </w:r>
    </w:p>
    <w:p>
      <w:pPr>
        <w:jc w:val="both"/>
      </w:pPr>
      <w:rPr>
        <w:sz w:val="24"/>
        <w:color w:val="black"/>
      </w:rPr>
    </w:p>
    <w:p>
      <w:pPr>
        <w:jc w:val="both"/>
      </w:pPr>
      <w:r>
        <w:rPr>
          <w:rFonts w:hAnsi="Arial"/>
          <w:rFonts w:ascii="Arial"/>
          <w:sz w:val="24"/>
          <w:color w:val="black"/>
        </w:rPr>
        <w:t xml:space="preserve">Autorizado el entrenamiento de Practicaje por la Autoridad Marνtima Nacional, la Capitanνa de Puerto confirmarα por escrito al representante legal de la Empresa de Practicaje de la jurisdicciσn especνfica, o al solicitante que actϊa en su propio nombre, segϊn el caso, que puede iniciarse el entrenamiento y coordinarα las condiciones en las cuales se iniciarα el entrenamiento, comunicando la fecha de iniciaciσn del mismo.</w:t>
      </w:r>
    </w:p>
    <w:p>
      <w:pPr>
        <w:jc w:val="both"/>
      </w:pPr>
      <w:rPr>
        <w:sz w:val="24"/>
        <w:color w:val="black"/>
      </w:rPr>
    </w:p>
    <w:p>
      <w:pPr>
        <w:jc w:val="both"/>
      </w:pPr>
      <w:r>
        <w:rPr>
          <w:rFonts w:hAnsi="Arial"/>
          <w:rFonts w:ascii="Arial"/>
          <w:sz w:val="24"/>
          <w:color w:val="black"/>
        </w:rPr>
        <w:t xml:space="preserve">3. Entrenamiento personalizado individual.</w:t>
      </w:r>
    </w:p>
    <w:p>
      <w:pPr>
        <w:jc w:val="both"/>
      </w:pPr>
      <w:rPr>
        <w:sz w:val="24"/>
        <w:color w:val="black"/>
      </w:rPr>
    </w:p>
    <w:p>
      <w:pPr>
        <w:jc w:val="both"/>
      </w:pPr>
      <w:r>
        <w:rPr>
          <w:rFonts w:hAnsi="Arial"/>
          <w:rFonts w:ascii="Arial"/>
          <w:sz w:val="24"/>
          <w:color w:val="black"/>
        </w:rPr>
        <w:t xml:space="preserve">El entrenamiento del piloto prαctico solicitante, se llevarα a cabo de manera personal e individual.</w:t>
      </w:r>
    </w:p>
    <w:p>
      <w:pPr>
        <w:jc w:val="both"/>
      </w:pPr>
      <w:rPr>
        <w:sz w:val="24"/>
        <w:color w:val="black"/>
      </w:rPr>
    </w:p>
    <w:p>
      <w:pPr>
        <w:jc w:val="both"/>
      </w:pPr>
      <w:r>
        <w:rPr>
          <w:rFonts w:hAnsi="Arial"/>
          <w:rFonts w:ascii="Arial"/>
          <w:sz w:val="24"/>
          <w:color w:val="black"/>
        </w:rPr>
        <w:t xml:space="preserve">4. Control de las maniobras de entrenamiento.</w:t>
      </w:r>
    </w:p>
    <w:p>
      <w:pPr>
        <w:jc w:val="both"/>
      </w:pPr>
      <w:rPr>
        <w:sz w:val="24"/>
        <w:color w:val="black"/>
      </w:rPr>
    </w:p>
    <w:p>
      <w:pPr>
        <w:jc w:val="both"/>
      </w:pPr>
      <w:r>
        <w:rPr>
          <w:rFonts w:hAnsi="Arial"/>
          <w:rFonts w:ascii="Arial"/>
          <w:sz w:val="24"/>
          <w:color w:val="black"/>
        </w:rPr>
        <w:t xml:space="preserve">a) La Capitanνa de Puerto de la jurisdicciσn especνfica donde se desarrolle un entrenamiento de Practicaje llevarα el registro y control de las maniobras de entrenamiento en el Libro de Control de Pilotos Prαcticos y de acuerdo al formato determinado por la Autoridad Marνtima Nacional, el cual debe ser firmado por el piloto instructor, el Capitαn de la nave y el Capitαn de Puerto;</w:t>
      </w:r>
    </w:p>
    <w:p>
      <w:pPr>
        <w:jc w:val="both"/>
      </w:pPr>
      <w:rPr>
        <w:sz w:val="24"/>
        <w:color w:val="black"/>
      </w:rPr>
    </w:p>
    <w:p>
      <w:pPr>
        <w:jc w:val="both"/>
      </w:pPr>
      <w:r>
        <w:rPr>
          <w:rFonts w:hAnsi="Arial"/>
          <w:rFonts w:ascii="Arial"/>
          <w:sz w:val="24"/>
          <w:color w:val="black"/>
        </w:rPr>
        <w:t xml:space="preserve">b) El cumplimiento de entrenamiento serα supervisado por el piloto titular de la maniobra, quien serα el responsable del desarrollo integral del entrenamiento de pilotos.</w:t>
      </w:r>
    </w:p>
    <w:p>
      <w:pPr>
        <w:jc w:val="both"/>
      </w:pPr>
      <w:rPr>
        <w:sz w:val="24"/>
        <w:color w:val="black"/>
      </w:rPr>
    </w:p>
    <w:p>
      <w:pPr>
        <w:jc w:val="both"/>
      </w:pPr>
      <w:r>
        <w:rPr>
          <w:rFonts w:hAnsi="Arial"/>
          <w:rFonts w:ascii="Arial"/>
          <w:sz w:val="24"/>
          <w:color w:val="black"/>
        </w:rPr>
        <w:t xml:space="preserve">Serαn nombrados como pilotos titulares de la maniobra de entrenamiento, una cuarta parte de los pilotos de la categorνa de entrenamiento, que tengan licencia vigente en la respectiva jurisdicciσn.</w:t>
      </w:r>
    </w:p>
    <w:p>
      <w:pPr>
        <w:jc w:val="both"/>
      </w:pPr>
      <w:rPr>
        <w:sz w:val="24"/>
        <w:color w:val="black"/>
      </w:rPr>
    </w:p>
    <w:p>
      <w:pPr>
        <w:jc w:val="both"/>
      </w:pPr>
      <w:r>
        <w:rPr>
          <w:rFonts w:hAnsi="Arial"/>
          <w:rFonts w:ascii="Arial"/>
          <w:sz w:val="24"/>
          <w:color w:val="black"/>
        </w:rPr>
        <w:t xml:space="preserve">El entrenamiento serα certificado por el Capitαn de Puerto o la persona que ιl designe para el respectivo registro y control de maniobras, con base en la evaluaciσn del piloto supervisor.</w:t>
      </w:r>
    </w:p>
    <w:p>
      <w:pPr>
        <w:jc w:val="both"/>
      </w:pPr>
      <w:rPr>
        <w:sz w:val="24"/>
        <w:color w:val="black"/>
      </w:rPr>
    </w:p>
    <w:p>
      <w:pPr>
        <w:jc w:val="both"/>
      </w:pPr>
      <w:r>
        <w:rPr>
          <w:rFonts w:hAnsi="Arial"/>
          <w:rFonts w:ascii="Arial"/>
          <w:sz w:val="24"/>
          <w:color w:val="black"/>
        </w:rPr>
        <w:t xml:space="preserve">5. Finalizaciσn de las maniobras de entrenamiento.</w:t>
      </w:r>
    </w:p>
    <w:p>
      <w:pPr>
        <w:jc w:val="both"/>
      </w:pPr>
      <w:rPr>
        <w:sz w:val="24"/>
        <w:color w:val="black"/>
      </w:rPr>
    </w:p>
    <w:p>
      <w:pPr>
        <w:jc w:val="both"/>
      </w:pPr>
      <w:r>
        <w:rPr>
          <w:rFonts w:hAnsi="Arial"/>
          <w:rFonts w:ascii="Arial"/>
          <w:sz w:val="24"/>
          <w:color w:val="black"/>
        </w:rPr>
        <w:t xml:space="preserve">Se considera finalizado el entrenamiento de Practicaje cuando se cumplan los siguientes requisitos:</w:t>
      </w:r>
    </w:p>
    <w:p>
      <w:pPr>
        <w:jc w:val="both"/>
      </w:pPr>
      <w:rPr>
        <w:sz w:val="24"/>
        <w:color w:val="black"/>
      </w:rPr>
    </w:p>
    <w:p>
      <w:pPr>
        <w:jc w:val="both"/>
      </w:pPr>
      <w:r>
        <w:rPr>
          <w:rFonts w:hAnsi="Arial"/>
          <w:rFonts w:ascii="Arial"/>
          <w:sz w:val="24"/>
          <w:color w:val="black"/>
        </w:rPr>
        <w:t xml:space="preserve">a) Se expida el certificado de finalizaciσn del entrenamiento de practicaje por la Capitanνa de Puerto, en el que conste fecha y hora de ejecuciσn de las maniobras, nombre, bandera y tonelaje de los buques respectivos;</w:t>
      </w:r>
    </w:p>
    <w:p>
      <w:pPr>
        <w:jc w:val="both"/>
      </w:pPr>
      <w:rPr>
        <w:sz w:val="24"/>
        <w:color w:val="black"/>
      </w:rPr>
    </w:p>
    <w:p>
      <w:pPr>
        <w:jc w:val="both"/>
      </w:pPr>
      <w:r>
        <w:rPr>
          <w:rFonts w:hAnsi="Arial"/>
          <w:rFonts w:ascii="Arial"/>
          <w:sz w:val="24"/>
          <w:color w:val="black"/>
        </w:rPr>
        <w:t xml:space="preserve">b) Se apruebe el Examen de Competencia en la parte teσrica y se realicen las maniobras de evaluaciσn prαctica, que determine la Capitanνa de Puerto respectiva, de acuerdo con el tipo de maniobras que se practiquen en la jurisdicciσn, sin que el nϊmero sea inferior a cuatro (4) diurnas y cuatro (4) nocturnas y califique la Junta Examinadora, debiendo obtener una calificaciσn igual o superior a ocho punto cero (8.0) sobre diez punto cero (10.0) para cada evaluaciσn.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el entrenamiento de los pilotos prαcticos oficiales, la Autoridad Marνtima Nacional designarα la empresa de practicaje que estarα obligada a realizar y garantizar el entrenamiento de los mismos, en los tιrminos determinados por esta.</w:t>
      </w:r>
    </w:p>
    <w:p>
      <w:pPr>
        <w:jc w:val="both"/>
      </w:pPr>
      <w:rPr>
        <w:sz w:val="24"/>
        <w:color w:val="black"/>
      </w:rPr>
    </w:p>
    <w:p>
      <w:pPr>
        <w:jc w:val="both"/>
      </w:pPr>
      <w:r>
        <w:rPr>
          <w:rFonts w:hAnsi="Arial"/>
          <w:rFonts w:ascii="Arial"/>
          <w:sz w:val="24"/>
          <w:i/>
          <w:color w:val="black"/>
        </w:rPr>
        <w:t xml:space="preserve">(Decreto 3703 de 2007 artνculo </w:t>
      </w:r>
      <w:r>
        <w:fldChar w:fldCharType="begin"/>
      </w:r>
      <w:r>
        <w:instrText>HYPERLINK "http://www.redjurista.com/document.aspx?ajcode=d3703007&amp;arts=8"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49" w:name="2.4.1.2.5.6"/>
      <w:r>
        <w:rPr>
          <w:rFonts w:hAnsi="Arial"/>
          <w:rFonts w:ascii="Arial"/>
          <w:sz w:val="24"/>
          <w:color w:val="navy"/>
        </w:rPr>
        <w:t xml:space="preserve">ARTΝCULO 2.4.1.2.5.6. SUSPENSIΣN DEL ENTRENAMIENTO.</w:t>
      </w:r>
      <w:bookmarkEnd w:id="61549"/>
      <w:r>
        <w:rPr>
          <w:rFonts w:hAnsi="Arial"/>
          <w:rFonts w:ascii="Arial"/>
          <w:sz w:val="24"/>
          <w:b/>
          <w:color w:val="black"/>
        </w:rPr>
        <w:t xml:space="preserve"> </w:t>
      </w:r>
      <w:r>
        <w:rPr>
          <w:rFonts w:hAnsi="Arial"/>
          <w:rFonts w:ascii="Arial"/>
          <w:sz w:val="24"/>
          <w:color w:val="black"/>
        </w:rPr>
        <w:t xml:space="preserve">Cuando se suspenda el entrenamiento de un aspirante a Piloto Prαctico o de un Piloto Prαctico por cambio de categorνa y/o de jurisdicciσn, por un tiempo superior a 2 meses, las maniobras registradas ante la Capitanνa de Puerto no podrαn convalidarse en fecha posterior a la de la suspensiσn, con el fin de tramitar la expediciσn de la licencia.</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50" w:name="SECCIÓN 2.4.1.2.6"/>
      <w:r>
        <w:rPr>
          <w:rFonts w:hAnsi="Arial"/>
          <w:rFonts w:ascii="Arial"/>
          <w:sz w:val="24"/>
          <w:color w:val="navy"/>
        </w:rPr>
        <w:t xml:space="preserve">SECCIΣN 6. </w:t>
      </w:r>
    </w:p>
    <w:p>
      <w:pPr>
        <w:jc w:val="center"/>
      </w:pPr>
      <w:r>
        <w:rPr>
          <w:rFonts w:hAnsi="Arial"/>
          <w:rFonts w:ascii="Arial"/>
          <w:sz w:val="24"/>
          <w:color w:val="navy"/>
        </w:rPr>
        <w:t xml:space="preserve">DEL EJERCICIO DE LA ACTIVIDAD MARΝTIMA DE PRACTICAJE.</w:t>
      </w:r>
      <w:bookmarkEnd w:id="6155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51" w:name="2.4.1.2.6.1"/>
      <w:r>
        <w:rPr>
          <w:rFonts w:hAnsi="Arial"/>
          <w:rFonts w:ascii="Arial"/>
          <w:sz w:val="24"/>
          <w:color w:val="navy"/>
        </w:rPr>
        <w:t xml:space="preserve">ARTΝCULO 2.4.1.2.6.1. </w:t>
      </w:r>
      <w:r>
        <w:rPr>
          <w:rFonts w:hAnsi="Arial"/>
          <w:rFonts w:ascii="Arial"/>
          <w:sz w:val="24"/>
          <w:i/>
          <w:color w:val="navy"/>
        </w:rPr>
        <w:t xml:space="preserve">EJERCICIO DEL CONTROL DE LA ACTIVIDAD MARΝTIMA DE PRACTICAJE.</w:t>
      </w:r>
      <w:bookmarkEnd w:id="61551"/>
      <w:r>
        <w:rPr>
          <w:rFonts w:hAnsi="Arial"/>
          <w:rFonts w:ascii="Arial"/>
          <w:sz w:val="24"/>
          <w:b/>
          <w:i/>
          <w:color w:val="black"/>
        </w:rPr>
        <w:t xml:space="preserve"> </w:t>
      </w:r>
      <w:r>
        <w:rPr>
          <w:rFonts w:hAnsi="Arial"/>
          <w:rFonts w:ascii="Arial"/>
          <w:sz w:val="24"/>
          <w:color w:val="black"/>
        </w:rPr>
        <w:t xml:space="preserve">La Autoridad Marνtima Nacional a travιs de las Capitanνas de Puerto ejercerα el control y vigilancia en la prestaciσn del servicio pϊblico marνtimo y fluvial de practicaje de manera que se garantice su prestaciσn de forma segura, continua y eficiente, procurando que se cuente permanentemente con un nϊmero mνnimo de pilotos prαcticos debidamente licenciados para cada jurisdicciσn, con la infraestructura y equipos adecuados, que garanticen la seguridad de la vida en el mar, la seguridad de las embarcaciones, de las instalaciones portuarias, la protecciσn del medio ambiente y el beneficio pϊblico de acuerdo con lo establecido en el presente Capνtulo y en la ley.</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52" w:name="2.4.1.2.6.2"/>
      <w:r>
        <w:rPr>
          <w:rFonts w:hAnsi="Arial"/>
          <w:rFonts w:ascii="Arial"/>
          <w:sz w:val="24"/>
          <w:color w:val="navy"/>
        </w:rPr>
        <w:t xml:space="preserve">ARTΝCULO 2.4.1.2.6.2. </w:t>
      </w:r>
      <w:r>
        <w:rPr>
          <w:rFonts w:hAnsi="Arial"/>
          <w:rFonts w:ascii="Arial"/>
          <w:sz w:val="24"/>
          <w:i/>
          <w:color w:val="navy"/>
        </w:rPr>
        <w:t xml:space="preserve">NΪMERO MΝNIMO DE PILOTOS PRΑCTICOS POR JURISDICCIΣN.</w:t>
      </w:r>
      <w:bookmarkEnd w:id="61552"/>
      <w:r>
        <w:rPr>
          <w:rFonts w:hAnsi="Arial"/>
          <w:rFonts w:ascii="Arial"/>
          <w:sz w:val="24"/>
          <w:b/>
          <w:i/>
          <w:color w:val="black"/>
        </w:rPr>
        <w:t xml:space="preserve"> </w:t>
      </w:r>
      <w:r>
        <w:rPr>
          <w:rFonts w:hAnsi="Arial"/>
          <w:rFonts w:ascii="Arial"/>
          <w:sz w:val="24"/>
          <w:color w:val="black"/>
        </w:rPr>
        <w:t xml:space="preserve">El nϊmero mνnimo de pilotos prαcticos en cada puerto serα determinado por la Autoridad Marνtima Nacional mediante resoluciσn, de acuerdo con las necesidades del mismo.</w:t>
      </w:r>
    </w:p>
    <w:p>
      <w:pPr>
        <w:jc w:val="both"/>
      </w:pPr>
      <w:rPr>
        <w:sz w:val="24"/>
        <w:color w:val="black"/>
      </w:rPr>
    </w:p>
    <w:p>
      <w:pPr>
        <w:jc w:val="both"/>
      </w:pPr>
      <w:r>
        <w:rPr>
          <w:rFonts w:hAnsi="Arial"/>
          <w:rFonts w:ascii="Arial"/>
          <w:sz w:val="24"/>
          <w:color w:val="black"/>
        </w:rPr>
        <w:t xml:space="preserve">El nϊmero mνnimo de pilotos por jurisdicciσn, se establecerα teniendo en cuenta que el servicio de practicaje, debe contar con un nϊmero de pilotos disponibles permanentemente veinticuatro (24) horas/dνa, para atender el servicio.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"http://www.redjurista.com/document.aspx?ajcode=d3703007&amp;arts=9"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 del Decreto 3703 de 2007)</w:t>
      </w:r>
    </w:p>
    <w:p>
      <w:pPr>
        <w:jc w:val="both"/>
      </w:pPr>
      <w:rPr>
        <w:color w:val="black"/>
      </w:rPr>
    </w:p>
    <w:p>
      <w:pPr>
        <w:jc w:val="both"/>
      </w:pPr>
      <w:r>
        <w:rPr>
          <w:rFonts w:hAnsi="Arial"/>
          <w:rFonts w:ascii="Arial"/>
          <w:sz w:val="24"/>
          <w:vanish/>
          <w:color w:val="black"/>
        </w:rPr>
        <w:t>&amp;$</w:t>
      </w:r>
      <w:bookmarkStart w:id="61553" w:name="2.4.1.2.6.3"/>
      <w:r>
        <w:rPr>
          <w:rFonts w:hAnsi="Arial"/>
          <w:rFonts w:ascii="Arial"/>
          <w:sz w:val="24"/>
          <w:color w:val="navy"/>
        </w:rPr>
        <w:t xml:space="preserve">ARTΝCULO 2.4.1.2.6.3. </w:t>
      </w:r>
      <w:r>
        <w:rPr>
          <w:rFonts w:hAnsi="Arial"/>
          <w:rFonts w:ascii="Arial"/>
          <w:sz w:val="24"/>
          <w:i/>
          <w:color w:val="navy"/>
        </w:rPr>
        <w:t xml:space="preserve">CRITERIOS PARA DETERMINAR EL NΪMERO MΝNIMO DE PILOTOS.</w:t>
      </w:r>
      <w:bookmarkEnd w:id="61553"/>
      <w:r>
        <w:rPr>
          <w:rFonts w:hAnsi="Arial"/>
          <w:rFonts w:ascii="Arial"/>
          <w:sz w:val="24"/>
          <w:b/>
          <w:i/>
          <w:color w:val="black"/>
        </w:rPr>
        <w:t xml:space="preserve"> </w:t>
      </w:r>
      <w:r>
        <w:rPr>
          <w:rFonts w:hAnsi="Arial"/>
          <w:rFonts w:ascii="Arial"/>
          <w:sz w:val="24"/>
          <w:color w:val="black"/>
        </w:rPr>
        <w:t xml:space="preserve">La Autoridad Marνtima Nacional determinarα los criterios para establecer el nϊmero mνnimo de pilotos prαcticos por jurisdicciσn, teniendo en cuenta las estadνsticas de la jurisdicciσn correspondiente respecto al promedio de volϊmenes de trαfico de buques en el ϊltimo aρo, promedio de incremento de los volϊmenes de trαfico de buques en los ϊltimos tres (3) aρos y el nϊmero mαximo de maniobras diarias por piloto Prαctico, respetando el tiempo de descanso que determine la Autoridad Marνtima.</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"http://www.redjurista.com/document.aspx?ajcode=d3703007&amp;arts=10"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del Decreto 3703 de 2007)</w:t>
      </w:r>
    </w:p>
    <w:p>
      <w:pPr>
        <w:jc w:val="both"/>
      </w:pPr>
      <w:rPr>
        <w:sz w:val="24"/>
        <w:color w:val="black"/>
      </w:rPr>
    </w:p>
    <w:p>
      <w:pPr>
        <w:jc w:val="both"/>
      </w:pPr>
      <w:r>
        <w:rPr>
          <w:rFonts w:hAnsi="Arial"/>
          <w:rFonts w:ascii="Arial"/>
          <w:sz w:val="24"/>
          <w:vanish/>
          <w:color w:val="black"/>
        </w:rPr>
        <w:t>&amp;$</w:t>
      </w:r>
      <w:bookmarkStart w:id="61554" w:name="2.4.1.2.6.4"/>
      <w:r>
        <w:rPr>
          <w:rFonts w:hAnsi="Arial"/>
          <w:rFonts w:ascii="Arial"/>
          <w:sz w:val="24"/>
          <w:color w:val="navy"/>
        </w:rPr>
        <w:t xml:space="preserve">ARTΝCULO 2.4.1.2.6.4. HABILITACIΣN COMO PILOTO PRΑCTICO.</w:t>
      </w:r>
      <w:bookmarkEnd w:id="61554"/>
      <w:r>
        <w:rPr>
          <w:rFonts w:hAnsi="Arial"/>
          <w:rFonts w:ascii="Arial"/>
          <w:sz w:val="24"/>
          <w:b/>
          <w:color w:val="black"/>
        </w:rPr>
        <w:t xml:space="preserve"> </w:t>
      </w:r>
      <w:r>
        <w:rPr>
          <w:rFonts w:hAnsi="Arial"/>
          <w:rFonts w:ascii="Arial"/>
          <w:sz w:val="24"/>
          <w:color w:val="black"/>
        </w:rPr>
        <w:t xml:space="preserve">Todo Piloto Prαctico deberα efectuar un nϊmero mνnimo de maniobras durante doce meses en la jurisdicciσn en la cual estι inscrito. El nϊmero mνnimo de maniobras serα determinado por la Autoridad Marνtima Nacional de acuerdo con las necesidades, trαfico y dinαmica del transporte marνtimo.</w:t>
      </w:r>
    </w:p>
    <w:p>
      <w:pPr>
        <w:jc w:val="both"/>
      </w:pPr>
      <w:rPr>
        <w:sz w:val="24"/>
        <w:color w:val="black"/>
      </w:rPr>
    </w:p>
    <w:p>
      <w:pPr>
        <w:jc w:val="both"/>
      </w:pPr>
      <w:r>
        <w:rPr>
          <w:rFonts w:hAnsi="Arial"/>
          <w:rFonts w:ascii="Arial"/>
          <w:sz w:val="24"/>
          <w:color w:val="black"/>
        </w:rPr>
        <w:t xml:space="preserve">En el caso de la no realizaciσn del nϊmero mνnimo de maniobras durante un lapso igual o superior a doce (12) meses, el Piloto Prαctico deberα realizar el programa mνnimo para la reactivaciσn de su idoneidad como Piloto Prαctico y presentarse a un examen para su rehabilitaciσn.</w:t>
      </w:r>
    </w:p>
    <w:p>
      <w:pPr>
        <w:jc w:val="both"/>
      </w:pPr>
      <w:rPr>
        <w:sz w:val="24"/>
        <w:color w:val="black"/>
      </w:rPr>
    </w:p>
    <w:p>
      <w:pPr>
        <w:jc w:val="both"/>
      </w:pPr>
      <w:r>
        <w:rPr>
          <w:rFonts w:hAnsi="Arial"/>
          <w:rFonts w:ascii="Arial"/>
          <w:sz w:val="24"/>
          <w:color w:val="black"/>
        </w:rPr>
        <w:t xml:space="preserve">El programa mνnimo para la habilitaciσn consistirα en un entrenamiento durante tres (3) meses, debiendo participar en un nϊmero mνnimo de cuarenta (40) maniobras, veinte (20) diurnas y veinte (20) nocturnas, bajo la estrecha supervisiσn de un Piloto Prαctico de igual o superior jerarquνa y responsable de la maniobra.</w:t>
      </w:r>
    </w:p>
    <w:p>
      <w:pPr>
        <w:jc w:val="both"/>
      </w:pPr>
      <w:rPr>
        <w:sz w:val="24"/>
        <w:color w:val="black"/>
      </w:rPr>
    </w:p>
    <w:p>
      <w:pPr>
        <w:jc w:val="both"/>
      </w:pPr>
      <w:r>
        <w:rPr>
          <w:rFonts w:hAnsi="Arial"/>
          <w:rFonts w:ascii="Arial"/>
          <w:sz w:val="24"/>
          <w:color w:val="black"/>
        </w:rPr>
        <w:t xml:space="preserve">Las maniobras aquν establecidas serαn maniobras completas de entrada o salida de puerto, es decir, se deben incluir en una maniobra las fases de trαnsito por canal, uso de remolcadores, atraque y/o zarpe.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las jurisdicciones especνficas donde el nϊmero de maniobras de rehabilitaciσn, no se pueda cumplir en el tiempo aquν establecido, debido al bajo trαfico de buques, certificado por la Autoridad Marνtima Nacional, la duraciσn de las maniobras se podrα extender hasta por un periodo de seis (6) meses. La Autoridad Marνtima Nacional podrα cambiar el nϊmero de maniobras y/o el tiempo de realizaciσn, para cada puerto con base en las necesidades, trαfico y dinαmica del transporte marνtimo.</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55" w:name="2.4.1.2.6.5"/>
      <w:r>
        <w:rPr>
          <w:rFonts w:hAnsi="Arial"/>
          <w:rFonts w:ascii="Arial"/>
          <w:sz w:val="24"/>
          <w:color w:val="navy"/>
        </w:rPr>
        <w:t xml:space="preserve">ARTΝCULO 2.4.1.2.6.5. </w:t>
      </w:r>
      <w:r>
        <w:rPr>
          <w:rFonts w:hAnsi="Arial"/>
          <w:rFonts w:ascii="Arial"/>
          <w:sz w:val="24"/>
          <w:i/>
          <w:color w:val="navy"/>
        </w:rPr>
        <w:t xml:space="preserve">DISTRIBUCIΣN DEL SERVICIO DE PRACTICAJE.</w:t>
      </w:r>
      <w:bookmarkEnd w:id="61555"/>
      <w:r>
        <w:rPr>
          <w:rFonts w:hAnsi="Arial"/>
          <w:rFonts w:ascii="Arial"/>
          <w:sz w:val="24"/>
          <w:b/>
          <w:i/>
          <w:color w:val="black"/>
        </w:rPr>
        <w:t xml:space="preserve"> </w:t>
      </w:r>
      <w:r>
        <w:rPr>
          <w:rFonts w:hAnsi="Arial"/>
          <w:rFonts w:ascii="Arial"/>
          <w:sz w:val="24"/>
          <w:color w:val="black"/>
        </w:rPr>
        <w:t xml:space="preserve">El Capitαn de Puerto establecerα en la respectiva jurisdicciσn una distribuciσn uniforme del trabajo, de acuerdo con las condiciones especνficas del puerto o zonas de pilotaje, en la cual los pilotos estarαn obligatoriamente distribuidos en grupos, con el objetivo de garantizar:</w:t>
      </w:r>
    </w:p>
    <w:p>
      <w:pPr>
        <w:jc w:val="both"/>
      </w:pPr>
      <w:rPr>
        <w:sz w:val="24"/>
        <w:color w:val="black"/>
      </w:rPr>
    </w:p>
    <w:p>
      <w:pPr>
        <w:jc w:val="both"/>
      </w:pPr>
      <w:r>
        <w:rPr>
          <w:rFonts w:hAnsi="Arial"/>
          <w:rFonts w:ascii="Arial"/>
          <w:sz w:val="24"/>
          <w:color w:val="black"/>
        </w:rPr>
        <w:t xml:space="preserve">1. Disponibilidad continua del servicio.</w:t>
      </w:r>
    </w:p>
    <w:p>
      <w:pPr>
        <w:jc w:val="both"/>
      </w:pPr>
      <w:rPr>
        <w:sz w:val="24"/>
        <w:color w:val="black"/>
      </w:rPr>
    </w:p>
    <w:p>
      <w:pPr>
        <w:jc w:val="both"/>
      </w:pPr>
      <w:r>
        <w:rPr>
          <w:rFonts w:hAnsi="Arial"/>
          <w:rFonts w:ascii="Arial"/>
          <w:sz w:val="24"/>
          <w:color w:val="black"/>
        </w:rPr>
        <w:t xml:space="preserve">2. Mantenimiento de un mνnimo de maniobras por piloto, para mantener la continua prαctica y habilitaciσn del piloto prαctico.</w:t>
      </w:r>
    </w:p>
    <w:p>
      <w:pPr>
        <w:jc w:val="both"/>
      </w:pPr>
      <w:rPr>
        <w:sz w:val="24"/>
        <w:color w:val="black"/>
      </w:rPr>
    </w:p>
    <w:p>
      <w:pPr>
        <w:jc w:val="both"/>
      </w:pPr>
      <w:r>
        <w:rPr>
          <w:rFonts w:hAnsi="Arial"/>
          <w:rFonts w:ascii="Arial"/>
          <w:sz w:val="24"/>
          <w:color w:val="black"/>
        </w:rPr>
        <w:t xml:space="preserve">3. La prevenciσn de fatiga en el Piloto Prαctico durante la ejecuciσn del servicio.</w:t>
      </w:r>
    </w:p>
    <w:p>
      <w:pPr>
        <w:jc w:val="both"/>
      </w:pPr>
      <w:rPr>
        <w:sz w:val="24"/>
        <w:color w:val="black"/>
      </w:rPr>
    </w:p>
    <w:p>
      <w:pPr>
        <w:jc w:val="both"/>
      </w:pPr>
      <w:r>
        <w:rPr>
          <w:rFonts w:hAnsi="Arial"/>
          <w:rFonts w:ascii="Arial"/>
          <w:sz w:val="24"/>
          <w:color w:val="black"/>
        </w:rPr>
        <w:t xml:space="preserve">Para efectos de lo anterior, los pilotos se dividirαn en los siguientes grupos:</w:t>
      </w:r>
    </w:p>
    <w:p>
      <w:pPr>
        <w:jc w:val="both"/>
      </w:pPr>
      <w:rPr>
        <w:sz w:val="24"/>
        <w:color w:val="black"/>
      </w:rPr>
    </w:p>
    <w:p>
      <w:pPr>
        <w:jc w:val="both"/>
      </w:pPr>
      <w:r>
        <w:rPr>
          <w:rFonts w:hAnsi="Arial"/>
          <w:rFonts w:ascii="Arial"/>
          <w:sz w:val="24"/>
          <w:color w:val="black"/>
        </w:rPr>
        <w:t xml:space="preserve">a) Pilotos en periodo de servicio;</w:t>
      </w:r>
    </w:p>
    <w:p>
      <w:pPr>
        <w:jc w:val="both"/>
      </w:pPr>
      <w:rPr>
        <w:sz w:val="24"/>
        <w:color w:val="black"/>
      </w:rPr>
    </w:p>
    <w:p>
      <w:pPr>
        <w:jc w:val="both"/>
      </w:pPr>
      <w:r>
        <w:rPr>
          <w:rFonts w:hAnsi="Arial"/>
          <w:rFonts w:ascii="Arial"/>
          <w:sz w:val="24"/>
          <w:color w:val="black"/>
        </w:rPr>
        <w:t xml:space="preserve">b) Pilotos en periodo de reposo;</w:t>
      </w:r>
    </w:p>
    <w:p>
      <w:pPr>
        <w:jc w:val="both"/>
      </w:pPr>
      <w:rPr>
        <w:sz w:val="24"/>
        <w:color w:val="black"/>
      </w:rPr>
    </w:p>
    <w:p>
      <w:pPr>
        <w:jc w:val="both"/>
      </w:pPr>
      <w:r>
        <w:rPr>
          <w:rFonts w:hAnsi="Arial"/>
          <w:rFonts w:ascii="Arial"/>
          <w:sz w:val="24"/>
          <w:color w:val="black"/>
        </w:rPr>
        <w:t xml:space="preserve">c) Pilotos en periodo de vacaciones.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factores que se deben tener en cuenta para la determinaciσn de los perνodos de servicio, reposo y vacaciones son la interrelaciσn de:</w:t>
      </w:r>
    </w:p>
    <w:p>
      <w:pPr>
        <w:jc w:val="both"/>
      </w:pPr>
      <w:rPr>
        <w:sz w:val="24"/>
        <w:color w:val="black"/>
      </w:rPr>
    </w:p>
    <w:p>
      <w:pPr>
        <w:jc w:val="both"/>
      </w:pPr>
      <w:r>
        <w:rPr>
          <w:rFonts w:hAnsi="Arial"/>
          <w:rFonts w:ascii="Arial"/>
          <w:sz w:val="24"/>
          <w:color w:val="black"/>
        </w:rPr>
        <w:t xml:space="preserve">a) Duraciσn de la maniobra;</w:t>
      </w:r>
    </w:p>
    <w:p>
      <w:pPr>
        <w:jc w:val="both"/>
      </w:pPr>
      <w:rPr>
        <w:sz w:val="24"/>
        <w:color w:val="black"/>
      </w:rPr>
    </w:p>
    <w:p>
      <w:pPr>
        <w:jc w:val="both"/>
      </w:pPr>
      <w:r>
        <w:rPr>
          <w:rFonts w:hAnsi="Arial"/>
          <w:rFonts w:ascii="Arial"/>
          <w:sz w:val="24"/>
          <w:color w:val="black"/>
        </w:rPr>
        <w:t xml:space="preserve">b) Nϊmero de maniobras efectuadas versus tiempo entre maniobras;</w:t>
      </w:r>
    </w:p>
    <w:p>
      <w:pPr>
        <w:jc w:val="both"/>
      </w:pPr>
      <w:rPr>
        <w:sz w:val="24"/>
        <w:color w:val="black"/>
      </w:rPr>
    </w:p>
    <w:p>
      <w:pPr>
        <w:jc w:val="both"/>
      </w:pPr>
      <w:r>
        <w:rPr>
          <w:rFonts w:hAnsi="Arial"/>
          <w:rFonts w:ascii="Arial"/>
          <w:sz w:val="24"/>
          <w:color w:val="black"/>
        </w:rPr>
        <w:t xml:space="preserve">c) Periodo de servicio versus tiempo de descanso;</w:t>
      </w:r>
    </w:p>
    <w:p>
      <w:pPr>
        <w:jc w:val="both"/>
      </w:pPr>
      <w:rPr>
        <w:sz w:val="24"/>
        <w:color w:val="black"/>
      </w:rPr>
    </w:p>
    <w:p>
      <w:pPr>
        <w:jc w:val="both"/>
      </w:pPr>
      <w:r>
        <w:rPr>
          <w:rFonts w:hAnsi="Arial"/>
          <w:rFonts w:ascii="Arial"/>
          <w:sz w:val="24"/>
          <w:color w:val="black"/>
        </w:rPr>
        <w:t xml:space="preserve">d) Tiempo de descanso.</w:t>
      </w:r>
    </w:p>
    <w:p>
      <w:pPr>
        <w:jc w:val="both"/>
      </w:pPr>
      <w:rPr>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"http://www.redjurista.com/document.aspx?ajcode=d3703007&amp;arts=11"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del Decreto 3703 de 2007)</w:t>
      </w:r>
    </w:p>
    <w:p>
      <w:pPr>
        <w:jc w:val="both"/>
      </w:pPr>
      <w:rPr>
        <w:sz w:val="24"/>
        <w:color w:val="black"/>
      </w:rPr>
    </w:p>
    <w:p>
      <w:pPr>
        <w:jc w:val="both"/>
      </w:pPr>
      <w:r>
        <w:rPr>
          <w:rFonts w:hAnsi="Arial"/>
          <w:rFonts w:ascii="Arial"/>
          <w:sz w:val="24"/>
          <w:vanish/>
          <w:color w:val="black"/>
        </w:rPr>
        <w:t>&amp;$</w:t>
      </w:r>
      <w:bookmarkStart w:id="61556" w:name="2.4.1.2.6.6"/>
      <w:r>
        <w:rPr>
          <w:rFonts w:hAnsi="Arial"/>
          <w:rFonts w:ascii="Arial"/>
          <w:sz w:val="24"/>
          <w:color w:val="navy"/>
        </w:rPr>
        <w:t xml:space="preserve">ARTΝCULO 2.4.1.2.6.6. </w:t>
      </w:r>
      <w:r>
        <w:rPr>
          <w:rFonts w:hAnsi="Arial"/>
          <w:rFonts w:ascii="Arial"/>
          <w:sz w:val="24"/>
          <w:i/>
          <w:color w:val="navy"/>
        </w:rPr>
        <w:t xml:space="preserve">SIMULTANEIDAD EN EL EJERCICIO DE LA ACTIVIDAD DE PRACTICAJE.</w:t>
      </w:r>
      <w:bookmarkEnd w:id="61556"/>
      <w:r>
        <w:rPr>
          <w:rFonts w:hAnsi="Arial"/>
          <w:rFonts w:ascii="Arial"/>
          <w:sz w:val="24"/>
          <w:b/>
          <w:i/>
          <w:color w:val="black"/>
        </w:rPr>
        <w:t xml:space="preserve"> </w:t>
      </w:r>
      <w:r>
        <w:rPr>
          <w:rFonts w:hAnsi="Arial"/>
          <w:rFonts w:ascii="Arial"/>
          <w:sz w:val="24"/>
          <w:color w:val="black"/>
        </w:rPr>
        <w:t xml:space="preserve">&lt;Artνculo NULO&gt;</w:t>
      </w:r>
    </w:p>
    <w:p>
      <w:pPr>
        <w:jc w:val="both"/>
      </w:pPr>
      <w:rPr>
        <w:sz w:val="24"/>
        <w:color w:val="black"/>
      </w:rPr>
    </w:p>
    <w:p>
      <w:pPr>
        <w:jc w:val="center"/>
      </w:pPr>
      <w:r>
        <w:rPr>
          <w:rFonts w:hAnsi="Arial"/>
          <w:rFonts w:ascii="Arial"/>
          <w:sz w:val="24"/>
          <w:vanish/>
          <w:color w:val="black"/>
        </w:rPr>
        <w:t>&amp;$</w:t>
      </w:r>
      <w:bookmarkStart w:id="61557" w:name="SECCIÓN 2.4.1.2.7"/>
      <w:r>
        <w:rPr>
          <w:rFonts w:hAnsi="Arial"/>
          <w:rFonts w:ascii="Arial"/>
          <w:sz w:val="24"/>
          <w:color w:val="navy"/>
        </w:rPr>
        <w:t xml:space="preserve">SECCIΣN 7. </w:t>
      </w:r>
    </w:p>
    <w:p>
      <w:pPr>
        <w:jc w:val="center"/>
      </w:pPr>
      <w:r>
        <w:rPr>
          <w:rFonts w:hAnsi="Arial"/>
          <w:rFonts w:ascii="Arial"/>
          <w:sz w:val="24"/>
          <w:color w:val="navy"/>
        </w:rPr>
        <w:t xml:space="preserve">DEL PERMISO ESPECIAL DE PRACTICAJE.</w:t>
      </w:r>
      <w:bookmarkEnd w:id="6155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58" w:name="2.4.1.2.7.1"/>
      <w:r>
        <w:rPr>
          <w:rFonts w:hAnsi="Arial"/>
          <w:rFonts w:ascii="Arial"/>
          <w:sz w:val="24"/>
          <w:color w:val="navy"/>
        </w:rPr>
        <w:t xml:space="preserve">ARTΝCULO 2.4.1.2.7.1. </w:t>
      </w:r>
      <w:r>
        <w:rPr>
          <w:rFonts w:hAnsi="Arial"/>
          <w:rFonts w:ascii="Arial"/>
          <w:sz w:val="24"/>
          <w:i/>
          <w:color w:val="navy"/>
        </w:rPr>
        <w:t xml:space="preserve">PERMISO ESPECIAL.</w:t>
      </w:r>
      <w:bookmarkEnd w:id="61558"/>
      <w:r>
        <w:rPr>
          <w:rFonts w:hAnsi="Arial"/>
          <w:rFonts w:ascii="Arial"/>
          <w:sz w:val="24"/>
          <w:b/>
          <w:i/>
          <w:color w:val="black"/>
        </w:rPr>
        <w:t xml:space="preserve"> </w:t>
      </w:r>
      <w:r>
        <w:rPr>
          <w:rFonts w:hAnsi="Arial"/>
          <w:rFonts w:ascii="Arial"/>
          <w:sz w:val="24"/>
          <w:color w:val="black"/>
        </w:rPr>
        <w:t xml:space="preserve">El permiso especial de practicaje es exclusivo para un solo puerto y debe cumplir ademαs los requisitos establecidos en el artνculo </w:t>
      </w:r>
      <w:r>
        <w:fldChar w:fldCharType="begin"/>
      </w:r>
      <w:r>
        <w:instrText>HYPERLINK "http://www.redjurista.com/document.aspx?ajcode=l0658001&amp;arts=32"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658 de 2001.</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 anterior, sin perjuicio de que el Capitαn o Patrσn de un buque de bandera colombiana de arqueo igual o superior a doscientas (200) Toneladas de Registro Bruto, TRB, y hasta mil (1.000) Toneladas de Registro Bruto, TRB, que haya entrado 2 o mαs veces a otro puerto, pueda tramitar otro permiso para un puerto diferente.</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59" w:name="SECCIÓN 2.4.1.2.8"/>
      <w:r>
        <w:rPr>
          <w:rFonts w:hAnsi="Arial"/>
          <w:rFonts w:ascii="Arial"/>
          <w:sz w:val="24"/>
          <w:color w:val="navy"/>
        </w:rPr>
        <w:t xml:space="preserve">SECCIΣN 8. </w:t>
      </w:r>
    </w:p>
    <w:p>
      <w:pPr>
        <w:jc w:val="center"/>
      </w:pPr>
      <w:r>
        <w:rPr>
          <w:rFonts w:hAnsi="Arial"/>
          <w:rFonts w:ascii="Arial"/>
          <w:sz w:val="24"/>
          <w:color w:val="navy"/>
        </w:rPr>
        <w:t xml:space="preserve">DE LAS MEDIDAS DE SEGURIDAD.</w:t>
      </w:r>
      <w:bookmarkEnd w:id="6155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60" w:name="2.4.1.2.8.1"/>
      <w:r>
        <w:rPr>
          <w:rFonts w:hAnsi="Arial"/>
          <w:rFonts w:ascii="Arial"/>
          <w:sz w:val="24"/>
          <w:color w:val="navy"/>
        </w:rPr>
        <w:t xml:space="preserve">ARTΝCULO 2.4.1.2.8.1. </w:t>
      </w:r>
      <w:r>
        <w:rPr>
          <w:rFonts w:hAnsi="Arial"/>
          <w:rFonts w:ascii="Arial"/>
          <w:sz w:val="24"/>
          <w:i/>
          <w:color w:val="navy"/>
        </w:rPr>
        <w:t xml:space="preserve">USO DE REMOLCADORES.</w:t>
      </w:r>
      <w:bookmarkEnd w:id="61560"/>
      <w:r>
        <w:rPr>
          <w:rFonts w:hAnsi="Arial"/>
          <w:rFonts w:ascii="Arial"/>
          <w:sz w:val="24"/>
          <w:b/>
          <w:i/>
          <w:color w:val="black"/>
        </w:rPr>
        <w:t xml:space="preserve"> </w:t>
      </w:r>
      <w:r>
        <w:rPr>
          <w:rFonts w:hAnsi="Arial"/>
          <w:rFonts w:ascii="Arial"/>
          <w:sz w:val="24"/>
          <w:color w:val="black"/>
        </w:rPr>
        <w:t xml:space="preserve">Se emplearα el nϊmero de remolcadores y demαs elementos de apoyo a la maniobra establecidos en las regulaciones de la Autoridad Marνtima de acuerdo con su competencia con el fin de preservar la seguridad de la navegaciσn y de la vida humana en el mar.</w:t>
      </w:r>
    </w:p>
    <w:p>
      <w:pPr>
        <w:jc w:val="both"/>
      </w:pPr>
      <w:rPr>
        <w:sz w:val="24"/>
        <w:color w:val="black"/>
      </w:rPr>
    </w:p>
    <w:p>
      <w:pPr>
        <w:jc w:val="both"/>
      </w:pPr>
      <w:r>
        <w:rPr>
          <w:rFonts w:hAnsi="Arial"/>
          <w:rFonts w:ascii="Arial"/>
          <w:sz w:val="24"/>
          <w:color w:val="black"/>
        </w:rPr>
        <w:t xml:space="preserve">Cuando no estι establecida la obligatoriedad del uso de remolcador por la Autoridad Marνtima, el Capitαn puede decidir no usar remolcador con base en las caracterνsticas del buque y las recomendaciones del Piloto Prαctico.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uso de remolcadores es obligatorio para naves con tonelaje de peso muerto superior a 2000 Toneladas de Registro Bruto, TRB, en maniobra de atraque y desatraque, amarre a boyas, entrada y salida de dique y movimientos en aguas restringidas dentro de los puertos, de conformidad con las disposiciones vigentes.</w:t>
      </w:r>
    </w:p>
    <w:p>
      <w:pPr>
        <w:jc w:val="both"/>
      </w:pPr>
      <w:rPr>
        <w:sz w:val="24"/>
        <w:color w:val="black"/>
      </w:rPr>
    </w:p>
    <w:p>
      <w:pPr>
        <w:jc w:val="both"/>
      </w:pPr>
      <w:r>
        <w:rPr>
          <w:rFonts w:hAnsi="Arial"/>
          <w:rFonts w:ascii="Arial"/>
          <w:sz w:val="24"/>
          <w:color w:val="black"/>
        </w:rPr>
        <w:t xml:space="preserve">Solamente en maniobras de fondeo el uso de remolcador es opcional y corresponderα al Capitαn del buque de acuerdo con las recomendaciones del Piloto Prαctico decidir sobre la utilizaciσn o no del remolcador.</w:t>
      </w:r>
    </w:p>
    <w:p>
      <w:pPr>
        <w:jc w:val="both"/>
      </w:pPr>
      <w:rPr>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En el caso de San Andrιs Isla, como excepciσn, debido a sus condiciones ambientales y marνtimas, es obligatorio el uso de remolcador(es) en los buques o naves con arqueo igual o superior a mil (1.000) Toneladas de Registro Bruto, TRB.</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Bajo ninguna circunstancia el nϊmero de remolcadores puede ser inferior al nϊmero mνnimo determinado por la Autoridad Marνtima de acuerdo con su competencia en los puertos donde sean necesarios. La Autoridad Marνtima Nacional podrα con base al desarrollo de la arquitectura naval en la construcciσn de buques de nuevas generaciones disponer lo pertinente en la obligatoriedad del uso de remolcadores.</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61" w:name="2.4.1.2.8.2"/>
      <w:r>
        <w:rPr>
          <w:rFonts w:hAnsi="Arial"/>
          <w:rFonts w:ascii="Arial"/>
          <w:sz w:val="24"/>
          <w:color w:val="navy"/>
        </w:rPr>
        <w:t xml:space="preserve">ARTΝCULO 2.4.1.2.8.2. </w:t>
      </w:r>
      <w:r>
        <w:rPr>
          <w:rFonts w:hAnsi="Arial"/>
          <w:rFonts w:ascii="Arial"/>
          <w:sz w:val="24"/>
          <w:i/>
          <w:color w:val="navy"/>
        </w:rPr>
        <w:t xml:space="preserve">LANCHAS PARA EL TRANSPORTE DE LOS PILOTOS PRΑCTICOS.</w:t>
      </w:r>
      <w:bookmarkEnd w:id="61561"/>
      <w:r>
        <w:rPr>
          <w:rFonts w:hAnsi="Arial"/>
          <w:rFonts w:ascii="Arial"/>
          <w:sz w:val="24"/>
          <w:b/>
          <w:i/>
          <w:color w:val="black"/>
        </w:rPr>
        <w:t xml:space="preserve"> </w:t>
      </w:r>
      <w:r>
        <w:rPr>
          <w:rFonts w:hAnsi="Arial"/>
          <w:rFonts w:ascii="Arial"/>
          <w:sz w:val="24"/>
          <w:color w:val="black"/>
        </w:rPr>
        <w:t xml:space="preserve">Las lanchas para el transporte de los pilotos prαcticos deben dar estricto cumplimiento a lo dispuesto en el artνculo </w:t>
      </w:r>
      <w:r>
        <w:fldChar w:fldCharType="begin"/>
      </w:r>
      <w:r>
        <w:instrText>HYPERLINK "http://www.redjurista.com/document.aspx?ajcode=l0658001&amp;arts=57"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658 de 2001, y a las especificaciones tιcnicas consagradas en las disposiciones que para el efecto determine la Autoridad Marνtima Nacional de acuerdo con su competencia.</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62" w:name="2.4.1.2.8.3"/>
      <w:r>
        <w:rPr>
          <w:rFonts w:hAnsi="Arial"/>
          <w:rFonts w:ascii="Arial"/>
          <w:sz w:val="24"/>
          <w:color w:val="navy"/>
        </w:rPr>
        <w:t xml:space="preserve">ARTΝCULO 2.4.1.2.8.3. </w:t>
      </w:r>
      <w:r>
        <w:rPr>
          <w:rFonts w:hAnsi="Arial"/>
          <w:rFonts w:ascii="Arial"/>
          <w:sz w:val="24"/>
          <w:i/>
          <w:color w:val="navy"/>
        </w:rPr>
        <w:t xml:space="preserve">MEDIDAS DE SEGURIDAD PREVENTIVAS.</w:t>
      </w:r>
      <w:bookmarkEnd w:id="61562"/>
      <w:r>
        <w:rPr>
          <w:rFonts w:hAnsi="Arial"/>
          <w:rFonts w:ascii="Arial"/>
          <w:sz w:val="24"/>
          <w:b/>
          <w:i/>
          <w:color w:val="black"/>
        </w:rPr>
        <w:t xml:space="preserve"> </w:t>
      </w:r>
      <w:r>
        <w:rPr>
          <w:rFonts w:hAnsi="Arial"/>
          <w:rFonts w:ascii="Arial"/>
          <w:sz w:val="24"/>
          <w:color w:val="black"/>
        </w:rPr>
        <w:t xml:space="preserve">Antes de iniciar la maniobra el Piloto Prαctico en compaρνa del Capitαn del buque deben confirmar lo siguiente:</w:t>
      </w:r>
    </w:p>
    <w:p>
      <w:pPr>
        <w:jc w:val="both"/>
      </w:pPr>
      <w:rPr>
        <w:sz w:val="24"/>
        <w:color w:val="black"/>
      </w:rPr>
    </w:p>
    <w:p>
      <w:pPr>
        <w:jc w:val="both"/>
      </w:pPr>
      <w:r>
        <w:rPr>
          <w:rFonts w:hAnsi="Arial"/>
          <w:rFonts w:ascii="Arial"/>
          <w:sz w:val="24"/>
          <w:color w:val="black"/>
        </w:rPr>
        <w:t xml:space="preserve">1. Que toda la maquinaria y equipos de maniobra estαn en buenas condiciones de operaciσn.</w:t>
      </w:r>
    </w:p>
    <w:p>
      <w:pPr>
        <w:jc w:val="both"/>
      </w:pPr>
      <w:rPr>
        <w:sz w:val="24"/>
        <w:color w:val="black"/>
      </w:rPr>
    </w:p>
    <w:p>
      <w:pPr>
        <w:jc w:val="both"/>
      </w:pPr>
      <w:r>
        <w:rPr>
          <w:rFonts w:hAnsi="Arial"/>
          <w:rFonts w:ascii="Arial"/>
          <w:sz w:val="24"/>
          <w:color w:val="black"/>
        </w:rPr>
        <w:t xml:space="preserve">2. Que la sala de mαquinas estι tripulada y operada manualmente durante el tiempo que dure la maniobra de practicaje, dependiendo el tipo de buque.</w:t>
      </w:r>
    </w:p>
    <w:p>
      <w:pPr>
        <w:jc w:val="both"/>
      </w:pPr>
      <w:rPr>
        <w:sz w:val="24"/>
        <w:color w:val="black"/>
      </w:rPr>
    </w:p>
    <w:p>
      <w:pPr>
        <w:jc w:val="both"/>
      </w:pPr>
      <w:r>
        <w:rPr>
          <w:rFonts w:hAnsi="Arial"/>
          <w:rFonts w:ascii="Arial"/>
          <w:sz w:val="24"/>
          <w:color w:val="black"/>
        </w:rPr>
        <w:t xml:space="preserve">3. Confirmaciσn del calado mαximo, asiento, eslora total, manga mαxima, peso muerto y arqueo Bruto.</w:t>
      </w:r>
    </w:p>
    <w:p>
      <w:pPr>
        <w:jc w:val="both"/>
      </w:pPr>
      <w:rPr>
        <w:sz w:val="24"/>
        <w:color w:val="black"/>
      </w:rPr>
    </w:p>
    <w:p>
      <w:pPr>
        <w:jc w:val="both"/>
      </w:pPr>
      <w:r>
        <w:rPr>
          <w:rFonts w:hAnsi="Arial"/>
          <w:rFonts w:ascii="Arial"/>
          <w:sz w:val="24"/>
          <w:color w:val="black"/>
        </w:rPr>
        <w:t xml:space="preserve">4. Disponibilidad permanente de una Guardia de Anclas capacitada para maniobrar las anclas en cualquier momento durante toda la maniobra de practicaje.</w:t>
      </w:r>
    </w:p>
    <w:p>
      <w:pPr>
        <w:jc w:val="both"/>
      </w:pPr>
      <w:rPr>
        <w:sz w:val="24"/>
        <w:color w:val="black"/>
      </w:rPr>
    </w:p>
    <w:p>
      <w:pPr>
        <w:jc w:val="both"/>
      </w:pPr>
      <w:r>
        <w:rPr>
          <w:rFonts w:hAnsi="Arial"/>
          <w:rFonts w:ascii="Arial"/>
          <w:sz w:val="24"/>
          <w:color w:val="black"/>
        </w:rPr>
        <w:t xml:space="preserve">5. Que la velocidad sobre tierra (SOG) es la necesaria para una prudente y segura navegaciσn y gobierno del buque, durante toda la maniobra de practicaje.</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63" w:name="2.4.1.2.8.4"/>
      <w:r>
        <w:rPr>
          <w:rFonts w:hAnsi="Arial"/>
          <w:rFonts w:ascii="Arial"/>
          <w:sz w:val="24"/>
          <w:color w:val="navy"/>
        </w:rPr>
        <w:t xml:space="preserve">ARTΝCULO 2.4.1.2.8.4. </w:t>
      </w:r>
      <w:r>
        <w:rPr>
          <w:rFonts w:hAnsi="Arial"/>
          <w:rFonts w:ascii="Arial"/>
          <w:sz w:val="24"/>
          <w:i/>
          <w:color w:val="navy"/>
        </w:rPr>
        <w:t xml:space="preserve">USO DE AMARRADORES.</w:t>
      </w:r>
      <w:bookmarkEnd w:id="61563"/>
      <w:r>
        <w:rPr>
          <w:rFonts w:hAnsi="Arial"/>
          <w:rFonts w:ascii="Arial"/>
          <w:sz w:val="24"/>
          <w:b/>
          <w:i/>
          <w:color w:val="black"/>
        </w:rPr>
        <w:t xml:space="preserve"> </w:t>
      </w:r>
      <w:r>
        <w:rPr>
          <w:rFonts w:hAnsi="Arial"/>
          <w:rFonts w:ascii="Arial"/>
          <w:sz w:val="24"/>
          <w:color w:val="black"/>
        </w:rPr>
        <w:t xml:space="preserve">Las empresas que presten el servicio pϊblico de practicaje, tienen la obligaciσn de gestionar procedimientos de integraciσn operativa con los amarradores que utilicen en las maniobras, en aras de garantizar la seguridad.</w:t>
      </w:r>
    </w:p>
    <w:p>
      <w:pPr>
        <w:jc w:val="both"/>
      </w:pPr>
      <w:rPr>
        <w:sz w:val="24"/>
        <w:color w:val="black"/>
      </w:rPr>
    </w:p>
    <w:p>
      <w:pPr>
        <w:jc w:val="both"/>
      </w:pPr>
      <w:r>
        <w:rPr>
          <w:rFonts w:hAnsi="Arial"/>
          <w:rFonts w:ascii="Arial"/>
          <w:sz w:val="24"/>
          <w:color w:val="black"/>
        </w:rPr>
        <w:t xml:space="preserve">La capacitaciσn de los supervisores de amarre y amarradores, se efectuarα a requerimiento de la empresa de practicaje, en los centros avalados para tal fin por la Autoridad Marνtima Nacional.</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64" w:name="SECCIÓN 2.4.1.2.9"/>
      <w:r>
        <w:rPr>
          <w:rFonts w:hAnsi="Arial"/>
          <w:rFonts w:ascii="Arial"/>
          <w:sz w:val="24"/>
          <w:color w:val="navy"/>
        </w:rPr>
        <w:t xml:space="preserve">SECCIΣN 9. </w:t>
      </w:r>
    </w:p>
    <w:p>
      <w:pPr>
        <w:jc w:val="center"/>
      </w:pPr>
      <w:r>
        <w:rPr>
          <w:rFonts w:hAnsi="Arial"/>
          <w:rFonts w:ascii="Arial"/>
          <w:sz w:val="24"/>
          <w:color w:val="navy"/>
        </w:rPr>
        <w:t xml:space="preserve">DE LOS TERMINALES PORTUARIOS NUEVOS Y DE OPERACIΣN TΙCNICA ESPECIAL.</w:t>
      </w:r>
      <w:bookmarkEnd w:id="6156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65" w:name="2.4.1.2.9.1"/>
      <w:r>
        <w:rPr>
          <w:rFonts w:hAnsi="Arial"/>
          <w:rFonts w:ascii="Arial"/>
          <w:sz w:val="24"/>
          <w:color w:val="navy"/>
        </w:rPr>
        <w:t xml:space="preserve">ARTΝCULO 2.4.1.2.9.1. </w:t>
      </w:r>
      <w:r>
        <w:rPr>
          <w:rFonts w:hAnsi="Arial"/>
          <w:rFonts w:ascii="Arial"/>
          <w:sz w:val="24"/>
          <w:i/>
          <w:color w:val="navy"/>
        </w:rPr>
        <w:t>DURACIΣN.</w:t>
      </w:r>
      <w:bookmarkEnd w:id="61565"/>
      <w:r>
        <w:rPr>
          <w:rFonts w:hAnsi="Arial"/>
          <w:rFonts w:ascii="Arial"/>
          <w:sz w:val="24"/>
          <w:b/>
          <w:i/>
          <w:color w:val="black"/>
        </w:rPr>
        <w:t xml:space="preserve"> </w:t>
      </w:r>
      <w:r>
        <w:rPr>
          <w:rFonts w:hAnsi="Arial"/>
          <w:rFonts w:ascii="Arial"/>
          <w:sz w:val="24"/>
          <w:color w:val="black"/>
        </w:rPr>
        <w:t xml:space="preserve">La condiciσn de terminal portuario nuevo para efectos del ejercicio de la actividad marνtima y fluvial de practicaje se mantendrα hasta cinco (5) aρos despuιs de la entrada del primer buque de mαs de 2000 TRB, al terminal. Una vez cumplido el tιrmino de cinco (5) aρos tendrα igual tratamiento a los demαs terminales del paνs.</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66" w:name="2.4.1.2.9.2"/>
      <w:r>
        <w:rPr>
          <w:rFonts w:hAnsi="Arial"/>
          <w:rFonts w:ascii="Arial"/>
          <w:sz w:val="24"/>
          <w:color w:val="navy"/>
        </w:rPr>
        <w:t xml:space="preserve">ARTΝCULO 2.4.1.2.9.2. </w:t>
      </w:r>
      <w:r>
        <w:rPr>
          <w:rFonts w:hAnsi="Arial"/>
          <w:rFonts w:ascii="Arial"/>
          <w:sz w:val="24"/>
          <w:i/>
          <w:color w:val="navy"/>
        </w:rPr>
        <w:t xml:space="preserve">LICENCIA PARA PUERTOS DE OPERACIΣN TΙCNICA ESPECIAL.</w:t>
      </w:r>
      <w:bookmarkEnd w:id="61566"/>
      <w:r>
        <w:rPr>
          <w:rFonts w:hAnsi="Arial"/>
          <w:rFonts w:ascii="Arial"/>
          <w:sz w:val="24"/>
          <w:b/>
          <w:i/>
          <w:color w:val="black"/>
        </w:rPr>
        <w:t xml:space="preserve"> </w:t>
      </w:r>
      <w:r>
        <w:rPr>
          <w:rFonts w:hAnsi="Arial"/>
          <w:rFonts w:ascii="Arial"/>
          <w:sz w:val="24"/>
          <w:color w:val="black"/>
        </w:rPr>
        <w:t xml:space="preserve">Para otorgar Licencias de Practicaje para Puertos de Operaciσn Tιcnica Especial el aspirante deberα cumplir con los requisitos establecidos en el artνculo </w:t>
      </w:r>
      <w:r>
        <w:fldChar w:fldCharType="begin"/>
      </w:r>
      <w:r>
        <w:instrText>HYPERLINK "http://www.redjurista.com/document.aspx?ajcode=l0658001&amp;arts=24"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658 de 2001 de conformidad con la categorνa.</w:t>
      </w:r>
    </w:p>
    <w:p>
      <w:pPr>
        <w:jc w:val="both"/>
      </w:pPr>
      <w:rPr>
        <w:sz w:val="24"/>
        <w:color w:val="black"/>
      </w:rPr>
    </w:p>
    <w:p>
      <w:pPr>
        <w:jc w:val="both"/>
      </w:pPr>
      <w:r>
        <w:rPr>
          <w:rFonts w:hAnsi="Arial"/>
          <w:rFonts w:ascii="Arial"/>
          <w:sz w:val="24"/>
          <w:color w:val="black"/>
        </w:rPr>
        <w:t xml:space="preserve">Las maniobras de entrenamiento de practicaje para los aspirantes a Piloto Prαctico y para los pilotos prαcticos por cambio de categorνa para Puertos de Operaciσn Tιcnica Especial, serαn determinadas para cada Puerto mediante resoluciσn expedida por la Autoridad Marνtima Nacional.</w:t>
      </w:r>
    </w:p>
    <w:p>
      <w:pPr>
        <w:jc w:val="both"/>
      </w:pPr>
      <w:rPr>
        <w:sz w:val="24"/>
        <w:color w:val="black"/>
      </w:rPr>
    </w:p>
    <w:p>
      <w:pPr>
        <w:jc w:val="both"/>
      </w:pPr>
      <w:r>
        <w:rPr>
          <w:rFonts w:hAnsi="Arial"/>
          <w:rFonts w:ascii="Arial"/>
          <w:sz w:val="24"/>
          <w:i/>
          <w:color w:val="black"/>
        </w:rPr>
        <w:t xml:space="preserve">(Decreto 1466 de 2004 artνculo </w:t>
      </w:r>
      <w:r>
        <w:fldChar w:fldCharType="begin"/>
      </w:r>
      <w:r>
        <w:instrText>HYPERLINK "http://www.redjurista.com/document.aspx?ajcode=d1466004&amp;arts=34"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67" w:name="TÍTULO 2.4.2"/>
      <w:r>
        <w:rPr>
          <w:rFonts w:hAnsi="Arial"/>
          <w:rFonts w:ascii="Arial"/>
          <w:sz w:val="24"/>
          <w:color w:val="navy"/>
        </w:rPr>
        <w:t xml:space="preserve">TΝTULO 2. </w:t>
      </w:r>
    </w:p>
    <w:p>
      <w:pPr>
        <w:jc w:val="center"/>
      </w:pPr>
      <w:r>
        <w:rPr>
          <w:rFonts w:hAnsi="Arial"/>
          <w:rFonts w:ascii="Arial"/>
          <w:sz w:val="24"/>
          <w:color w:val="navy"/>
        </w:rPr>
        <w:t xml:space="preserve">EMPRESAS DE APOYO EN TIERRA.</w:t>
      </w:r>
      <w:bookmarkEnd w:id="61567"/>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568" w:name="CAPÍTULO 2.4.2.1"/>
      <w:r>
        <w:rPr>
          <w:rFonts w:hAnsi="Arial"/>
          <w:rFonts w:ascii="Arial"/>
          <w:sz w:val="24"/>
          <w:color w:val="navy"/>
        </w:rPr>
        <w:t xml:space="preserve">CAPΝTULO 1. </w:t>
      </w:r>
    </w:p>
    <w:p>
      <w:pPr>
        <w:jc w:val="center"/>
      </w:pPr>
      <w:r>
        <w:rPr>
          <w:rFonts w:hAnsi="Arial"/>
          <w:rFonts w:ascii="Arial"/>
          <w:sz w:val="24"/>
          <w:color w:val="navy"/>
        </w:rPr>
        <w:t xml:space="preserve">DE LAS EMPRESAS DE PRACTICAJE Y DE LA LICENCIA DE EXPLOTACIΣN COMERCIAL.</w:t>
      </w:r>
      <w:bookmarkEnd w:id="615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69" w:name="2.4.2.1.1"/>
      <w:r>
        <w:rPr>
          <w:rFonts w:hAnsi="Arial"/>
          <w:rFonts w:ascii="Arial"/>
          <w:sz w:val="24"/>
          <w:color w:val="navy"/>
        </w:rPr>
        <w:t xml:space="preserve">ARTΝCULO 2.4.2.1.1. </w:t>
      </w:r>
      <w:r>
        <w:rPr>
          <w:rFonts w:hAnsi="Arial"/>
          <w:rFonts w:ascii="Arial"/>
          <w:sz w:val="24"/>
          <w:i/>
          <w:color w:val="navy"/>
        </w:rPr>
        <w:t xml:space="preserve">EMPRESAS DE PRACTICAJE.</w:t>
      </w:r>
      <w:bookmarkEnd w:id="61569"/>
      <w:r>
        <w:rPr>
          <w:rFonts w:hAnsi="Arial"/>
          <w:rFonts w:ascii="Arial"/>
          <w:sz w:val="24"/>
          <w:b/>
          <w:i/>
          <w:color w:val="black"/>
        </w:rPr>
        <w:t xml:space="preserve"> </w:t>
      </w:r>
      <w:r>
        <w:rPr>
          <w:rFonts w:hAnsi="Arial"/>
          <w:rFonts w:ascii="Arial"/>
          <w:sz w:val="24"/>
          <w:color w:val="black"/>
        </w:rPr>
        <w:t xml:space="preserve">Las empresas de practicaje que tengan licencia para operar en un puerto deberαn garantizar la permanencia en la jurisdicciσn de un mνnimo de pilotos disponibles o asegurar su desplazamiento de manera inmediata cuando se les requiera, sin que ello conlleve el incremento de las tarifas aprobadas por la Autoridad Marνtima Nacional o el pago de otros servicios tales como pasajes, alojamiento, viαticos u otras denominaciones a favor del piloto prαctico o de la empresa de practicaje.</w:t>
      </w:r>
    </w:p>
    <w:p>
      <w:pPr>
        <w:jc w:val="both"/>
      </w:pPr>
      <w:rPr>
        <w:sz w:val="24"/>
        <w:color w:val="black"/>
      </w:rPr>
    </w:p>
    <w:p>
      <w:pPr>
        <w:jc w:val="both"/>
      </w:pPr>
      <w:r>
        <w:rPr>
          <w:rFonts w:hAnsi="Arial"/>
          <w:rFonts w:ascii="Arial"/>
          <w:sz w:val="24"/>
          <w:i/>
          <w:color w:val="black"/>
        </w:rPr>
        <w:t xml:space="preserve">(Decreto 3703 de 2007 artνculo 13 &lt; </w:t>
      </w:r>
      <w:r>
        <w:fldChar w:fldCharType="begin"/>
      </w:r>
      <w:r>
        <w:instrText>HYPERLINK "http://www.redjurista.com/document.aspx?ajcode=d3703007&amp;arts=34"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A&gt;)</w:t>
      </w:r>
    </w:p>
    <w:p>
      <w:pPr>
        <w:jc w:val="both"/>
      </w:pPr>
      <w:rPr>
        <w:sz w:val="24"/>
        <w:color w:val="black"/>
      </w:rPr>
    </w:p>
    <w:p>
      <w:pPr>
        <w:jc w:val="both"/>
      </w:pPr>
      <w:r>
        <w:rPr>
          <w:rFonts w:hAnsi="Arial"/>
          <w:rFonts w:ascii="Arial"/>
          <w:sz w:val="24"/>
          <w:vanish/>
          <w:color w:val="black"/>
        </w:rPr>
        <w:t>&amp;$</w:t>
      </w:r>
      <w:bookmarkStart w:id="61570" w:name="2.4.2.1.2"/>
      <w:r>
        <w:rPr>
          <w:rFonts w:hAnsi="Arial"/>
          <w:rFonts w:ascii="Arial"/>
          <w:sz w:val="24"/>
          <w:color w:val="navy"/>
        </w:rPr>
        <w:t xml:space="preserve">ARTΝCULO 2.4.2.1.2. </w:t>
      </w:r>
      <w:r>
        <w:rPr>
          <w:rFonts w:hAnsi="Arial"/>
          <w:rFonts w:ascii="Arial"/>
          <w:sz w:val="24"/>
          <w:i/>
          <w:color w:val="navy"/>
        </w:rPr>
        <w:t xml:space="preserve">INTEGRACIΣN OPERATIVA.</w:t>
      </w:r>
      <w:bookmarkEnd w:id="61570"/>
      <w:r>
        <w:rPr>
          <w:rFonts w:hAnsi="Arial"/>
          <w:rFonts w:ascii="Arial"/>
          <w:sz w:val="24"/>
          <w:b/>
          <w:i/>
          <w:color w:val="black"/>
        </w:rPr>
        <w:t xml:space="preserve"> </w:t>
      </w:r>
      <w:r>
        <w:rPr>
          <w:rFonts w:hAnsi="Arial"/>
          <w:rFonts w:ascii="Arial"/>
          <w:sz w:val="24"/>
          <w:color w:val="black"/>
        </w:rPr>
        <w:t xml:space="preserve">Las empresas de practicaje podrαn realizar integraciones estrictamente de carαcter operativo entre sν para la prestaciσn del servicio pϊblico de practicaje, previa solicitud y autorizaciσn de la Autoridad Marνtima Nacional, quien establecerα los requisitos tιcnicos de las mismas y verificarα su debido cumplimiento.</w:t>
      </w:r>
    </w:p>
    <w:p>
      <w:pPr>
        <w:jc w:val="both"/>
      </w:pPr>
      <w:rPr>
        <w:sz w:val="24"/>
        <w:color w:val="black"/>
      </w:rPr>
    </w:p>
    <w:p>
      <w:pPr>
        <w:jc w:val="both"/>
      </w:pPr>
      <w:r>
        <w:rPr>
          <w:rFonts w:hAnsi="Arial"/>
          <w:rFonts w:ascii="Arial"/>
          <w:sz w:val="24"/>
          <w:color w:val="black"/>
        </w:rPr>
        <w:t xml:space="preserve">Se entiende por integraciσn operativa los acuerdos y alianzas estratιgicas que dos o mαs empresas de practicaje realicen mediante documento suscrito por sus respectivos representantes legales, consistente en compartir sus capacidades y fortalezas tιcnicas, de equipos y personal, a fin de prestar sus servicios de manera mαs eficiente. Las integraciones operativas serαn sin perjuicio de las obligaciones y responsabilidades de cada empresa de practicaje debidamente autorizada para operar.</w:t>
      </w:r>
    </w:p>
    <w:p>
      <w:pPr>
        <w:jc w:val="both"/>
      </w:pPr>
      <w:rPr>
        <w:sz w:val="24"/>
        <w:color w:val="black"/>
      </w:rPr>
    </w:p>
    <w:p>
      <w:pPr>
        <w:jc w:val="both"/>
      </w:pPr>
      <w:r>
        <w:rPr>
          <w:rFonts w:hAnsi="Arial"/>
          <w:rFonts w:ascii="Arial"/>
          <w:sz w:val="24"/>
          <w:i/>
          <w:color w:val="black"/>
        </w:rPr>
        <w:t xml:space="preserve">(Decreto 3703 de 2007 artνculo 13 &lt; </w:t>
      </w:r>
      <w:r>
        <w:fldChar w:fldCharType="begin"/>
      </w:r>
      <w:r>
        <w:instrText>HYPERLINK "http://www.redjurista.com/document.aspx?ajcode=d3703007&amp;arts=37"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 xml:space="preserve"> &gt;)</w:t>
      </w:r>
    </w:p>
    <w:p>
      <w:pPr>
        <w:jc w:val="both"/>
      </w:pPr>
      <w:rPr>
        <w:i/>
        <w:color w:val="black"/>
      </w:rPr>
    </w:p>
    <w:p>
      <w:pPr>
        <w:jc w:val="both"/>
      </w:pPr>
      <w:r>
        <w:rPr>
          <w:rFonts w:hAnsi="Arial"/>
          <w:rFonts w:ascii="Arial"/>
          <w:sz w:val="24"/>
          <w:vanish/>
          <w:color w:val="black"/>
        </w:rPr>
        <w:t>&amp;$</w:t>
      </w:r>
      <w:bookmarkStart w:id="61571" w:name="2.4.2.1.3"/>
      <w:r>
        <w:rPr>
          <w:rFonts w:hAnsi="Arial"/>
          <w:rFonts w:ascii="Arial"/>
          <w:sz w:val="24"/>
          <w:color w:val="navy"/>
        </w:rPr>
        <w:t xml:space="preserve">ARTΝCULO 2.4.2.1.3. </w:t>
      </w:r>
      <w:r>
        <w:rPr>
          <w:rFonts w:hAnsi="Arial"/>
          <w:rFonts w:ascii="Arial"/>
          <w:sz w:val="24"/>
          <w:i/>
          <w:color w:val="navy"/>
        </w:rPr>
        <w:t xml:space="preserve">REQUISITOS PARA LA EXPEDICIΣN, REGISTRO, RENOVACIΣN Y/O AMPLIACIΣN DE LA LICENCIA DE EXPLOTACIΣN COMERCIAL.</w:t>
      </w:r>
      <w:bookmarkEnd w:id="61571"/>
      <w:r>
        <w:rPr>
          <w:rFonts w:hAnsi="Arial"/>
          <w:rFonts w:ascii="Arial"/>
          <w:sz w:val="24"/>
          <w:b/>
          <w:i/>
          <w:color w:val="black"/>
        </w:rPr>
        <w:t xml:space="preserve"> </w:t>
      </w:r>
      <w:r>
        <w:rPr>
          <w:rFonts w:hAnsi="Arial"/>
          <w:rFonts w:ascii="Arial"/>
          <w:sz w:val="24"/>
          <w:color w:val="black"/>
        </w:rPr>
        <w:t xml:space="preserve">La relaciσn de pilotos prαcticos al servicio de la empresa y del personal administrativo que aporte el representante legal de la empresa para la expediciσn, registro, renovaciσn y/o ampliaciσn de la licencia de explotaciσn comercial, deberα expresamente certificar que ese personal es suficiente para atender las necesidades de la empresa, tal como lo dispone el numeral 4 del artνculo </w:t>
      </w:r>
      <w:r>
        <w:fldChar w:fldCharType="begin"/>
      </w:r>
      <w:r>
        <w:instrText>HYPERLINK "http://www.redjurista.com/document.aspx?ajcode=l0658001&amp;arts=48"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658 de 2001.</w:t>
      </w:r>
    </w:p>
    <w:p>
      <w:pPr>
        <w:jc w:val="both"/>
      </w:pPr>
      <w:rPr>
        <w:sz w:val="24"/>
        <w:color w:val="black"/>
      </w:rPr>
    </w:p>
    <w:p>
      <w:pPr>
        <w:jc w:val="both"/>
      </w:pPr>
      <w:r>
        <w:rPr>
          <w:rFonts w:hAnsi="Arial"/>
          <w:rFonts w:ascii="Arial"/>
          <w:sz w:val="24"/>
          <w:i/>
          <w:color w:val="black"/>
        </w:rPr>
        <w:t xml:space="preserve">(Decreto 3703 de 2007 artνculo 13 &lt; </w:t>
      </w:r>
      <w:r>
        <w:fldChar w:fldCharType="begin"/>
      </w:r>
      <w:r>
        <w:instrText>HYPERLINK "http://www.redjurista.com/document.aspx?ajcode=d3703007&amp;arts=38"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&gt;)</w:t>
      </w:r>
    </w:p>
    <w:p>
      <w:pPr>
        <w:jc w:val="both"/>
      </w:pPr>
      <w:rPr>
        <w:sz w:val="24"/>
        <w:color w:val="black"/>
      </w:rPr>
    </w:p>
    <w:p>
      <w:pPr>
        <w:jc w:val="both"/>
      </w:pPr>
      <w:r>
        <w:rPr>
          <w:rFonts w:hAnsi="Arial"/>
          <w:rFonts w:ascii="Arial"/>
          <w:sz w:val="24"/>
          <w:vanish/>
          <w:color w:val="black"/>
        </w:rPr>
        <w:t>&amp;$</w:t>
      </w:r>
      <w:bookmarkStart w:id="61572" w:name="2.4.2.1.4"/>
      <w:r>
        <w:rPr>
          <w:rFonts w:hAnsi="Arial"/>
          <w:rFonts w:ascii="Arial"/>
          <w:sz w:val="24"/>
          <w:color w:val="navy"/>
        </w:rPr>
        <w:t xml:space="preserve">ARTΝCULO 2.4.2.1.4. </w:t>
      </w:r>
      <w:r>
        <w:rPr>
          <w:rFonts w:hAnsi="Arial"/>
          <w:rFonts w:ascii="Arial"/>
          <w:sz w:val="24"/>
          <w:i/>
          <w:color w:val="navy"/>
        </w:rPr>
        <w:t xml:space="preserve">PΣLIZA DE CUMPLIMIENTO.</w:t>
      </w:r>
      <w:bookmarkEnd w:id="61572"/>
      <w:r>
        <w:rPr>
          <w:rFonts w:hAnsi="Arial"/>
          <w:rFonts w:ascii="Arial"/>
          <w:sz w:val="24"/>
          <w:b/>
          <w:i/>
          <w:color w:val="black"/>
        </w:rPr>
        <w:t xml:space="preserve"> </w:t>
      </w:r>
      <w:r>
        <w:rPr>
          <w:rFonts w:hAnsi="Arial"/>
          <w:rFonts w:ascii="Arial"/>
          <w:sz w:val="24"/>
          <w:color w:val="black"/>
        </w:rPr>
        <w:t xml:space="preserve">Las empresas de practicaje debidamente autorizadas deberαn constituir una pσliza de responsabilidad civil extracontractual por el monto que establezca la Autoridad Marνtima Nacional, que cubra los daρos y perjuicios causados en ejercicio de las actividades propias de la empresa, desarrolladas por el personal administrativo y/o de los pilotos prαcticos al servicio de la misma y mantenerla vigente por el mismo tιrmino que el de la respectiva licencia de explotaciσn comercial.</w:t>
      </w:r>
    </w:p>
    <w:p>
      <w:pPr>
        <w:jc w:val="both"/>
      </w:pPr>
      <w:rPr>
        <w:sz w:val="24"/>
        <w:color w:val="black"/>
      </w:rPr>
    </w:p>
    <w:p>
      <w:pPr>
        <w:jc w:val="both"/>
      </w:pPr>
      <w:r>
        <w:rPr>
          <w:rFonts w:hAnsi="Arial"/>
          <w:rFonts w:ascii="Arial"/>
          <w:sz w:val="24"/>
          <w:i/>
          <w:color w:val="black"/>
        </w:rPr>
        <w:t xml:space="preserve">(Decreto 3703 de 2007 artνculo 13 &lt; </w:t>
      </w:r>
      <w:r>
        <w:fldChar w:fldCharType="begin"/>
      </w:r>
      <w:r>
        <w:instrText>HYPERLINK "http://www.redjurista.com/document.aspx?ajcode=d3703007&amp;arts=39"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 xml:space="preserve"> &gt;)</w:t>
      </w:r>
    </w:p>
    <w:p>
      <w:pPr>
        <w:jc w:val="both"/>
      </w:pPr>
      <w:rPr>
        <w:sz w:val="24"/>
        <w:color w:val="black"/>
      </w:rPr>
    </w:p>
    <w:p>
      <w:pPr>
        <w:jc w:val="both"/>
      </w:pPr>
      <w:r>
        <w:rPr>
          <w:rFonts w:hAnsi="Arial"/>
          <w:rFonts w:ascii="Arial"/>
          <w:sz w:val="24"/>
          <w:vanish/>
          <w:color w:val="black"/>
        </w:rPr>
        <w:t>&amp;$</w:t>
      </w:r>
      <w:bookmarkStart w:id="61573" w:name="2.4.2.1.5"/>
      <w:r>
        <w:rPr>
          <w:rFonts w:hAnsi="Arial"/>
          <w:rFonts w:ascii="Arial"/>
          <w:sz w:val="24"/>
          <w:color w:val="navy"/>
        </w:rPr>
        <w:t xml:space="preserve">ARTΝCULO 2.4.2.1.5. </w:t>
      </w:r>
      <w:r>
        <w:rPr>
          <w:rFonts w:hAnsi="Arial"/>
          <w:rFonts w:ascii="Arial"/>
          <w:sz w:val="24"/>
          <w:i/>
          <w:color w:val="navy"/>
        </w:rPr>
        <w:t xml:space="preserve">REPORTE DE TURNOS Y CONTROL DE FATIGA.</w:t>
      </w:r>
      <w:bookmarkEnd w:id="61573"/>
      <w:r>
        <w:rPr>
          <w:rFonts w:hAnsi="Arial"/>
          <w:rFonts w:ascii="Arial"/>
          <w:sz w:val="24"/>
          <w:b/>
          <w:i/>
          <w:color w:val="black"/>
        </w:rPr>
        <w:t xml:space="preserve"> </w:t>
      </w:r>
      <w:r>
        <w:rPr>
          <w:rFonts w:hAnsi="Arial"/>
          <w:rFonts w:ascii="Arial"/>
          <w:sz w:val="24"/>
          <w:color w:val="black"/>
        </w:rPr>
        <w:t xml:space="preserve">Las empresas de practicaje deberαn llevar un registro de los turnos que presten los pilotos prαcticos al servicio de la empresa, incluyendo aquellos que se realicen en otras jurisdicciones. El reporte en menciσn deberα ser remitido semanalmente a las Capitanνas de Puerto donde desarrollan la actividad, especificando el tiempo de descanso y en caso de realizar desplazamientos de una jurisdicciσn a otra, el tiempo en que lo hace.</w:t>
      </w:r>
    </w:p>
    <w:p>
      <w:pPr>
        <w:jc w:val="both"/>
      </w:pPr>
      <w:rPr>
        <w:sz w:val="24"/>
        <w:color w:val="black"/>
      </w:rPr>
    </w:p>
    <w:p>
      <w:pPr>
        <w:jc w:val="both"/>
      </w:pPr>
      <w:r>
        <w:rPr>
          <w:rFonts w:hAnsi="Arial"/>
          <w:rFonts w:ascii="Arial"/>
          <w:sz w:val="24"/>
          <w:color w:val="black"/>
        </w:rPr>
        <w:t xml:space="preserve">En aquellos casos en los cuales un piloto prαctico preste el servicio en dos jurisdicciones con diferentes empresas, estas ϊltimas deberαn crear los canales de comunicaciσn necesarios para el debido cumplimiento de las disposiciones vigentes sobre fatiga.</w:t>
      </w:r>
    </w:p>
    <w:p>
      <w:pPr>
        <w:jc w:val="both"/>
      </w:pPr>
      <w:rPr>
        <w:sz w:val="24"/>
        <w:color w:val="black"/>
      </w:rPr>
    </w:p>
    <w:p>
      <w:pPr>
        <w:jc w:val="both"/>
      </w:pPr>
      <w:r>
        <w:rPr>
          <w:rFonts w:hAnsi="Arial"/>
          <w:rFonts w:ascii="Arial"/>
          <w:sz w:val="24"/>
          <w:color w:val="black"/>
        </w:rPr>
        <w:t xml:space="preserve">El Capitαn de Puerto adelantara la correspondiente investigaciσn administrativa por violaciσn a las normas de marina mercante en contra de la empresa, en caso de que se presuma el incumplimiento de las disposiciones emitidas por la Autoridad Marνtima respecto a fatiga.</w:t>
      </w:r>
    </w:p>
    <w:p>
      <w:rPr>
        <w:sz w:val="24"/>
        <w:color w:val="black"/>
      </w:rPr>
    </w:p>
    <w:p>
      <w:pPr>
        <w:jc w:val="both"/>
      </w:pPr>
      <w:r>
        <w:rPr>
          <w:rFonts w:hAnsi="Arial"/>
          <w:rFonts w:ascii="Arial"/>
          <w:sz w:val="24"/>
          <w:i/>
          <w:color w:val="black"/>
        </w:rPr>
        <w:t xml:space="preserve">(Decreto 3703 de 2007 artνculo 13 &lt; </w:t>
      </w:r>
      <w:r>
        <w:fldChar w:fldCharType="begin"/>
      </w:r>
      <w:r>
        <w:instrText>HYPERLINK "http://www.redjurista.com/document.aspx?ajcode=d3703007&amp;arts=40"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&gt;)</w:t>
      </w:r>
    </w:p>
    <w:p>
      <w:pPr>
        <w:jc w:val="both"/>
      </w:pPr>
      <w:rPr>
        <w:sz w:val="24"/>
        <w:color w:val="black"/>
      </w:rPr>
    </w:p>
    <w:p>
      <w:pPr>
        <w:jc w:val="center"/>
      </w:pPr>
      <w:r>
        <w:rPr>
          <w:rFonts w:hAnsi="Arial"/>
          <w:rFonts w:ascii="Arial"/>
          <w:sz w:val="24"/>
          <w:vanish/>
          <w:color w:val="black"/>
        </w:rPr>
        <w:t>&amp;$</w:t>
      </w:r>
      <w:bookmarkStart w:id="61574" w:name="CAPÍTULO 2.4.2.2"/>
      <w:r>
        <w:rPr>
          <w:rFonts w:hAnsi="Arial"/>
          <w:rFonts w:ascii="Arial"/>
          <w:sz w:val="24"/>
          <w:color w:val="navy"/>
        </w:rPr>
        <w:t xml:space="preserve">CAPΝTULO 2. </w:t>
      </w:r>
    </w:p>
    <w:p>
      <w:pPr>
        <w:jc w:val="center"/>
      </w:pPr>
      <w:r>
        <w:rPr>
          <w:rFonts w:hAnsi="Arial"/>
          <w:rFonts w:ascii="Arial"/>
          <w:sz w:val="24"/>
          <w:color w:val="navy"/>
        </w:rPr>
        <w:t xml:space="preserve">ASTILLEROS Y TALLERES DE REPARACIΣN NAVAL.</w:t>
      </w:r>
      <w:bookmarkEnd w:id="6157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75" w:name="2.4.2.2.1"/>
      <w:r>
        <w:rPr>
          <w:rFonts w:hAnsi="Arial"/>
          <w:rFonts w:ascii="Arial"/>
          <w:sz w:val="24"/>
          <w:color w:val="navy"/>
        </w:rPr>
        <w:t xml:space="preserve">ARTΝCULO 2.4.2.2.1. </w:t>
      </w:r>
      <w:r>
        <w:rPr>
          <w:rFonts w:hAnsi="Arial"/>
          <w:rFonts w:ascii="Arial"/>
          <w:sz w:val="24"/>
          <w:i/>
          <w:color w:val="navy"/>
        </w:rPr>
        <w:t xml:space="preserve">CONSTRUCCIΣN Y REPARACIΣN NAVAL.</w:t>
      </w:r>
      <w:bookmarkEnd w:id="61575"/>
      <w:r>
        <w:rPr>
          <w:rFonts w:hAnsi="Arial"/>
          <w:rFonts w:ascii="Arial"/>
          <w:sz w:val="24"/>
          <w:b/>
          <w:i/>
          <w:color w:val="black"/>
        </w:rPr>
        <w:t xml:space="preserve"> </w:t>
      </w:r>
      <w:r>
        <w:rPr>
          <w:rFonts w:hAnsi="Arial"/>
          <w:rFonts w:ascii="Arial"/>
          <w:sz w:val="24"/>
          <w:color w:val="black"/>
        </w:rPr>
        <w:t xml:space="preserve">Para los efectos de lo dispuesto en el presente Capνtulo, se entenderα por Astillero, el establecimiento que posea instalaciones para construir y reparar unidades tanto a flote como en tierra. Por taller de reparaciones marνtimas, aquellos establecimientos aptos para efectuar reparaciones mientras la nave permanezca a flote.</w:t>
      </w:r>
    </w:p>
    <w:p>
      <w:pPr>
        <w:jc w:val="both"/>
      </w:pPr>
      <w:rPr>
        <w:sz w:val="24"/>
        <w:color w:val="black"/>
      </w:rPr>
    </w:p>
    <w:p>
      <w:pPr>
        <w:jc w:val="both"/>
      </w:pPr>
      <w:r>
        <w:rPr>
          <w:rFonts w:hAnsi="Arial"/>
          <w:rFonts w:ascii="Arial"/>
          <w:sz w:val="24"/>
          <w:color w:val="black"/>
        </w:rPr>
        <w:t xml:space="preserve">La actividad industrial de los astilleros navales y talleres de reparaciones serα autorizada y vigilada por la Autoridad Marνtima.</w:t>
      </w:r>
    </w:p>
    <w:p>
      <w:pPr>
        <w:jc w:val="both"/>
      </w:pPr>
      <w:rPr>
        <w:sz w:val="24"/>
        <w:color w:val="black"/>
      </w:rPr>
    </w:p>
    <w:p>
      <w:pPr>
        <w:jc w:val="both"/>
      </w:pPr>
      <w:r>
        <w:rPr>
          <w:rFonts w:hAnsi="Arial"/>
          <w:rFonts w:ascii="Arial"/>
          <w:sz w:val="24"/>
          <w:color w:val="black"/>
        </w:rPr>
        <w:t xml:space="preserve">Todo astillero o taller de reparaciones navales que estι constituido o se constituya en el paνs, deberα para poder ejercer su actividad industrial, estar en posesiσn de la Licencia de Explotaciσn Comercial correspondiente, expedida por la Autoridad Marνtima.</w:t>
      </w:r>
    </w:p>
    <w:p>
      <w:pPr>
        <w:jc w:val="both"/>
      </w:pPr>
      <w:rPr>
        <w:sz w:val="24"/>
        <w:color w:val="black"/>
      </w:rPr>
    </w:p>
    <w:p>
      <w:pPr>
        <w:jc w:val="both"/>
      </w:pPr>
      <w:r>
        <w:rPr>
          <w:rFonts w:hAnsi="Arial"/>
          <w:rFonts w:ascii="Arial"/>
          <w:sz w:val="24"/>
          <w:color w:val="black"/>
        </w:rPr>
        <w:t xml:space="preserve">En dicha licencia figurarαn, ademαs de la razσn social del establecimiento, el lugar sede de sus operaciones y las limitaciones de la autorizaciσn expedida, tanto en cuanto a la construcciσn como a la clase de reparaciones que puede efectuar de conformidad con la capacidad de su equipo, troja o varadero, αrea disponible y personal tιcnico a su servicio.</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76" w:name="2.4.2.2.2"/>
      <w:r>
        <w:rPr>
          <w:rFonts w:hAnsi="Arial"/>
          <w:rFonts w:ascii="Arial"/>
          <w:sz w:val="24"/>
          <w:color w:val="navy"/>
        </w:rPr>
        <w:t xml:space="preserve">ARTΝCULO 2.4.2.2.2. </w:t>
      </w:r>
      <w:r>
        <w:rPr>
          <w:rFonts w:hAnsi="Arial"/>
          <w:rFonts w:ascii="Arial"/>
          <w:sz w:val="24"/>
          <w:i/>
          <w:color w:val="navy"/>
        </w:rPr>
        <w:t xml:space="preserve">CAMBIO DE PROPIEDAD O TRANSFERENCIA DE ASTILLERO.</w:t>
      </w:r>
      <w:bookmarkEnd w:id="61576"/>
      <w:r>
        <w:rPr>
          <w:rFonts w:hAnsi="Arial"/>
          <w:rFonts w:ascii="Arial"/>
          <w:sz w:val="24"/>
          <w:b/>
          <w:i/>
          <w:color w:val="black"/>
        </w:rPr>
        <w:t xml:space="preserve"> </w:t>
      </w:r>
      <w:r>
        <w:rPr>
          <w:rFonts w:hAnsi="Arial"/>
          <w:rFonts w:ascii="Arial"/>
          <w:sz w:val="24"/>
          <w:color w:val="black"/>
        </w:rPr>
        <w:t xml:space="preserve">Siempre que haya cambio de propiedad o transferencia de astillero, o taller de reparaciones navales, deberα informarse por escrito a la Autoridad Marνtima, anexando copia del documento (escritura) respectivo, y el original de la licencia de Explotaciσn Comercial dando el nombre del nuevo propietario y su razσn social. Este por su parte, solicitarα oportunamente a la Autoridad Marνtima, la expediciσn de la correspondiente Licencia de Explotaciσn Comercial a su nombre e informarα sobre los cambios de personal tιcnico, variaciones en el equipo, etc., que se proponga efectuar.</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577" w:name="2.4.2.2.3"/>
      <w:r>
        <w:rPr>
          <w:rFonts w:hAnsi="Arial"/>
          <w:rFonts w:ascii="Arial"/>
          <w:sz w:val="24"/>
          <w:color w:val="navy"/>
        </w:rPr>
        <w:t xml:space="preserve">ARTΝCULO 2.4.2.2.3. </w:t>
      </w:r>
      <w:r>
        <w:rPr>
          <w:rFonts w:hAnsi="Arial"/>
          <w:rFonts w:ascii="Arial"/>
          <w:sz w:val="24"/>
          <w:i/>
          <w:color w:val="navy"/>
        </w:rPr>
        <w:t xml:space="preserve">LICENCIA DE EXPLOTACIΣN COMERCIAL.</w:t>
      </w:r>
      <w:bookmarkEnd w:id="61577"/>
      <w:r>
        <w:rPr>
          <w:rFonts w:hAnsi="Arial"/>
          <w:rFonts w:ascii="Arial"/>
          <w:sz w:val="24"/>
          <w:b/>
          <w:i/>
          <w:color w:val="black"/>
        </w:rPr>
        <w:t xml:space="preserve"> </w:t>
      </w:r>
      <w:r>
        <w:rPr>
          <w:rFonts w:hAnsi="Arial"/>
          <w:rFonts w:ascii="Arial"/>
          <w:sz w:val="24"/>
          <w:color w:val="black"/>
        </w:rPr>
        <w:t xml:space="preserve">Para la expediciσn de la Licencia de Explotaciσn Comercial el interesado elevarα la correspondiente solicitud dirigida al Director General Marνtimo, por conducto de la Capitanνa de Puerto del lugar anexando copia de la escritura de constituciσn de la sociedad, registro de la Cαmara de Comercio y si es del caso, copia de la resoluciσn que otorga la concesiσn, para uso y goce de la playa marνtima y de los terrenos de bajamar, la lista del personal tιcnico y la descripciσn de los equipos con que cuenta.</w:t>
      </w:r>
    </w:p>
    <w:p>
      <w:pPr>
        <w:jc w:val="both"/>
      </w:pPr>
      <w:rPr>
        <w:sz w:val="24"/>
        <w:color w:val="black"/>
      </w:rPr>
    </w:p>
    <w:p>
      <w:pPr>
        <w:jc w:val="both"/>
      </w:pPr>
      <w:r>
        <w:rPr>
          <w:rFonts w:hAnsi="Arial"/>
          <w:rFonts w:ascii="Arial"/>
          <w:sz w:val="24"/>
          <w:color w:val="black"/>
        </w:rPr>
        <w:t xml:space="preserve">Los astilleros, y talleres, estαn obligados a mantener un personal tιcnico idσneo en las ramas comprendidas en la Licencia de Explotaciσn Comercial que se expida, en particular en diseρo, supervisiσn, mecαnica, montaje, pailerνa, soldadura, pintura y aparejos.</w:t>
      </w:r>
    </w:p>
    <w:p>
      <w:pPr>
        <w:jc w:val="both"/>
      </w:pPr>
      <w:rPr>
        <w:sz w:val="24"/>
        <w:color w:val="black"/>
      </w:rPr>
    </w:p>
    <w:p>
      <w:pPr>
        <w:jc w:val="both"/>
      </w:pPr>
      <w:r>
        <w:rPr>
          <w:rFonts w:hAnsi="Arial"/>
          <w:rFonts w:ascii="Arial"/>
          <w:sz w:val="24"/>
          <w:color w:val="black"/>
        </w:rPr>
        <w:t xml:space="preserve">Todo astillero o taller de reparaciones marνtimas estarα sujeto a las inspecciones tanto inicial como periσdicas que determine la Autoridad Marνtima para constatar, tanto la idoneidad de su personal tιcnico, como de los equipos.</w:t>
      </w:r>
    </w:p>
    <w:p>
      <w:pPr>
        <w:jc w:val="both"/>
      </w:pPr>
      <w:rPr>
        <w:sz w:val="24"/>
        <w:color w:val="black"/>
      </w:rPr>
    </w:p>
    <w:p>
      <w:pPr>
        <w:jc w:val="both"/>
      </w:pPr>
      <w:r>
        <w:rPr>
          <w:rFonts w:hAnsi="Arial"/>
          <w:rFonts w:ascii="Arial"/>
          <w:sz w:val="24"/>
          <w:color w:val="black"/>
        </w:rPr>
        <w:t xml:space="preserve">El Capitαn de Puerto al tramitar la solicitud del astillero o taller, previa inspecciσn ocular y dictamen pericial, emitirα concepto respecto de la idoneidad del personal tιcnico y de los equipos del establecimiento para la actividad proyectada.</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color w:val="black"/>
      </w:rPr>
    </w:p>
    <w:p>
      <w:pPr>
        <w:jc w:val="center"/>
      </w:pPr>
      <w:r>
        <w:rPr>
          <w:rFonts w:hAnsi="Arial"/>
          <w:rFonts w:ascii="Arial"/>
          <w:sz w:val="24"/>
          <w:vanish/>
          <w:color w:val="black"/>
        </w:rPr>
        <w:t>&amp;$</w:t>
      </w:r>
      <w:bookmarkStart w:id="61578" w:name="CAPÍTULO 2.4.2.3"/>
      <w:r>
        <w:rPr>
          <w:rFonts w:hAnsi="Arial"/>
          <w:rFonts w:ascii="Arial"/>
          <w:sz w:val="24"/>
          <w:color w:val="navy"/>
        </w:rPr>
        <w:t xml:space="preserve">CAPΝTULO 3. </w:t>
      </w:r>
    </w:p>
    <w:p>
      <w:pPr>
        <w:jc w:val="center"/>
      </w:pPr>
      <w:r>
        <w:rPr>
          <w:rFonts w:hAnsi="Arial"/>
          <w:rFonts w:ascii="Arial"/>
          <w:sz w:val="24"/>
          <w:color w:val="navy"/>
        </w:rPr>
        <w:t xml:space="preserve">CORREDORES DE CONTRATOS DE FLETAMENTO MARΝTIMO.</w:t>
      </w:r>
      <w:bookmarkEnd w:id="6157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579" w:name="2.4.2.3.1"/>
      <w:r>
        <w:rPr>
          <w:rFonts w:hAnsi="Arial"/>
          <w:rFonts w:ascii="Arial"/>
          <w:sz w:val="24"/>
          <w:color w:val="navy"/>
        </w:rPr>
        <w:t xml:space="preserve">ARTΝCULO 2.4.2.3.1. </w:t>
      </w:r>
      <w:r>
        <w:rPr>
          <w:rFonts w:hAnsi="Arial"/>
          <w:rFonts w:ascii="Arial"/>
          <w:sz w:val="24"/>
          <w:i/>
          <w:color w:val="navy"/>
        </w:rPr>
        <w:t>OBJETO.</w:t>
      </w:r>
      <w:bookmarkEnd w:id="61579"/>
      <w:r>
        <w:rPr>
          <w:rFonts w:hAnsi="Arial"/>
          <w:rFonts w:ascii="Arial"/>
          <w:sz w:val="24"/>
          <w:b/>
          <w:i/>
          <w:color w:val="black"/>
        </w:rPr>
        <w:t xml:space="preserve"> </w:t>
      </w:r>
      <w:r>
        <w:rPr>
          <w:rFonts w:hAnsi="Arial"/>
          <w:rFonts w:ascii="Arial"/>
          <w:sz w:val="24"/>
          <w:color w:val="black"/>
        </w:rPr>
        <w:t xml:space="preserve">Para efectos de este Capνtulo se entenderα por Corredor de Contratos de Fletamento Marνtimo, la persona natural o jurνdica, que por su especial conocimiento del mercado marνtimo, asesora a tνtulo de intermediario al transportador marνtimo de una parte, y al fletador de otra, sin estar vinculado a las partes por relaciones de colaboraciσn, dependencia, mandato o representaciσn.</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0" w:name="2.4.2.3.2"/>
      <w:r>
        <w:rPr>
          <w:rFonts w:hAnsi="Arial"/>
          <w:rFonts w:ascii="Arial"/>
          <w:sz w:val="24"/>
          <w:color w:val="navy"/>
        </w:rPr>
        <w:t xml:space="preserve">ARTΝCULO 2.4.2.3.2. </w:t>
      </w:r>
      <w:r>
        <w:rPr>
          <w:rFonts w:hAnsi="Arial"/>
          <w:rFonts w:ascii="Arial"/>
          <w:sz w:val="24"/>
          <w:i/>
          <w:color w:val="navy"/>
        </w:rPr>
        <w:t xml:space="preserve">ACTOS MERCANTILES.</w:t>
      </w:r>
      <w:bookmarkEnd w:id="61580"/>
      <w:r>
        <w:rPr>
          <w:rFonts w:hAnsi="Arial"/>
          <w:rFonts w:ascii="Arial"/>
          <w:sz w:val="24"/>
          <w:b/>
          <w:i/>
          <w:color w:val="black"/>
        </w:rPr>
        <w:t xml:space="preserve"> </w:t>
      </w:r>
      <w:r>
        <w:rPr>
          <w:rFonts w:hAnsi="Arial"/>
          <w:rFonts w:ascii="Arial"/>
          <w:sz w:val="24"/>
          <w:color w:val="black"/>
        </w:rPr>
        <w:t xml:space="preserve">Para todos los efectos legales, los actos de las personas naturales o jurνdicas que se desempeρen como Corredores de Contratos de Fletamento Marνtimo serαn considerados como mercantiles en virtud del artνculo </w:t>
      </w:r>
      <w:r>
        <w:fldChar w:fldCharType="begin"/>
      </w:r>
      <w:r>
        <w:instrText>HYPERLINK "http://www.redjurista.com/document.aspx?ajcode=c_comerc&amp;arts=20"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numeral 8, del Cσdigo de Comercio.</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1" w:name="2.4.2.3.3"/>
      <w:r>
        <w:rPr>
          <w:rFonts w:hAnsi="Arial"/>
          <w:rFonts w:ascii="Arial"/>
          <w:sz w:val="24"/>
          <w:color w:val="navy"/>
        </w:rPr>
        <w:t xml:space="preserve">ARTΝCULO 2.4.2.3.3. </w:t>
      </w:r>
      <w:r>
        <w:rPr>
          <w:rFonts w:hAnsi="Arial"/>
          <w:rFonts w:ascii="Arial"/>
          <w:sz w:val="24"/>
          <w:i/>
          <w:color w:val="navy"/>
        </w:rPr>
        <w:t xml:space="preserve">RΙGIMEN LEGAL.</w:t>
      </w:r>
      <w:bookmarkEnd w:id="61581"/>
      <w:r>
        <w:rPr>
          <w:rFonts w:hAnsi="Arial"/>
          <w:rFonts w:ascii="Arial"/>
          <w:sz w:val="24"/>
          <w:b/>
          <w:i/>
          <w:color w:val="black"/>
        </w:rPr>
        <w:t xml:space="preserve"> </w:t>
      </w:r>
      <w:r>
        <w:rPr>
          <w:rFonts w:hAnsi="Arial"/>
          <w:rFonts w:ascii="Arial"/>
          <w:sz w:val="24"/>
          <w:color w:val="black"/>
        </w:rPr>
        <w:t xml:space="preserve">Cuando el Corredor de Contratos de Fletamento Marνtimo sea una sociedad, la participaciσn de inversiσn extranjera se regirα por la ley vigente en esta materia.</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2" w:name="2.4.2.3.4"/>
      <w:r>
        <w:rPr>
          <w:rFonts w:hAnsi="Arial"/>
          <w:rFonts w:ascii="Arial"/>
          <w:sz w:val="24"/>
          <w:color w:val="navy"/>
        </w:rPr>
        <w:t xml:space="preserve">ARTΝCULO 2.4.2.3.4. </w:t>
      </w:r>
      <w:r>
        <w:rPr>
          <w:rFonts w:hAnsi="Arial"/>
          <w:rFonts w:ascii="Arial"/>
          <w:sz w:val="24"/>
          <w:i/>
          <w:color w:val="navy"/>
        </w:rPr>
        <w:t xml:space="preserve">CORREDORES DE CONTRATOS DE FLETAMENTO MARΝTIMO.</w:t>
      </w:r>
      <w:bookmarkEnd w:id="61582"/>
      <w:r>
        <w:rPr>
          <w:rFonts w:hAnsi="Arial"/>
          <w:rFonts w:ascii="Arial"/>
          <w:sz w:val="24"/>
          <w:b/>
          <w:i/>
          <w:color w:val="black"/>
        </w:rPr>
        <w:t xml:space="preserve"> </w:t>
      </w:r>
      <w:r>
        <w:rPr>
          <w:rFonts w:hAnsi="Arial"/>
          <w:rFonts w:ascii="Arial"/>
          <w:sz w:val="24"/>
          <w:color w:val="black"/>
        </w:rPr>
        <w:t xml:space="preserve">Sσlo podrαn desempeρarse como Corredores de Contratos de Fletamento Marνtimo las personas naturales o jurνdicas que soliciten y obtengan licencia de la Autoridad Marνtima Nacional.</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3" w:name="2.4.2.3.5"/>
      <w:r>
        <w:rPr>
          <w:rFonts w:hAnsi="Arial"/>
          <w:rFonts w:ascii="Arial"/>
          <w:sz w:val="24"/>
          <w:color w:val="navy"/>
        </w:rPr>
        <w:t xml:space="preserve">ARTΝCULO 2.4.2.3.5. </w:t>
      </w:r>
      <w:r>
        <w:rPr>
          <w:rFonts w:hAnsi="Arial"/>
          <w:rFonts w:ascii="Arial"/>
          <w:sz w:val="24"/>
          <w:i/>
          <w:color w:val="navy"/>
        </w:rPr>
        <w:t>LICENCIAS.</w:t>
      </w:r>
      <w:bookmarkEnd w:id="61583"/>
      <w:r>
        <w:rPr>
          <w:rFonts w:hAnsi="Arial"/>
          <w:rFonts w:ascii="Arial"/>
          <w:sz w:val="24"/>
          <w:b/>
          <w:i/>
          <w:color w:val="black"/>
        </w:rPr>
        <w:t xml:space="preserve"> </w:t>
      </w:r>
      <w:r>
        <w:rPr>
          <w:rFonts w:hAnsi="Arial"/>
          <w:rFonts w:ascii="Arial"/>
          <w:sz w:val="24"/>
          <w:color w:val="black"/>
        </w:rPr>
        <w:t xml:space="preserve">La licencia de que trata el artνculo precedente de este Capνtulo, serα otorgada por la Autoridad Marνtima Nacional previo el cumplimiento de los siguientes requisitos:</w:t>
      </w:r>
    </w:p>
    <w:p>
      <w:pPr>
        <w:jc w:val="both"/>
      </w:pPr>
      <w:rPr>
        <w:sz w:val="24"/>
        <w:color w:val="black"/>
      </w:rPr>
    </w:p>
    <w:p>
      <w:pPr>
        <w:jc w:val="both"/>
      </w:pPr>
      <w:r>
        <w:rPr>
          <w:rFonts w:hAnsi="Arial"/>
          <w:rFonts w:ascii="Arial"/>
          <w:sz w:val="24"/>
          <w:color w:val="black"/>
        </w:rPr>
        <w:t xml:space="preserve">1. Requisitos comunes para personas naturales o jurνdicas:</w:t>
      </w:r>
    </w:p>
    <w:p>
      <w:pPr>
        <w:jc w:val="both"/>
      </w:pPr>
      <w:rPr>
        <w:sz w:val="24"/>
        <w:color w:val="black"/>
      </w:rPr>
    </w:p>
    <w:p>
      <w:pPr>
        <w:jc w:val="both"/>
      </w:pPr>
      <w:r>
        <w:rPr>
          <w:rFonts w:hAnsi="Arial"/>
          <w:rFonts w:ascii="Arial"/>
          <w:sz w:val="24"/>
          <w:color w:val="black"/>
        </w:rPr>
        <w:t xml:space="preserve">a) Poder, cuando se actϊe por medio de apoderado o persona diferente al Representante Legal.</w:t>
      </w:r>
    </w:p>
    <w:p>
      <w:pPr>
        <w:jc w:val="both"/>
      </w:pPr>
      <w:rPr>
        <w:sz w:val="24"/>
        <w:color w:val="black"/>
      </w:rPr>
    </w:p>
    <w:p>
      <w:pPr>
        <w:jc w:val="both"/>
      </w:pPr>
      <w:r>
        <w:rPr>
          <w:rFonts w:hAnsi="Arial"/>
          <w:rFonts w:ascii="Arial"/>
          <w:sz w:val="24"/>
          <w:color w:val="black"/>
        </w:rPr>
        <w:t xml:space="preserve">b) No encontrarse la persona natural o jurνdica, sus directores o administradores, inhabilitados para el ejercicio de actividades comerciales;</w:t>
      </w:r>
    </w:p>
    <w:p>
      <w:pPr>
        <w:jc w:val="both"/>
      </w:pPr>
      <w:rPr>
        <w:sz w:val="24"/>
        <w:color w:val="black"/>
      </w:rPr>
    </w:p>
    <w:p>
      <w:pPr>
        <w:jc w:val="both"/>
      </w:pPr>
      <w:r>
        <w:rPr>
          <w:rFonts w:hAnsi="Arial"/>
          <w:rFonts w:ascii="Arial"/>
          <w:sz w:val="24"/>
          <w:color w:val="black"/>
        </w:rPr>
        <w:t xml:space="preserve">2. Ademαs de los requisitos anteriores, tanto las personas naturales como jurνdicas deberαn cumplir con los siguientes:</w:t>
      </w:r>
    </w:p>
    <w:p>
      <w:pPr>
        <w:jc w:val="both"/>
      </w:pPr>
      <w:rPr>
        <w:sz w:val="24"/>
        <w:color w:val="black"/>
      </w:rPr>
    </w:p>
    <w:p>
      <w:pPr>
        <w:jc w:val="both"/>
      </w:pPr>
      <w:r>
        <w:rPr>
          <w:rFonts w:hAnsi="Arial"/>
          <w:rFonts w:ascii="Arial"/>
          <w:sz w:val="24"/>
          <w:color w:val="black"/>
        </w:rPr>
        <w:t xml:space="preserve">a) PERSONAS NATURALES.</w:t>
      </w:r>
    </w:p>
    <w:p>
      <w:pPr>
        <w:jc w:val="both"/>
      </w:pPr>
      <w:rPr>
        <w:sz w:val="24"/>
        <w:color w:val="black"/>
      </w:rPr>
    </w:p>
    <w:p>
      <w:pPr>
        <w:jc w:val="both"/>
      </w:pPr>
      <w:r>
        <w:rPr>
          <w:rFonts w:hAnsi="Arial"/>
          <w:rFonts w:ascii="Arial"/>
          <w:sz w:val="24"/>
          <w:color w:val="black"/>
        </w:rPr>
        <w:t xml:space="preserve">a.1. Ser mayor de edad y tener capacidad para ejercer por sν mismo el comercio.</w:t>
      </w:r>
    </w:p>
    <w:p>
      <w:pPr>
        <w:jc w:val="both"/>
      </w:pPr>
      <w:rPr>
        <w:sz w:val="24"/>
        <w:color w:val="black"/>
      </w:rPr>
    </w:p>
    <w:p>
      <w:pPr>
        <w:jc w:val="both"/>
      </w:pPr>
      <w:r>
        <w:rPr>
          <w:rFonts w:hAnsi="Arial"/>
          <w:rFonts w:ascii="Arial"/>
          <w:sz w:val="24"/>
          <w:color w:val="black"/>
        </w:rPr>
        <w:t xml:space="preserve">a.2. Tener domicilio permanente en el paνs y registrarlo ante la autoridad marνtima nacional.</w:t>
      </w:r>
    </w:p>
    <w:p>
      <w:pPr>
        <w:jc w:val="both"/>
      </w:pPr>
      <w:rPr>
        <w:sz w:val="24"/>
        <w:color w:val="black"/>
      </w:rPr>
    </w:p>
    <w:p>
      <w:pPr>
        <w:jc w:val="both"/>
      </w:pPr>
      <w:r>
        <w:rPr>
          <w:rFonts w:hAnsi="Arial"/>
          <w:rFonts w:ascii="Arial"/>
          <w:sz w:val="24"/>
          <w:color w:val="black"/>
        </w:rPr>
        <w:t xml:space="preserve">b) PERSONAS JURΝDICAS.</w:t>
      </w:r>
    </w:p>
    <w:p>
      <w:pPr>
        <w:jc w:val="both"/>
      </w:pPr>
      <w:rPr>
        <w:sz w:val="24"/>
        <w:color w:val="black"/>
      </w:rPr>
    </w:p>
    <w:p>
      <w:pPr>
        <w:jc w:val="both"/>
      </w:pPr>
      <w:r>
        <w:rPr>
          <w:rFonts w:hAnsi="Arial"/>
          <w:rFonts w:ascii="Arial"/>
          <w:sz w:val="24"/>
          <w:color w:val="black"/>
        </w:rPr>
        <w:t xml:space="preserve">b.1. Estar legalmente constituida.</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84" w:name="2.4.2.3.6"/>
      <w:r>
        <w:rPr>
          <w:rFonts w:hAnsi="Arial"/>
          <w:rFonts w:ascii="Arial"/>
          <w:sz w:val="24"/>
          <w:color w:val="navy"/>
        </w:rPr>
        <w:t xml:space="preserve">ARTΝCULO 2.4.2.3.6. REQUISITOS.</w:t>
      </w:r>
      <w:bookmarkEnd w:id="61584"/>
      <w:r>
        <w:rPr>
          <w:rFonts w:hAnsi="Arial"/>
          <w:rFonts w:ascii="Arial"/>
          <w:sz w:val="24"/>
          <w:b/>
          <w:color w:val="black"/>
        </w:rPr>
        <w:t xml:space="preserve"> </w:t>
      </w:r>
      <w:r>
        <w:rPr>
          <w:rFonts w:hAnsi="Arial"/>
          <w:rFonts w:ascii="Arial"/>
          <w:sz w:val="24"/>
          <w:color w:val="black"/>
        </w:rPr>
        <w:t xml:space="preserve">Para acreditar los requisitos exigidos por el literal b), del numeral 1o. y del ordinal b.1 del numeral 2 del artνculo precedente, la solicitud deberα estar acompaρada por los siguientes documentos:</w:t>
      </w:r>
    </w:p>
    <w:p>
      <w:pPr>
        <w:jc w:val="both"/>
      </w:pPr>
      <w:rPr>
        <w:sz w:val="24"/>
        <w:color w:val="black"/>
      </w:rPr>
    </w:p>
    <w:p>
      <w:pPr>
        <w:jc w:val="both"/>
      </w:pPr>
      <w:r>
        <w:rPr>
          <w:rFonts w:hAnsi="Arial"/>
          <w:rFonts w:ascii="Arial"/>
          <w:sz w:val="24"/>
          <w:color w:val="black"/>
        </w:rPr>
        <w:t xml:space="preserve">- Certificado de existencia y representaciσn de la respectiva Cαmara de Comercio.</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5" w:name="2.4.2.3.7"/>
      <w:r>
        <w:rPr>
          <w:rFonts w:hAnsi="Arial"/>
          <w:rFonts w:ascii="Arial"/>
          <w:sz w:val="24"/>
          <w:color w:val="navy"/>
        </w:rPr>
        <w:t xml:space="preserve">ARTΝCULO 2.4.2.3.7. </w:t>
      </w:r>
      <w:r>
        <w:rPr>
          <w:rFonts w:hAnsi="Arial"/>
          <w:rFonts w:ascii="Arial"/>
          <w:sz w:val="24"/>
          <w:i/>
          <w:color w:val="navy"/>
        </w:rPr>
        <w:t xml:space="preserve">VIGENCIA DE LA LICENCIA.</w:t>
      </w:r>
      <w:bookmarkEnd w:id="61585"/>
      <w:r>
        <w:rPr>
          <w:rFonts w:hAnsi="Arial"/>
          <w:rFonts w:ascii="Arial"/>
          <w:sz w:val="24"/>
          <w:b/>
          <w:i/>
          <w:color w:val="black"/>
        </w:rPr>
        <w:t xml:space="preserve"> </w:t>
      </w:r>
      <w:r>
        <w:rPr>
          <w:rFonts w:hAnsi="Arial"/>
          <w:rFonts w:ascii="Arial"/>
          <w:sz w:val="24"/>
          <w:color w:val="black"/>
        </w:rPr>
        <w:t xml:space="preserve">La autoridad marνtima nacional otorgarα licencias de Corredor de Contratos de Fletamento Marνtimo por un tιrmino de vigencia hasta de dos (2) aρos renovable a solicitud del interesado.</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6" w:name="2.4.2.3.8"/>
      <w:r>
        <w:rPr>
          <w:rFonts w:hAnsi="Arial"/>
          <w:rFonts w:ascii="Arial"/>
          <w:sz w:val="24"/>
          <w:color w:val="navy"/>
        </w:rPr>
        <w:t xml:space="preserve">ARTΝCULO 2.4.2.3.8. </w:t>
      </w:r>
      <w:r>
        <w:rPr>
          <w:rFonts w:hAnsi="Arial"/>
          <w:rFonts w:ascii="Arial"/>
          <w:sz w:val="24"/>
          <w:i/>
          <w:color w:val="navy"/>
        </w:rPr>
        <w:t xml:space="preserve">REEMBOLSO DE DIVISAS.</w:t>
      </w:r>
      <w:bookmarkEnd w:id="61586"/>
      <w:r>
        <w:rPr>
          <w:rFonts w:hAnsi="Arial"/>
          <w:rFonts w:ascii="Arial"/>
          <w:sz w:val="24"/>
          <w:b/>
          <w:i/>
          <w:color w:val="black"/>
        </w:rPr>
        <w:t xml:space="preserve"> </w:t>
      </w:r>
      <w:r>
        <w:rPr>
          <w:rFonts w:hAnsi="Arial"/>
          <w:rFonts w:ascii="Arial"/>
          <w:sz w:val="24"/>
          <w:color w:val="black"/>
        </w:rPr>
        <w:t xml:space="preserve">El reembolso de las divisas por el pago de los fletes marνtimos, con fundamento en un contrato de fletamento, se regirα por la ley vigente en esta materia.</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587" w:name="2.4.2.3.9"/>
      <w:r>
        <w:rPr>
          <w:rFonts w:hAnsi="Arial"/>
          <w:rFonts w:ascii="Arial"/>
          <w:sz w:val="24"/>
          <w:color w:val="navy"/>
        </w:rPr>
        <w:t xml:space="preserve">ARTΝCULO 2.4.2.3.9. </w:t>
      </w:r>
      <w:r>
        <w:rPr>
          <w:rFonts w:hAnsi="Arial"/>
          <w:rFonts w:ascii="Arial"/>
          <w:sz w:val="24"/>
          <w:i/>
          <w:color w:val="navy"/>
        </w:rPr>
        <w:t>OBLIGACIONES.</w:t>
      </w:r>
      <w:bookmarkEnd w:id="61587"/>
      <w:r>
        <w:rPr>
          <w:rFonts w:hAnsi="Arial"/>
          <w:rFonts w:ascii="Arial"/>
          <w:sz w:val="24"/>
          <w:b/>
          <w:i/>
          <w:color w:val="black"/>
        </w:rPr>
        <w:t xml:space="preserve"> </w:t>
      </w:r>
      <w:r>
        <w:rPr>
          <w:rFonts w:hAnsi="Arial"/>
          <w:rFonts w:ascii="Arial"/>
          <w:sz w:val="24"/>
          <w:color w:val="black"/>
        </w:rPr>
        <w:t xml:space="preserve">El Corredor de Contratos de Fletamento Marνtimo deberα:</w:t>
      </w:r>
    </w:p>
    <w:p>
      <w:pPr>
        <w:jc w:val="both"/>
      </w:pPr>
      <w:rPr>
        <w:sz w:val="24"/>
        <w:color w:val="black"/>
      </w:rPr>
    </w:p>
    <w:p>
      <w:pPr>
        <w:jc w:val="both"/>
      </w:pPr>
      <w:r>
        <w:rPr>
          <w:rFonts w:hAnsi="Arial"/>
          <w:rFonts w:ascii="Arial"/>
          <w:sz w:val="24"/>
          <w:color w:val="black"/>
        </w:rPr>
        <w:t xml:space="preserve">a) Obrar en el desempeρo de sus funciones con honestidad, integridad e imparcialidad;</w:t>
      </w:r>
    </w:p>
    <w:p>
      <w:pPr>
        <w:jc w:val="both"/>
      </w:pPr>
      <w:rPr>
        <w:sz w:val="24"/>
        <w:color w:val="black"/>
      </w:rPr>
    </w:p>
    <w:p>
      <w:pPr>
        <w:jc w:val="both"/>
      </w:pPr>
      <w:r>
        <w:rPr>
          <w:rFonts w:hAnsi="Arial"/>
          <w:rFonts w:ascii="Arial"/>
          <w:sz w:val="24"/>
          <w:color w:val="black"/>
        </w:rPr>
        <w:t xml:space="preserve">b) Observar las leyes nacionales y reglamentaciones relacionadas con la actividad que desempeρa;</w:t>
      </w:r>
    </w:p>
    <w:p>
      <w:pPr>
        <w:jc w:val="both"/>
      </w:pPr>
      <w:rPr>
        <w:sz w:val="24"/>
        <w:color w:val="black"/>
      </w:rPr>
    </w:p>
    <w:p>
      <w:pPr>
        <w:jc w:val="both"/>
      </w:pPr>
      <w:r>
        <w:rPr>
          <w:rFonts w:hAnsi="Arial"/>
          <w:rFonts w:ascii="Arial"/>
          <w:sz w:val="24"/>
          <w:color w:val="black"/>
        </w:rPr>
        <w:t xml:space="preserve">c) Atender con diligencia y cuidado los encargos profesionales;</w:t>
      </w:r>
    </w:p>
    <w:p>
      <w:pPr>
        <w:jc w:val="both"/>
      </w:pPr>
      <w:rPr>
        <w:sz w:val="24"/>
        <w:color w:val="black"/>
      </w:rPr>
    </w:p>
    <w:p>
      <w:pPr>
        <w:jc w:val="both"/>
      </w:pPr>
      <w:r>
        <w:rPr>
          <w:rFonts w:hAnsi="Arial"/>
          <w:rFonts w:ascii="Arial"/>
          <w:sz w:val="24"/>
          <w:color w:val="black"/>
        </w:rPr>
        <w:t xml:space="preserve">d) No incurrir en conductas o prαcticas desleales o fraudulentas que afecten el desarrollo cabal y ordenado de los servicios de transporte marνtimo, como serνan:</w:t>
      </w:r>
    </w:p>
    <w:p>
      <w:pPr>
        <w:jc w:val="both"/>
      </w:pPr>
      <w:rPr>
        <w:sz w:val="24"/>
        <w:color w:val="black"/>
      </w:rPr>
    </w:p>
    <w:p>
      <w:pPr>
        <w:jc w:val="both"/>
      </w:pPr>
      <w:r>
        <w:rPr>
          <w:rFonts w:hAnsi="Arial"/>
          <w:rFonts w:ascii="Arial"/>
          <w:sz w:val="24"/>
          <w:color w:val="black"/>
        </w:rPr>
        <w:t xml:space="preserve">- Incrementar para beneficio propio el flete ofrecido por el transportador.</w:t>
      </w:r>
    </w:p>
    <w:p>
      <w:pPr>
        <w:jc w:val="both"/>
      </w:pPr>
      <w:rPr>
        <w:sz w:val="24"/>
        <w:color w:val="black"/>
      </w:rPr>
    </w:p>
    <w:p>
      <w:pPr>
        <w:jc w:val="both"/>
      </w:pPr>
      <w:r>
        <w:rPr>
          <w:rFonts w:hAnsi="Arial"/>
          <w:rFonts w:ascii="Arial"/>
          <w:sz w:val="24"/>
          <w:color w:val="black"/>
        </w:rPr>
        <w:t xml:space="preserve">- Cobrar o exigir cualquier tipo de compensaciσn adicional en relaciσn con la disponibilidad de naves o capacidad transportadora.</w:t>
      </w:r>
    </w:p>
    <w:p>
      <w:pPr>
        <w:jc w:val="both"/>
      </w:pPr>
      <w:rPr>
        <w:sz w:val="24"/>
        <w:color w:val="black"/>
      </w:rPr>
    </w:p>
    <w:p>
      <w:pPr>
        <w:jc w:val="both"/>
      </w:pPr>
      <w:r>
        <w:rPr>
          <w:rFonts w:hAnsi="Arial"/>
          <w:rFonts w:ascii="Arial"/>
          <w:sz w:val="24"/>
          <w:color w:val="black"/>
        </w:rPr>
        <w:t xml:space="preserve">- En general, cualquier prαctica que sea discriminatoria o perjudicial para con los usuarios de sus servicios.</w:t>
      </w:r>
    </w:p>
    <w:p>
      <w:pPr>
        <w:jc w:val="both"/>
      </w:pPr>
      <w:rPr>
        <w:sz w:val="24"/>
        <w:color w:val="black"/>
      </w:rPr>
    </w:p>
    <w:p>
      <w:pPr>
        <w:jc w:val="both"/>
      </w:pPr>
      <w:r>
        <w:rPr>
          <w:rFonts w:hAnsi="Arial"/>
          <w:rFonts w:ascii="Arial"/>
          <w:sz w:val="24"/>
          <w:i/>
          <w:color w:val="black"/>
        </w:rPr>
        <w:t xml:space="preserve">(Decreto 1753 de 1991 artνculo </w:t>
      </w:r>
      <w:r>
        <w:fldChar w:fldCharType="begin"/>
      </w:r>
      <w:r>
        <w:instrText>HYPERLINK "http://www.redjurista.com/document.aspx?ajcode=d1753_91&amp;arts=11"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588" w:name="TÍTULO 2.4.3"/>
      <w:r>
        <w:rPr>
          <w:rFonts w:hAnsi="Arial"/>
          <w:rFonts w:ascii="Arial"/>
          <w:sz w:val="24"/>
          <w:color w:val="navy"/>
        </w:rPr>
        <w:t xml:space="preserve">TΝTULO 3. </w:t>
      </w:r>
    </w:p>
    <w:p>
      <w:pPr>
        <w:jc w:val="center"/>
      </w:pPr>
      <w:r>
        <w:rPr>
          <w:rFonts w:hAnsi="Arial"/>
          <w:rFonts w:ascii="Arial"/>
          <w:sz w:val="24"/>
          <w:color w:val="navy"/>
        </w:rPr>
        <w:t xml:space="preserve">NAVES Y ARTEFACTOS NAVALES.</w:t>
      </w:r>
      <w:bookmarkEnd w:id="61588"/>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589" w:name="CAPÍTULO 2.4.3.1"/>
      <w:r>
        <w:rPr>
          <w:rFonts w:hAnsi="Arial"/>
          <w:rFonts w:ascii="Arial"/>
          <w:sz w:val="24"/>
          <w:color w:val="navy"/>
        </w:rPr>
        <w:t xml:space="preserve">CAPΝTULO 1. </w:t>
      </w:r>
    </w:p>
    <w:p>
      <w:pPr>
        <w:jc w:val="center"/>
      </w:pPr>
      <w:r>
        <w:rPr>
          <w:rFonts w:hAnsi="Arial"/>
          <w:rFonts w:ascii="Arial"/>
          <w:sz w:val="24"/>
          <w:color w:val="navy"/>
        </w:rPr>
        <w:t xml:space="preserve">NAVES Y ARTEFACTOS NAVALES.</w:t>
      </w:r>
      <w:bookmarkEnd w:id="6158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590" w:name="2.4.3.1.1"/>
      <w:r>
        <w:rPr>
          <w:rFonts w:hAnsi="Arial"/>
          <w:rFonts w:ascii="Arial"/>
          <w:sz w:val="24"/>
          <w:color w:val="navy"/>
        </w:rPr>
        <w:t xml:space="preserve">ARTΝCULO 2.4.3.1.1. </w:t>
      </w:r>
      <w:r>
        <w:rPr>
          <w:rFonts w:hAnsi="Arial"/>
          <w:rFonts w:ascii="Arial"/>
          <w:sz w:val="24"/>
          <w:i/>
          <w:color w:val="navy"/>
        </w:rPr>
        <w:t xml:space="preserve">CONSTRUCCIΣN DE NAVES MAYORES EN EL PAΝS.</w:t>
      </w:r>
      <w:bookmarkEnd w:id="61590"/>
      <w:r>
        <w:rPr>
          <w:rFonts w:hAnsi="Arial"/>
          <w:rFonts w:ascii="Arial"/>
          <w:sz w:val="24"/>
          <w:b/>
          <w:i/>
          <w:color w:val="black"/>
        </w:rPr>
        <w:t xml:space="preserve"> </w:t>
      </w:r>
      <w:r>
        <w:rPr>
          <w:rFonts w:hAnsi="Arial"/>
          <w:rFonts w:ascii="Arial"/>
          <w:sz w:val="24"/>
          <w:color w:val="black"/>
        </w:rPr>
        <w:t xml:space="preserve">Para construir naves marνtimas mayores o de mαs de 16 metros de eslora de diseρo en el paνs, el interesado debe elevar solicitud escrita a la Direcciσn General Marνtima, para aprobaciσn preliminar de la construcciσn, la cual contendrα la siguiente informaciσn:</w:t>
      </w:r>
    </w:p>
    <w:p>
      <w:pPr>
        <w:jc w:val="both"/>
      </w:pPr>
      <w:rPr>
        <w:sz w:val="24"/>
        <w:color w:val="black"/>
      </w:rPr>
    </w:p>
    <w:p>
      <w:pPr>
        <w:jc w:val="both"/>
      </w:pPr>
      <w:r>
        <w:rPr>
          <w:rFonts w:hAnsi="Arial"/>
          <w:rFonts w:ascii="Arial"/>
          <w:sz w:val="24"/>
          <w:color w:val="black"/>
        </w:rPr>
        <w:t xml:space="preserve">1. Caracterνsticas generales de la nave, a saber:</w:t>
      </w:r>
    </w:p>
    <w:p>
      <w:pPr>
        <w:jc w:val="both"/>
      </w:pPr>
      <w:rPr>
        <w:sz w:val="24"/>
        <w:color w:val="black"/>
      </w:rPr>
    </w:p>
    <w:p>
      <w:pPr>
        <w:jc w:val="both"/>
      </w:pPr>
      <w:r>
        <w:rPr>
          <w:rFonts w:hAnsi="Arial"/>
          <w:rFonts w:ascii="Arial"/>
          <w:sz w:val="24"/>
          <w:color w:val="black"/>
        </w:rPr>
        <w:t xml:space="preserve">Eslora, manga, puntual, calado mαximo, material del casco, tonelajes y sistemas de propulsiσn.</w:t>
      </w:r>
    </w:p>
    <w:p>
      <w:pPr>
        <w:jc w:val="both"/>
      </w:pPr>
      <w:rPr>
        <w:sz w:val="24"/>
        <w:color w:val="black"/>
      </w:rPr>
    </w:p>
    <w:p>
      <w:pPr>
        <w:jc w:val="both"/>
      </w:pPr>
      <w:r>
        <w:rPr>
          <w:rFonts w:hAnsi="Arial"/>
          <w:rFonts w:ascii="Arial"/>
          <w:sz w:val="24"/>
          <w:color w:val="black"/>
        </w:rPr>
        <w:t xml:space="preserve">2. Servicio al cual se propone destinar la nave.</w:t>
      </w:r>
    </w:p>
    <w:p>
      <w:pPr>
        <w:jc w:val="both"/>
      </w:pPr>
      <w:rPr>
        <w:sz w:val="24"/>
        <w:color w:val="black"/>
      </w:rPr>
    </w:p>
    <w:p>
      <w:pPr>
        <w:jc w:val="both"/>
      </w:pPr>
      <w:r>
        <w:rPr>
          <w:rFonts w:hAnsi="Arial"/>
          <w:rFonts w:ascii="Arial"/>
          <w:sz w:val="24"/>
          <w:color w:val="black"/>
        </w:rPr>
        <w:t xml:space="preserve">3. Nombre del constructor a quien se propone ordenar la construcciσn.</w:t>
      </w:r>
    </w:p>
    <w:p>
      <w:pPr>
        <w:jc w:val="both"/>
      </w:pPr>
      <w:rPr>
        <w:sz w:val="24"/>
        <w:color w:val="black"/>
      </w:rPr>
    </w:p>
    <w:p>
      <w:pPr>
        <w:jc w:val="both"/>
      </w:pPr>
      <w:r>
        <w:rPr>
          <w:rFonts w:hAnsi="Arial"/>
          <w:rFonts w:ascii="Arial"/>
          <w:sz w:val="24"/>
          <w:color w:val="black"/>
        </w:rPr>
        <w:t xml:space="preserve">Una vez obtenida la aprobaciσn preliminar, el constructor colombiano presentarα la correspondiente solicitud de licencia de construcciσn a la Autoridad Marνtima Nacional, por conducto de la Capitanνa de Puerto donde funcione el astillero, la cual contendrα la siguiente informaciσn y documentos:</w:t>
      </w:r>
    </w:p>
    <w:p>
      <w:pPr>
        <w:jc w:val="both"/>
      </w:pPr>
      <w:rPr>
        <w:sz w:val="24"/>
        <w:color w:val="black"/>
      </w:rPr>
    </w:p>
    <w:p>
      <w:pPr>
        <w:jc w:val="both"/>
      </w:pPr>
      <w:r>
        <w:rPr>
          <w:rFonts w:hAnsi="Arial"/>
          <w:rFonts w:ascii="Arial"/>
          <w:sz w:val="24"/>
          <w:color w:val="black"/>
        </w:rPr>
        <w:t xml:space="preserve">1. Nombre o razσn social del astillero, nombre y direcciσn del ordenador de la construcciσn de la nave.</w:t>
      </w:r>
    </w:p>
    <w:p>
      <w:pPr>
        <w:jc w:val="both"/>
      </w:pPr>
      <w:rPr>
        <w:sz w:val="24"/>
        <w:color w:val="black"/>
      </w:rPr>
    </w:p>
    <w:p>
      <w:pPr>
        <w:jc w:val="both"/>
      </w:pPr>
      <w:r>
        <w:rPr>
          <w:rFonts w:hAnsi="Arial"/>
          <w:rFonts w:ascii="Arial"/>
          <w:sz w:val="24"/>
          <w:color w:val="black"/>
        </w:rPr>
        <w:t xml:space="preserve">2. Eslora, manga y puntal definitivos de diseρo de la embarcaciσn.</w:t>
      </w:r>
    </w:p>
    <w:p>
      <w:pPr>
        <w:jc w:val="both"/>
      </w:pPr>
      <w:rPr>
        <w:sz w:val="24"/>
        <w:color w:val="black"/>
      </w:rPr>
    </w:p>
    <w:p>
      <w:pPr>
        <w:jc w:val="both"/>
      </w:pPr>
      <w:r>
        <w:rPr>
          <w:rFonts w:hAnsi="Arial"/>
          <w:rFonts w:ascii="Arial"/>
          <w:sz w:val="24"/>
          <w:color w:val="black"/>
        </w:rPr>
        <w:t xml:space="preserve">3. Clase de propulsiσn y potencia indicada en K. W.</w:t>
      </w:r>
    </w:p>
    <w:p>
      <w:pPr>
        <w:jc w:val="both"/>
      </w:pPr>
      <w:rPr>
        <w:sz w:val="24"/>
        <w:color w:val="black"/>
      </w:rPr>
    </w:p>
    <w:p>
      <w:pPr>
        <w:jc w:val="both"/>
      </w:pPr>
      <w:r>
        <w:rPr>
          <w:rFonts w:hAnsi="Arial"/>
          <w:rFonts w:ascii="Arial"/>
          <w:sz w:val="24"/>
          <w:color w:val="black"/>
        </w:rPr>
        <w:t xml:space="preserve">4. Material del casco.</w:t>
      </w:r>
    </w:p>
    <w:p>
      <w:pPr>
        <w:jc w:val="both"/>
      </w:pPr>
      <w:rPr>
        <w:sz w:val="24"/>
        <w:color w:val="black"/>
      </w:rPr>
    </w:p>
    <w:p>
      <w:pPr>
        <w:jc w:val="both"/>
      </w:pPr>
      <w:r>
        <w:rPr>
          <w:rFonts w:hAnsi="Arial"/>
          <w:rFonts w:ascii="Arial"/>
          <w:sz w:val="24"/>
          <w:color w:val="black"/>
        </w:rPr>
        <w:t xml:space="preserve">5. Sociedad Internacional de Clasificaciσn, inscrita ante la Autoridad Marνtima Nacional que supervigilarα la construcciσn.</w:t>
      </w:r>
    </w:p>
    <w:p>
      <w:pPr>
        <w:jc w:val="both"/>
      </w:pPr>
      <w:rPr>
        <w:sz w:val="24"/>
        <w:color w:val="black"/>
      </w:rPr>
    </w:p>
    <w:p>
      <w:pPr>
        <w:jc w:val="both"/>
      </w:pPr>
      <w:r>
        <w:rPr>
          <w:rFonts w:hAnsi="Arial"/>
          <w:rFonts w:ascii="Arial"/>
          <w:sz w:val="24"/>
          <w:color w:val="black"/>
        </w:rPr>
        <w:t xml:space="preserve">6. Dos (2) copias de las especificaciones de construcciσn y planos preliminares.</w:t>
      </w:r>
    </w:p>
    <w:p>
      <w:pPr>
        <w:jc w:val="both"/>
      </w:pPr>
      <w:rPr>
        <w:sz w:val="24"/>
        <w:color w:val="black"/>
      </w:rPr>
    </w:p>
    <w:p>
      <w:pPr>
        <w:jc w:val="both"/>
      </w:pPr>
      <w:r>
        <w:rPr>
          <w:rFonts w:hAnsi="Arial"/>
          <w:rFonts w:ascii="Arial"/>
          <w:sz w:val="24"/>
          <w:color w:val="black"/>
        </w:rPr>
        <w:t xml:space="preserve">Cumplido lo anterior, la Autoridad Marνtima, expedirα la autorizaciσn de construcciσn correspondiente con validez de un (1) aρo.</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91" w:name="2.4.3.1.2"/>
      <w:r>
        <w:rPr>
          <w:rFonts w:hAnsi="Arial"/>
          <w:rFonts w:ascii="Arial"/>
          <w:sz w:val="24"/>
          <w:color w:val="navy"/>
        </w:rPr>
        <w:t xml:space="preserve">ARTΝCULO 2.4.3.1.2. </w:t>
      </w:r>
      <w:r>
        <w:rPr>
          <w:rFonts w:hAnsi="Arial"/>
          <w:rFonts w:ascii="Arial"/>
          <w:sz w:val="24"/>
          <w:i/>
          <w:color w:val="navy"/>
        </w:rPr>
        <w:t xml:space="preserve">CAMBIO DE ESPECIFICACIONES DE NAVES MAYORES.</w:t>
      </w:r>
      <w:bookmarkEnd w:id="61591"/>
      <w:r>
        <w:rPr>
          <w:rFonts w:hAnsi="Arial"/>
          <w:rFonts w:ascii="Arial"/>
          <w:sz w:val="24"/>
          <w:b/>
          <w:i/>
          <w:color w:val="black"/>
        </w:rPr>
        <w:t xml:space="preserve"> </w:t>
      </w:r>
      <w:r>
        <w:rPr>
          <w:rFonts w:hAnsi="Arial"/>
          <w:rFonts w:ascii="Arial"/>
          <w:sz w:val="24"/>
          <w:color w:val="black"/>
        </w:rPr>
        <w:t xml:space="preserve">Para la modificaciσn o cambio de las especificaciones o de los planos preliminares de construcciσn, que tuvieren lugar durante la misma, tanto en astillero nacional como extranjero, el solicitante o el astillero, segϊn el caso, deberα obtener previa autorizaciσn de la Direcciσn General Marνtima, si las modificaciones afectan los materiales utilizados en la estructura, las especificaciones del casco, el nϊmero y localizaciσn de las cubiertas, la maquinaria en general, los equipos de navegaciσn, carga, salvamento y contra incendio y los sistemas de gobierno principal y auxiliar. En los demαs casos solamente deberαn ser detalladas las modificaciones por el armador a primera oportunidad, antes de ser presentada la solicitud de matrνcula de la nave.</w:t>
      </w:r>
    </w:p>
    <w:p>
      <w:pPr>
        <w:jc w:val="both"/>
      </w:pPr>
      <w:rPr>
        <w:sz w:val="24"/>
        <w:color w:val="black"/>
      </w:rPr>
    </w:p>
    <w:p>
      <w:pPr>
        <w:jc w:val="both"/>
      </w:pPr>
      <w:r>
        <w:rPr>
          <w:rFonts w:hAnsi="Arial"/>
          <w:rFonts w:ascii="Arial"/>
          <w:sz w:val="24"/>
          <w:i/>
          <w:color w:val="black"/>
        </w:rPr>
        <w:t xml:space="preserve"> (Decreto 1423 de 1989 artνculo </w:t>
      </w:r>
      <w:r>
        <w:fldChar w:fldCharType="begin"/>
      </w:r>
      <w:r>
        <w:instrText>HYPERLINK "http://www.redjurista.com/document.aspx?ajcode=d1423_89&amp;arts=3"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92" w:name="2.4.3.1.3"/>
      <w:r>
        <w:rPr>
          <w:rFonts w:hAnsi="Arial"/>
          <w:rFonts w:ascii="Arial"/>
          <w:sz w:val="24"/>
          <w:color w:val="navy"/>
        </w:rPr>
        <w:t xml:space="preserve">ARTΝCULO 2.4.3.1.3. </w:t>
      </w:r>
      <w:r>
        <w:rPr>
          <w:rFonts w:hAnsi="Arial"/>
          <w:rFonts w:ascii="Arial"/>
          <w:sz w:val="24"/>
          <w:i/>
          <w:color w:val="navy"/>
        </w:rPr>
        <w:t xml:space="preserve">CONSTRUCCIΣN DE NAVES MENORES.</w:t>
      </w:r>
      <w:bookmarkEnd w:id="61592"/>
      <w:r>
        <w:rPr>
          <w:rFonts w:hAnsi="Arial"/>
          <w:rFonts w:ascii="Arial"/>
          <w:sz w:val="24"/>
          <w:b/>
          <w:i/>
          <w:color w:val="black"/>
        </w:rPr>
        <w:t xml:space="preserve"> </w:t>
      </w:r>
      <w:r>
        <w:rPr>
          <w:rFonts w:hAnsi="Arial"/>
          <w:rFonts w:ascii="Arial"/>
          <w:sz w:val="24"/>
          <w:color w:val="black"/>
        </w:rPr>
        <w:t xml:space="preserve">Cuando se trate de la construcciσn de naves menores o hasta de 16 metros de eslora de diseρo, tanto en astillero nacional como extranjero, se cumplirαn los mismos requisitos contenidos en los artνculos </w:t>
      </w:r>
      <w:r>
        <w:fldChar w:fldCharType="begin"/>
      </w:r>
      <w:r>
        <w:instrText>HYPERLINK "http://www.redjurista.com/document.aspx?ajcode=d1070015&amp;arts=2.4.3.1.1"</w:instrText>
      </w:r>
      <w:r>
        <w:fldChar w:fldCharType="separate"/>
      </w:r>
      <w:r>
        <w:rPr>
          <w:rFonts w:hAnsi="Arial"/>
          <w:rFonts w:ascii="Arial"/>
          <w:sz w:val="24"/>
          <w:u w:val="single"/>
          <w:color w:val="black"/>
        </w:rPr>
        <w:t>2.4.3.1.1</w:t>
      </w:r>
      <w:r>
        <w:fldChar w:fldCharType="end"/>
      </w:r>
      <w:r>
        <w:rPr>
          <w:rFonts w:hAnsi="Arial"/>
          <w:rFonts w:ascii="Arial"/>
          <w:sz w:val="24"/>
          <w:u w:val="none"/>
          <w:color w:val="black"/>
        </w:rPr>
        <w:t xml:space="preserve">., y </w:t>
      </w:r>
      <w:r>
        <w:fldChar w:fldCharType="begin"/>
      </w:r>
      <w:r>
        <w:instrText>HYPERLINK "http://www.redjurista.com/document.aspx?ajcode=d1070015&amp;arts=2.4.3.1.2"</w:instrText>
      </w:r>
      <w:r>
        <w:fldChar w:fldCharType="separate"/>
      </w:r>
      <w:r>
        <w:rPr>
          <w:rFonts w:hAnsi="Arial"/>
          <w:rFonts w:ascii="Arial"/>
          <w:sz w:val="24"/>
          <w:u w:val="single"/>
          <w:color w:val="black"/>
        </w:rPr>
        <w:t>2.4.3.1.2</w:t>
      </w:r>
      <w:r>
        <w:fldChar w:fldCharType="end"/>
      </w:r>
      <w:r>
        <w:rPr>
          <w:rFonts w:hAnsi="Arial"/>
          <w:rFonts w:ascii="Arial"/>
          <w:sz w:val="24"/>
          <w:u w:val="none"/>
          <w:color w:val="black"/>
        </w:rPr>
        <w:t xml:space="preserve">., de este Tνtulo. Los planos preliminares solamente deberαn contener:</w:t>
      </w:r>
    </w:p>
    <w:p>
      <w:pPr>
        <w:jc w:val="both"/>
      </w:pPr>
      <w:rPr>
        <w:sz w:val="24"/>
        <w:color w:val="black"/>
      </w:rPr>
    </w:p>
    <w:p>
      <w:pPr>
        <w:jc w:val="both"/>
      </w:pPr>
      <w:r>
        <w:rPr>
          <w:rFonts w:hAnsi="Arial"/>
          <w:rFonts w:ascii="Arial"/>
          <w:sz w:val="24"/>
          <w:color w:val="black"/>
        </w:rPr>
        <w:t xml:space="preserve">1. Perfil, secciones longitudinales y transversales y plantas.</w:t>
      </w:r>
    </w:p>
    <w:p>
      <w:pPr>
        <w:jc w:val="both"/>
      </w:pPr>
      <w:rPr>
        <w:sz w:val="24"/>
        <w:color w:val="black"/>
      </w:rPr>
    </w:p>
    <w:p>
      <w:pPr>
        <w:jc w:val="both"/>
      </w:pPr>
      <w:r>
        <w:rPr>
          <w:rFonts w:hAnsi="Arial"/>
          <w:rFonts w:ascii="Arial"/>
          <w:sz w:val="24"/>
          <w:color w:val="black"/>
        </w:rPr>
        <w:t xml:space="preserve">2. Disposiciσn de los elementos de salvamento, navegaciσn, contra incendio, combustible, sistema de achique y red elιctrica.</w:t>
      </w:r>
    </w:p>
    <w:p>
      <w:pPr>
        <w:jc w:val="both"/>
      </w:pPr>
      <w:rPr>
        <w:sz w:val="24"/>
        <w:color w:val="black"/>
      </w:rPr>
    </w:p>
    <w:p>
      <w:pPr>
        <w:jc w:val="both"/>
      </w:pPr>
      <w:r>
        <w:rPr>
          <w:rFonts w:hAnsi="Arial"/>
          <w:rFonts w:ascii="Arial"/>
          <w:sz w:val="24"/>
          <w:color w:val="black"/>
        </w:rPr>
        <w:t xml:space="preserve">3. Disposiciσn de la maquinaria.</w:t>
      </w:r>
    </w:p>
    <w:p>
      <w:pPr>
        <w:jc w:val="both"/>
      </w:pPr>
      <w:rPr>
        <w:sz w:val="24"/>
        <w:color w:val="black"/>
      </w:rPr>
    </w:p>
    <w:p>
      <w:pPr>
        <w:jc w:val="both"/>
      </w:pPr>
      <w:r>
        <w:rPr>
          <w:rFonts w:hAnsi="Arial"/>
          <w:rFonts w:ascii="Arial"/>
          <w:sz w:val="24"/>
          <w:color w:val="black"/>
        </w:rPr>
        <w:t xml:space="preserve">4. Las especificaciones correspondientes.</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93" w:name="2.4.3.1.4"/>
      <w:r>
        <w:rPr>
          <w:rFonts w:hAnsi="Arial"/>
          <w:rFonts w:ascii="Arial"/>
          <w:sz w:val="24"/>
          <w:color w:val="navy"/>
        </w:rPr>
        <w:t xml:space="preserve">ARTΝCULO 2.4.3.1.4. </w:t>
      </w:r>
      <w:r>
        <w:rPr>
          <w:rFonts w:hAnsi="Arial"/>
          <w:rFonts w:ascii="Arial"/>
          <w:sz w:val="24"/>
          <w:i/>
          <w:color w:val="navy"/>
        </w:rPr>
        <w:t xml:space="preserve">CONSTRUCCIΣN DE ARTEFACTOS NAVALES.</w:t>
      </w:r>
      <w:bookmarkEnd w:id="61593"/>
      <w:r>
        <w:rPr>
          <w:rFonts w:hAnsi="Arial"/>
          <w:rFonts w:ascii="Arial"/>
          <w:sz w:val="24"/>
          <w:b/>
          <w:i/>
          <w:color w:val="black"/>
        </w:rPr>
        <w:t xml:space="preserve"> </w:t>
      </w:r>
      <w:r>
        <w:rPr>
          <w:rFonts w:hAnsi="Arial"/>
          <w:rFonts w:ascii="Arial"/>
          <w:sz w:val="24"/>
          <w:color w:val="black"/>
        </w:rPr>
        <w:t xml:space="preserve">Para la construcciσn de artefactos navales, tanto en el paνs como en el exterior, el interesado elevarα solicitud ante la Autoridad Marνtima de autorizaciσn de adquisiciσn, en caso de que la construcciσn tenga lugar en el exterior, o de aprobaciσn, si esta tiene lugar en el paνs, suministrando la siguiente informaciσn:</w:t>
      </w:r>
    </w:p>
    <w:p>
      <w:pPr>
        <w:jc w:val="both"/>
      </w:pPr>
      <w:rPr>
        <w:sz w:val="24"/>
        <w:color w:val="black"/>
      </w:rPr>
    </w:p>
    <w:p>
      <w:pPr>
        <w:jc w:val="both"/>
      </w:pPr>
      <w:r>
        <w:rPr>
          <w:rFonts w:hAnsi="Arial"/>
          <w:rFonts w:ascii="Arial"/>
          <w:sz w:val="24"/>
          <w:color w:val="black"/>
        </w:rPr>
        <w:t xml:space="preserve">1. Clase de artefacto a construir.</w:t>
      </w:r>
    </w:p>
    <w:p>
      <w:pPr>
        <w:jc w:val="both"/>
      </w:pPr>
      <w:rPr>
        <w:sz w:val="24"/>
        <w:color w:val="black"/>
      </w:rPr>
    </w:p>
    <w:p>
      <w:pPr>
        <w:jc w:val="both"/>
      </w:pPr>
      <w:r>
        <w:rPr>
          <w:rFonts w:hAnsi="Arial"/>
          <w:rFonts w:ascii="Arial"/>
          <w:sz w:val="24"/>
          <w:color w:val="black"/>
        </w:rPr>
        <w:t xml:space="preserve">2. Dimensiones principales, a saber: eslora, manga y calado mαximos.</w:t>
      </w:r>
    </w:p>
    <w:p>
      <w:pPr>
        <w:jc w:val="both"/>
      </w:pPr>
      <w:rPr>
        <w:sz w:val="24"/>
        <w:color w:val="black"/>
      </w:rPr>
    </w:p>
    <w:p>
      <w:pPr>
        <w:jc w:val="both"/>
      </w:pPr>
      <w:r>
        <w:rPr>
          <w:rFonts w:hAnsi="Arial"/>
          <w:rFonts w:ascii="Arial"/>
          <w:sz w:val="24"/>
          <w:color w:val="black"/>
        </w:rPr>
        <w:t xml:space="preserve">3. Material del casco.</w:t>
      </w:r>
    </w:p>
    <w:p>
      <w:pPr>
        <w:jc w:val="both"/>
      </w:pPr>
      <w:rPr>
        <w:sz w:val="24"/>
        <w:color w:val="black"/>
      </w:rPr>
    </w:p>
    <w:p>
      <w:pPr>
        <w:jc w:val="both"/>
      </w:pPr>
      <w:r>
        <w:rPr>
          <w:rFonts w:hAnsi="Arial"/>
          <w:rFonts w:ascii="Arial"/>
          <w:sz w:val="24"/>
          <w:color w:val="black"/>
        </w:rPr>
        <w:t xml:space="preserve">4. Clase de maquinaria y equipo con que serα dotado.</w:t>
      </w:r>
    </w:p>
    <w:p>
      <w:pPr>
        <w:jc w:val="both"/>
      </w:pPr>
      <w:rPr>
        <w:sz w:val="24"/>
        <w:color w:val="black"/>
      </w:rPr>
    </w:p>
    <w:p>
      <w:pPr>
        <w:jc w:val="both"/>
      </w:pPr>
      <w:r>
        <w:rPr>
          <w:rFonts w:hAnsi="Arial"/>
          <w:rFonts w:ascii="Arial"/>
          <w:sz w:val="24"/>
          <w:color w:val="black"/>
        </w:rPr>
        <w:t xml:space="preserve">5. Servicio a que se destinarα.</w:t>
      </w:r>
    </w:p>
    <w:p>
      <w:pPr>
        <w:jc w:val="both"/>
      </w:pPr>
      <w:rPr>
        <w:sz w:val="24"/>
        <w:color w:val="black"/>
      </w:rPr>
    </w:p>
    <w:p>
      <w:pPr>
        <w:jc w:val="both"/>
      </w:pPr>
      <w:r>
        <w:rPr>
          <w:rFonts w:hAnsi="Arial"/>
          <w:rFonts w:ascii="Arial"/>
          <w:sz w:val="24"/>
          <w:color w:val="black"/>
        </w:rPr>
        <w:t xml:space="preserve">6. Nombre del astillero a quien se ordenarα la construcciσn.</w:t>
      </w:r>
    </w:p>
    <w:p>
      <w:pPr>
        <w:jc w:val="both"/>
      </w:pPr>
      <w:rPr>
        <w:sz w:val="24"/>
        <w:color w:val="black"/>
      </w:rPr>
    </w:p>
    <w:p>
      <w:pPr>
        <w:jc w:val="both"/>
      </w:pPr>
      <w:r>
        <w:rPr>
          <w:rFonts w:hAnsi="Arial"/>
          <w:rFonts w:ascii="Arial"/>
          <w:sz w:val="24"/>
          <w:color w:val="black"/>
        </w:rPr>
        <w:t xml:space="preserve">7. Monto de la inversiσn en la moneda de la negociaciσn.</w:t>
      </w:r>
    </w:p>
    <w:p>
      <w:pPr>
        <w:jc w:val="both"/>
      </w:pPr>
      <w:rPr>
        <w:sz w:val="24"/>
        <w:color w:val="black"/>
      </w:rPr>
    </w:p>
    <w:p>
      <w:pPr>
        <w:jc w:val="both"/>
      </w:pPr>
      <w:r>
        <w:rPr>
          <w:rFonts w:hAnsi="Arial"/>
          <w:rFonts w:ascii="Arial"/>
          <w:sz w:val="24"/>
          <w:color w:val="black"/>
        </w:rPr>
        <w:t xml:space="preserve">La Direcciσn General Marνtima, con base en la informaciσn suministrada y si considera dicha construcciσn adecuada y conveniente, expedirα la resoluciσn de adquisiciσn o la autorizaciσn de construcciσn.</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94" w:name="2.4.3.1.5"/>
      <w:r>
        <w:rPr>
          <w:rFonts w:hAnsi="Arial"/>
          <w:rFonts w:ascii="Arial"/>
          <w:sz w:val="24"/>
          <w:color w:val="navy"/>
        </w:rPr>
        <w:t xml:space="preserve">ARTΝCULO 2.4.3.1.5. </w:t>
      </w:r>
      <w:r>
        <w:rPr>
          <w:rFonts w:hAnsi="Arial"/>
          <w:rFonts w:ascii="Arial"/>
          <w:sz w:val="24"/>
          <w:i/>
          <w:color w:val="navy"/>
        </w:rPr>
        <w:t xml:space="preserve">ALTERACIΣN DE LAS NAVES Y ARTEFACTOS NAVALES.</w:t>
      </w:r>
      <w:bookmarkEnd w:id="61594"/>
      <w:r>
        <w:rPr>
          <w:rFonts w:hAnsi="Arial"/>
          <w:rFonts w:ascii="Arial"/>
          <w:sz w:val="24"/>
          <w:b/>
          <w:i/>
          <w:color w:val="black"/>
        </w:rPr>
        <w:t xml:space="preserve"> </w:t>
      </w:r>
      <w:r>
        <w:rPr>
          <w:rFonts w:hAnsi="Arial"/>
          <w:rFonts w:ascii="Arial"/>
          <w:sz w:val="24"/>
          <w:color w:val="black"/>
        </w:rPr>
        <w:t xml:space="preserve">Toda alteraciσn o modificaciσn que se vaya a efectuar en una nave o artefacto naval colombiano, deberα ser previamente autorizada por la Direcciσn General Marνtima a solicitud del armador, indicando las causas que motivan la alteraciσn y anexando:</w:t>
      </w:r>
    </w:p>
    <w:p>
      <w:pPr>
        <w:jc w:val="both"/>
      </w:pPr>
      <w:rPr>
        <w:sz w:val="24"/>
        <w:color w:val="black"/>
      </w:rPr>
    </w:p>
    <w:p>
      <w:pPr>
        <w:jc w:val="both"/>
      </w:pPr>
      <w:r>
        <w:rPr>
          <w:rFonts w:hAnsi="Arial"/>
          <w:rFonts w:ascii="Arial"/>
          <w:sz w:val="24"/>
          <w:color w:val="black"/>
        </w:rPr>
        <w:t xml:space="preserve">1. Dos (2) juegos de los planos respectivos, a escala conveniente, acompaρados de las especificaciones del material y/o del equipo, debidamente aprobados por el astillero que vaya a efectuar la alteraciσn o por una Sociedad Clasificadora Internacional reconocida por la Autoridad Marνtima si le corresponde.</w:t>
      </w:r>
    </w:p>
    <w:p>
      <w:pPr>
        <w:jc w:val="both"/>
      </w:pPr>
      <w:rPr>
        <w:sz w:val="24"/>
        <w:color w:val="black"/>
      </w:rPr>
    </w:p>
    <w:p>
      <w:pPr>
        <w:jc w:val="both"/>
      </w:pPr>
      <w:r>
        <w:rPr>
          <w:rFonts w:hAnsi="Arial"/>
          <w:rFonts w:ascii="Arial"/>
          <w:sz w:val="24"/>
          <w:color w:val="black"/>
        </w:rPr>
        <w:t xml:space="preserve">2. Declaraciσn del astillero que efectuarα la alteraciσn, o de la Sociedad Clasificadora, respecto de la forma como la alteraciσn afectarα las dimensiones principales, la capacidad transportadora, la potencia propulsora, las caracterνsticas de los sistemas elιctricos, de gobierno, de carga, la velocidad y la autonomνa, en forma que haga necesario el cambio de su matrνcula y/o de otros certificados del buque.</w:t>
      </w:r>
    </w:p>
    <w:p>
      <w:pPr>
        <w:jc w:val="both"/>
      </w:pPr>
      <w:rPr>
        <w:sz w:val="24"/>
        <w:color w:val="black"/>
      </w:rPr>
    </w:p>
    <w:p>
      <w:pPr>
        <w:jc w:val="both"/>
      </w:pPr>
      <w:r>
        <w:rPr>
          <w:rFonts w:hAnsi="Arial"/>
          <w:rFonts w:ascii="Arial"/>
          <w:sz w:val="24"/>
          <w:color w:val="black"/>
        </w:rPr>
        <w:t xml:space="preserve">3. Recibida la anterior solicitud y si la Direcciσn General Marνtima la considera adecuada y conveniente, expedirα una "Autorizaciσn de Alteraciσn" en la cual aparezca el nombre del buque, el servicio que presta, el nombre del armador, la clase de alteraciσn y las instrucciones sobre las caracterνsticas que se afectarαn y los certificados que deberαn ser nuevamente expedidos por la Capitanνa de Puerto o la Sociedad Clasificadora, segϊn corresponda.</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595" w:name="2.4.3.1.6"/>
      <w:r>
        <w:rPr>
          <w:rFonts w:hAnsi="Arial"/>
          <w:rFonts w:ascii="Arial"/>
          <w:sz w:val="24"/>
          <w:color w:val="navy"/>
        </w:rPr>
        <w:t xml:space="preserve">ARTΝCULO 2.4.3.1.6. </w:t>
      </w:r>
      <w:r>
        <w:rPr>
          <w:rFonts w:hAnsi="Arial"/>
          <w:rFonts w:ascii="Arial"/>
          <w:sz w:val="24"/>
          <w:i/>
          <w:color w:val="navy"/>
        </w:rPr>
        <w:t xml:space="preserve">DOCUMENTOS DE PROPIEDAD DE NAVES MAYORES.</w:t>
      </w:r>
      <w:bookmarkEnd w:id="61595"/>
      <w:r>
        <w:rPr>
          <w:rFonts w:hAnsi="Arial"/>
          <w:rFonts w:ascii="Arial"/>
          <w:sz w:val="24"/>
          <w:b/>
          <w:i/>
          <w:color w:val="black"/>
        </w:rPr>
        <w:t xml:space="preserve"> </w:t>
      </w:r>
      <w:r>
        <w:rPr>
          <w:rFonts w:hAnsi="Arial"/>
          <w:rFonts w:ascii="Arial"/>
          <w:sz w:val="24"/>
          <w:color w:val="black"/>
        </w:rPr>
        <w:t xml:space="preserve">Cuando el tνtulo de propiedad de una nave mayor no constare en escritura pϊblica otorgada en Colombia, el documento respectivo deberα ser protocolizado en una Notarνa cualquiera del paνs antes de ser registrado en la respectiva Capitanνa de Puerto.</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96" w:name="2.4.3.1.7"/>
      <w:r>
        <w:rPr>
          <w:rFonts w:hAnsi="Arial"/>
          <w:rFonts w:ascii="Arial"/>
          <w:sz w:val="24"/>
          <w:color w:val="navy"/>
        </w:rPr>
        <w:t xml:space="preserve">ARTΝCULO 2.4.3.1.7. </w:t>
      </w:r>
      <w:r>
        <w:rPr>
          <w:rFonts w:hAnsi="Arial"/>
          <w:rFonts w:ascii="Arial"/>
          <w:sz w:val="24"/>
          <w:i/>
          <w:color w:val="navy"/>
        </w:rPr>
        <w:t xml:space="preserve">NOMBRE DE LAS NAVES DE LA MARINA MERCANTE COLOMBIANA.</w:t>
      </w:r>
      <w:bookmarkEnd w:id="61596"/>
      <w:r>
        <w:rPr>
          <w:rFonts w:hAnsi="Arial"/>
          <w:rFonts w:ascii="Arial"/>
          <w:sz w:val="24"/>
          <w:b/>
          <w:i/>
          <w:color w:val="black"/>
        </w:rPr>
        <w:t xml:space="preserve"> </w:t>
      </w:r>
      <w:r>
        <w:rPr>
          <w:rFonts w:hAnsi="Arial"/>
          <w:rFonts w:ascii="Arial"/>
          <w:sz w:val="24"/>
          <w:color w:val="black"/>
        </w:rPr>
        <w:t xml:space="preserve">Toda nave mayor de matrνcula colombiana llevarα su nombre en las amuras y en la popa (espejo), como tambiιn en sitios destacados de los costados de su caseta de gobierno. Ademαs llevarα en popa, debajo del nombre de la nave, el del Puerto de Matrνcula.</w:t>
      </w:r>
    </w:p>
    <w:p>
      <w:pPr>
        <w:jc w:val="both"/>
      </w:pPr>
      <w:rPr>
        <w:sz w:val="24"/>
        <w:color w:val="black"/>
      </w:rPr>
    </w:p>
    <w:p>
      <w:pPr>
        <w:jc w:val="both"/>
      </w:pPr>
      <w:r>
        <w:rPr>
          <w:rFonts w:hAnsi="Arial"/>
          <w:rFonts w:ascii="Arial"/>
          <w:sz w:val="24"/>
          <w:color w:val="black"/>
        </w:rPr>
        <w:t xml:space="preserve">Las naves menores solamente llevarαn su nombre en las amuras, con excepciσn de aquellas de construcciσn primitiva, las cuales solamente llevarαn, como identificaciσn, el nϊmero de matrνcula correspondiente.</w:t>
      </w:r>
    </w:p>
    <w:p>
      <w:pPr>
        <w:jc w:val="both"/>
      </w:pPr>
      <w:rPr>
        <w:sz w:val="24"/>
        <w:color w:val="black"/>
      </w:rPr>
    </w:p>
    <w:p>
      <w:pPr>
        <w:jc w:val="both"/>
      </w:pPr>
      <w:r>
        <w:rPr>
          <w:rFonts w:hAnsi="Arial"/>
          <w:rFonts w:ascii="Arial"/>
          <w:sz w:val="24"/>
          <w:color w:val="black"/>
        </w:rPr>
        <w:t xml:space="preserve">Los veleros y motoveleros, llevarαn ademαs su nϊmero de matrνcula en su vela mayor, en nϊmeros grandes de color negro o color de contraste si la vela no es blanca.</w:t>
      </w:r>
    </w:p>
    <w:p>
      <w:pPr>
        <w:jc w:val="both"/>
      </w:pPr>
      <w:rPr>
        <w:sz w:val="24"/>
        <w:color w:val="black"/>
      </w:rPr>
    </w:p>
    <w:p>
      <w:pPr>
        <w:jc w:val="both"/>
      </w:pPr>
      <w:r>
        <w:rPr>
          <w:rFonts w:hAnsi="Arial"/>
          <w:rFonts w:ascii="Arial"/>
          <w:sz w:val="24"/>
          <w:color w:val="black"/>
        </w:rPr>
        <w:t xml:space="preserve">Las letras del nombre de las naves mayores serαn de un color que contraste con la pintura del casco y tendrα un mνnimo de 25 centνmetros de altura por 15 centνmetros de ancho, debiendo ser el ancho del trazo no inferior a 5 centνmetros.</w:t>
      </w:r>
    </w:p>
    <w:p>
      <w:pPr>
        <w:jc w:val="both"/>
      </w:pPr>
      <w:rPr>
        <w:sz w:val="24"/>
        <w:color w:val="black"/>
      </w:rPr>
    </w:p>
    <w:p>
      <w:pPr>
        <w:jc w:val="both"/>
      </w:pPr>
      <w:r>
        <w:rPr>
          <w:rFonts w:hAnsi="Arial"/>
          <w:rFonts w:ascii="Arial"/>
          <w:sz w:val="24"/>
          <w:color w:val="black"/>
        </w:rPr>
        <w:t xml:space="preserve">La asignaciσn de nombre o cambio de este, de las naves de la Marina Mercante Colombiana, son de potestad de su propietario o armador, previa autorizaciσn de la Direcciσn General Marνtima, quien no autorizarα nombres previamente asignados a otras naves.</w:t>
      </w:r>
    </w:p>
    <w:p>
      <w:pPr>
        <w:jc w:val="both"/>
      </w:pPr>
      <w:rPr>
        <w:sz w:val="24"/>
        <w:color w:val="black"/>
      </w:rPr>
    </w:p>
    <w:p>
      <w:pPr>
        <w:jc w:val="both"/>
      </w:pPr>
      <w:r>
        <w:rPr>
          <w:rFonts w:hAnsi="Arial"/>
          <w:rFonts w:ascii="Arial"/>
          <w:sz w:val="24"/>
          <w:color w:val="black"/>
        </w:rPr>
        <w:t xml:space="preserve">El nombre de las naves mayores serα reservado por el armador en su solicitud de autorizaciσn de adquisiciσn o posteriormente cuando asν lo resuelva manteniιndose dicha reserva durante el perνodo de validez de la autorizaciσn de adquisiciσn o compra-venta de la nave.</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97" w:name="2.4.3.1.8"/>
      <w:r>
        <w:rPr>
          <w:rFonts w:hAnsi="Arial"/>
          <w:rFonts w:ascii="Arial"/>
          <w:sz w:val="24"/>
          <w:color w:val="navy"/>
        </w:rPr>
        <w:t xml:space="preserve">ARTΝCULO 2.4.3.1.8. </w:t>
      </w:r>
      <w:r>
        <w:rPr>
          <w:rFonts w:hAnsi="Arial"/>
          <w:rFonts w:ascii="Arial"/>
          <w:sz w:val="24"/>
          <w:i/>
          <w:color w:val="navy"/>
        </w:rPr>
        <w:t xml:space="preserve">AUTORIZACIΣN PARA IZAR LA BANDERA COLOMBIANA.</w:t>
      </w:r>
      <w:bookmarkEnd w:id="61597"/>
      <w:r>
        <w:rPr>
          <w:rFonts w:hAnsi="Arial"/>
          <w:rFonts w:ascii="Arial"/>
          <w:sz w:val="24"/>
          <w:b/>
          <w:i/>
          <w:color w:val="black"/>
        </w:rPr>
        <w:t xml:space="preserve"> </w:t>
      </w:r>
      <w:r>
        <w:rPr>
          <w:rFonts w:hAnsi="Arial"/>
          <w:rFonts w:ascii="Arial"/>
          <w:sz w:val="24"/>
          <w:color w:val="black"/>
        </w:rPr>
        <w:t xml:space="preserve">El derecho de izar la bandera colombiana, derivado de la matrνcula y registro de las naves, tendrα carαcter permanente. Cuando se lleve a cabo como consecuencia de la expediciσn de Pasavante otorgado por el Cσnsul Colombiano, su carαcter serα temporal y restringido, vαlido para la navegaciσn hasta el puerto de matrνcula y ϊnicamente por noventa (90) dνas, tal como se establece en el artνculo </w:t>
      </w:r>
      <w:r>
        <w:fldChar w:fldCharType="begin"/>
      </w:r>
      <w:r>
        <w:instrText>HYPERLINK "http://www.redjurista.com/document.aspx?ajcode=d2324_84&amp;arts=90"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 ley 2324 de 1984.</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98" w:name="2.4.3.1.9"/>
      <w:r>
        <w:rPr>
          <w:rFonts w:hAnsi="Arial"/>
          <w:rFonts w:ascii="Arial"/>
          <w:sz w:val="24"/>
          <w:color w:val="navy"/>
        </w:rPr>
        <w:t xml:space="preserve">ARTΝCULO 2.4.3.1.9. </w:t>
      </w:r>
      <w:r>
        <w:rPr>
          <w:rFonts w:hAnsi="Arial"/>
          <w:rFonts w:ascii="Arial"/>
          <w:sz w:val="24"/>
          <w:i/>
          <w:color w:val="navy"/>
        </w:rPr>
        <w:t xml:space="preserve">OBTENCIΣN DEL PASAVANTE.</w:t>
      </w:r>
      <w:bookmarkEnd w:id="61598"/>
      <w:r>
        <w:rPr>
          <w:rFonts w:hAnsi="Arial"/>
          <w:rFonts w:ascii="Arial"/>
          <w:sz w:val="24"/>
          <w:b/>
          <w:i/>
          <w:color w:val="black"/>
        </w:rPr>
        <w:t xml:space="preserve"> </w:t>
      </w:r>
      <w:r>
        <w:rPr>
          <w:rFonts w:hAnsi="Arial"/>
          <w:rFonts w:ascii="Arial"/>
          <w:sz w:val="24"/>
          <w:color w:val="black"/>
        </w:rPr>
        <w:t xml:space="preserve">Para obtener el pasavante el armador o propietario presentarα al Cσnsul Colombiano del puerto donde se encuentra la nave o del mαs cercano a este, la solicitud correspondiente en la cual haga constar el nombre de la nave, sus tonelajes de arqueo, sus dimensiones principales eslora, manga y puntual de diseρo o de registro (segϊn corresponda), el astillero constructor (buque nuevo) o el antiguo propiedad (buque usado), el Puerto y nϊmero de matrνcula anterior (buque usado) y el puesto colombiano donde se propone matricularlo.</w:t>
      </w:r>
    </w:p>
    <w:p>
      <w:pPr>
        <w:jc w:val="both"/>
      </w:pPr>
      <w:rPr>
        <w:sz w:val="24"/>
        <w:color w:val="black"/>
      </w:rPr>
    </w:p>
    <w:p>
      <w:pPr>
        <w:jc w:val="both"/>
      </w:pPr>
      <w:r>
        <w:rPr>
          <w:rFonts w:hAnsi="Arial"/>
          <w:rFonts w:ascii="Arial"/>
          <w:sz w:val="24"/>
          <w:color w:val="black"/>
        </w:rPr>
        <w:t xml:space="preserve">Anexarα a la anterior solicitud los siguientes certificados y documentos:</w:t>
      </w:r>
    </w:p>
    <w:p>
      <w:pPr>
        <w:jc w:val="both"/>
      </w:pPr>
      <w:rPr>
        <w:sz w:val="24"/>
        <w:color w:val="black"/>
      </w:rPr>
    </w:p>
    <w:p>
      <w:pPr>
        <w:jc w:val="both"/>
      </w:pPr>
      <w:r>
        <w:rPr>
          <w:rFonts w:hAnsi="Arial"/>
          <w:rFonts w:ascii="Arial"/>
          <w:sz w:val="24"/>
          <w:color w:val="black"/>
        </w:rPr>
        <w:t xml:space="preserve">1. De cancelaciσn de matrνcula anterior (buque usado).</w:t>
      </w:r>
    </w:p>
    <w:p>
      <w:pPr>
        <w:jc w:val="both"/>
      </w:pPr>
      <w:rPr>
        <w:sz w:val="24"/>
        <w:color w:val="black"/>
      </w:rPr>
    </w:p>
    <w:p>
      <w:pPr>
        <w:jc w:val="both"/>
      </w:pPr>
      <w:r>
        <w:rPr>
          <w:rFonts w:hAnsi="Arial"/>
          <w:rFonts w:ascii="Arial"/>
          <w:sz w:val="24"/>
          <w:color w:val="black"/>
        </w:rPr>
        <w:t xml:space="preserve">2. De libertad de la nave.</w:t>
      </w:r>
    </w:p>
    <w:p>
      <w:pPr>
        <w:jc w:val="both"/>
      </w:pPr>
      <w:rPr>
        <w:sz w:val="24"/>
        <w:color w:val="black"/>
      </w:rPr>
    </w:p>
    <w:p>
      <w:pPr>
        <w:jc w:val="both"/>
      </w:pPr>
      <w:r>
        <w:rPr>
          <w:rFonts w:hAnsi="Arial"/>
          <w:rFonts w:ascii="Arial"/>
          <w:sz w:val="24"/>
          <w:color w:val="black"/>
        </w:rPr>
        <w:t xml:space="preserve">3. De entrega material de la nave.</w:t>
      </w:r>
    </w:p>
    <w:p>
      <w:pPr>
        <w:jc w:val="both"/>
      </w:pPr>
      <w:rPr>
        <w:sz w:val="24"/>
        <w:color w:val="black"/>
      </w:rPr>
    </w:p>
    <w:p>
      <w:pPr>
        <w:jc w:val="both"/>
      </w:pPr>
      <w:r>
        <w:rPr>
          <w:rFonts w:hAnsi="Arial"/>
          <w:rFonts w:ascii="Arial"/>
          <w:sz w:val="24"/>
          <w:color w:val="black"/>
        </w:rPr>
        <w:t xml:space="preserve">4. Tνtulo de propiedad de acuerdo con las leyes del respectivo paνs, traducido al castellano autenticado por el Cσnsul Colombiano, quien dejarα constancia de que tal documento es el que corresponde a la comprobaciσn de la propiedad de la nave segϊn la ley local.</w:t>
      </w:r>
    </w:p>
    <w:p>
      <w:pPr>
        <w:jc w:val="both"/>
      </w:pPr>
      <w:rPr>
        <w:sz w:val="24"/>
        <w:color w:val="black"/>
      </w:rPr>
    </w:p>
    <w:p>
      <w:pPr>
        <w:jc w:val="both"/>
      </w:pPr>
      <w:r>
        <w:rPr>
          <w:rFonts w:hAnsi="Arial"/>
          <w:rFonts w:ascii="Arial"/>
          <w:sz w:val="24"/>
          <w:color w:val="black"/>
        </w:rPr>
        <w:t xml:space="preserve">5. Certificaciσn de la Autoridad Marνtima del puerto o en su defecto de una Sociedad Clasificadora, en la que conste que la nave reϊne las condiciones de seguridad necesarias para su viaje a puerto colombiano, en cuanto a material, equipos y tripulaciσn.</w:t>
      </w:r>
    </w:p>
    <w:p>
      <w:pPr>
        <w:jc w:val="both"/>
      </w:pPr>
      <w:rPr>
        <w:sz w:val="24"/>
        <w:color w:val="black"/>
      </w:rPr>
    </w:p>
    <w:p>
      <w:pPr>
        <w:jc w:val="both"/>
      </w:pPr>
      <w:r>
        <w:rPr>
          <w:rFonts w:hAnsi="Arial"/>
          <w:rFonts w:ascii="Arial"/>
          <w:sz w:val="24"/>
          <w:color w:val="black"/>
        </w:rPr>
        <w:t xml:space="preserve">La documentaciσn anterior, debidamente visada por el Cσnsul, serα entregada al Capitαn de Puerto del puerto de matrνcula junto con el pasavante que expida el Cσnsul Colombiano para su viaje al puerto de matrνcula.</w:t>
      </w:r>
    </w:p>
    <w:p>
      <w:pPr>
        <w:jc w:val="both"/>
      </w:pPr>
      <w:rPr>
        <w:sz w:val="24"/>
        <w:color w:val="black"/>
      </w:rPr>
    </w:p>
    <w:p>
      <w:pPr>
        <w:jc w:val="both"/>
      </w:pPr>
      <w:r>
        <w:rPr>
          <w:rFonts w:hAnsi="Arial"/>
          <w:rFonts w:ascii="Arial"/>
          <w:sz w:val="24"/>
          <w:color w:val="black"/>
        </w:rPr>
        <w:t xml:space="preserve">La documentaciσn asν constituida serα anexada a la presentada por el Armador en su solicitud de matrνcula y tramitada a la Direcciσn General Marνtima</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599" w:name="2.4.3.1.10"/>
      <w:r>
        <w:rPr>
          <w:rFonts w:hAnsi="Arial"/>
          <w:rFonts w:ascii="Arial"/>
          <w:sz w:val="24"/>
          <w:color w:val="navy"/>
        </w:rPr>
        <w:t xml:space="preserve">ARTΝCULO 2.4.3.1.10. </w:t>
      </w:r>
      <w:r>
        <w:rPr>
          <w:rFonts w:hAnsi="Arial"/>
          <w:rFonts w:ascii="Arial"/>
          <w:sz w:val="24"/>
          <w:i/>
          <w:color w:val="navy"/>
        </w:rPr>
        <w:t xml:space="preserve">PERMISO PROVISIONAL DE OPERACIΣN.</w:t>
      </w:r>
      <w:bookmarkEnd w:id="61599"/>
      <w:r>
        <w:rPr>
          <w:rFonts w:hAnsi="Arial"/>
          <w:rFonts w:ascii="Arial"/>
          <w:sz w:val="24"/>
          <w:b/>
          <w:i/>
          <w:color w:val="black"/>
        </w:rPr>
        <w:t xml:space="preserve"> </w:t>
      </w:r>
      <w:r>
        <w:rPr>
          <w:rFonts w:hAnsi="Arial"/>
          <w:rFonts w:ascii="Arial"/>
          <w:sz w:val="24"/>
          <w:color w:val="black"/>
        </w:rPr>
        <w:t xml:space="preserve">La operaciσn provisional de la nave de que trata el parαgrafo del artνculo </w:t>
      </w:r>
      <w:r>
        <w:fldChar w:fldCharType="begin"/>
      </w:r>
      <w:r>
        <w:instrText>HYPERLINK "http://www.redjurista.com/document.aspx?ajcode=d2324_84&amp;arts=90"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Decreto-ley 2324 de 1984, solamente se autorizarα si la nave, estα en posesiσn de los certificados de seguridad, ademαs del certificado de cancelaciσn de matrνcula, del pasavante cuando corresponda y se compruebe su propiedad.</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600" w:name="2.4.3.1.11"/>
      <w:r>
        <w:rPr>
          <w:rFonts w:hAnsi="Arial"/>
          <w:rFonts w:ascii="Arial"/>
          <w:sz w:val="24"/>
          <w:color w:val="navy"/>
        </w:rPr>
        <w:t xml:space="preserve">ARTΝCULO 2.4.3.1.11. </w:t>
      </w:r>
      <w:r>
        <w:rPr>
          <w:rFonts w:hAnsi="Arial"/>
          <w:rFonts w:ascii="Arial"/>
          <w:sz w:val="24"/>
          <w:i/>
          <w:color w:val="navy"/>
        </w:rPr>
        <w:t xml:space="preserve">CONTROL DE LAS NAVES BAJO REGISTRO DE SOCIEDADES DE CLASIFICACIΣN.</w:t>
      </w:r>
      <w:bookmarkEnd w:id="61600"/>
      <w:r>
        <w:rPr>
          <w:rFonts w:hAnsi="Arial"/>
          <w:rFonts w:ascii="Arial"/>
          <w:sz w:val="24"/>
          <w:b/>
          <w:i/>
          <w:color w:val="black"/>
        </w:rPr>
        <w:t xml:space="preserve"> </w:t>
      </w:r>
      <w:r>
        <w:rPr>
          <w:rFonts w:hAnsi="Arial"/>
          <w:rFonts w:ascii="Arial"/>
          <w:sz w:val="24"/>
          <w:color w:val="black"/>
        </w:rPr>
        <w:t xml:space="preserve">Cuando una nave marνtima nacional, bajo registro de una de las Sociedades Internacionales de Clasificaciσn reconocida por la Direcciσn General Marνtima, presente algunos de los certificados marνtimos vencidos, la Capitanνa de Puerto no le expedirα zarpe hasta tanto no presente el certificado renovado, expedido por la Sociedad Clasificadora respectiva en el puerto.</w:t>
      </w:r>
    </w:p>
    <w:p>
      <w:pPr>
        <w:jc w:val="both"/>
      </w:pPr>
      <w:rPr>
        <w:sz w:val="24"/>
        <w:color w:val="black"/>
      </w:rPr>
    </w:p>
    <w:p>
      <w:pPr>
        <w:jc w:val="both"/>
      </w:pPr>
      <w:r>
        <w:rPr>
          <w:rFonts w:hAnsi="Arial"/>
          <w:rFonts w:ascii="Arial"/>
          <w:sz w:val="24"/>
          <w:color w:val="black"/>
        </w:rPr>
        <w:t xml:space="preserve">En caso de que en el puerto nacional donde se encuentre la nave no haya Inspector de la Sociedad Clasificadora, el Agente Marνtimo o Representante Legal del armador, gestionarα su traslado desde el puerto mαs cercano.</w:t>
      </w:r>
    </w:p>
    <w:p>
      <w:pPr>
        <w:jc w:val="both"/>
      </w:pPr>
      <w:rPr>
        <w:sz w:val="24"/>
        <w:color w:val="black"/>
      </w:rPr>
    </w:p>
    <w:p>
      <w:pPr>
        <w:jc w:val="both"/>
      </w:pPr>
      <w:r>
        <w:rPr>
          <w:rFonts w:hAnsi="Arial"/>
          <w:rFonts w:ascii="Arial"/>
          <w:sz w:val="24"/>
          <w:color w:val="black"/>
        </w:rPr>
        <w:t xml:space="preserve">Si las reparaciones que esta nave requiera no pueden ser efectuadas en la localidad, el Capitαn de Puerto podrα autorizar su zarpe hasta el puerto habilitado mαs cercano en donde pueda ser reparada, siempre y cuando considere que puede hacer dicho viaje con seguridad, para lo cual podrα, si lo estima necesario, autorizar el viaje del buque sin carga ni pasajeros a bordo.</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601" w:name="2.4.3.1.12"/>
      <w:r>
        <w:rPr>
          <w:rFonts w:hAnsi="Arial"/>
          <w:rFonts w:ascii="Arial"/>
          <w:sz w:val="24"/>
          <w:color w:val="navy"/>
        </w:rPr>
        <w:t xml:space="preserve">ARTΝCULO 2.4.3.1.12. </w:t>
      </w:r>
      <w:r>
        <w:rPr>
          <w:rFonts w:hAnsi="Arial"/>
          <w:rFonts w:ascii="Arial"/>
          <w:sz w:val="24"/>
          <w:i/>
          <w:color w:val="navy"/>
        </w:rPr>
        <w:t xml:space="preserve">NAVES ADQUIRIDAS EN REMATE.</w:t>
      </w:r>
      <w:bookmarkEnd w:id="61601"/>
      <w:r>
        <w:rPr>
          <w:rFonts w:hAnsi="Arial"/>
          <w:rFonts w:ascii="Arial"/>
          <w:sz w:val="24"/>
          <w:b/>
          <w:i/>
          <w:color w:val="black"/>
        </w:rPr>
        <w:t xml:space="preserve"> </w:t>
      </w:r>
      <w:r>
        <w:rPr>
          <w:rFonts w:hAnsi="Arial"/>
          <w:rFonts w:ascii="Arial"/>
          <w:sz w:val="24"/>
          <w:color w:val="black"/>
        </w:rPr>
        <w:t xml:space="preserve">Para la matrνcula de naves extranjeras que hayan sido adquiridas en remate pϊblico por nacionales colombianos, se observarαn los requisitos contemplados en el presente Capνtulo, a excepciσn de la presentaciσn del pasavante.</w:t>
      </w:r>
    </w:p>
    <w:p>
      <w:pPr>
        <w:jc w:val="both"/>
      </w:pPr>
      <w:rPr>
        <w:sz w:val="24"/>
        <w:color w:val="black"/>
      </w:rPr>
    </w:p>
    <w:p>
      <w:pPr>
        <w:jc w:val="both"/>
      </w:pPr>
      <w:r>
        <w:rPr>
          <w:rFonts w:hAnsi="Arial"/>
          <w:rFonts w:ascii="Arial"/>
          <w:sz w:val="24"/>
          <w:color w:val="black"/>
        </w:rPr>
        <w:t xml:space="preserve">En tales casos, el armador deberα presentar el fallo de la Autoridad Judicial competente, debidamente autenticado, que elevado a escritura pϊblica constituirα el documento de propiedad de la nave.</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02" w:name="2.4.3.1.13"/>
      <w:r>
        <w:rPr>
          <w:rFonts w:hAnsi="Arial"/>
          <w:rFonts w:ascii="Arial"/>
          <w:sz w:val="24"/>
          <w:color w:val="navy"/>
        </w:rPr>
        <w:t xml:space="preserve">ARTΝCULO 2.4.3.1.13. </w:t>
      </w:r>
      <w:r>
        <w:rPr>
          <w:rFonts w:hAnsi="Arial"/>
          <w:rFonts w:ascii="Arial"/>
          <w:sz w:val="24"/>
          <w:i/>
          <w:color w:val="navy"/>
        </w:rPr>
        <w:t xml:space="preserve">LIBRO DE MATRΝCULA.</w:t>
      </w:r>
      <w:bookmarkEnd w:id="61602"/>
      <w:r>
        <w:rPr>
          <w:rFonts w:hAnsi="Arial"/>
          <w:rFonts w:ascii="Arial"/>
          <w:sz w:val="24"/>
          <w:b/>
          <w:i/>
          <w:color w:val="black"/>
        </w:rPr>
        <w:t xml:space="preserve"> </w:t>
      </w:r>
      <w:r>
        <w:rPr>
          <w:rFonts w:hAnsi="Arial"/>
          <w:rFonts w:ascii="Arial"/>
          <w:sz w:val="24"/>
          <w:color w:val="black"/>
        </w:rPr>
        <w:t xml:space="preserve">El Libro de Matrνcula de que trata el artνculo </w:t>
      </w:r>
      <w:r>
        <w:fldChar w:fldCharType="begin"/>
      </w:r>
      <w:r>
        <w:instrText>HYPERLINK "http://www.redjurista.com/document.aspx?ajcode=c_comerc&amp;arts=1441"</w:instrText>
      </w:r>
      <w:r>
        <w:fldChar w:fldCharType="separate"/>
      </w:r>
      <w:r>
        <w:rPr>
          <w:rFonts w:hAnsi="Arial"/>
          <w:rFonts w:ascii="Arial"/>
          <w:sz w:val="24"/>
          <w:u w:val="single"/>
          <w:color w:val="black"/>
        </w:rPr>
        <w:t>1441</w:t>
      </w:r>
      <w:r>
        <w:fldChar w:fldCharType="end"/>
      </w:r>
      <w:r>
        <w:rPr>
          <w:rFonts w:hAnsi="Arial"/>
          <w:rFonts w:ascii="Arial"/>
          <w:sz w:val="24"/>
          <w:u w:val="none"/>
          <w:color w:val="black"/>
        </w:rPr>
        <w:t xml:space="preserve"> del Cσdigo de Comercio, se llevarα por el sistema de hojas individuales para cada nave que figure en el registro, en cuyo caso se denominarα Folio de Matrνcula de Naves.</w:t>
      </w:r>
    </w:p>
    <w:p>
      <w:pPr>
        <w:jc w:val="both"/>
      </w:pPr>
      <w:rPr>
        <w:sz w:val="24"/>
        <w:color w:val="black"/>
      </w:rPr>
    </w:p>
    <w:p>
      <w:pPr>
        <w:jc w:val="both"/>
      </w:pPr>
      <w:r>
        <w:rPr>
          <w:rFonts w:hAnsi="Arial"/>
          <w:rFonts w:ascii="Arial"/>
          <w:sz w:val="24"/>
          <w:color w:val="black"/>
        </w:rPr>
        <w:t xml:space="preserve">Este folio se abrirα cuando la nave se presente por primera vez a la capitanνa de Puerto, sea por construcciσn nueva en el paνs, o por arribo procedente del exterior para ser incorporada a la Marina Mercante Nacional, y se cerrarα, ϊnicamente, cuando la nave sea desguazada o vendida al exterior.</w:t>
      </w:r>
    </w:p>
    <w:p>
      <w:pPr>
        <w:jc w:val="both"/>
      </w:pPr>
      <w:rPr>
        <w:sz w:val="24"/>
        <w:color w:val="black"/>
      </w:rPr>
    </w:p>
    <w:p>
      <w:pPr>
        <w:jc w:val="both"/>
      </w:pPr>
      <w:r>
        <w:rPr>
          <w:rFonts w:hAnsi="Arial"/>
          <w:rFonts w:ascii="Arial"/>
          <w:sz w:val="24"/>
          <w:color w:val="black"/>
        </w:rPr>
        <w:t xml:space="preserve">El Folio de Matrνcula Naviera constarα de cinco secciones o columnas, donde se anotarαn las distintas operaciones jurνdicas o materiales registrables, segϊn el Cσdigo de Comercio, asν:</w:t>
      </w:r>
    </w:p>
    <w:p>
      <w:pPr>
        <w:jc w:val="both"/>
      </w:pPr>
      <w:rPr>
        <w:sz w:val="24"/>
        <w:color w:val="black"/>
      </w:rPr>
    </w:p>
    <w:p>
      <w:pPr>
        <w:jc w:val="both"/>
      </w:pPr>
      <w:r>
        <w:rPr>
          <w:rFonts w:hAnsi="Arial"/>
          <w:rFonts w:ascii="Arial"/>
          <w:sz w:val="24"/>
          <w:color w:val="black"/>
        </w:rPr>
        <w:t xml:space="preserve">La primera columna, para inscribir los tνtulos que conllevan modos de adquisiciσn, precisando el acto, contrato o providencia.</w:t>
      </w:r>
    </w:p>
    <w:p>
      <w:pPr>
        <w:jc w:val="both"/>
      </w:pPr>
      <w:rPr>
        <w:sz w:val="24"/>
        <w:color w:val="black"/>
      </w:rPr>
    </w:p>
    <w:p>
      <w:pPr>
        <w:jc w:val="both"/>
      </w:pPr>
      <w:r>
        <w:rPr>
          <w:rFonts w:hAnsi="Arial"/>
          <w:rFonts w:ascii="Arial"/>
          <w:sz w:val="24"/>
          <w:color w:val="black"/>
        </w:rPr>
        <w:t xml:space="preserve">La segunda columna, para inscribir gravαmenes, hipotecas y prendas.</w:t>
      </w:r>
    </w:p>
    <w:p>
      <w:pPr>
        <w:jc w:val="both"/>
      </w:pPr>
      <w:rPr>
        <w:sz w:val="24"/>
        <w:color w:val="black"/>
      </w:rPr>
    </w:p>
    <w:p>
      <w:pPr>
        <w:jc w:val="both"/>
      </w:pPr>
      <w:r>
        <w:rPr>
          <w:rFonts w:hAnsi="Arial"/>
          <w:rFonts w:ascii="Arial"/>
          <w:sz w:val="24"/>
          <w:color w:val="black"/>
        </w:rPr>
        <w:t xml:space="preserve">La tercera columna, para la anotaciσn de medidas cautelares: embargos, demandas civiles y prohibiciones que afecten la enajenabilidad.</w:t>
      </w:r>
    </w:p>
    <w:p>
      <w:pPr>
        <w:jc w:val="both"/>
      </w:pPr>
      <w:rPr>
        <w:sz w:val="24"/>
        <w:color w:val="black"/>
      </w:rPr>
    </w:p>
    <w:p>
      <w:pPr>
        <w:jc w:val="both"/>
      </w:pPr>
      <w:r>
        <w:rPr>
          <w:rFonts w:hAnsi="Arial"/>
          <w:rFonts w:ascii="Arial"/>
          <w:sz w:val="24"/>
          <w:color w:val="black"/>
        </w:rPr>
        <w:t xml:space="preserve">La cuarta columna, para inscribir tνtulos de tenencia o administraciσn, constituidos por escritura pϊblica o decisiσn judicial.</w:t>
      </w:r>
    </w:p>
    <w:p>
      <w:pPr>
        <w:jc w:val="both"/>
      </w:pPr>
      <w:rPr>
        <w:sz w:val="24"/>
        <w:color w:val="black"/>
      </w:rPr>
    </w:p>
    <w:p>
      <w:pPr>
        <w:jc w:val="both"/>
      </w:pPr>
      <w:r>
        <w:rPr>
          <w:rFonts w:hAnsi="Arial"/>
          <w:rFonts w:ascii="Arial"/>
          <w:sz w:val="24"/>
          <w:color w:val="black"/>
        </w:rPr>
        <w:t xml:space="preserve">La quinta columna, para la inscripciσn de tνtulos que conlleven la llamada Falsa Tradiciσn tales como la enajenaciσn de cosa ajena o la transferencia de derecho incompleto o sin antecedente propio.</w:t>
      </w:r>
    </w:p>
    <w:p>
      <w:pPr>
        <w:jc w:val="both"/>
      </w:pPr>
      <w:rPr>
        <w:sz w:val="24"/>
        <w:color w:val="black"/>
      </w:rPr>
    </w:p>
    <w:p>
      <w:pPr>
        <w:jc w:val="both"/>
      </w:pPr>
      <w:r>
        <w:rPr>
          <w:rFonts w:hAnsi="Arial"/>
          <w:rFonts w:ascii="Arial"/>
          <w:sz w:val="24"/>
          <w:color w:val="black"/>
        </w:rPr>
        <w:t xml:space="preserve">El Folio de Matrνcula de Naves seρalarα, ademαs de la Capitanνa de Puerto donde se siente la matrνcula los siguientes datos: propietario, armador, eslora de registro, manga de registro, puntal de registro, calado mαximo, franco-bordo, T.R.B., T.R.N., peso muerto total, letras de llamada, clase de trαfico, numero de mαstiles, nϊmero de bodegas, nϊmero de cubiertas, nϊmero de entrepuentes, nϊmero de mαquinas, propulsoras, material del casco, fecha de construcciσn, clase de propulsiσn, potencia total y clasificaciσn de servicio.</w:t>
      </w:r>
    </w:p>
    <w:p>
      <w:pPr>
        <w:jc w:val="both"/>
      </w:pPr>
      <w:rPr>
        <w:sz w:val="24"/>
        <w:color w:val="black"/>
      </w:rPr>
    </w:p>
    <w:p>
      <w:pPr>
        <w:jc w:val="both"/>
      </w:pPr>
      <w:r>
        <w:rPr>
          <w:rFonts w:hAnsi="Arial"/>
          <w:rFonts w:ascii="Arial"/>
          <w:sz w:val="24"/>
          <w:color w:val="black"/>
        </w:rPr>
        <w:t xml:space="preserve">Efectuada una anotaciσn en el Folio de Matrνcula de Naves, la Capitanνa de Puerto pondrα una nota o sello en las tres (3) copias de la escritura o documento que el interesado presentarα a la inscripciσn, en las que se anotarαn el nϊmero del Folio y la columna en que se hizo la inscripciσn, la descripciσn somera de la misma y la fecha en que se efectuσ.</w:t>
      </w:r>
    </w:p>
    <w:p>
      <w:pPr>
        <w:jc w:val="both"/>
      </w:pPr>
      <w:rPr>
        <w:sz w:val="24"/>
        <w:color w:val="black"/>
      </w:rPr>
    </w:p>
    <w:p>
      <w:pPr>
        <w:jc w:val="both"/>
      </w:pPr>
      <w:r>
        <w:rPr>
          <w:rFonts w:hAnsi="Arial"/>
          <w:rFonts w:ascii="Arial"/>
          <w:sz w:val="24"/>
          <w:color w:val="black"/>
        </w:rPr>
        <w:t xml:space="preserve">Una copia se devolverα al interesado, debidamente firmada por el Capitαn de Puerto o por el funcionario autorizado por ιl para firmar, otra copia se incorporarα al fσlder de archivo individual, o Protocolo de cada nave, que ordena llevar el artνculo </w:t>
      </w:r>
      <w:r>
        <w:fldChar w:fldCharType="begin"/>
      </w:r>
      <w:r>
        <w:instrText>HYPERLINK "http://www.redjurista.com/document.aspx?ajcode=c_comerc&amp;arts=1441"</w:instrText>
      </w:r>
      <w:r>
        <w:fldChar w:fldCharType="separate"/>
      </w:r>
      <w:r>
        <w:rPr>
          <w:rFonts w:hAnsi="Arial"/>
          <w:rFonts w:ascii="Arial"/>
          <w:sz w:val="24"/>
          <w:u w:val="single"/>
          <w:color w:val="black"/>
        </w:rPr>
        <w:t>1441</w:t>
      </w:r>
      <w:r>
        <w:fldChar w:fldCharType="end"/>
      </w:r>
      <w:r>
        <w:rPr>
          <w:rFonts w:hAnsi="Arial"/>
          <w:rFonts w:ascii="Arial"/>
          <w:sz w:val="24"/>
          <w:u w:val="none"/>
          <w:color w:val="black"/>
        </w:rPr>
        <w:t xml:space="preserve"> del Cσdigo de Comercio y la tercera se remitirα a la Direcciσn General Marνtima para efecto del certificado de matrνcula.</w:t>
      </w:r>
    </w:p>
    <w:p>
      <w:pPr>
        <w:jc w:val="both"/>
      </w:pPr>
      <w:rPr>
        <w:sz w:val="24"/>
        <w:color w:val="black"/>
      </w:rPr>
    </w:p>
    <w:p>
      <w:pPr>
        <w:jc w:val="both"/>
      </w:pPr>
      <w:r>
        <w:rPr>
          <w:rFonts w:hAnsi="Arial"/>
          <w:rFonts w:ascii="Arial"/>
          <w:sz w:val="24"/>
          <w:color w:val="black"/>
        </w:rPr>
        <w:t xml:space="preserve">Cuando el Folio correspondiente a una determinada nave se agotare por las inscripciones hechas en cualquiera de sus columnas, se abrirα uno adicional, que formarα un solo cuerpo con el anterior, y se pondrαn en cada Folio, notas mutuas de referencia.</w:t>
      </w:r>
    </w:p>
    <w:p>
      <w:pPr>
        <w:jc w:val="both"/>
      </w:pPr>
      <w:rPr>
        <w:sz w:val="24"/>
        <w:color w:val="black"/>
      </w:rPr>
    </w:p>
    <w:p>
      <w:pPr>
        <w:jc w:val="both"/>
      </w:pPr>
      <w:r>
        <w:rPr>
          <w:rFonts w:hAnsi="Arial"/>
          <w:rFonts w:ascii="Arial"/>
          <w:sz w:val="24"/>
          <w:color w:val="black"/>
        </w:rPr>
        <w:t xml:space="preserve">La tradiciσn del dominio de la nave de que trata el artνculo </w:t>
      </w:r>
      <w:r>
        <w:fldChar w:fldCharType="begin"/>
      </w:r>
      <w:r>
        <w:instrText>HYPERLINK "http://www.redjurista.com/document.aspx?ajcode=c_comerc&amp;arts=1445"</w:instrText>
      </w:r>
      <w:r>
        <w:fldChar w:fldCharType="separate"/>
      </w:r>
      <w:r>
        <w:rPr>
          <w:rFonts w:hAnsi="Arial"/>
          <w:rFonts w:ascii="Arial"/>
          <w:sz w:val="24"/>
          <w:u w:val="single"/>
          <w:color w:val="black"/>
        </w:rPr>
        <w:t>1445</w:t>
      </w:r>
      <w:r>
        <w:fldChar w:fldCharType="end"/>
      </w:r>
      <w:r>
        <w:rPr>
          <w:rFonts w:hAnsi="Arial"/>
          <w:rFonts w:ascii="Arial"/>
          <w:sz w:val="24"/>
          <w:u w:val="none"/>
          <w:color w:val="black"/>
        </w:rPr>
        <w:t xml:space="preserve"> del Cσdigo de Comercio, se entiende cumplida con la inscripciσn en el Folio de Matrνcula de Naves del tνtulo de adquisiciσn, que deberα presentarse en tres (3) copias autenticadas, acompaρadas de la prueba de la previa entrega de la embarcaciσn al adquirente.</w:t>
      </w:r>
    </w:p>
    <w:p>
      <w:pPr>
        <w:jc w:val="both"/>
      </w:pPr>
      <w:rPr>
        <w:sz w:val="24"/>
        <w:color w:val="black"/>
      </w:rPr>
    </w:p>
    <w:p>
      <w:pPr>
        <w:jc w:val="both"/>
      </w:pPr>
      <w:r>
        <w:rPr>
          <w:rFonts w:hAnsi="Arial"/>
          <w:rFonts w:ascii="Arial"/>
          <w:sz w:val="24"/>
          <w:color w:val="black"/>
        </w:rPr>
        <w:t xml:space="preserve">Cumplido lo anterior y cuando se trate de nave matriculada se procederα a cancelar el certificado de matrνcula del enajenante y expediciσn del nuevo certificado de matrνcula del adquirente, previo lleno de los requisitos.</w:t>
      </w:r>
    </w:p>
    <w:p>
      <w:pPr>
        <w:jc w:val="both"/>
      </w:pPr>
      <w:rPr>
        <w:sz w:val="24"/>
        <w:color w:val="black"/>
      </w:rPr>
    </w:p>
    <w:p>
      <w:pPr>
        <w:jc w:val="both"/>
      </w:pPr>
      <w:r>
        <w:rPr>
          <w:rFonts w:hAnsi="Arial"/>
          <w:rFonts w:ascii="Arial"/>
          <w:sz w:val="24"/>
          <w:color w:val="black"/>
        </w:rPr>
        <w:t xml:space="preserve">Mientras la Direcciσn General Marνtima no suministre los Folios de matrνcula de naves y expida las instrucciones para su cabal diligenciamiento y archivo, las Capitanνas de Puerto continuarαn realizando la matrνcula de las naves en los libros que utilizan en la actualidad.</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03" w:name="CAPÍTULO 2.4.3.2"/>
      <w:r>
        <w:rPr>
          <w:rFonts w:hAnsi="Arial"/>
          <w:rFonts w:ascii="Arial"/>
          <w:sz w:val="24"/>
          <w:color w:val="navy"/>
        </w:rPr>
        <w:t xml:space="preserve">CAPΝTULO 2. </w:t>
      </w:r>
    </w:p>
    <w:p>
      <w:pPr>
        <w:jc w:val="center"/>
      </w:pPr>
      <w:r>
        <w:rPr>
          <w:rFonts w:hAnsi="Arial"/>
          <w:rFonts w:ascii="Arial"/>
          <w:sz w:val="24"/>
          <w:color w:val="navy"/>
        </w:rPr>
        <w:t xml:space="preserve">OTRAS DISPOSICIONES.</w:t>
      </w:r>
      <w:bookmarkEnd w:id="6160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04" w:name="2.4.3.2.1"/>
      <w:r>
        <w:rPr>
          <w:rFonts w:hAnsi="Arial"/>
          <w:rFonts w:ascii="Arial"/>
          <w:sz w:val="24"/>
          <w:color w:val="navy"/>
        </w:rPr>
        <w:t xml:space="preserve">ARTΝCULO 2.4.3.2.1. </w:t>
      </w:r>
      <w:r>
        <w:rPr>
          <w:rFonts w:hAnsi="Arial"/>
          <w:rFonts w:ascii="Arial"/>
          <w:sz w:val="24"/>
          <w:i/>
          <w:color w:val="navy"/>
        </w:rPr>
        <w:t xml:space="preserve">NAVES Y ARTEFACTOS NO CONSTRUIDOS EN ASTILLEROS.</w:t>
      </w:r>
      <w:bookmarkEnd w:id="61604"/>
      <w:r>
        <w:rPr>
          <w:rFonts w:hAnsi="Arial"/>
          <w:rFonts w:ascii="Arial"/>
          <w:sz w:val="24"/>
          <w:b/>
          <w:i/>
          <w:color w:val="black"/>
        </w:rPr>
        <w:t xml:space="preserve"> </w:t>
      </w:r>
      <w:r>
        <w:rPr>
          <w:rFonts w:hAnsi="Arial"/>
          <w:rFonts w:ascii="Arial"/>
          <w:sz w:val="24"/>
          <w:color w:val="black"/>
        </w:rPr>
        <w:t xml:space="preserve">Las naves o artefactos navales para transporte, pesca, o deporte que no sean construidos en astilleros navales y cuyo material sea diferente a hierro o acero y tengan menos de 100 toneladas de arqueo bruto, no requieren autorizaciσn de construcciσn, pero para matrνcula, patente de navegaciσn y el permiso de operaciσn serαn previamente inspeccionados y certificados por Peritos Navales o Sociedad Clasificadora acreditada por la Direcciσn General Marνtima debiendo cumplir todos los requisitos de seguridad y equipo de acuerdo con su tonelaje y servicio a que se destinen.</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05" w:name="2.4.3.2.2"/>
      <w:r>
        <w:rPr>
          <w:rFonts w:hAnsi="Arial"/>
          <w:rFonts w:ascii="Arial"/>
          <w:sz w:val="24"/>
          <w:color w:val="navy"/>
        </w:rPr>
        <w:t xml:space="preserve">ARTΝCULO 2.4.3.2.2. </w:t>
      </w:r>
      <w:r>
        <w:rPr>
          <w:rFonts w:hAnsi="Arial"/>
          <w:rFonts w:ascii="Arial"/>
          <w:sz w:val="24"/>
          <w:i/>
          <w:color w:val="navy"/>
        </w:rPr>
        <w:t xml:space="preserve">VISITAS DEL CAPITΑN DE PUERTO.</w:t>
      </w:r>
      <w:bookmarkEnd w:id="61605"/>
      <w:r>
        <w:rPr>
          <w:rFonts w:hAnsi="Arial"/>
          <w:rFonts w:ascii="Arial"/>
          <w:sz w:val="24"/>
          <w:b/>
          <w:i/>
          <w:color w:val="black"/>
        </w:rPr>
        <w:t xml:space="preserve"> </w:t>
      </w:r>
      <w:r>
        <w:rPr>
          <w:rFonts w:hAnsi="Arial"/>
          <w:rFonts w:ascii="Arial"/>
          <w:sz w:val="24"/>
          <w:color w:val="black"/>
        </w:rPr>
        <w:t xml:space="preserve">La visita de la Autoridad Marνtima Colombiana a las naves nacionales o extranjeras que arriben a puerto, constituye un acto de soberanνa y serα atendida personalmente por el Capitαn de la nave. Al no cumplir con esta obligaciσn el Capitαn de Puerto o quien lo represente, o el funcionario de otra Autoridad Nacional, que en cumplimiento de acto oficial visite el buque, exigirα la presencia del Capitαn de la nave. Cualquier desacato a este respecto por parte del Capitαn serα sancionado.</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1606" w:name="2.4.3.2.3"/>
      <w:r>
        <w:rPr>
          <w:rFonts w:hAnsi="Arial"/>
          <w:rFonts w:ascii="Arial"/>
          <w:sz w:val="24"/>
          <w:color w:val="navy"/>
        </w:rPr>
        <w:t xml:space="preserve">ARTΝCULO 2.4.3.2.3. </w:t>
      </w:r>
      <w:r>
        <w:rPr>
          <w:rFonts w:hAnsi="Arial"/>
          <w:rFonts w:ascii="Arial"/>
          <w:sz w:val="24"/>
          <w:i/>
          <w:color w:val="navy"/>
        </w:rPr>
        <w:t xml:space="preserve">EXCLUSIVIDAD DE NAVES DE BANDERA COLOMBIANA PARA SERVICIOS PORTUARIOS EN AGUAS JURISDICCIONALES.</w:t>
      </w:r>
      <w:bookmarkEnd w:id="61606"/>
      <w:r>
        <w:rPr>
          <w:rFonts w:hAnsi="Arial"/>
          <w:rFonts w:ascii="Arial"/>
          <w:sz w:val="24"/>
          <w:b/>
          <w:i/>
          <w:color w:val="black"/>
        </w:rPr>
        <w:t xml:space="preserve"> </w:t>
      </w:r>
      <w:r>
        <w:rPr>
          <w:rFonts w:hAnsi="Arial"/>
          <w:rFonts w:ascii="Arial"/>
          <w:sz w:val="24"/>
          <w:color w:val="black"/>
        </w:rPr>
        <w:t xml:space="preserve">Los servicios portuarios que tengan lugar en los espacios marνtimos jurisdiccionales colombianos, serαn prestados exclusivamente por naves de bandera (matrνcula) colombiana.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casos excepcionales, la Direcciσn General Marνtima podrα autorizar que estos servicios se presten con naves de bandera extranjera por un tιrmino de seis (6) meses, prorrogable por un lapso igual, siempre que no exista, a juicio de la Autoridad Marνtima nave de bandera colombiana en capacidad de prestar el servicio y sin que en ningϊn evento la autorizaciσn exceda un mαximo de un (1) aρo.</w:t>
      </w:r>
    </w:p>
    <w:p>
      <w:rPr>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servicio y/o actividad de dragado se excluye de la restricciσn establecida en el presente artνculo, el cual podrα ser prestado por nave de cualquier bandera durante el tiempo que sea necesario. No obstante, se deberα contar con los demαs permisos y autorizaciones establecidas en el ordenamiento jurνdico vigente.</w:t>
      </w:r>
    </w:p>
    <w:p>
      <w:pPr>
        <w:jc w:val="both"/>
      </w:pPr>
      <w:rPr>
        <w:sz w:val="24"/>
        <w:color w:val="black"/>
      </w:rPr>
    </w:p>
    <w:p>
      <w:pPr>
        <w:jc w:val="both"/>
        <w:keepNext/>
      </w:pPr>
      <w:r>
        <w:rPr>
          <w:rFonts w:hAnsi="Arial"/>
          <w:rFonts w:ascii="Arial"/>
          <w:sz w:val="24"/>
          <w:color w:val="navy"/>
        </w:rPr>
        <w:t xml:space="preserve">PARΑGRAFO 3o.</w:t>
      </w:r>
      <w:r>
        <w:rPr>
          <w:rFonts w:hAnsi="Arial"/>
          <w:rFonts w:ascii="Arial"/>
          <w:sz w:val="24"/>
          <w:color w:val="black"/>
        </w:rPr>
        <w:t xml:space="preserve"> &lt;Parαgrafo adicionado por el artνculo </w:t>
      </w:r>
      <w:r>
        <w:fldChar w:fldCharType="begin"/>
      </w:r>
      <w:r>
        <w:instrText>HYPERLINK "http://www.redjurista.com/document.aspx?ajcode=d1514016&amp;arts=1"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1514 de 2016. El nuevo texto es el siguiente:&gt; El servicio y/o actividad de licuefacciσn y/o regasificaciσn se excluye de la restricciσn establecida en el presente artνculo, pudiendo ser prestado por una nave y/o artefacto naval de cualquier bandera durante el tiempo que sea necesario. No obstante, dicho tiempo no podrα superar el tιrmino de duraciσn del contrato de concesiσn portuaria del terminal en donde se encuentre realizando la operaciσn.</w:t>
      </w:r>
    </w:p>
    <w:p>
      <w:pPr>
        <w:jc w:val="both"/>
        <w:keepNext/>
      </w:pPr>
      <w:rPr>
        <w:sz w:val="24"/>
        <w:color w:val="black"/>
      </w:rPr>
    </w:p>
    <w:p>
      <w:pPr>
        <w:jc w:val="both"/>
        <w:keepNext/>
      </w:pPr>
      <w:r>
        <w:rPr>
          <w:rFonts w:hAnsi="Arial"/>
          <w:rFonts w:ascii="Arial"/>
          <w:sz w:val="24"/>
          <w:color w:val="black"/>
        </w:rPr>
        <w:t xml:space="preserve">Tanto el desarrollo de esta actividad, como la nave y/o artefacto naval destinado para la misma, deberαn cumplir con la normatividad vigente y en especial con los estαndares exigidos por los Convenios Marνtimos Internacionales y la legislaciσn colombiana.</w:t>
      </w:r>
    </w:p>
    <w:p>
      <w:pPr>
        <w:jc w:val="both"/>
      </w:pPr>
      <w:rPr>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adicionado por el artνculo </w:t>
      </w:r>
      <w:r>
        <w:fldChar w:fldCharType="begin"/>
      </w:r>
      <w:r>
        <w:instrText>HYPERLINK "http://www.redjurista.com/document.aspx?ajcode=d3222011&amp;arts=1"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3222 de 2011)</w:t>
      </w:r>
    </w:p>
    <w:p>
      <w:pPr>
        <w:jc w:val="both"/>
      </w:pPr>
      <w:rPr>
        <w:color w:val="black"/>
      </w:rPr>
    </w:p>
    <w:p>
      <w:pPr>
        <w:jc w:val="both"/>
      </w:pPr>
      <w:r>
        <w:rPr>
          <w:rFonts w:hAnsi="Arial"/>
          <w:rFonts w:ascii="Arial"/>
          <w:sz w:val="24"/>
          <w:vanish/>
          <w:color w:val="black"/>
        </w:rPr>
        <w:t>&amp;$</w:t>
      </w:r>
      <w:bookmarkStart w:id="61607" w:name="2.4.3.2.4"/>
      <w:r>
        <w:rPr>
          <w:rFonts w:hAnsi="Arial"/>
          <w:rFonts w:ascii="Arial"/>
          <w:sz w:val="24"/>
          <w:color w:val="navy"/>
        </w:rPr>
        <w:t xml:space="preserve">ARTΝCULO 2.4.3.2.4. </w:t>
      </w:r>
      <w:r>
        <w:rPr>
          <w:rFonts w:hAnsi="Arial"/>
          <w:rFonts w:ascii="Arial"/>
          <w:sz w:val="24"/>
          <w:i/>
          <w:color w:val="navy"/>
        </w:rPr>
        <w:t xml:space="preserve">ENAJENACIΣN DE NAVES DE BANDERA COLOMBIANA.</w:t>
      </w:r>
      <w:bookmarkEnd w:id="61607"/>
      <w:r>
        <w:rPr>
          <w:rFonts w:hAnsi="Arial"/>
          <w:rFonts w:ascii="Arial"/>
          <w:sz w:val="24"/>
          <w:b/>
          <w:i/>
          <w:color w:val="black"/>
        </w:rPr>
        <w:t xml:space="preserve"> </w:t>
      </w:r>
      <w:r>
        <w:rPr>
          <w:rFonts w:hAnsi="Arial"/>
          <w:rFonts w:ascii="Arial"/>
          <w:sz w:val="24"/>
          <w:color w:val="black"/>
        </w:rPr>
        <w:t xml:space="preserve">El armador autorizado para prestar servicio pϊblico de transporte marνtimo internacional o de cabotaje, que enajene todas sus naves de bandera colombiana, tendrα un plazo de tres (3) meses para adquirir y matricular en puerto colombiano por lo menos una nave que reϊna las caracterνsticas mνnimas de las naves objeto de venta y reanudar la prestaciσn del servicio.</w:t>
      </w:r>
    </w:p>
    <w:p>
      <w:pPr>
        <w:jc w:val="both"/>
      </w:pPr>
      <w:rPr>
        <w:sz w:val="24"/>
        <w:color w:val="black"/>
      </w:rPr>
    </w:p>
    <w:p>
      <w:pPr>
        <w:jc w:val="both"/>
      </w:pPr>
      <w:r>
        <w:rPr>
          <w:rFonts w:hAnsi="Arial"/>
          <w:rFonts w:ascii="Arial"/>
          <w:sz w:val="24"/>
          <w:color w:val="black"/>
        </w:rPr>
        <w:t xml:space="preserve">Vencido este lapso sin que se diere cumplimiento a lo anterior, la Direcciσn General Marνtima procederα a cancelar la autorizaciσn de la ruta o servicio de que se trate.</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08" w:name="2.4.3.2.5"/>
      <w:r>
        <w:rPr>
          <w:rFonts w:hAnsi="Arial"/>
          <w:rFonts w:ascii="Arial"/>
          <w:sz w:val="24"/>
          <w:color w:val="navy"/>
        </w:rPr>
        <w:t xml:space="preserve">ARTΝCULO 2.4.3.2.5. </w:t>
      </w:r>
      <w:r>
        <w:rPr>
          <w:rFonts w:hAnsi="Arial"/>
          <w:rFonts w:ascii="Arial"/>
          <w:sz w:val="24"/>
          <w:i/>
          <w:color w:val="navy"/>
        </w:rPr>
        <w:t xml:space="preserve">PERMANENCIA DE BUQUES DE BANDERA EXTRANJERA EN PUERTO COLOMBIANO.</w:t>
      </w:r>
      <w:bookmarkEnd w:id="61608"/>
      <w:r>
        <w:rPr>
          <w:rFonts w:hAnsi="Arial"/>
          <w:rFonts w:ascii="Arial"/>
          <w:sz w:val="24"/>
          <w:b/>
          <w:i/>
          <w:color w:val="black"/>
        </w:rPr>
        <w:t xml:space="preserve"> </w:t>
      </w:r>
      <w:r>
        <w:rPr>
          <w:rFonts w:hAnsi="Arial"/>
          <w:rFonts w:ascii="Arial"/>
          <w:sz w:val="24"/>
          <w:color w:val="black"/>
        </w:rPr>
        <w:t xml:space="preserve">Ninguna nave de bandera extranjera podrα permanecer en puerto o aguas colombianas sin permiso de la Autoridad Marνtima Local. Cuando la permanencia supere sesenta (60) dνas se requerirα autorizaciσn de la Direcciσn General Marνtima.</w:t>
      </w:r>
    </w:p>
    <w:p>
      <w:pPr>
        <w:jc w:val="both"/>
      </w:pPr>
      <w:rPr>
        <w:sz w:val="24"/>
        <w:color w:val="black"/>
      </w:rPr>
    </w:p>
    <w:p>
      <w:pPr>
        <w:jc w:val="both"/>
      </w:pPr>
      <w:r>
        <w:rPr>
          <w:rFonts w:hAnsi="Arial"/>
          <w:rFonts w:ascii="Arial"/>
          <w:sz w:val="24"/>
          <w:color w:val="black"/>
        </w:rPr>
        <w:t xml:space="preserve">La no presentaciσn previa de la solicitud correspondiente, asν como la permanencia por perνodos superiores a los autorizados, darα lugar a la imposiciσn de multas de que trata el artνculo </w:t>
      </w:r>
      <w:r>
        <w:fldChar w:fldCharType="begin"/>
      </w:r>
      <w:r>
        <w:instrText>HYPERLINK "http://www.redjurista.com/document.aspx?ajcode=d2324_84&amp;arts=80"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2324 de 1984, por parte de la Capitanνa de Puerto respectiva.</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09" w:name="2.4.3.2.6"/>
      <w:r>
        <w:rPr>
          <w:rFonts w:hAnsi="Arial"/>
          <w:rFonts w:ascii="Arial"/>
          <w:sz w:val="24"/>
          <w:color w:val="navy"/>
        </w:rPr>
        <w:t xml:space="preserve">ARTΝCULO 2.4.3.2.6. </w:t>
      </w:r>
      <w:r>
        <w:rPr>
          <w:rFonts w:hAnsi="Arial"/>
          <w:rFonts w:ascii="Arial"/>
          <w:sz w:val="24"/>
          <w:i/>
          <w:color w:val="navy"/>
        </w:rPr>
        <w:t>INFRACCIΣN.</w:t>
      </w:r>
      <w:bookmarkEnd w:id="61609"/>
      <w:r>
        <w:rPr>
          <w:rFonts w:hAnsi="Arial"/>
          <w:rFonts w:ascii="Arial"/>
          <w:sz w:val="24"/>
          <w:b/>
          <w:i/>
          <w:color w:val="black"/>
        </w:rPr>
        <w:t xml:space="preserve"> </w:t>
      </w:r>
      <w:r>
        <w:rPr>
          <w:rFonts w:hAnsi="Arial"/>
          <w:rFonts w:ascii="Arial"/>
          <w:sz w:val="24"/>
          <w:color w:val="black"/>
        </w:rPr>
        <w:t xml:space="preserve">La infracciσn a lo previsto en la presente Capνtulo constituye violaciσn a las normas de Marina Mercante y estarα sujeta a las sanciones previstas en el artνculo </w:t>
      </w:r>
      <w:r>
        <w:fldChar w:fldCharType="begin"/>
      </w:r>
      <w:r>
        <w:instrText>HYPERLINK "http://www.redjurista.com/document.aspx?ajcode=d2324_84&amp;arts=80"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2324 de 1984.</w:t>
      </w:r>
    </w:p>
    <w:p>
      <w:pPr>
        <w:jc w:val="both"/>
      </w:pPr>
      <w:rPr>
        <w:sz w:val="24"/>
        <w:color w:val="black"/>
      </w:rPr>
    </w:p>
    <w:p>
      <w:pPr>
        <w:jc w:val="both"/>
      </w:pPr>
      <w:r>
        <w:rPr>
          <w:rFonts w:hAnsi="Arial"/>
          <w:rFonts w:ascii="Arial"/>
          <w:sz w:val="24"/>
          <w:i/>
          <w:color w:val="black"/>
        </w:rPr>
        <w:t xml:space="preserve">(Decreto 1423 de 1989 artνculo </w:t>
      </w:r>
      <w:r>
        <w:fldChar w:fldCharType="begin"/>
      </w:r>
      <w:r>
        <w:instrText>HYPERLINK "http://www.redjurista.com/document.aspx?ajcode=d1423_89&amp;arts=42"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10" w:name="TÍTULO 2.4.4"/>
      <w:r>
        <w:rPr>
          <w:rFonts w:hAnsi="Arial"/>
          <w:rFonts w:ascii="Arial"/>
          <w:sz w:val="24"/>
          <w:color w:val="navy"/>
        </w:rPr>
        <w:t xml:space="preserve">TΝTULO 4. </w:t>
      </w:r>
    </w:p>
    <w:p>
      <w:pPr>
        <w:jc w:val="center"/>
      </w:pPr>
      <w:r>
        <w:rPr>
          <w:rFonts w:hAnsi="Arial"/>
          <w:rFonts w:ascii="Arial"/>
          <w:sz w:val="24"/>
          <w:color w:val="navy"/>
        </w:rPr>
        <w:t xml:space="preserve">SERVICIO DE SEGURIDAD MARΝTIMA.</w:t>
      </w:r>
      <w:bookmarkEnd w:id="6161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11" w:name="2.4.4.1"/>
      <w:r>
        <w:rPr>
          <w:rFonts w:hAnsi="Arial"/>
          <w:rFonts w:ascii="Arial"/>
          <w:sz w:val="24"/>
          <w:color w:val="navy"/>
        </w:rPr>
        <w:t xml:space="preserve">ARTΝCULO 2.4.4.1. </w:t>
      </w:r>
      <w:r>
        <w:rPr>
          <w:rFonts w:hAnsi="Arial"/>
          <w:rFonts w:ascii="Arial"/>
          <w:sz w:val="24"/>
          <w:i/>
          <w:color w:val="navy"/>
        </w:rPr>
        <w:t xml:space="preserve">SERVICIO DE SEGURIDAD MARΝTIMA.</w:t>
      </w:r>
      <w:bookmarkEnd w:id="61611"/>
      <w:r>
        <w:rPr>
          <w:rFonts w:hAnsi="Arial"/>
          <w:rFonts w:ascii="Arial"/>
          <w:sz w:val="24"/>
          <w:b/>
          <w:i/>
          <w:color w:val="black"/>
        </w:rPr>
        <w:t xml:space="preserve"> </w:t>
      </w:r>
      <w:r>
        <w:rPr>
          <w:rFonts w:hAnsi="Arial"/>
          <w:rFonts w:ascii="Arial"/>
          <w:sz w:val="24"/>
          <w:color w:val="black"/>
        </w:rPr>
        <w:t xml:space="preserve">Los buques de bandera nacional o extranjera pagarαn, cada vez que entren a puerto colombiano,</w:t>
        <w:tab/>
        <w:t> el servicio de seguridad marνtima, conformado por aquellos procesos y procedimientos desarrollados por la Autoridad Marνtima Nacional para contribuir a la seguridad de la vida humana en el mar, a la seguridad y eficacia de la navegaciσn y/o la protecciσn del medio marino.</w:t>
      </w:r>
    </w:p>
    <w:p>
      <w:pPr>
        <w:jc w:val="both"/>
      </w:pPr>
      <w:rPr>
        <w:sz w:val="24"/>
        <w:color w:val="black"/>
      </w:rPr>
    </w:p>
    <w:p>
      <w:pPr>
        <w:jc w:val="both"/>
      </w:pPr>
      <w:r>
        <w:rPr>
          <w:rFonts w:hAnsi="Arial"/>
          <w:rFonts w:ascii="Arial"/>
          <w:sz w:val="24"/>
          <w:color w:val="black"/>
        </w:rPr>
        <w:t xml:space="preserve">La Direcciσn General Marνtima definirα y recaudarα la tarifa por el servicio de seguridad marνtima de conformidad con los costos que se generen por la prestaciσn del mismo, incluyendo los proyectos de inversiσn. La base para el pago de la tarifa por el servicio de seguridad marνtima serα el arqueo bruto de la nave que se encuentre registrado en el respectivo Certificado de Matrνcula y la tarifa se establecerα en salarios mνnimos legales mensuales vigentes.</w:t>
      </w:r>
    </w:p>
    <w:p>
      <w:pPr>
        <w:jc w:val="both"/>
      </w:pPr>
      <w:rPr>
        <w:sz w:val="24"/>
        <w:color w:val="black"/>
      </w:rPr>
    </w:p>
    <w:p>
      <w:pPr>
        <w:jc w:val="both"/>
      </w:pPr>
      <w:r>
        <w:rPr>
          <w:rFonts w:hAnsi="Arial"/>
          <w:rFonts w:ascii="Arial"/>
          <w:sz w:val="24"/>
          <w:i/>
          <w:color w:val="black"/>
        </w:rPr>
        <w:t xml:space="preserve">(Decreto 2836 de 2013 artνculo </w:t>
      </w:r>
      <w:r>
        <w:fldChar w:fldCharType="begin"/>
      </w:r>
      <w:r>
        <w:instrText>HYPERLINK "http://www.redjurista.com/document.aspx?ajcode=d2836013&amp;arts=1"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612" w:name="2.4.4.2"/>
      <w:r>
        <w:rPr>
          <w:rFonts w:hAnsi="Arial"/>
          <w:rFonts w:ascii="Arial"/>
          <w:sz w:val="24"/>
          <w:color w:val="navy"/>
        </w:rPr>
        <w:t xml:space="preserve">ARTΝCULO 2.4.4.2. </w:t>
      </w:r>
      <w:r>
        <w:rPr>
          <w:rFonts w:hAnsi="Arial"/>
          <w:rFonts w:ascii="Arial"/>
          <w:sz w:val="24"/>
          <w:i/>
          <w:color w:val="navy"/>
        </w:rPr>
        <w:t xml:space="preserve">OTROS SERVICIOS.</w:t>
      </w:r>
      <w:bookmarkEnd w:id="61612"/>
      <w:r>
        <w:rPr>
          <w:rFonts w:hAnsi="Arial"/>
          <w:rFonts w:ascii="Arial"/>
          <w:sz w:val="24"/>
          <w:b/>
          <w:i/>
          <w:color w:val="black"/>
        </w:rPr>
        <w:t xml:space="preserve"> </w:t>
      </w:r>
      <w:r>
        <w:rPr>
          <w:rFonts w:hAnsi="Arial"/>
          <w:rFonts w:ascii="Arial"/>
          <w:sz w:val="24"/>
          <w:color w:val="black"/>
        </w:rPr>
        <w:t xml:space="preserve">La Direcciσn General Marνtima de conformidad con el sistema y mιtodo establecido en la Ley </w:t>
      </w:r>
      <w:r>
        <w:fldChar w:fldCharType="begin"/>
      </w:r>
      <w:r>
        <w:instrText>HYPERLINK "http://www.redjurista.com/document.aspx?ajcode=l1115006&amp;arts=INICIO"</w:instrText>
      </w:r>
      <w:r>
        <w:fldChar w:fldCharType="separate"/>
      </w:r>
      <w:r>
        <w:rPr>
          <w:rFonts w:hAnsi="Arial"/>
          <w:rFonts w:ascii="Arial"/>
          <w:sz w:val="24"/>
          <w:u w:val="single"/>
          <w:color w:val="black"/>
        </w:rPr>
        <w:t>1115</w:t>
      </w:r>
      <w:r>
        <w:fldChar w:fldCharType="end"/>
      </w:r>
      <w:r>
        <w:rPr>
          <w:rFonts w:hAnsi="Arial"/>
          <w:rFonts w:ascii="Arial"/>
          <w:sz w:val="24"/>
          <w:u w:val="none"/>
          <w:color w:val="black"/>
        </w:rPr>
        <w:t xml:space="preserve"> de 2006, fijarα y recaudarα la tarifa por la prestaciσn de los siguientes servicios:</w:t>
      </w:r>
    </w:p>
    <w:p>
      <w:pPr>
        <w:jc w:val="both"/>
      </w:pPr>
      <w:rPr>
        <w:sz w:val="24"/>
        <w:color w:val="black"/>
      </w:rPr>
    </w:p>
    <w:p>
      <w:r>
        <w:rPr>
          <w:rFonts w:hAnsi="Arial"/>
          <w:rFonts w:ascii="Arial"/>
          <w:sz w:val="24"/>
          <w:color w:val="black"/>
        </w:rPr>
        <w:t xml:space="preserve"/>
        <w:tab/>
        <w:t> Cursos bαsicos y avanzados de formaciσn marνtima.</w:t>
      </w:r>
    </w:p>
    <w:p>
      <w:r>
        <w:rPr>
          <w:rFonts w:hAnsi="Arial"/>
          <w:rFonts w:ascii="Arial"/>
          <w:sz w:val="24"/>
          <w:color w:val="black"/>
        </w:rPr>
        <w:t/>
        <w:tab/>
        <w:t/>
      </w:r>
    </w:p>
    <w:p>
      <w:r>
        <w:rPr>
          <w:rFonts w:hAnsi="Arial"/>
          <w:rFonts w:ascii="Arial"/>
          <w:sz w:val="24"/>
          <w:color w:val="black"/>
        </w:rPr>
        <w:t xml:space="preserve"/>
        <w:tab/>
        <w:t> Simulaciσn en el αmbito marνtimo.</w:t>
      </w:r>
    </w:p>
    <w:p>
      <w:r>
        <w:rPr>
          <w:rFonts w:hAnsi="Arial"/>
          <w:rFonts w:ascii="Arial"/>
          <w:sz w:val="24"/>
          <w:color w:val="black"/>
        </w:rPr>
        <w:t/>
        <w:tab/>
        <w:t/>
      </w:r>
    </w:p>
    <w:p>
      <w:r>
        <w:rPr>
          <w:rFonts w:hAnsi="Arial"/>
          <w:rFonts w:ascii="Arial"/>
          <w:sz w:val="24"/>
          <w:color w:val="black"/>
        </w:rPr>
        <w:t xml:space="preserve"/>
        <w:tab/>
        <w:t> Cursos bαsicos y avanzados de rescate y supervivencia.</w:t>
      </w:r>
    </w:p>
    <w:p>
      <w:r>
        <w:rPr>
          <w:rFonts w:hAnsi="Arial"/>
          <w:rFonts w:ascii="Arial"/>
          <w:sz w:val="24"/>
          <w:color w:val="black"/>
        </w:rPr>
        <w:t/>
        <w:tab/>
        <w:t/>
      </w:r>
    </w:p>
    <w:p>
      <w:r>
        <w:rPr>
          <w:rFonts w:hAnsi="Arial"/>
          <w:rFonts w:ascii="Arial"/>
          <w:sz w:val="24"/>
          <w:color w:val="black"/>
        </w:rPr>
        <w:t xml:space="preserve"/>
        <w:tab/>
        <w:t> Simulaciσn lucha contra-incendio.</w:t>
      </w:r>
    </w:p>
    <w:p>
      <w:r>
        <w:rPr>
          <w:rFonts w:hAnsi="Arial"/>
          <w:rFonts w:ascii="Arial"/>
          <w:sz w:val="24"/>
          <w:color w:val="black"/>
        </w:rPr>
        <w:t/>
        <w:tab/>
        <w:t/>
      </w:r>
    </w:p>
    <w:p>
      <w:r>
        <w:rPr>
          <w:rFonts w:hAnsi="Arial"/>
          <w:rFonts w:ascii="Arial"/>
          <w:sz w:val="24"/>
          <w:color w:val="black"/>
        </w:rPr>
        <w:t xml:space="preserve"/>
        <w:tab/>
        <w:t> Servicios para la protecciσn del medio marino.</w:t>
      </w:r>
    </w:p>
    <w:p>
      <w:r>
        <w:rPr>
          <w:rFonts w:hAnsi="Arial"/>
          <w:rFonts w:ascii="Arial"/>
          <w:sz w:val="24"/>
          <w:color w:val="black"/>
        </w:rPr>
        <w:t/>
        <w:tab/>
        <w:t/>
      </w:r>
    </w:p>
    <w:p>
      <w:r>
        <w:rPr>
          <w:rFonts w:hAnsi="Arial"/>
          <w:rFonts w:ascii="Arial"/>
          <w:sz w:val="24"/>
          <w:color w:val="black"/>
        </w:rPr>
        <w:t xml:space="preserve"/>
        <w:tab/>
        <w:t> Estudios de seguridad marνtima y portuaria relacionados con infraestructura portuaria, estructuras de protecciσn marνtima, gestiσn integrada de la costa, protecciσn del medio marino, lucha contra la contaminaciσn y seguridad nαutica.</w:t>
      </w:r>
    </w:p>
    <w:p>
      <w:r>
        <w:rPr>
          <w:rFonts w:hAnsi="Arial"/>
          <w:rFonts w:ascii="Arial"/>
          <w:sz w:val="24"/>
          <w:color w:val="black"/>
        </w:rPr>
        <w:t/>
        <w:tab/>
        <w:t/>
      </w:r>
    </w:p>
    <w:p>
      <w:pPr>
        <w:jc w:val="both"/>
      </w:pPr>
      <w:r>
        <w:rPr>
          <w:rFonts w:hAnsi="Arial"/>
          <w:rFonts w:ascii="Arial"/>
          <w:sz w:val="24"/>
          <w:i/>
          <w:color w:val="black"/>
        </w:rPr>
        <w:t xml:space="preserve">(Decreto 2836 de 2013 artνculo </w:t>
      </w:r>
      <w:r>
        <w:fldChar w:fldCharType="begin"/>
      </w:r>
      <w:r>
        <w:instrText>HYPERLINK "http://www.redjurista.com/document.aspx?ajcode=d2836013&amp;arts=2"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613" w:name="TÍTULO 2.4.5"/>
      <w:r>
        <w:rPr>
          <w:rFonts w:hAnsi="Arial"/>
          <w:rFonts w:ascii="Arial"/>
          <w:sz w:val="24"/>
          <w:color w:val="navy"/>
        </w:rPr>
        <w:t xml:space="preserve">TΝTULO 5. </w:t>
      </w:r>
    </w:p>
    <w:p>
      <w:pPr>
        <w:jc w:val="center"/>
      </w:pPr>
      <w:r>
        <w:rPr>
          <w:rFonts w:hAnsi="Arial"/>
          <w:rFonts w:ascii="Arial"/>
          <w:sz w:val="24"/>
          <w:color w:val="navy"/>
        </w:rPr>
        <w:t xml:space="preserve">INVESTIGACIONES CIENTΝFICAS O TECNOLΣGICAS MARINAS.</w:t>
      </w:r>
      <w:bookmarkEnd w:id="6161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14" w:name="2.4.5.1"/>
      <w:r>
        <w:rPr>
          <w:rFonts w:hAnsi="Arial"/>
          <w:rFonts w:ascii="Arial"/>
          <w:sz w:val="24"/>
          <w:color w:val="navy"/>
        </w:rPr>
        <w:t xml:space="preserve">ARTΝCULO 2.4.5.1. </w:t>
      </w:r>
      <w:r>
        <w:rPr>
          <w:rFonts w:hAnsi="Arial"/>
          <w:rFonts w:ascii="Arial"/>
          <w:sz w:val="24"/>
          <w:i/>
          <w:color w:val="navy"/>
        </w:rPr>
        <w:t xml:space="preserve">CAMPO DE APLICACIΣN.</w:t>
      </w:r>
      <w:bookmarkEnd w:id="61614"/>
      <w:r>
        <w:rPr>
          <w:rFonts w:hAnsi="Arial"/>
          <w:rFonts w:ascii="Arial"/>
          <w:sz w:val="24"/>
          <w:b/>
          <w:i/>
          <w:color w:val="black"/>
        </w:rPr>
        <w:t xml:space="preserve"> </w:t>
      </w:r>
      <w:r>
        <w:rPr>
          <w:rFonts w:hAnsi="Arial"/>
          <w:rFonts w:ascii="Arial"/>
          <w:sz w:val="24"/>
          <w:color w:val="black"/>
        </w:rPr>
        <w:t xml:space="preserve">La investigaciσn cientνfica o tecnolσgica marina en los espacios marνtimos jurisdiccionales colombianos solo podrα realizarse de conformidad con lo dispuesto en este Tνtulo y demαs normas legales concordantes.</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615" w:name="2.4.5.2"/>
      <w:r>
        <w:rPr>
          <w:rFonts w:hAnsi="Arial"/>
          <w:rFonts w:ascii="Arial"/>
          <w:sz w:val="24"/>
          <w:color w:val="navy"/>
        </w:rPr>
        <w:t xml:space="preserve">ARTΝCULO 2.4.5.2. </w:t>
      </w:r>
      <w:r>
        <w:rPr>
          <w:rFonts w:hAnsi="Arial"/>
          <w:rFonts w:ascii="Arial"/>
          <w:sz w:val="24"/>
          <w:i/>
          <w:color w:val="navy"/>
        </w:rPr>
        <w:t>SOLICITUDES.</w:t>
      </w:r>
    </w:p>
    <w:p>
      <w:pPr>
        <w:jc w:val="both"/>
      </w:pPr>
      <w:bookmarkEnd w:id="61615"/>
    </w:p>
    <w:p>
      <w:pPr>
        <w:jc w:val="both"/>
      </w:pPr>
      <w:r>
        <w:rPr>
          <w:rFonts w:hAnsi="Arial"/>
          <w:rFonts w:ascii="Arial"/>
          <w:sz w:val="24"/>
          <w:color w:val="black"/>
        </w:rPr>
        <w:t xml:space="preserve">a) La persona natural o jurνdica extranjera, pϊblica o privada presentarα su solicitud al Ministerio de Relaciones Exteriores de Colombia a travιs de su respectiva embajada o de su representante legal acreditado en el paνs;</w:t>
      </w:r>
    </w:p>
    <w:p>
      <w:pPr>
        <w:jc w:val="both"/>
      </w:pPr>
      <w:rPr>
        <w:sz w:val="24"/>
        <w:color w:val="black"/>
      </w:rPr>
    </w:p>
    <w:p>
      <w:pPr>
        <w:jc w:val="both"/>
      </w:pPr>
      <w:r>
        <w:rPr>
          <w:rFonts w:hAnsi="Arial"/>
          <w:rFonts w:ascii="Arial"/>
          <w:sz w:val="24"/>
          <w:color w:val="black"/>
        </w:rPr>
        <w:t xml:space="preserve">b) La persona natural o jurνdica nacional que desee realizar investigaciσn cientνfica o tecnolσgica marina con naves o artefactos navales de bandera extranjera, presentarα su solicitud a DIMAR quien la remitirα a las entidades pertinentes con el fin de que se cumpla lo dispuesto en este Tνtulo;</w:t>
      </w:r>
    </w:p>
    <w:p>
      <w:pPr>
        <w:jc w:val="both"/>
      </w:pPr>
      <w:rPr>
        <w:sz w:val="24"/>
        <w:color w:val="black"/>
      </w:rPr>
    </w:p>
    <w:p>
      <w:pPr>
        <w:jc w:val="both"/>
      </w:pPr>
      <w:r>
        <w:rPr>
          <w:rFonts w:hAnsi="Arial"/>
          <w:rFonts w:ascii="Arial"/>
          <w:sz w:val="24"/>
          <w:color w:val="black"/>
        </w:rPr>
        <w:t xml:space="preserve">c) Cuando la solicitud se presente como desarrollo de un convenio entre el gobierno o una entidad colombiana y una entidad o gobierno extranjero u organismo internacional, la solicitud se tramitarα a travιs de la respectiva embajada o representante legal, ante el Ministerio de Relaciones Exteriores de Colombia.</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16" w:name="2.4.5.3"/>
      <w:r>
        <w:rPr>
          <w:rFonts w:hAnsi="Arial"/>
          <w:rFonts w:ascii="Arial"/>
          <w:sz w:val="24"/>
          <w:color w:val="navy"/>
        </w:rPr>
        <w:t xml:space="preserve">ARTΝCULO 2.4.5.3. </w:t>
      </w:r>
      <w:r>
        <w:rPr>
          <w:rFonts w:hAnsi="Arial"/>
          <w:rFonts w:ascii="Arial"/>
          <w:sz w:val="24"/>
          <w:i/>
          <w:color w:val="navy"/>
        </w:rPr>
        <w:t>PLAZO.</w:t>
      </w:r>
      <w:bookmarkEnd w:id="61616"/>
      <w:r>
        <w:rPr>
          <w:rFonts w:hAnsi="Arial"/>
          <w:rFonts w:ascii="Arial"/>
          <w:sz w:val="24"/>
          <w:b/>
          <w:i/>
          <w:color w:val="black"/>
        </w:rPr>
        <w:t xml:space="preserve"> </w:t>
      </w:r>
      <w:r>
        <w:rPr>
          <w:rFonts w:hAnsi="Arial"/>
          <w:rFonts w:ascii="Arial"/>
          <w:sz w:val="24"/>
          <w:color w:val="black"/>
        </w:rPr>
        <w:t xml:space="preserve">Las solicitudes deben presentarse con seis (6) meses de anticipaciσn como mνnimo, a la fecha prevista para la iniciaciσn de la investigaciσn.</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17" w:name="2.4.5.4"/>
      <w:r>
        <w:rPr>
          <w:rFonts w:hAnsi="Arial"/>
          <w:rFonts w:ascii="Arial"/>
          <w:sz w:val="24"/>
          <w:color w:val="navy"/>
        </w:rPr>
        <w:t xml:space="preserve">ARTΝCULO 2.4.5.4. </w:t>
      </w:r>
      <w:r>
        <w:rPr>
          <w:rFonts w:hAnsi="Arial"/>
          <w:rFonts w:ascii="Arial"/>
          <w:sz w:val="24"/>
          <w:i/>
          <w:color w:val="navy"/>
        </w:rPr>
        <w:t xml:space="preserve">DEBER DE PROPORCIONAR INFORMACIΣN.</w:t>
      </w:r>
      <w:bookmarkEnd w:id="61617"/>
      <w:r>
        <w:rPr>
          <w:rFonts w:hAnsi="Arial"/>
          <w:rFonts w:ascii="Arial"/>
          <w:sz w:val="24"/>
          <w:b/>
          <w:i/>
          <w:color w:val="black"/>
        </w:rPr>
        <w:t xml:space="preserve"> </w:t>
      </w:r>
      <w:r>
        <w:rPr>
          <w:rFonts w:hAnsi="Arial"/>
          <w:rFonts w:ascii="Arial"/>
          <w:sz w:val="24"/>
          <w:color w:val="black"/>
        </w:rPr>
        <w:t xml:space="preserve">Las solicitudes deberαn presentarse en idioma espaρol y contendrαn por lo menos los siguientes datos, sin perjuicio de otras informaciones que de acuerdo con la νndole del proyecto, las entidades competentes puedan requerir al interesado:</w:t>
      </w:r>
    </w:p>
    <w:p>
      <w:pPr>
        <w:jc w:val="both"/>
      </w:pPr>
      <w:rPr>
        <w:sz w:val="24"/>
        <w:color w:val="black"/>
      </w:rPr>
    </w:p>
    <w:p>
      <w:pPr>
        <w:jc w:val="both"/>
      </w:pPr>
      <w:r>
        <w:rPr>
          <w:rFonts w:hAnsi="Arial"/>
          <w:rFonts w:ascii="Arial"/>
          <w:sz w:val="24"/>
          <w:color w:val="black"/>
        </w:rPr>
        <w:t xml:space="preserve">a) Documento de existencia y representaciσn legal, nombres y apellidos, domicilio, profesiσn o especialidad del solicitante, segϊn se trate de personas jurνdicas o personas naturales, asν como indicaciσn del organismo patrocinador de la investigaciσn, si fuese procedente.</w:t>
      </w:r>
    </w:p>
    <w:p>
      <w:pPr>
        <w:jc w:val="both"/>
      </w:pPr>
      <w:rPr>
        <w:sz w:val="24"/>
        <w:color w:val="black"/>
      </w:rPr>
    </w:p>
    <w:p>
      <w:pPr>
        <w:jc w:val="both"/>
      </w:pPr>
      <w:r>
        <w:rPr>
          <w:rFonts w:hAnsi="Arial"/>
          <w:rFonts w:ascii="Arial"/>
          <w:sz w:val="24"/>
          <w:color w:val="black"/>
        </w:rPr>
        <w:t xml:space="preserve">Si la solicitud se hace mediante representante, debe acompaρarse el tνtulo o documento oficial que acredite su representaciσn;</w:t>
      </w:r>
    </w:p>
    <w:p>
      <w:pPr>
        <w:jc w:val="both"/>
      </w:pPr>
      <w:rPr>
        <w:sz w:val="24"/>
        <w:color w:val="black"/>
      </w:rPr>
    </w:p>
    <w:p>
      <w:pPr>
        <w:jc w:val="both"/>
      </w:pPr>
      <w:r>
        <w:rPr>
          <w:rFonts w:hAnsi="Arial"/>
          <w:rFonts w:ascii="Arial"/>
          <w:sz w:val="24"/>
          <w:color w:val="black"/>
        </w:rPr>
        <w:t xml:space="preserve">b) Nombres y apellidos, domicilios, profesiones o especialidades y nacionalidades del equipo cientνfico que participar en la investigaciσn y documentos que comprueben su idoneidad;</w:t>
      </w:r>
    </w:p>
    <w:p>
      <w:pPr>
        <w:jc w:val="both"/>
      </w:pPr>
      <w:rPr>
        <w:sz w:val="24"/>
        <w:color w:val="black"/>
      </w:rPr>
    </w:p>
    <w:p>
      <w:pPr>
        <w:jc w:val="both"/>
      </w:pPr>
      <w:r>
        <w:rPr>
          <w:rFonts w:hAnsi="Arial"/>
          <w:rFonts w:ascii="Arial"/>
          <w:sz w:val="24"/>
          <w:color w:val="black"/>
        </w:rPr>
        <w:t xml:space="preserve">c) Copia legalizada de la patente de navegaciσn y matrνcula de la nave o artefacto naval;</w:t>
      </w:r>
    </w:p>
    <w:p>
      <w:pPr>
        <w:jc w:val="both"/>
      </w:pPr>
      <w:rPr>
        <w:sz w:val="24"/>
        <w:color w:val="black"/>
      </w:rPr>
    </w:p>
    <w:p>
      <w:pPr>
        <w:jc w:val="both"/>
      </w:pPr>
      <w:r>
        <w:rPr>
          <w:rFonts w:hAnsi="Arial"/>
          <w:rFonts w:ascii="Arial"/>
          <w:sz w:val="24"/>
          <w:color w:val="black"/>
        </w:rPr>
        <w:t xml:space="preserve">d) Caracterνsticas de la nave o artefacto naval, tipo, clase y descripciσn del equipo cientνfico a utilizar en el crucero;</w:t>
      </w:r>
    </w:p>
    <w:p>
      <w:pPr>
        <w:jc w:val="both"/>
      </w:pPr>
      <w:rPr>
        <w:sz w:val="24"/>
        <w:color w:val="black"/>
      </w:rPr>
    </w:p>
    <w:p>
      <w:pPr>
        <w:jc w:val="both"/>
      </w:pPr>
      <w:r>
        <w:rPr>
          <w:rFonts w:hAnsi="Arial"/>
          <w:rFonts w:ascii="Arial"/>
          <w:sz w:val="24"/>
          <w:color w:val="black"/>
        </w:rPr>
        <w:t xml:space="preserve">e) Νndole y objetivos del proyecto de investigaciσn;</w:t>
      </w:r>
    </w:p>
    <w:p>
      <w:pPr>
        <w:jc w:val="both"/>
      </w:pPr>
      <w:rPr>
        <w:sz w:val="24"/>
        <w:color w:val="black"/>
      </w:rPr>
    </w:p>
    <w:p>
      <w:pPr>
        <w:jc w:val="both"/>
      </w:pPr>
      <w:r>
        <w:rPr>
          <w:rFonts w:hAnsi="Arial"/>
          <w:rFonts w:ascii="Arial"/>
          <w:sz w:val="24"/>
          <w:color w:val="black"/>
        </w:rPr>
        <w:t xml:space="preserve">f) Programas, mιtodos y tιcnicas de la investigaciσn que se pretende realizar y posible impacto ambiental;</w:t>
      </w:r>
    </w:p>
    <w:p>
      <w:pPr>
        <w:jc w:val="both"/>
      </w:pPr>
      <w:rPr>
        <w:sz w:val="24"/>
        <w:color w:val="black"/>
      </w:rPr>
    </w:p>
    <w:p>
      <w:pPr>
        <w:jc w:val="both"/>
      </w:pPr>
      <w:r>
        <w:rPr>
          <w:rFonts w:hAnsi="Arial"/>
          <w:rFonts w:ascii="Arial"/>
          <w:sz w:val="24"/>
          <w:color w:val="black"/>
        </w:rPr>
        <w:t xml:space="preserve">g) Cronograma de actividades en el paνs y fuera de ιl;</w:t>
      </w:r>
    </w:p>
    <w:p>
      <w:pPr>
        <w:jc w:val="both"/>
      </w:pPr>
      <w:rPr>
        <w:sz w:val="24"/>
        <w:color w:val="black"/>
      </w:rPr>
    </w:p>
    <w:p>
      <w:pPr>
        <w:jc w:val="both"/>
      </w:pPr>
      <w:r>
        <w:rPr>
          <w:rFonts w:hAnsi="Arial"/>
          <w:rFonts w:ascii="Arial"/>
          <w:sz w:val="24"/>
          <w:color w:val="black"/>
        </w:rPr>
        <w:t xml:space="preserve">h) Αrea geogrαfica precisa en donde se va a realizar la investigaciσn, derrota debidamente seρalada en una carta de navegaciσn e itinerarios del viaje;</w:t>
      </w:r>
    </w:p>
    <w:p>
      <w:pPr>
        <w:jc w:val="both"/>
      </w:pPr>
      <w:rPr>
        <w:sz w:val="24"/>
        <w:color w:val="black"/>
      </w:rPr>
    </w:p>
    <w:p>
      <w:pPr>
        <w:jc w:val="both"/>
      </w:pPr>
      <w:r>
        <w:rPr>
          <w:rFonts w:hAnsi="Arial"/>
          <w:rFonts w:ascii="Arial"/>
          <w:sz w:val="24"/>
          <w:color w:val="black"/>
        </w:rPr>
        <w:t xml:space="preserve">i) Posiciσn geogrαfica de las estaciones de trabajo y perfiles que serαn cubiertos, debidamente seρalados en la carta de navegaciσn;</w:t>
      </w:r>
    </w:p>
    <w:p>
      <w:pPr>
        <w:jc w:val="both"/>
      </w:pPr>
      <w:rPr>
        <w:sz w:val="24"/>
        <w:color w:val="black"/>
      </w:rPr>
    </w:p>
    <w:p>
      <w:pPr>
        <w:jc w:val="both"/>
      </w:pPr>
      <w:r>
        <w:rPr>
          <w:rFonts w:hAnsi="Arial"/>
          <w:rFonts w:ascii="Arial"/>
          <w:sz w:val="24"/>
          <w:color w:val="black"/>
        </w:rPr>
        <w:t xml:space="preserve">j) Fechas previstas de arribo a puerto o a aguas colombianas, partida definitiva de la nave de investigaciσn y de emplazamiento o remociσn del equipo, segϊn corresponda;</w:t>
      </w:r>
    </w:p>
    <w:p>
      <w:pPr>
        <w:jc w:val="both"/>
      </w:pPr>
      <w:rPr>
        <w:sz w:val="24"/>
        <w:color w:val="black"/>
      </w:rPr>
    </w:p>
    <w:p>
      <w:pPr>
        <w:jc w:val="both"/>
      </w:pPr>
      <w:r>
        <w:rPr>
          <w:rFonts w:hAnsi="Arial"/>
          <w:rFonts w:ascii="Arial"/>
          <w:sz w:val="24"/>
          <w:color w:val="black"/>
        </w:rPr>
        <w:t xml:space="preserve">k) Cupos que ofrece el solicitante para que cientνficos colombianos participen en las etapas de planeaciσn, ejecuciσn y anαlisis de los resultados de la investigaciσn.</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18" w:name="2.4.5.5"/>
      <w:r>
        <w:rPr>
          <w:rFonts w:hAnsi="Arial"/>
          <w:rFonts w:ascii="Arial"/>
          <w:sz w:val="24"/>
          <w:color w:val="navy"/>
        </w:rPr>
        <w:t xml:space="preserve">ARTΝCULO 2.4.5.5. </w:t>
      </w:r>
      <w:r>
        <w:rPr>
          <w:rFonts w:hAnsi="Arial"/>
          <w:rFonts w:ascii="Arial"/>
          <w:sz w:val="24"/>
          <w:i/>
          <w:color w:val="navy"/>
        </w:rPr>
        <w:t xml:space="preserve">ESTUDIO PRELIMINAR DE LA SOLICITUD.</w:t>
      </w:r>
      <w:bookmarkEnd w:id="61618"/>
      <w:r>
        <w:rPr>
          <w:rFonts w:hAnsi="Arial"/>
          <w:rFonts w:ascii="Arial"/>
          <w:sz w:val="24"/>
          <w:b/>
          <w:i/>
          <w:color w:val="black"/>
        </w:rPr>
        <w:t xml:space="preserve"> </w:t>
      </w:r>
      <w:r>
        <w:rPr>
          <w:rFonts w:hAnsi="Arial"/>
          <w:rFonts w:ascii="Arial"/>
          <w:sz w:val="24"/>
          <w:color w:val="black"/>
        </w:rPr>
        <w:t xml:space="preserve">Presentada la solicitud dentro del tιrmino estipulado en el artνculo </w:t>
      </w:r>
      <w:r>
        <w:fldChar w:fldCharType="begin"/>
      </w:r>
      <w:r>
        <w:instrText>HYPERLINK "http://www.redjurista.com/document.aspx?ajcode=d1070015&amp;arts=2.4.5.3"</w:instrText>
      </w:r>
      <w:r>
        <w:fldChar w:fldCharType="separate"/>
      </w:r>
      <w:r>
        <w:rPr>
          <w:rFonts w:hAnsi="Arial"/>
          <w:rFonts w:ascii="Arial"/>
          <w:sz w:val="24"/>
          <w:u w:val="single"/>
          <w:color w:val="black"/>
        </w:rPr>
        <w:t>2.4.5.3</w:t>
      </w:r>
      <w:r>
        <w:fldChar w:fldCharType="end"/>
      </w:r>
      <w:r>
        <w:rPr>
          <w:rFonts w:hAnsi="Arial"/>
          <w:rFonts w:ascii="Arial"/>
          <w:sz w:val="24"/>
          <w:u w:val="none"/>
          <w:color w:val="black"/>
        </w:rPr>
        <w:t xml:space="preserve">., el Ministerio de Relaciones Exteriores tendrα un plazo de diez (10) dνas hαbiles para estudiar el proyecto de investigaciσn en los aspectos de su competencia y fijar su posiciσn, remitiendo la documentaciσn junto con sus recomendaciones, en forma simultαnea, a las entidades que deben conocer de la misma, asν:</w:t>
      </w:r>
    </w:p>
    <w:p>
      <w:pPr>
        <w:jc w:val="both"/>
      </w:pPr>
      <w:rPr>
        <w:sz w:val="24"/>
        <w:color w:val="black"/>
      </w:rPr>
    </w:p>
    <w:p>
      <w:pPr>
        <w:jc w:val="both"/>
      </w:pPr>
      <w:r>
        <w:rPr>
          <w:rFonts w:hAnsi="Arial"/>
          <w:rFonts w:ascii="Arial"/>
          <w:sz w:val="24"/>
          <w:color w:val="black"/>
        </w:rPr>
        <w:t xml:space="preserve">a) Ministerio de Defensa Nacional;</w:t>
      </w:r>
    </w:p>
    <w:p>
      <w:pPr>
        <w:jc w:val="both"/>
      </w:pPr>
      <w:rPr>
        <w:sz w:val="24"/>
        <w:color w:val="black"/>
      </w:rPr>
    </w:p>
    <w:p>
      <w:pPr>
        <w:jc w:val="both"/>
      </w:pPr>
      <w:r>
        <w:rPr>
          <w:rFonts w:hAnsi="Arial"/>
          <w:rFonts w:ascii="Arial"/>
          <w:sz w:val="24"/>
          <w:color w:val="black"/>
        </w:rPr>
        <w:t xml:space="preserve">b) Ministerio de Minas y Energνa y sus entidades adscritas o vinculadas que tengan injerencia directa en el tipo de investigaciσn que se proyecta realizar, Instituto Nacional de Investigaciones Geolσgico-Mineras-Ingeominas, Agencia Nacional de Hidrocarburos.</w:t>
      </w:r>
    </w:p>
    <w:p>
      <w:pPr>
        <w:jc w:val="both"/>
      </w:pPr>
      <w:rPr>
        <w:sz w:val="24"/>
        <w:color w:val="black"/>
      </w:rPr>
    </w:p>
    <w:p>
      <w:pPr>
        <w:jc w:val="both"/>
      </w:pPr>
      <w:r>
        <w:rPr>
          <w:rFonts w:hAnsi="Arial"/>
          <w:rFonts w:ascii="Arial"/>
          <w:sz w:val="24"/>
          <w:color w:val="black"/>
        </w:rPr>
        <w:t xml:space="preserve">c) Instituto de Hidrologνa, Meteorologνa y Estudios Ambientales de Colombia IDEAM.</w:t>
      </w:r>
    </w:p>
    <w:p>
      <w:pPr>
        <w:jc w:val="both"/>
      </w:pPr>
      <w:rPr>
        <w:sz w:val="24"/>
        <w:color w:val="black"/>
      </w:rPr>
    </w:p>
    <w:p>
      <w:pPr>
        <w:jc w:val="both"/>
      </w:pPr>
      <w:r>
        <w:rPr>
          <w:rFonts w:hAnsi="Arial"/>
          <w:rFonts w:ascii="Arial"/>
          <w:sz w:val="24"/>
          <w:color w:val="black"/>
        </w:rPr>
        <w:t xml:space="preserve">d) Ministerio de Ambiente y Desarrollo Sostenible;</w:t>
      </w:r>
    </w:p>
    <w:p>
      <w:pPr>
        <w:jc w:val="both"/>
      </w:pPr>
      <w:rPr>
        <w:sz w:val="24"/>
        <w:color w:val="black"/>
      </w:rPr>
    </w:p>
    <w:p>
      <w:pPr>
        <w:jc w:val="both"/>
      </w:pPr>
      <w:r>
        <w:rPr>
          <w:rFonts w:hAnsi="Arial"/>
          <w:rFonts w:ascii="Arial"/>
          <w:sz w:val="24"/>
          <w:color w:val="black"/>
        </w:rPr>
        <w:t xml:space="preserve">e) Direcciσn General Marνtima - DIMAR.</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remisiσn de la solicitud al Ministerio y entidades que se seρalan en el literal b) del presente artνculo se harα en los casos en que el proyecto de investigaciσn cientνfica o tecnolσgica verse sobre recursos marinos no vivos (Geologνa Marina o Quνmica Marina).</w:t>
      </w:r>
    </w:p>
    <w:p>
      <w:pPr>
        <w:jc w:val="both"/>
      </w:pPr>
      <w:rPr>
        <w:sz w:val="24"/>
        <w:color w:val="black"/>
      </w:rPr>
    </w:p>
    <w:p>
      <w:pPr>
        <w:jc w:val="both"/>
      </w:pPr>
      <w:r>
        <w:rPr>
          <w:rFonts w:hAnsi="Arial"/>
          <w:rFonts w:ascii="Arial"/>
          <w:sz w:val="24"/>
          <w:color w:val="black"/>
        </w:rPr>
        <w:t xml:space="preserve">Del mismo modo, el envνo de la documentaciσn a la entidad que se seρala en el literal c) proceder solo en los casos de investigaciσn sobre condiciones meteorolσgicas marinas.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Si la posiciσn del Ministerio de Relaciones Exteriores es la de no considerar favorablemente la realizaciσn de la investigaciσn cientνfica o tecnolσgica marina, comunicar esta decisiσn al interesado, en la misma forma en que la solicitud llegσ a su conocimiento.</w:t>
      </w:r>
    </w:p>
    <w:p>
      <w:pPr>
        <w:jc w:val="both"/>
      </w:pPr>
      <w:rPr>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19" w:name="2.4.5.6"/>
      <w:r>
        <w:rPr>
          <w:rFonts w:hAnsi="Arial"/>
          <w:rFonts w:ascii="Arial"/>
          <w:sz w:val="24"/>
          <w:color w:val="navy"/>
        </w:rPr>
        <w:t xml:space="preserve">ARTΝCULO 2.4.5.6. </w:t>
      </w:r>
      <w:r>
        <w:rPr>
          <w:rFonts w:hAnsi="Arial"/>
          <w:rFonts w:ascii="Arial"/>
          <w:sz w:val="24"/>
          <w:i/>
          <w:color w:val="navy"/>
        </w:rPr>
        <w:t xml:space="preserve">ESTUDIO DE SEGURIDAD NACIONAL.</w:t>
      </w:r>
      <w:bookmarkEnd w:id="61619"/>
      <w:r>
        <w:rPr>
          <w:rFonts w:hAnsi="Arial"/>
          <w:rFonts w:ascii="Arial"/>
          <w:sz w:val="24"/>
          <w:b/>
          <w:i/>
          <w:color w:val="black"/>
        </w:rPr>
        <w:t xml:space="preserve"> </w:t>
      </w:r>
      <w:r>
        <w:rPr>
          <w:rFonts w:hAnsi="Arial"/>
          <w:rFonts w:ascii="Arial"/>
          <w:sz w:val="24"/>
          <w:color w:val="black"/>
        </w:rPr>
        <w:t xml:space="preserve">Recibida la solicitud por parte del Ministerio de Defensa Nacional, este expedir dentro de los quince (15) dνas hαbiles siguientes un concepto en el que se determine la procedencia o improcedencia, por razones de seguridad nacional, de la realizaciσn de la investigaciσn cientνfica o tecnolσgica marina.</w:t>
      </w:r>
    </w:p>
    <w:p>
      <w:pPr>
        <w:jc w:val="both"/>
      </w:pPr>
      <w:rPr>
        <w:sz w:val="24"/>
        <w:color w:val="black"/>
      </w:rPr>
    </w:p>
    <w:p>
      <w:pPr>
        <w:jc w:val="both"/>
      </w:pPr>
      <w:r>
        <w:rPr>
          <w:rFonts w:hAnsi="Arial"/>
          <w:rFonts w:ascii="Arial"/>
          <w:sz w:val="24"/>
          <w:color w:val="black"/>
        </w:rPr>
        <w:t xml:space="preserve">Si el concepto fuese negativo, solicitar al Ministerio de Relaciones Exteriores se comunique tal decisiσn al interesado, en la misma forma en que la peticiσn llegσ a su conocimiento. Este Ministerio remitir copia de su comunicaciσn a las entidades que estαn conociendo de la solicitud para que se suspenda el trαmite.</w:t>
      </w:r>
    </w:p>
    <w:p>
      <w:pPr>
        <w:jc w:val="both"/>
      </w:pPr>
      <w:rPr>
        <w:sz w:val="24"/>
        <w:color w:val="black"/>
      </w:rPr>
    </w:p>
    <w:p>
      <w:pPr>
        <w:jc w:val="both"/>
      </w:pPr>
      <w:r>
        <w:rPr>
          <w:rFonts w:hAnsi="Arial"/>
          <w:rFonts w:ascii="Arial"/>
          <w:sz w:val="24"/>
          <w:color w:val="black"/>
        </w:rPr>
        <w:t xml:space="preserve">Si el Ministerio de Defensa Nacional considera procedente la realizaciσn de la investigaciσn cientνfica o tecnolσgica proyectada, asν lo comunicar a DIMAR para la continuaciσn del trαmite establecido en la presente parte.</w:t>
      </w:r>
    </w:p>
    <w:p>
      <w:pPr>
        <w:jc w:val="both"/>
      </w:pPr>
      <w:rPr>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20" w:name="2.4.5.7"/>
      <w:r>
        <w:rPr>
          <w:rFonts w:hAnsi="Arial"/>
          <w:rFonts w:ascii="Arial"/>
          <w:sz w:val="24"/>
          <w:color w:val="navy"/>
        </w:rPr>
        <w:t xml:space="preserve">ARTΝCULO 2.4.5.7. </w:t>
      </w:r>
      <w:r>
        <w:rPr>
          <w:rFonts w:hAnsi="Arial"/>
          <w:rFonts w:ascii="Arial"/>
          <w:sz w:val="24"/>
          <w:i/>
          <w:color w:val="navy"/>
        </w:rPr>
        <w:t xml:space="preserve">ESTUDIO TΙCNICO DE LA SOLICITUD.</w:t>
      </w:r>
      <w:bookmarkEnd w:id="61620"/>
      <w:r>
        <w:rPr>
          <w:rFonts w:hAnsi="Arial"/>
          <w:rFonts w:ascii="Arial"/>
          <w:sz w:val="24"/>
          <w:b/>
          <w:i/>
          <w:color w:val="black"/>
        </w:rPr>
        <w:t xml:space="preserve"> </w:t>
      </w:r>
      <w:r>
        <w:rPr>
          <w:rFonts w:hAnsi="Arial"/>
          <w:rFonts w:ascii="Arial"/>
          <w:sz w:val="24"/>
          <w:color w:val="black"/>
        </w:rPr>
        <w:t xml:space="preserve">A partir de la fecha de recibo de la documentaciσn remitida por el Ministerio de Relaciones Exteriores, las entidades seρaladas en los literales b), c) y d) del artνculo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del presente Tνtulo tendrαn un plazo de treinta (30) dνas hαbiles para el estudio de la misma y la expediciσn de los conceptos, con destino a DIMAR, sobre la viabilidad de la investigaciσn.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entidades adscritas o vinculadas al Ministerio de Minas y Energνa deberαn enviar sus conceptos a este Ministerio con el fin de que este proceda a emitir la decisiσn, con destino a DIMAR, dentro del tιrmino seρalado en este artνculo.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21" w:name="2.4.5.8"/>
      <w:r>
        <w:rPr>
          <w:rFonts w:hAnsi="Arial"/>
          <w:rFonts w:ascii="Arial"/>
          <w:sz w:val="24"/>
          <w:color w:val="navy"/>
        </w:rPr>
        <w:t xml:space="preserve">ARTΝCULO 2.4.5.8. </w:t>
      </w:r>
      <w:r>
        <w:rPr>
          <w:rFonts w:hAnsi="Arial"/>
          <w:rFonts w:ascii="Arial"/>
          <w:sz w:val="24"/>
          <w:i/>
          <w:color w:val="navy"/>
        </w:rPr>
        <w:t xml:space="preserve">UTILIZACIΣN DE NAVES Y ARTEFACTOS NAVALES DE BANDERA COLOMBIANA.</w:t>
      </w:r>
      <w:bookmarkEnd w:id="61621"/>
      <w:r>
        <w:rPr>
          <w:rFonts w:hAnsi="Arial"/>
          <w:rFonts w:ascii="Arial"/>
          <w:sz w:val="24"/>
          <w:b/>
          <w:i/>
          <w:color w:val="black"/>
        </w:rPr>
        <w:t xml:space="preserve"> </w:t>
      </w:r>
      <w:r>
        <w:rPr>
          <w:rFonts w:hAnsi="Arial"/>
          <w:rFonts w:ascii="Arial"/>
          <w:sz w:val="24"/>
          <w:color w:val="black"/>
        </w:rPr>
        <w:t xml:space="preserve">Durante el tιrmino que se seρala en el artνculo anterior la Direcciσn General Marνtima estudiar el proyecto de investigaciσn en la esfera de su competencia. Si de este estudio resultare conveniente la utilizaciσn de las naves o artefactos navales de investigaciσn de bandera colombiana, asν lo harα saber al solicitante, de conformidad con lo establecido en los artνculos </w:t>
      </w:r>
      <w:r>
        <w:fldChar w:fldCharType="begin"/>
      </w:r>
      <w:r>
        <w:instrText>HYPERLINK "http://www.redjurista.com/document.aspx?ajcode=d1070015&amp;arts=2.4.5.12"</w:instrText>
      </w:r>
      <w:r>
        <w:fldChar w:fldCharType="separate"/>
      </w:r>
      <w:r>
        <w:rPr>
          <w:rFonts w:hAnsi="Arial"/>
          <w:rFonts w:ascii="Arial"/>
          <w:sz w:val="24"/>
          <w:u w:val="single"/>
          <w:color w:val="black"/>
        </w:rPr>
        <w:t>2.4.5.12</w:t>
      </w:r>
      <w:r>
        <w:fldChar w:fldCharType="end"/>
      </w:r>
      <w:r>
        <w:rPr>
          <w:rFonts w:hAnsi="Arial"/>
          <w:rFonts w:ascii="Arial"/>
          <w:sz w:val="24"/>
          <w:u w:val="none"/>
          <w:color w:val="black"/>
        </w:rPr>
        <w:t xml:space="preserve">., </w:t>
      </w:r>
      <w:r>
        <w:fldChar w:fldCharType="begin"/>
      </w:r>
      <w:r>
        <w:instrText>HYPERLINK "http://www.redjurista.com/document.aspx?ajcode=d1070015&amp;arts=2.4.5.13"</w:instrText>
      </w:r>
      <w:r>
        <w:fldChar w:fldCharType="separate"/>
      </w:r>
      <w:r>
        <w:rPr>
          <w:rFonts w:hAnsi="Arial"/>
          <w:rFonts w:ascii="Arial"/>
          <w:sz w:val="24"/>
          <w:u w:val="single"/>
          <w:color w:val="black"/>
        </w:rPr>
        <w:t>2.4.5.13</w:t>
      </w:r>
      <w:r>
        <w:fldChar w:fldCharType="end"/>
      </w:r>
      <w:r>
        <w:rPr>
          <w:rFonts w:hAnsi="Arial"/>
          <w:rFonts w:ascii="Arial"/>
          <w:sz w:val="24"/>
          <w:u w:val="none"/>
          <w:color w:val="black"/>
        </w:rPr>
        <w:t xml:space="preserve">., y </w:t>
      </w:r>
      <w:r>
        <w:fldChar w:fldCharType="begin"/>
      </w:r>
      <w:r>
        <w:instrText>HYPERLINK "http://www.redjurista.com/document.aspx?ajcode=d1070015&amp;arts=2.4.5.14"</w:instrText>
      </w:r>
      <w:r>
        <w:fldChar w:fldCharType="separate"/>
      </w:r>
      <w:r>
        <w:rPr>
          <w:rFonts w:hAnsi="Arial"/>
          <w:rFonts w:ascii="Arial"/>
          <w:sz w:val="24"/>
          <w:u w:val="single"/>
          <w:color w:val="black"/>
        </w:rPr>
        <w:t>2.4.5.14</w:t>
      </w:r>
      <w:r>
        <w:fldChar w:fldCharType="end"/>
      </w:r>
      <w:r>
        <w:rPr>
          <w:rFonts w:hAnsi="Arial"/>
          <w:rFonts w:ascii="Arial"/>
          <w:sz w:val="24"/>
          <w:u w:val="none"/>
          <w:color w:val="black"/>
        </w:rPr>
        <w:t xml:space="preserve">., del presente Tνtulo.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22" w:name="2.4.5.9"/>
      <w:r>
        <w:rPr>
          <w:rFonts w:hAnsi="Arial"/>
          <w:rFonts w:ascii="Arial"/>
          <w:sz w:val="24"/>
          <w:color w:val="navy"/>
        </w:rPr>
        <w:t xml:space="preserve">ARTΝCULO 2.4.5.9. </w:t>
      </w:r>
      <w:r>
        <w:rPr>
          <w:rFonts w:hAnsi="Arial"/>
          <w:rFonts w:ascii="Arial"/>
          <w:sz w:val="24"/>
          <w:i/>
          <w:color w:val="navy"/>
        </w:rPr>
        <w:t xml:space="preserve">AUTORIZACIΣN DE LA INVESTIGACIΣN Y OPERACIΣN DE LAS NAVES.</w:t>
      </w:r>
      <w:bookmarkEnd w:id="61622"/>
      <w:r>
        <w:rPr>
          <w:rFonts w:hAnsi="Arial"/>
          <w:rFonts w:ascii="Arial"/>
          <w:sz w:val="24"/>
          <w:b/>
          <w:i/>
          <w:color w:val="black"/>
        </w:rPr>
        <w:t xml:space="preserve"> </w:t>
      </w:r>
      <w:r>
        <w:rPr>
          <w:rFonts w:hAnsi="Arial"/>
          <w:rFonts w:ascii="Arial"/>
          <w:sz w:val="24"/>
          <w:color w:val="black"/>
        </w:rPr>
        <w:t xml:space="preserve">Dentro de los diez (10) dνas hαbiles siguientes al recibo de los conceptos de que trata el artνculo </w:t>
      </w:r>
      <w:r>
        <w:fldChar w:fldCharType="begin"/>
      </w:r>
      <w:r>
        <w:instrText>HYPERLINK "http://www.redjurista.com/document.aspx?ajcode=d1070015&amp;arts=2.4.5.7"</w:instrText>
      </w:r>
      <w:r>
        <w:fldChar w:fldCharType="separate"/>
      </w:r>
      <w:r>
        <w:rPr>
          <w:rFonts w:hAnsi="Arial"/>
          <w:rFonts w:ascii="Arial"/>
          <w:sz w:val="24"/>
          <w:u w:val="single"/>
          <w:color w:val="black"/>
        </w:rPr>
        <w:t>2.4.5.7</w:t>
      </w:r>
      <w:r>
        <w:fldChar w:fldCharType="end"/>
      </w:r>
      <w:r>
        <w:rPr>
          <w:rFonts w:hAnsi="Arial"/>
          <w:rFonts w:ascii="Arial"/>
          <w:sz w:val="24"/>
          <w:u w:val="none"/>
          <w:color w:val="black"/>
        </w:rPr>
        <w:t xml:space="preserve">., del presente Tνtulo y si estos fueren favorables, DIMAR expedir la resoluciσn autorizando la investigaciσn cientνfica o tecnolσgica solicitada y la operaciσn de las naves o artefactos navales, previa consulta al Ministerio de Relaciones Exteriores sobre su pronunciamiento polνtico definitivo.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623" w:name="2.4.5.10"/>
      <w:r>
        <w:rPr>
          <w:rFonts w:hAnsi="Arial"/>
          <w:rFonts w:ascii="Arial"/>
          <w:sz w:val="24"/>
          <w:color w:val="navy"/>
        </w:rPr>
        <w:t xml:space="preserve">ARTΝCULO 2.4.5.10. </w:t>
      </w:r>
      <w:r>
        <w:rPr>
          <w:rFonts w:hAnsi="Arial"/>
          <w:rFonts w:ascii="Arial"/>
          <w:sz w:val="24"/>
          <w:i/>
          <w:color w:val="navy"/>
        </w:rPr>
        <w:t xml:space="preserve">PROHIBICIΣN DE LA UTILIZACIΣN.</w:t>
      </w:r>
      <w:bookmarkEnd w:id="61623"/>
      <w:r>
        <w:rPr>
          <w:rFonts w:hAnsi="Arial"/>
          <w:rFonts w:ascii="Arial"/>
          <w:sz w:val="24"/>
          <w:b/>
          <w:i/>
          <w:color w:val="black"/>
        </w:rPr>
        <w:t xml:space="preserve"> </w:t>
      </w:r>
      <w:r>
        <w:rPr>
          <w:rFonts w:hAnsi="Arial"/>
          <w:rFonts w:ascii="Arial"/>
          <w:sz w:val="24"/>
          <w:color w:val="black"/>
        </w:rPr>
        <w:t xml:space="preserve">DIMAR en ningϊn caso podrα autorizar la investigaciσn y operaciσn de las naves y artefactos navales si alguno de los conceptos expedidos por las entidades de que tratan los artνculos anteriores es negativo. De igual forma, DIMAR negarα la realizaciσn de la investigaciσn proyectada cuando el solicitante tenga alguna obligaciσn, de las relacionadas en el artνculo </w:t>
      </w:r>
      <w:r>
        <w:fldChar w:fldCharType="begin"/>
      </w:r>
      <w:r>
        <w:instrText>HYPERLINK "http://www.redjurista.com/document.aspx?ajcode=d1070015&amp;arts=2.4.5.16"</w:instrText>
      </w:r>
      <w:r>
        <w:fldChar w:fldCharType="separate"/>
      </w:r>
      <w:r>
        <w:rPr>
          <w:rFonts w:hAnsi="Arial"/>
          <w:rFonts w:ascii="Arial"/>
          <w:sz w:val="24"/>
          <w:u w:val="single"/>
          <w:color w:val="black"/>
        </w:rPr>
        <w:t>2.4.5.16</w:t>
      </w:r>
      <w:r>
        <w:fldChar w:fldCharType="end"/>
      </w:r>
      <w:r>
        <w:rPr>
          <w:rFonts w:hAnsi="Arial"/>
          <w:rFonts w:ascii="Arial"/>
          <w:sz w:val="24"/>
          <w:u w:val="none"/>
          <w:color w:val="black"/>
        </w:rPr>
        <w:t xml:space="preserve">., del presente Tνtulo, pendiente con entidades pϊblicas colombianas y resultante de investigaciones anteriores.</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4" w:name="2.4.5.11"/>
      <w:r>
        <w:rPr>
          <w:rFonts w:hAnsi="Arial"/>
          <w:rFonts w:ascii="Arial"/>
          <w:sz w:val="24"/>
          <w:color w:val="navy"/>
        </w:rPr>
        <w:t xml:space="preserve">ARTΝCULO 2.4.5.11. </w:t>
      </w:r>
      <w:r>
        <w:rPr>
          <w:rFonts w:hAnsi="Arial"/>
          <w:rFonts w:ascii="Arial"/>
          <w:sz w:val="24"/>
          <w:i/>
          <w:color w:val="navy"/>
        </w:rPr>
        <w:t xml:space="preserve">NOTIFICACIΣN Y COMUNICACIΣN DE LA RESOLUCIΣN QUE AUTORIZA LA INVESTIGACIΣN.</w:t>
      </w:r>
      <w:bookmarkEnd w:id="61624"/>
      <w:r>
        <w:rPr>
          <w:rFonts w:hAnsi="Arial"/>
          <w:rFonts w:ascii="Arial"/>
          <w:sz w:val="24"/>
          <w:b/>
          <w:i/>
          <w:color w:val="black"/>
        </w:rPr>
        <w:t xml:space="preserve"> </w:t>
      </w:r>
      <w:r>
        <w:rPr>
          <w:rFonts w:hAnsi="Arial"/>
          <w:rFonts w:ascii="Arial"/>
          <w:sz w:val="24"/>
          <w:color w:val="black"/>
        </w:rPr>
        <w:t xml:space="preserve">Copia de la resoluciσn expedida y sus anexos serα remitida por DIMAR al Ministerio de Relaciones Exteriores para su notificaciσn al interesado, al igual que a las entidades que intervinieron en la tramitaciσn de la solicitud.</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5" w:name="2.4.5.12"/>
      <w:r>
        <w:rPr>
          <w:rFonts w:hAnsi="Arial"/>
          <w:rFonts w:ascii="Arial"/>
          <w:sz w:val="24"/>
          <w:color w:val="navy"/>
        </w:rPr>
        <w:t xml:space="preserve">ARTΝCULO 2.4.5.12. </w:t>
      </w:r>
      <w:r>
        <w:rPr>
          <w:rFonts w:hAnsi="Arial"/>
          <w:rFonts w:ascii="Arial"/>
          <w:sz w:val="24"/>
          <w:i/>
          <w:color w:val="navy"/>
        </w:rPr>
        <w:t xml:space="preserve">INFORMACIΣN ADICIONAL.</w:t>
      </w:r>
      <w:bookmarkEnd w:id="61625"/>
      <w:r>
        <w:rPr>
          <w:rFonts w:hAnsi="Arial"/>
          <w:rFonts w:ascii="Arial"/>
          <w:sz w:val="24"/>
          <w:b/>
          <w:i/>
          <w:color w:val="black"/>
        </w:rPr>
        <w:t xml:space="preserve"> </w:t>
      </w:r>
      <w:r>
        <w:rPr>
          <w:rFonts w:hAnsi="Arial"/>
          <w:rFonts w:ascii="Arial"/>
          <w:sz w:val="24"/>
          <w:color w:val="black"/>
        </w:rPr>
        <w:t xml:space="preserve">Cuando se requiera modificar algunos tιrminos del proyecto de investigaciσn o informaciσn adicional sobre asuntos tιcnicos, procedimientos de investigaciσn, manejo de informaciσn o tratamiento de los resultados, las entidades a que se refiere el artνculo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del presente Tνtulo deberαn dirigirse dentro de los treinta (30) dνas hαbiles siguientes al recibo de la solicitud al Ministerio de Relaciones Exteriores para que este a su vez efectϊe el respectivo requerimiento al interesado.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6" w:name="2.4.5.13"/>
      <w:r>
        <w:rPr>
          <w:rFonts w:hAnsi="Arial"/>
          <w:rFonts w:ascii="Arial"/>
          <w:sz w:val="24"/>
          <w:color w:val="navy"/>
        </w:rPr>
        <w:t xml:space="preserve">ARTΝCULO 2.4.5.13. </w:t>
      </w:r>
      <w:r>
        <w:rPr>
          <w:rFonts w:hAnsi="Arial"/>
          <w:rFonts w:ascii="Arial"/>
          <w:sz w:val="24"/>
          <w:i/>
          <w:color w:val="navy"/>
        </w:rPr>
        <w:t xml:space="preserve">PLAZO PARA PRESENTAR MODIFICACIONES O INFORMES ADICIONALES.</w:t>
      </w:r>
      <w:bookmarkEnd w:id="61626"/>
      <w:r>
        <w:rPr>
          <w:rFonts w:hAnsi="Arial"/>
          <w:rFonts w:ascii="Arial"/>
          <w:sz w:val="24"/>
          <w:b/>
          <w:i/>
          <w:color w:val="black"/>
        </w:rPr>
        <w:t xml:space="preserve"> </w:t>
      </w:r>
      <w:r>
        <w:rPr>
          <w:rFonts w:hAnsi="Arial"/>
          <w:rFonts w:ascii="Arial"/>
          <w:sz w:val="24"/>
          <w:color w:val="black"/>
        </w:rPr>
        <w:t xml:space="preserve">El solicitante tendrα un plazo de cuarenta y cinco (45) dνas hαbiles para presentar las modificaciones al proyecto de investigaciσn o para allegar la informaciσn de que trata el artνculo precedente, contados desde la fecha de notificaciσn del requerimiento respectivo.</w:t>
      </w:r>
    </w:p>
    <w:p>
      <w:pPr>
        <w:jc w:val="both"/>
      </w:pPr>
      <w:rPr>
        <w:sz w:val="24"/>
        <w:color w:val="black"/>
      </w:rPr>
    </w:p>
    <w:p>
      <w:pPr>
        <w:jc w:val="both"/>
      </w:pPr>
      <w:r>
        <w:rPr>
          <w:rFonts w:hAnsi="Arial"/>
          <w:rFonts w:ascii="Arial"/>
          <w:sz w:val="24"/>
          <w:color w:val="black"/>
        </w:rPr>
        <w:t xml:space="preserve">Vencido este tιrmino sin que se cumpla lo anterior se entenderα que el peticionario desiste de su solicitud. En este caso el Ministerio de Relaciones Exteriores comunicar tal hecho a DIMAR, para que proceda al archivo de la solicitud y, a la entidad interesada para su conocimiento.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7" w:name="2.4.5.14"/>
      <w:r>
        <w:rPr>
          <w:rFonts w:hAnsi="Arial"/>
          <w:rFonts w:ascii="Arial"/>
          <w:sz w:val="24"/>
          <w:color w:val="navy"/>
        </w:rPr>
        <w:t xml:space="preserve">ARTΝCULO 2.4.5.14. </w:t>
      </w:r>
      <w:r>
        <w:rPr>
          <w:rFonts w:hAnsi="Arial"/>
          <w:rFonts w:ascii="Arial"/>
          <w:sz w:val="24"/>
          <w:i/>
          <w:color w:val="navy"/>
        </w:rPr>
        <w:t xml:space="preserve">PLAZO PARA RESOLVER.</w:t>
      </w:r>
      <w:bookmarkEnd w:id="61627"/>
      <w:r>
        <w:rPr>
          <w:rFonts w:hAnsi="Arial"/>
          <w:rFonts w:ascii="Arial"/>
          <w:sz w:val="24"/>
          <w:b/>
          <w:i/>
          <w:color w:val="black"/>
        </w:rPr>
        <w:t xml:space="preserve"> </w:t>
      </w:r>
      <w:r>
        <w:rPr>
          <w:rFonts w:hAnsi="Arial"/>
          <w:rFonts w:ascii="Arial"/>
          <w:sz w:val="24"/>
          <w:color w:val="black"/>
        </w:rPr>
        <w:t xml:space="preserve">Una vez presentada la solicitud modificada o la informaciσn adicional, las entidades tendrαn un plazo mαximo de quince (15) dνas hαbiles para expedir y enviar a DIMAR su pronunciamiento.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8" w:name="2.4.5.15"/>
      <w:r>
        <w:rPr>
          <w:rFonts w:hAnsi="Arial"/>
          <w:rFonts w:ascii="Arial"/>
          <w:sz w:val="24"/>
          <w:color w:val="navy"/>
        </w:rPr>
        <w:t xml:space="preserve">ARTΝCULO 2.4.5.15. </w:t>
      </w:r>
      <w:r>
        <w:rPr>
          <w:rFonts w:hAnsi="Arial"/>
          <w:rFonts w:ascii="Arial"/>
          <w:sz w:val="24"/>
          <w:i/>
          <w:color w:val="navy"/>
        </w:rPr>
        <w:t xml:space="preserve">SITUACIONES IMPREVISTAS DE POLΝTICA EXTERIOR O DE SEGURIDAD NACIONAL.</w:t>
      </w:r>
      <w:bookmarkEnd w:id="61628"/>
      <w:r>
        <w:rPr>
          <w:rFonts w:hAnsi="Arial"/>
          <w:rFonts w:ascii="Arial"/>
          <w:sz w:val="24"/>
          <w:b/>
          <w:i/>
          <w:color w:val="black"/>
        </w:rPr>
        <w:t xml:space="preserve"> </w:t>
      </w:r>
      <w:r>
        <w:rPr>
          <w:rFonts w:hAnsi="Arial"/>
          <w:rFonts w:ascii="Arial"/>
          <w:sz w:val="24"/>
          <w:color w:val="black"/>
        </w:rPr>
        <w:t xml:space="preserve">El Ministerio de Relaciones Exteriores por razones de polνtica exterior y el Ministerio de Defensa Nacional por razones de seguridad nacional podrαn, en cualquier momento, negar la solicitud de conformidad con lo dispuesto en los artνculos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y </w:t>
      </w:r>
      <w:r>
        <w:fldChar w:fldCharType="begin"/>
      </w:r>
      <w:r>
        <w:instrText>HYPERLINK "http://www.redjurista.com/document.aspx?ajcode=d1070015&amp;arts=2.4.5.6"</w:instrText>
      </w:r>
      <w:r>
        <w:fldChar w:fldCharType="separate"/>
      </w:r>
      <w:r>
        <w:rPr>
          <w:rFonts w:hAnsi="Arial"/>
          <w:rFonts w:ascii="Arial"/>
          <w:sz w:val="24"/>
          <w:u w:val="single"/>
          <w:color w:val="black"/>
        </w:rPr>
        <w:t>2.4.5.6</w:t>
      </w:r>
      <w:r>
        <w:fldChar w:fldCharType="end"/>
      </w:r>
      <w:r>
        <w:rPr>
          <w:rFonts w:hAnsi="Arial"/>
          <w:rFonts w:ascii="Arial"/>
          <w:sz w:val="24"/>
          <w:u w:val="none"/>
          <w:color w:val="black"/>
        </w:rPr>
        <w:t xml:space="preserve">., del presente Tνtulo.</w:t>
      </w:r>
    </w:p>
    <w:p>
      <w:pPr>
        <w:jc w:val="both"/>
      </w:pPr>
      <w:rPr>
        <w:sz w:val="24"/>
        <w:color w:val="black"/>
      </w:rPr>
    </w:p>
    <w:p>
      <w:pPr>
        <w:jc w:val="both"/>
      </w:pPr>
      <w:r>
        <w:rPr>
          <w:rFonts w:hAnsi="Arial"/>
          <w:rFonts w:ascii="Arial"/>
          <w:sz w:val="24"/>
          <w:color w:val="black"/>
        </w:rPr>
        <w:t xml:space="preserve">DIMAR, por las mismas razones, modificarα, suspenderα o revocarα la resoluciσn de autorizaciσn, a peticiσn del Ministerio de Relaciones Exteriores o del Ministerio de Defensa Nacional e informarα de ello a las entidades correspondientes.</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29" w:name="2.4.5.16"/>
      <w:r>
        <w:rPr>
          <w:rFonts w:hAnsi="Arial"/>
          <w:rFonts w:ascii="Arial"/>
          <w:sz w:val="24"/>
          <w:color w:val="navy"/>
        </w:rPr>
        <w:t xml:space="preserve">ARTΝCULO 2.4.5.16. </w:t>
      </w:r>
      <w:r>
        <w:rPr>
          <w:rFonts w:hAnsi="Arial"/>
          <w:rFonts w:ascii="Arial"/>
          <w:sz w:val="24"/>
          <w:i/>
          <w:color w:val="navy"/>
        </w:rPr>
        <w:t xml:space="preserve">OBLIGACIONES GENERALES.</w:t>
      </w:r>
      <w:bookmarkEnd w:id="61629"/>
      <w:r>
        <w:rPr>
          <w:rFonts w:hAnsi="Arial"/>
          <w:rFonts w:ascii="Arial"/>
          <w:sz w:val="24"/>
          <w:b/>
          <w:i/>
          <w:color w:val="black"/>
        </w:rPr>
        <w:t xml:space="preserve"> </w:t>
      </w:r>
      <w:r>
        <w:rPr>
          <w:rFonts w:hAnsi="Arial"/>
          <w:rFonts w:ascii="Arial"/>
          <w:sz w:val="24"/>
          <w:color w:val="black"/>
        </w:rPr>
        <w:t xml:space="preserve">La persona natural o jurνdica nacional o extranjera, pϊblica o privada, que tenga autorizaciσn para realizar actividades de investigaciσn cientνfica o tecnolσgica en los espacios marνtimos jurisdiccionales estarα sujeta a las obligaciones que se especifican a continuaciσn, sin perjuicio de aquellas que en cada caso le impongan las entidades a que se refiere el artνculo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del presente Tνtulo:</w:t>
      </w:r>
    </w:p>
    <w:p>
      <w:pPr>
        <w:jc w:val="both"/>
      </w:pPr>
      <w:rPr>
        <w:sz w:val="24"/>
        <w:color w:val="black"/>
      </w:rPr>
    </w:p>
    <w:p>
      <w:pPr>
        <w:jc w:val="both"/>
      </w:pPr>
      <w:r>
        <w:rPr>
          <w:rFonts w:hAnsi="Arial"/>
          <w:rFonts w:ascii="Arial"/>
          <w:sz w:val="24"/>
          <w:color w:val="black"/>
        </w:rPr>
        <w:t xml:space="preserve">a) Recibir al personal cientνfico nombrado si asν lo estableciσ la resoluciσn que autorizσ la investigaciσn, en el paνs sede del proyecto con el propσsito de que se familiarice con los objetivos, equipos, tιcnicas y metodologνas del mismo y, una vez culminada la investigaciσn, permitir su participaciσn en el procesamiento y anαlisis de la informaciσn recolectada;</w:t>
      </w:r>
    </w:p>
    <w:p>
      <w:pPr>
        <w:jc w:val="both"/>
      </w:pPr>
      <w:rPr>
        <w:sz w:val="24"/>
        <w:color w:val="black"/>
      </w:rPr>
    </w:p>
    <w:p>
      <w:pPr>
        <w:jc w:val="both"/>
      </w:pPr>
      <w:r>
        <w:rPr>
          <w:rFonts w:hAnsi="Arial"/>
          <w:rFonts w:ascii="Arial"/>
          <w:sz w:val="24"/>
          <w:color w:val="black"/>
        </w:rPr>
        <w:t xml:space="preserve">b) Embarcar al personal cientνfico designado y al inspector nombrado por DIMAR para el control y supervisiσn de las operaciones autorizadas;</w:t>
      </w:r>
    </w:p>
    <w:p>
      <w:pPr>
        <w:jc w:val="both"/>
      </w:pPr>
      <w:rPr>
        <w:sz w:val="24"/>
        <w:color w:val="black"/>
      </w:rPr>
    </w:p>
    <w:p>
      <w:pPr>
        <w:jc w:val="both"/>
      </w:pPr>
      <w:r>
        <w:rPr>
          <w:rFonts w:hAnsi="Arial"/>
          <w:rFonts w:ascii="Arial"/>
          <w:sz w:val="24"/>
          <w:color w:val="black"/>
        </w:rPr>
        <w:t xml:space="preserve">c) Sufragar los gastos de desplazamiento y permanencia del personal seρalado en los literales a) y b) del presente artνculo, asν como la permanencia en puertos extranjeros y el transporte por vνa a αrea cuando sea del caso;</w:t>
      </w:r>
    </w:p>
    <w:p>
      <w:pPr>
        <w:jc w:val="both"/>
      </w:pPr>
      <w:rPr>
        <w:sz w:val="24"/>
        <w:color w:val="black"/>
      </w:rPr>
    </w:p>
    <w:p>
      <w:pPr>
        <w:jc w:val="both"/>
      </w:pPr>
      <w:r>
        <w:rPr>
          <w:rFonts w:hAnsi="Arial"/>
          <w:rFonts w:ascii="Arial"/>
          <w:sz w:val="24"/>
          <w:color w:val="black"/>
        </w:rPr>
        <w:t xml:space="preserve">d) Sufragar los gastos que demande la asistencia mιdica necesaria en caso de accidentes del personal colombiano vinculado a las etapas de planeamiento, ejecuciσn y procesamiento de los resultados de la investigaciσn;</w:t>
      </w:r>
    </w:p>
    <w:p>
      <w:pPr>
        <w:jc w:val="both"/>
      </w:pPr>
      <w:rPr>
        <w:sz w:val="24"/>
        <w:color w:val="black"/>
      </w:rPr>
    </w:p>
    <w:p>
      <w:pPr>
        <w:jc w:val="both"/>
      </w:pPr>
      <w:r>
        <w:rPr>
          <w:rFonts w:hAnsi="Arial"/>
          <w:rFonts w:ascii="Arial"/>
          <w:sz w:val="24"/>
          <w:color w:val="black"/>
        </w:rPr>
        <w:t xml:space="preserve">e) Sufragar los gastos que demande el transporte hasta el sitio en territorio colombiano que se le indique, de las muestras y materiales seρalados en el literal l) del presente artνculo;</w:t>
      </w:r>
    </w:p>
    <w:p>
      <w:pPr>
        <w:jc w:val="both"/>
      </w:pPr>
      <w:rPr>
        <w:sz w:val="24"/>
        <w:color w:val="black"/>
      </w:rPr>
    </w:p>
    <w:p>
      <w:pPr>
        <w:jc w:val="both"/>
      </w:pPr>
      <w:r>
        <w:rPr>
          <w:rFonts w:hAnsi="Arial"/>
          <w:rFonts w:ascii="Arial"/>
          <w:sz w:val="24"/>
          <w:color w:val="black"/>
        </w:rPr>
        <w:t xml:space="preserve">f) Constituir las garantνas que se le exijan para asegurar el cumplimiento de sus obligaciones;</w:t>
      </w:r>
    </w:p>
    <w:p>
      <w:pPr>
        <w:jc w:val="both"/>
      </w:pPr>
      <w:rPr>
        <w:sz w:val="24"/>
        <w:color w:val="black"/>
      </w:rPr>
    </w:p>
    <w:p>
      <w:pPr>
        <w:jc w:val="both"/>
      </w:pPr>
      <w:r>
        <w:rPr>
          <w:rFonts w:hAnsi="Arial"/>
          <w:rFonts w:ascii="Arial"/>
          <w:sz w:val="24"/>
          <w:color w:val="black"/>
        </w:rPr>
        <w:t xml:space="preserve">g) Informar oportunamente y al menos con treinta (30) dνas de antelaciσn a la iniciaciσn del crucero, al Ministerio de Relaciones Exteriores de Colombia, de cualquier cambio en el programa de investigaciσn, con el fin de que se evalϊen y aprueben o imprueben dichos cambios;</w:t>
      </w:r>
    </w:p>
    <w:p>
      <w:pPr>
        <w:jc w:val="both"/>
      </w:pPr>
      <w:rPr>
        <w:sz w:val="24"/>
        <w:color w:val="black"/>
      </w:rPr>
    </w:p>
    <w:p>
      <w:pPr>
        <w:jc w:val="both"/>
      </w:pPr>
      <w:r>
        <w:rPr>
          <w:rFonts w:hAnsi="Arial"/>
          <w:rFonts w:ascii="Arial"/>
          <w:sz w:val="24"/>
          <w:color w:val="black"/>
        </w:rPr>
        <w:t xml:space="preserve">h) Arribar al puerto colombiano indicado en la resoluciσn de autorizaciσn, si asν esta lo seρala, antes de iniciar la investigaciσn, con el propσsito de embarcarα al personal cientνfico y al funcionario designado por DIMAR, asν como someterse a las inspecciones previstas por la ley para el arribo de naves a puertos o a aguas jurisdiccionales colombianas;</w:t>
      </w:r>
    </w:p>
    <w:p>
      <w:pPr>
        <w:jc w:val="both"/>
      </w:pPr>
      <w:rPr>
        <w:sz w:val="24"/>
        <w:color w:val="black"/>
      </w:rPr>
    </w:p>
    <w:p>
      <w:pPr>
        <w:jc w:val="both"/>
      </w:pPr>
      <w:r>
        <w:rPr>
          <w:rFonts w:hAnsi="Arial"/>
          <w:rFonts w:ascii="Arial"/>
          <w:sz w:val="24"/>
          <w:color w:val="black"/>
        </w:rPr>
        <w:t xml:space="preserve">i) No obstaculizar las rutas de navegaciσn establecidas con el emplazamiento y la utilizaciσn de cualquier tipo de instalaciones o equipos de investigaciσn cientνfica o tecnolσgica;</w:t>
      </w:r>
    </w:p>
    <w:p>
      <w:pPr>
        <w:jc w:val="both"/>
      </w:pPr>
      <w:rPr>
        <w:sz w:val="24"/>
        <w:color w:val="black"/>
      </w:rPr>
    </w:p>
    <w:p>
      <w:pPr>
        <w:jc w:val="both"/>
      </w:pPr>
      <w:r>
        <w:rPr>
          <w:rFonts w:hAnsi="Arial"/>
          <w:rFonts w:ascii="Arial"/>
          <w:sz w:val="24"/>
          <w:color w:val="black"/>
        </w:rPr>
        <w:t xml:space="preserve">j) Identificar las instalaciones y los equipos de investigaciσn con signos que indiquen el paνs en el que estαn registrados o la organizaciσn internacional a la que pertenecen, asν como instalar y mantener las seρales de advertencia adecuadas, convenidas internacionalmente para garantizar la seguridad de la navegaciσn marνtima y αrea;</w:t>
      </w:r>
    </w:p>
    <w:p>
      <w:pPr>
        <w:jc w:val="both"/>
      </w:pPr>
      <w:rPr>
        <w:sz w:val="24"/>
        <w:color w:val="black"/>
      </w:rPr>
    </w:p>
    <w:p>
      <w:pPr>
        <w:jc w:val="both"/>
      </w:pPr>
      <w:r>
        <w:rPr>
          <w:rFonts w:hAnsi="Arial"/>
          <w:rFonts w:ascii="Arial"/>
          <w:sz w:val="24"/>
          <w:color w:val="black"/>
        </w:rPr>
        <w:t xml:space="preserve">k) Entregar a DIMAR, si esta entidad asν lo exige, informes parciales sobre los resultados de la investigaciσn;</w:t>
      </w:r>
    </w:p>
    <w:p>
      <w:pPr>
        <w:jc w:val="both"/>
      </w:pPr>
      <w:rPr>
        <w:sz w:val="24"/>
        <w:color w:val="black"/>
      </w:rPr>
    </w:p>
    <w:p>
      <w:pPr>
        <w:jc w:val="both"/>
      </w:pPr>
      <w:r>
        <w:rPr>
          <w:rFonts w:hAnsi="Arial"/>
          <w:rFonts w:ascii="Arial"/>
          <w:sz w:val="24"/>
          <w:color w:val="black"/>
        </w:rPr>
        <w:t xml:space="preserve">l) Entregar al personal cientνfico designado o en su defecto al funcionario inspector, una vez finalizado el crucero y antes de abandonar la nave o artefacto naval el paνs, copia de los datos, muestras obtenidas en la investigaciσn y demαs informaciσn que dicho personal cientνfico o el funcionario inspector considere pertinente.</w:t>
      </w:r>
    </w:p>
    <w:p>
      <w:pPr>
        <w:jc w:val="both"/>
      </w:pPr>
      <w:rPr>
        <w:sz w:val="24"/>
        <w:color w:val="black"/>
      </w:rPr>
    </w:p>
    <w:p>
      <w:pPr>
        <w:jc w:val="both"/>
      </w:pPr>
      <w:r>
        <w:rPr>
          <w:rFonts w:hAnsi="Arial"/>
          <w:rFonts w:ascii="Arial"/>
          <w:sz w:val="24"/>
          <w:color w:val="black"/>
        </w:rPr>
        <w:t xml:space="preserve">En el caso de recolecciσn de muestras ϊnicas, estas deberαn ser necesariamente entregadas;</w:t>
      </w:r>
    </w:p>
    <w:p>
      <w:pPr>
        <w:jc w:val="both"/>
      </w:pPr>
      <w:rPr>
        <w:sz w:val="24"/>
        <w:color w:val="black"/>
      </w:rPr>
    </w:p>
    <w:p>
      <w:pPr>
        <w:jc w:val="both"/>
      </w:pPr>
      <w:r>
        <w:rPr>
          <w:rFonts w:hAnsi="Arial"/>
          <w:rFonts w:ascii="Arial"/>
          <w:sz w:val="24"/>
          <w:color w:val="black"/>
        </w:rPr>
        <w:t xml:space="preserve">m) Retirar las instalaciones y los equipos utilizados en la investigaciσn una vez finalizado el crucero, salvo que se convenga lo contrario;</w:t>
      </w:r>
    </w:p>
    <w:p>
      <w:pPr>
        <w:jc w:val="both"/>
      </w:pPr>
      <w:rPr>
        <w:sz w:val="24"/>
        <w:color w:val="black"/>
      </w:rPr>
    </w:p>
    <w:p>
      <w:pPr>
        <w:jc w:val="both"/>
      </w:pPr>
      <w:r>
        <w:rPr>
          <w:rFonts w:hAnsi="Arial"/>
          <w:rFonts w:ascii="Arial"/>
          <w:sz w:val="24"/>
          <w:color w:val="black"/>
        </w:rPr>
        <w:t xml:space="preserve">n) Abandonar el paνs solamente por el puerto seρalado en la resoluciσn de autorizaciσn, previa obtenciσn del zarpe expedido por la Capitanνa de Puerto respectiva;</w:t>
      </w:r>
    </w:p>
    <w:p>
      <w:pPr>
        <w:jc w:val="both"/>
      </w:pPr>
      <w:rPr>
        <w:sz w:val="24"/>
        <w:color w:val="black"/>
      </w:rPr>
    </w:p>
    <w:p>
      <w:pPr>
        <w:jc w:val="both"/>
      </w:pPr>
      <w:r>
        <w:rPr>
          <w:rFonts w:hAnsi="Arial"/>
          <w:rFonts w:ascii="Arial"/>
          <w:sz w:val="24"/>
          <w:color w:val="black"/>
        </w:rPr>
        <w:t xml:space="preserve">o) Enviar al Ministerio de Relaciones Exteriores dentro de un plazo no mayor de un (1) aρo contado a partir de la finalizaciσn de la investigaciσn en aguas jurisdiccionales colombianas, un informe de trabajo debidamente procesado y/o editado, que contenga los resultados de la investigaciσn, su evaluaciσn y las conclusiones finales, asν como las pelνculas, documentales y tomas fotogrαficas. Este informe deberα ser entregado en idioma espaρol.</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0" w:name="2.4.5.17"/>
      <w:r>
        <w:rPr>
          <w:rFonts w:hAnsi="Arial"/>
          <w:rFonts w:ascii="Arial"/>
          <w:sz w:val="24"/>
          <w:color w:val="navy"/>
        </w:rPr>
        <w:t xml:space="preserve">ARTΝCULO 2.4.5.17. </w:t>
      </w:r>
      <w:r>
        <w:rPr>
          <w:rFonts w:hAnsi="Arial"/>
          <w:rFonts w:ascii="Arial"/>
          <w:sz w:val="24"/>
          <w:i/>
          <w:color w:val="navy"/>
        </w:rPr>
        <w:t xml:space="preserve">TRANSMISIΣN DE INFORMACIΣN.</w:t>
      </w:r>
      <w:bookmarkEnd w:id="61630"/>
      <w:r>
        <w:rPr>
          <w:rFonts w:hAnsi="Arial"/>
          <w:rFonts w:ascii="Arial"/>
          <w:sz w:val="24"/>
          <w:b/>
          <w:i/>
          <w:color w:val="black"/>
        </w:rPr>
        <w:t xml:space="preserve"> </w:t>
      </w:r>
      <w:r>
        <w:rPr>
          <w:rFonts w:hAnsi="Arial"/>
          <w:rFonts w:ascii="Arial"/>
          <w:sz w:val="24"/>
          <w:color w:val="black"/>
        </w:rPr>
        <w:t xml:space="preserve">El Ministerio de Relaciones Exteriores darα traslado del informe final y sus anexos a la Direcciσn General Marνtima, dentro de los diez (10) dνas hαbiles siguientes a su recibo, la que remitirα las copias respectivas a las entidades que participaron en el trαmite de la solicitud.</w:t>
      </w:r>
    </w:p>
    <w:p>
      <w:pPr>
        <w:jc w:val="both"/>
      </w:pPr>
      <w:rPr>
        <w:sz w:val="24"/>
        <w:color w:val="black"/>
      </w:rPr>
    </w:p>
    <w:p>
      <w:pPr>
        <w:jc w:val="both"/>
      </w:pPr>
      <w:r>
        <w:rPr>
          <w:rFonts w:hAnsi="Arial"/>
          <w:rFonts w:ascii="Arial"/>
          <w:sz w:val="24"/>
          <w:color w:val="black"/>
        </w:rPr>
        <w:t xml:space="preserve">En caso de que la informaciσn se considere incompleta se procederα de conformidad con lo establecido en el artνculo </w:t>
      </w:r>
      <w:r>
        <w:fldChar w:fldCharType="begin"/>
      </w:r>
      <w:r>
        <w:instrText>HYPERLINK "http://www.redjurista.com/document.aspx?ajcode=d1070015&amp;arts=2.4.5.12"</w:instrText>
      </w:r>
      <w:r>
        <w:fldChar w:fldCharType="separate"/>
      </w:r>
      <w:r>
        <w:rPr>
          <w:rFonts w:hAnsi="Arial"/>
          <w:rFonts w:ascii="Arial"/>
          <w:sz w:val="24"/>
          <w:u w:val="single"/>
          <w:color w:val="black"/>
        </w:rPr>
        <w:t>2.4.5.12</w:t>
      </w:r>
      <w:r>
        <w:fldChar w:fldCharType="end"/>
      </w:r>
      <w:r>
        <w:rPr>
          <w:rFonts w:hAnsi="Arial"/>
          <w:rFonts w:ascii="Arial"/>
          <w:sz w:val="24"/>
          <w:u w:val="none"/>
          <w:color w:val="black"/>
        </w:rPr>
        <w:t xml:space="preserve">., del presente Tνtulo, y el interesado tendrα un plazo mαximo de seis (6) meses para allegar la informaciσn, contados a partir de la notificaciσn del requerimiento.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1" w:name="2.4.5.18"/>
      <w:r>
        <w:rPr>
          <w:rFonts w:hAnsi="Arial"/>
          <w:rFonts w:ascii="Arial"/>
          <w:sz w:val="24"/>
          <w:color w:val="navy"/>
        </w:rPr>
        <w:t xml:space="preserve">ARTΝCULO 2.4.5.18. </w:t>
      </w:r>
      <w:r>
        <w:rPr>
          <w:rFonts w:hAnsi="Arial"/>
          <w:rFonts w:ascii="Arial"/>
          <w:sz w:val="24"/>
          <w:i/>
          <w:color w:val="navy"/>
        </w:rPr>
        <w:t xml:space="preserve">DESIGNACIΣN DE LOS CIENTΝFICOS NACIONALES.</w:t>
      </w:r>
      <w:bookmarkEnd w:id="61631"/>
      <w:r>
        <w:rPr>
          <w:rFonts w:hAnsi="Arial"/>
          <w:rFonts w:ascii="Arial"/>
          <w:sz w:val="24"/>
          <w:b/>
          <w:i/>
          <w:color w:val="black"/>
        </w:rPr>
        <w:t xml:space="preserve"> </w:t>
      </w:r>
      <w:r>
        <w:rPr>
          <w:rFonts w:hAnsi="Arial"/>
          <w:rFonts w:ascii="Arial"/>
          <w:sz w:val="24"/>
          <w:color w:val="black"/>
        </w:rPr>
        <w:t xml:space="preserve">Las entidades seρaladas en el artνculo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del presente Tνtulo, designarαn el personal cientνfico que participar en la investigaciσn.</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2" w:name="2.4.5.19"/>
      <w:r>
        <w:rPr>
          <w:rFonts w:hAnsi="Arial"/>
          <w:rFonts w:ascii="Arial"/>
          <w:sz w:val="24"/>
          <w:color w:val="navy"/>
        </w:rPr>
        <w:t xml:space="preserve">ARTΝCULO 2.4.5.19. </w:t>
      </w:r>
      <w:r>
        <w:rPr>
          <w:rFonts w:hAnsi="Arial"/>
          <w:rFonts w:ascii="Arial"/>
          <w:sz w:val="24"/>
          <w:i/>
          <w:color w:val="navy"/>
        </w:rPr>
        <w:t xml:space="preserve">REVISTA DE LA INSPECCIΣN.</w:t>
      </w:r>
      <w:bookmarkEnd w:id="61632"/>
      <w:r>
        <w:rPr>
          <w:rFonts w:hAnsi="Arial"/>
          <w:rFonts w:ascii="Arial"/>
          <w:sz w:val="24"/>
          <w:b/>
          <w:i/>
          <w:color w:val="black"/>
        </w:rPr>
        <w:t xml:space="preserve"> </w:t>
      </w:r>
      <w:r>
        <w:rPr>
          <w:rFonts w:hAnsi="Arial"/>
          <w:rFonts w:ascii="Arial"/>
          <w:sz w:val="24"/>
          <w:color w:val="black"/>
        </w:rPr>
        <w:t xml:space="preserve">Toda nave o artefacto naval extranjero serα inspeccionado a su arribo a puerto o a aguas jurisdiccionales colombianas por la Capitanνa de Puerto respectiva, sin restricciones de ninguna especie, en todos los equipos y compartimientos de la nave, con el objeto de comprobar los antecedentes proporcionados en la solicitud. Todos los gastos que se originen con motivo de esta inspecciσn serαn de cargo del peticionario.</w:t>
      </w:r>
    </w:p>
    <w:p>
      <w:pPr>
        <w:jc w:val="both"/>
      </w:pPr>
      <w:rPr>
        <w:sz w:val="24"/>
        <w:color w:val="black"/>
      </w:rPr>
    </w:p>
    <w:p>
      <w:pPr>
        <w:jc w:val="both"/>
      </w:pPr>
      <w:r>
        <w:rPr>
          <w:rFonts w:hAnsi="Arial"/>
          <w:rFonts w:ascii="Arial"/>
          <w:sz w:val="24"/>
          <w:color w:val="black"/>
        </w:rPr>
        <w:t xml:space="preserve">Esta revisiσn podrα repetirse las veces que se estime conveniente. En todo momento se exigir el cumplimiento de cualquier otra norma legal o reglamentaria vigente en el Estado Colombiano.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3" w:name="2.4.5.20"/>
      <w:r>
        <w:rPr>
          <w:rFonts w:hAnsi="Arial"/>
          <w:rFonts w:ascii="Arial"/>
          <w:sz w:val="24"/>
          <w:color w:val="navy"/>
        </w:rPr>
        <w:t xml:space="preserve">ARTΝCULO 2.4.5.20. </w:t>
      </w:r>
      <w:r>
        <w:rPr>
          <w:rFonts w:hAnsi="Arial"/>
          <w:rFonts w:ascii="Arial"/>
          <w:sz w:val="24"/>
          <w:i/>
          <w:color w:val="navy"/>
        </w:rPr>
        <w:t xml:space="preserve">RETIRO DEL MATERIAL RECOLECTADO.</w:t>
      </w:r>
      <w:bookmarkEnd w:id="61633"/>
      <w:r>
        <w:rPr>
          <w:rFonts w:hAnsi="Arial"/>
          <w:rFonts w:ascii="Arial"/>
          <w:sz w:val="24"/>
          <w:b/>
          <w:i/>
          <w:color w:val="black"/>
        </w:rPr>
        <w:t xml:space="preserve"> </w:t>
      </w:r>
      <w:r>
        <w:rPr>
          <w:rFonts w:hAnsi="Arial"/>
          <w:rFonts w:ascii="Arial"/>
          <w:sz w:val="24"/>
          <w:color w:val="black"/>
        </w:rPr>
        <w:t xml:space="preserve">Solo bajo la autorizaciσn expresa de DIMAR podrα retirarse del paνs cualquier especie, material recolectado, filmado o registrado durante la investigaciσn, de acuerdo con el informe suministrado por el inspector y los cientνficos designados.</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4" w:name="2.4.5.21"/>
      <w:r>
        <w:rPr>
          <w:rFonts w:hAnsi="Arial"/>
          <w:rFonts w:ascii="Arial"/>
          <w:sz w:val="24"/>
          <w:color w:val="navy"/>
        </w:rPr>
        <w:t xml:space="preserve">ARTΝCULO 2.4.5.21. </w:t>
      </w:r>
      <w:r>
        <w:rPr>
          <w:rFonts w:hAnsi="Arial"/>
          <w:rFonts w:ascii="Arial"/>
          <w:sz w:val="24"/>
          <w:i/>
          <w:color w:val="navy"/>
        </w:rPr>
        <w:t xml:space="preserve">AUTORIZACIΣN DE ZARPE.</w:t>
      </w:r>
      <w:bookmarkEnd w:id="61634"/>
      <w:r>
        <w:rPr>
          <w:rFonts w:hAnsi="Arial"/>
          <w:rFonts w:ascii="Arial"/>
          <w:sz w:val="24"/>
          <w:b/>
          <w:i/>
          <w:color w:val="black"/>
        </w:rPr>
        <w:t xml:space="preserve"> </w:t>
      </w:r>
      <w:r>
        <w:rPr>
          <w:rFonts w:hAnsi="Arial"/>
          <w:rFonts w:ascii="Arial"/>
          <w:sz w:val="24"/>
          <w:color w:val="black"/>
        </w:rPr>
        <w:t xml:space="preserve">La autoridad marνtima local, sσlo podrα autorizar el zarpe de la nave o artefacto naval o la remociσn del equipo utilizado, una vez se acredite el cumplimiento de todas las obligaciones por parte del solicitante, segϊn lo descrito en el presente Tνtulo.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5" w:name="2.4.5.22"/>
      <w:r>
        <w:rPr>
          <w:rFonts w:hAnsi="Arial"/>
          <w:rFonts w:ascii="Arial"/>
          <w:sz w:val="24"/>
          <w:color w:val="navy"/>
        </w:rPr>
        <w:t xml:space="preserve">ARTΝCULO 2.4.5.22. </w:t>
      </w:r>
      <w:r>
        <w:rPr>
          <w:rFonts w:hAnsi="Arial"/>
          <w:rFonts w:ascii="Arial"/>
          <w:sz w:val="24"/>
          <w:i/>
          <w:color w:val="navy"/>
        </w:rPr>
        <w:t xml:space="preserve">MODIFICACIΣN, SUSPENSIΣN Y REVOCACIΣN DEL PERMISO.</w:t>
      </w:r>
      <w:bookmarkEnd w:id="61635"/>
      <w:r>
        <w:rPr>
          <w:rFonts w:hAnsi="Arial"/>
          <w:rFonts w:ascii="Arial"/>
          <w:sz w:val="24"/>
          <w:b/>
          <w:i/>
          <w:color w:val="black"/>
        </w:rPr>
        <w:t xml:space="preserve"> </w:t>
      </w:r>
      <w:r>
        <w:rPr>
          <w:rFonts w:hAnsi="Arial"/>
          <w:rFonts w:ascii="Arial"/>
          <w:sz w:val="24"/>
          <w:color w:val="black"/>
        </w:rPr>
        <w:t xml:space="preserve">Sin perjuicio de lo dispuesto en el inciso 2o. del artνculo </w:t>
      </w:r>
      <w:r>
        <w:fldChar w:fldCharType="begin"/>
      </w:r>
      <w:r>
        <w:instrText>HYPERLINK "http://www.redjurista.com/document.aspx?ajcode=d1070015&amp;arts=2.4.5.15"</w:instrText>
      </w:r>
      <w:r>
        <w:fldChar w:fldCharType="separate"/>
      </w:r>
      <w:r>
        <w:rPr>
          <w:rFonts w:hAnsi="Arial"/>
          <w:rFonts w:ascii="Arial"/>
          <w:sz w:val="24"/>
          <w:u w:val="single"/>
          <w:color w:val="black"/>
        </w:rPr>
        <w:t>2.4.5.15</w:t>
      </w:r>
      <w:r>
        <w:fldChar w:fldCharType="end"/>
      </w:r>
      <w:r>
        <w:rPr>
          <w:rFonts w:hAnsi="Arial"/>
          <w:rFonts w:ascii="Arial"/>
          <w:sz w:val="24"/>
          <w:u w:val="none"/>
          <w:color w:val="black"/>
        </w:rPr>
        <w:t xml:space="preserve">., DIMAR, de oficio o a solicitud de las entidades seρaladas en el artνculo </w:t>
      </w:r>
      <w:r>
        <w:fldChar w:fldCharType="begin"/>
      </w:r>
      <w:r>
        <w:instrText>HYPERLINK "http://www.redjurista.com/document.aspx?ajcode=d1070015&amp;arts=2.4.5.5"</w:instrText>
      </w:r>
      <w:r>
        <w:fldChar w:fldCharType="separate"/>
      </w:r>
      <w:r>
        <w:rPr>
          <w:rFonts w:hAnsi="Arial"/>
          <w:rFonts w:ascii="Arial"/>
          <w:sz w:val="24"/>
          <w:u w:val="single"/>
          <w:color w:val="black"/>
        </w:rPr>
        <w:t>2.4.5.5</w:t>
      </w:r>
      <w:r>
        <w:fldChar w:fldCharType="end"/>
      </w:r>
      <w:r>
        <w:rPr>
          <w:rFonts w:hAnsi="Arial"/>
          <w:rFonts w:ascii="Arial"/>
          <w:sz w:val="24"/>
          <w:u w:val="none"/>
          <w:color w:val="black"/>
        </w:rPr>
        <w:t xml:space="preserve">., del presente Tνtulo, podrα modificar o suspender los permisos otorgados en cualquiera de los siguientes casos:</w:t>
      </w:r>
    </w:p>
    <w:p>
      <w:pPr>
        <w:jc w:val="both"/>
      </w:pPr>
      <w:rPr>
        <w:sz w:val="24"/>
        <w:color w:val="black"/>
      </w:rPr>
    </w:p>
    <w:p>
      <w:pPr>
        <w:jc w:val="both"/>
      </w:pPr>
      <w:r>
        <w:rPr>
          <w:rFonts w:hAnsi="Arial"/>
          <w:rFonts w:ascii="Arial"/>
          <w:sz w:val="24"/>
          <w:color w:val="black"/>
        </w:rPr>
        <w:t xml:space="preserve">a) Cuando las actividades de investigaciσn no se ajusten a la informaciσn suministrada en cumplimiento de lo establecido en el artνculo </w:t>
      </w:r>
      <w:r>
        <w:fldChar w:fldCharType="begin"/>
      </w:r>
      <w:r>
        <w:instrText>HYPERLINK "http://www.redjurista.com/document.aspx?ajcode=d1070015&amp;arts=2.4.5.4"</w:instrText>
      </w:r>
      <w:r>
        <w:fldChar w:fldCharType="separate"/>
      </w:r>
      <w:r>
        <w:rPr>
          <w:rFonts w:hAnsi="Arial"/>
          <w:rFonts w:ascii="Arial"/>
          <w:sz w:val="24"/>
          <w:u w:val="single"/>
          <w:color w:val="black"/>
        </w:rPr>
        <w:t>2.4.5.4</w:t>
      </w:r>
      <w:r>
        <w:fldChar w:fldCharType="end"/>
      </w:r>
      <w:r>
        <w:rPr>
          <w:rFonts w:hAnsi="Arial"/>
          <w:rFonts w:ascii="Arial"/>
          <w:sz w:val="24"/>
          <w:u w:val="none"/>
          <w:color w:val="black"/>
        </w:rPr>
        <w:t xml:space="preserve">., del presente Tνtulo, o cuando esta no sea veraz;</w:t>
      </w:r>
    </w:p>
    <w:p>
      <w:pPr>
        <w:jc w:val="both"/>
      </w:pPr>
      <w:rPr>
        <w:sz w:val="24"/>
        <w:color w:val="black"/>
      </w:rPr>
    </w:p>
    <w:p>
      <w:pPr>
        <w:jc w:val="both"/>
      </w:pPr>
      <w:r>
        <w:rPr>
          <w:rFonts w:hAnsi="Arial"/>
          <w:rFonts w:ascii="Arial"/>
          <w:sz w:val="24"/>
          <w:color w:val="black"/>
        </w:rPr>
        <w:t xml:space="preserve">b) Cuando el solicitante no cumpla con las obligaciones que de conformidad con este Tνtulo se le hayan impuesto;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DIMAR podrα revocar el permiso otorgado cuando no se corrijan las situaciones que originaron su suspensiσn o modificaciσn, dentro de plazo por ella establecido.</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6" w:name="2.4.5.23"/>
      <w:r>
        <w:rPr>
          <w:rFonts w:hAnsi="Arial"/>
          <w:rFonts w:ascii="Arial"/>
          <w:sz w:val="24"/>
          <w:color w:val="navy"/>
        </w:rPr>
        <w:t xml:space="preserve">ARTΝCULO 2.4.5.23. </w:t>
      </w:r>
      <w:r>
        <w:rPr>
          <w:rFonts w:hAnsi="Arial"/>
          <w:rFonts w:ascii="Arial"/>
          <w:sz w:val="24"/>
          <w:i/>
          <w:color w:val="navy"/>
        </w:rPr>
        <w:t xml:space="preserve">PRORROGA DEL PERMISO AUTORIZADO.</w:t>
      </w:r>
      <w:bookmarkEnd w:id="61636"/>
      <w:r>
        <w:rPr>
          <w:rFonts w:hAnsi="Arial"/>
          <w:rFonts w:ascii="Arial"/>
          <w:sz w:val="24"/>
          <w:b/>
          <w:i/>
          <w:color w:val="black"/>
        </w:rPr>
        <w:t xml:space="preserve"> </w:t>
      </w:r>
      <w:r>
        <w:rPr>
          <w:rFonts w:hAnsi="Arial"/>
          <w:rFonts w:ascii="Arial"/>
          <w:sz w:val="24"/>
          <w:color w:val="black"/>
        </w:rPr>
        <w:t xml:space="preserve">El interesado podrα solicitar ante DIMAR prσrroga del permiso ya autorizado, presentando la respectiva peticiσn con una anticipaciσn mνnima de quince (15) dνas hαbiles al vencimiento del tιrmino inicial.</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37" w:name="2.4.5.24"/>
      <w:r>
        <w:rPr>
          <w:rFonts w:hAnsi="Arial"/>
          <w:rFonts w:ascii="Arial"/>
          <w:sz w:val="24"/>
          <w:color w:val="navy"/>
        </w:rPr>
        <w:t xml:space="preserve">ARTΝCULO 2.4.5.24. </w:t>
      </w:r>
      <w:r>
        <w:rPr>
          <w:rFonts w:hAnsi="Arial"/>
          <w:rFonts w:ascii="Arial"/>
          <w:sz w:val="24"/>
          <w:i/>
          <w:color w:val="navy"/>
        </w:rPr>
        <w:t>SANCIONES.</w:t>
      </w:r>
      <w:bookmarkEnd w:id="61637"/>
      <w:r>
        <w:rPr>
          <w:rFonts w:hAnsi="Arial"/>
          <w:rFonts w:ascii="Arial"/>
          <w:sz w:val="24"/>
          <w:b/>
          <w:i/>
          <w:color w:val="black"/>
        </w:rPr>
        <w:t xml:space="preserve"> </w:t>
      </w:r>
      <w:r>
        <w:rPr>
          <w:rFonts w:hAnsi="Arial"/>
          <w:rFonts w:ascii="Arial"/>
          <w:sz w:val="24"/>
          <w:color w:val="black"/>
        </w:rPr>
        <w:t xml:space="preserve">La persona natural o jurνdica nacional o extranjera, pϊblica o privada, que incumpla lo establecido en esta Tνtulo estarα sujeta a las sanciones previstas en el artνculo </w:t>
      </w:r>
      <w:r>
        <w:fldChar w:fldCharType="begin"/>
      </w:r>
      <w:r>
        <w:instrText>HYPERLINK "http://www.redjurista.com/document.aspx?ajcode=d2324_84&amp;arts=80"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2324 de 1984 que imponga DIMAR, sin perjuicio de las que corresponde aplicar a las demαs entidades.</w:t>
      </w:r>
    </w:p>
    <w:p>
      <w:pPr>
        <w:jc w:val="both"/>
      </w:pPr>
      <w:rPr>
        <w:sz w:val="24"/>
        <w:color w:val="black"/>
      </w:rPr>
    </w:p>
    <w:p>
      <w:pPr>
        <w:jc w:val="both"/>
      </w:pPr>
      <w:r>
        <w:rPr>
          <w:rFonts w:hAnsi="Arial"/>
          <w:rFonts w:ascii="Arial"/>
          <w:sz w:val="24"/>
          <w:i/>
          <w:color w:val="black"/>
        </w:rPr>
        <w:t xml:space="preserve">(Decreto 0644 de 1990 artνculo </w:t>
      </w:r>
      <w:r>
        <w:fldChar w:fldCharType="begin"/>
      </w:r>
      <w:r>
        <w:instrText>HYPERLINK "http://www.redjurista.com/document.aspx?ajcode=d0644_90&amp;arts=24"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38" w:name="TÍTULO 2.4.6"/>
      <w:r>
        <w:rPr>
          <w:rFonts w:hAnsi="Arial"/>
          <w:rFonts w:ascii="Arial"/>
          <w:sz w:val="24"/>
          <w:color w:val="navy"/>
        </w:rPr>
        <w:t xml:space="preserve">TΝTULO 6. </w:t>
      </w:r>
    </w:p>
    <w:p>
      <w:pPr>
        <w:jc w:val="center"/>
      </w:pPr>
      <w:r>
        <w:rPr>
          <w:rFonts w:hAnsi="Arial"/>
          <w:rFonts w:ascii="Arial"/>
          <w:sz w:val="24"/>
          <w:color w:val="navy"/>
        </w:rPr>
        <w:t xml:space="preserve">SEGURIDAD Y PROTECCIΣN MARΝTIMA.</w:t>
      </w:r>
      <w:bookmarkEnd w:id="61638"/>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639" w:name="CAPÍTULO 2.4.6.1"/>
      <w:r>
        <w:rPr>
          <w:rFonts w:hAnsi="Arial"/>
          <w:rFonts w:ascii="Arial"/>
          <w:sz w:val="24"/>
          <w:color w:val="navy"/>
        </w:rPr>
        <w:t xml:space="preserve">CAPΝTULO 1. </w:t>
      </w:r>
    </w:p>
    <w:p>
      <w:pPr>
        <w:jc w:val="center"/>
      </w:pPr>
      <w:r>
        <w:rPr>
          <w:rFonts w:hAnsi="Arial"/>
          <w:rFonts w:ascii="Arial"/>
          <w:sz w:val="24"/>
          <w:color w:val="navy"/>
        </w:rPr>
        <w:t>GENERALIDADES.</w:t>
      </w:r>
      <w:bookmarkEnd w:id="61639"/>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640" w:name="SECCIÓN 2.4.6.1.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616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41" w:name="2.4.6.1.1.1"/>
      <w:r>
        <w:rPr>
          <w:rFonts w:hAnsi="Arial"/>
          <w:rFonts w:ascii="Arial"/>
          <w:sz w:val="24"/>
          <w:color w:val="navy"/>
        </w:rPr>
        <w:t xml:space="preserve">ARTΝCULO 2.4.6.1.1.1. </w:t>
      </w:r>
      <w:r>
        <w:rPr>
          <w:rFonts w:hAnsi="Arial"/>
          <w:rFonts w:ascii="Arial"/>
          <w:sz w:val="24"/>
          <w:i/>
          <w:color w:val="navy"/>
        </w:rPr>
        <w:t xml:space="preserve">ΑMBITO DE APLICACIΣN.</w:t>
      </w:r>
      <w:bookmarkEnd w:id="61641"/>
      <w:r>
        <w:rPr>
          <w:rFonts w:hAnsi="Arial"/>
          <w:rFonts w:ascii="Arial"/>
          <w:sz w:val="24"/>
          <w:b/>
          <w:i/>
          <w:color w:val="black"/>
        </w:rPr>
        <w:t xml:space="preserve"> </w:t>
      </w:r>
      <w:r>
        <w:rPr>
          <w:rFonts w:hAnsi="Arial"/>
          <w:rFonts w:ascii="Arial"/>
          <w:sz w:val="24"/>
          <w:color w:val="black"/>
        </w:rPr>
        <w:t xml:space="preserve">El presente Tνtulo reglamenta el Cσdigo Internacional para la Protecciσn de los Buques y las Instalaciones Portuarias, PBIP, que hace parte del Capνtulo XI-2 del Convenio SOLAS-74 aprobado por Colombia mediante Ley </w:t>
      </w:r>
      <w:r>
        <w:fldChar w:fldCharType="begin"/>
      </w:r>
      <w:r>
        <w:instrText>HYPERLINK "http://www.redjurista.com/document.aspx?ajcode=l0008_80&amp;arts=INICIO"</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 1980 y se aplicarα en todo el territorio nacional donde existan instalaciones portuarias dedicadas al comercio exterior y a los viajes internacionales, asν como a los buques de pasajeros y carga de transporte internacional con arqueo bruto igual o superior a 500, que recalen en las mismas, y unidades mσviles de perforaciσn mar adentro.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42" w:name="2.4.6.1.1.2"/>
      <w:r>
        <w:rPr>
          <w:rFonts w:hAnsi="Arial"/>
          <w:rFonts w:ascii="Arial"/>
          <w:sz w:val="24"/>
          <w:color w:val="navy"/>
        </w:rPr>
        <w:t xml:space="preserve">ARTΝCULO 2.4.6.1.1.2. </w:t>
      </w:r>
      <w:r>
        <w:rPr>
          <w:rFonts w:hAnsi="Arial"/>
          <w:rFonts w:ascii="Arial"/>
          <w:sz w:val="24"/>
          <w:i/>
          <w:color w:val="navy"/>
        </w:rPr>
        <w:t>DEFINICIONES.</w:t>
      </w:r>
      <w:bookmarkEnd w:id="61642"/>
      <w:r>
        <w:rPr>
          <w:rFonts w:hAnsi="Arial"/>
          <w:rFonts w:ascii="Arial"/>
          <w:sz w:val="24"/>
          <w:b/>
          <w:i/>
          <w:color w:val="black"/>
        </w:rPr>
        <w:t xml:space="preserve"> </w:t>
      </w:r>
      <w:r>
        <w:rPr>
          <w:rFonts w:hAnsi="Arial"/>
          <w:rFonts w:ascii="Arial"/>
          <w:sz w:val="24"/>
          <w:color w:val="black"/>
        </w:rPr>
        <w:t xml:space="preserve">Las siguientes definiciones deberαn ser tenidas en cuenta para la interpretaciσn y aplicaciσn del presente Tνtulo:</w:t>
      </w:r>
    </w:p>
    <w:p>
      <w:pPr>
        <w:jc w:val="both"/>
      </w:pPr>
      <w:rPr>
        <w:sz w:val="24"/>
        <w:color w:val="black"/>
      </w:rPr>
    </w:p>
    <w:p>
      <w:pPr>
        <w:jc w:val="both"/>
      </w:pPr>
      <w:r>
        <w:rPr>
          <w:rFonts w:hAnsi="Arial"/>
          <w:rFonts w:ascii="Arial"/>
          <w:sz w:val="24"/>
          <w:color w:val="black"/>
        </w:rPr>
        <w:t xml:space="preserve">Certificado provisional. Es el documento expedido por la Autoridad Marνtima Nacional una vez se ha efectuado las verificaciones consagradas en la secciσn 19.1 del Cσdigo de Protecciσn de Buques e Instalaciones Portuarias, PBIP.</w:t>
      </w:r>
    </w:p>
    <w:p>
      <w:pPr>
        <w:jc w:val="both"/>
      </w:pPr>
      <w:rPr>
        <w:sz w:val="24"/>
        <w:color w:val="black"/>
      </w:rPr>
    </w:p>
    <w:p>
      <w:pPr>
        <w:jc w:val="both"/>
      </w:pPr>
      <w:r>
        <w:rPr>
          <w:rFonts w:hAnsi="Arial"/>
          <w:rFonts w:ascii="Arial"/>
          <w:sz w:val="24"/>
          <w:color w:val="black"/>
        </w:rPr>
        <w:t xml:space="preserve">Documento de cumplimiento. Es el documento mediante el cual la Autoridad Marνtima Nacional, certifica que la instalaciσn portuaria ha dado cumplimiento a los requisitos y requerimientos del Cσdigo de Protecciσn de Buques e Instalaciones Portuarias, PBIP.</w:t>
      </w:r>
    </w:p>
    <w:p>
      <w:pPr>
        <w:jc w:val="both"/>
      </w:pPr>
      <w:rPr>
        <w:sz w:val="24"/>
        <w:color w:val="black"/>
      </w:rPr>
    </w:p>
    <w:p>
      <w:pPr>
        <w:jc w:val="both"/>
      </w:pPr>
      <w:r>
        <w:rPr>
          <w:rFonts w:hAnsi="Arial"/>
          <w:rFonts w:ascii="Arial"/>
          <w:sz w:val="24"/>
          <w:color w:val="black"/>
        </w:rPr>
        <w:t xml:space="preserve">Instalaciσn portuaria. La instalaciσn portuaria a que hace menciσn el Cσdigo Internacional para la Protecciσn de los Buques y las Instalaciones Portuarias, PBIP, para el caso Colombiano se refiere a los puertos y muelles de comercio exterior y operados o no por sociedades portuarias.</w:t>
      </w:r>
    </w:p>
    <w:p>
      <w:pPr>
        <w:jc w:val="both"/>
      </w:pPr>
      <w:rPr>
        <w:sz w:val="24"/>
        <w:color w:val="black"/>
      </w:rPr>
    </w:p>
    <w:p>
      <w:pPr>
        <w:jc w:val="both"/>
      </w:pPr>
      <w:r>
        <w:rPr>
          <w:rFonts w:hAnsi="Arial"/>
          <w:rFonts w:ascii="Arial"/>
          <w:sz w:val="24"/>
          <w:color w:val="black"/>
        </w:rPr>
        <w:t xml:space="preserve">Prσrroga. Es el acto mediante el cual la Autoridad Marνtima Nacional amplνa el tιrmino de vigencia de una certificaciσn.</w:t>
      </w:r>
    </w:p>
    <w:p>
      <w:pPr>
        <w:jc w:val="both"/>
      </w:pPr>
      <w:rPr>
        <w:sz w:val="24"/>
        <w:color w:val="black"/>
      </w:rPr>
    </w:p>
    <w:p>
      <w:pPr>
        <w:jc w:val="both"/>
      </w:pPr>
      <w:r>
        <w:rPr>
          <w:rFonts w:hAnsi="Arial"/>
          <w:rFonts w:ascii="Arial"/>
          <w:sz w:val="24"/>
          <w:color w:val="black"/>
        </w:rPr>
        <w:t xml:space="preserve">Refrendo. Es el acto de visado efectuado por la Autoridad Marνtima Nacional, en el cual se certifica que durante las verificaciones periσdicas, se mantienen las condiciones iniciales que dieron origen a la expediciσn del certificado. Este acto se realiza durante el tiempo de vigencia de una certificaciσn.</w:t>
      </w:r>
    </w:p>
    <w:p>
      <w:pPr>
        <w:jc w:val="both"/>
      </w:pPr>
      <w:rPr>
        <w:sz w:val="24"/>
        <w:color w:val="black"/>
      </w:rPr>
    </w:p>
    <w:p>
      <w:pPr>
        <w:jc w:val="both"/>
      </w:pPr>
      <w:r>
        <w:rPr>
          <w:rFonts w:hAnsi="Arial"/>
          <w:rFonts w:ascii="Arial"/>
          <w:sz w:val="24"/>
          <w:color w:val="black"/>
        </w:rPr>
        <w:t xml:space="preserve">Renovaciσn. Es el acto de expediciσn de una nueva certificaciσn antes de su vencimiento previa verificaciσn de todos los aspectos relativos al cumplimiento de los requerimientos del Cσdigo de Protecciσn de Buques e Instalaciones Portuarias, PBIP.</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61643" w:name="SECCIÓN 2.4.6.1.2"/>
      <w:r>
        <w:rPr>
          <w:rFonts w:hAnsi="Arial"/>
          <w:rFonts w:ascii="Arial"/>
          <w:sz w:val="24"/>
          <w:color w:val="navy"/>
        </w:rPr>
        <w:t xml:space="preserve">SECCIΣN 2. </w:t>
      </w:r>
    </w:p>
    <w:p>
      <w:pPr>
        <w:jc w:val="center"/>
      </w:pPr>
      <w:r>
        <w:rPr>
          <w:rFonts w:hAnsi="Arial"/>
          <w:rFonts w:ascii="Arial"/>
          <w:sz w:val="24"/>
          <w:color w:val="navy"/>
        </w:rPr>
        <w:t xml:space="preserve">AUTORIDADES, FUNCIONES Y DESIGNACIONES.</w:t>
      </w:r>
      <w:bookmarkEnd w:id="6164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44" w:name="2.4.6.1.2.1"/>
      <w:r>
        <w:rPr>
          <w:rFonts w:hAnsi="Arial"/>
          <w:rFonts w:ascii="Arial"/>
          <w:sz w:val="24"/>
          <w:color w:val="navy"/>
        </w:rPr>
        <w:t xml:space="preserve">ARTΝCULO 2.4.6.1.2.1. </w:t>
      </w:r>
      <w:r>
        <w:rPr>
          <w:rFonts w:hAnsi="Arial"/>
          <w:rFonts w:ascii="Arial"/>
          <w:sz w:val="24"/>
          <w:i/>
          <w:color w:val="navy"/>
        </w:rPr>
        <w:t>AUTORIDADES.</w:t>
      </w:r>
      <w:bookmarkEnd w:id="61644"/>
      <w:r>
        <w:rPr>
          <w:rFonts w:hAnsi="Arial"/>
          <w:rFonts w:ascii="Arial"/>
          <w:sz w:val="24"/>
          <w:b/>
          <w:i/>
          <w:color w:val="black"/>
        </w:rPr>
        <w:t xml:space="preserve"> </w:t>
      </w:r>
      <w:r>
        <w:rPr>
          <w:rFonts w:hAnsi="Arial"/>
          <w:rFonts w:ascii="Arial"/>
          <w:sz w:val="24"/>
          <w:color w:val="black"/>
        </w:rPr>
        <w:t xml:space="preserve">Las autoridades competentes para efectos del presente Tνtulo son: El Ministerio de Defensa Nacional-Direcciσn General Marνtima (DIMAR), el Ministerio de Transporte y la Superintendencia de Puertos y Transporte.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45" w:name="2.4.6.1.2.2"/>
      <w:r>
        <w:rPr>
          <w:rFonts w:hAnsi="Arial"/>
          <w:rFonts w:ascii="Arial"/>
          <w:sz w:val="24"/>
          <w:color w:val="navy"/>
        </w:rPr>
        <w:t xml:space="preserve">ARTΝCULO 2.4.6.1.2.2. </w:t>
      </w:r>
      <w:r>
        <w:rPr>
          <w:rFonts w:hAnsi="Arial"/>
          <w:rFonts w:ascii="Arial"/>
          <w:sz w:val="24"/>
          <w:i/>
          <w:color w:val="navy"/>
        </w:rPr>
        <w:t>CONCEPTOS.</w:t>
      </w:r>
      <w:bookmarkEnd w:id="61645"/>
      <w:r>
        <w:rPr>
          <w:rFonts w:hAnsi="Arial"/>
          <w:rFonts w:ascii="Arial"/>
          <w:sz w:val="24"/>
          <w:b/>
          <w:i/>
          <w:color w:val="black"/>
        </w:rPr>
        <w:t xml:space="preserve"> </w:t>
      </w:r>
      <w:r>
        <w:rPr>
          <w:rFonts w:hAnsi="Arial"/>
          <w:rFonts w:ascii="Arial"/>
          <w:sz w:val="24"/>
          <w:color w:val="black"/>
        </w:rPr>
        <w:t xml:space="preserve">El Ministerio de Transporte, emitirα concepto a la Direcciσn General Marνtima, DIMAR, sobre el nivel de protecciσn aplicable a las instalaciones portuarias, su plan de protecciσn, asν como a las enmiendas del mismo.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46" w:name="2.4.6.1.2.3"/>
      <w:r>
        <w:rPr>
          <w:rFonts w:hAnsi="Arial"/>
          <w:rFonts w:ascii="Arial"/>
          <w:sz w:val="24"/>
          <w:color w:val="navy"/>
        </w:rPr>
        <w:t xml:space="preserve">ARTΝCULO 2.4.6.1.2.3. </w:t>
      </w:r>
      <w:r>
        <w:rPr>
          <w:rFonts w:hAnsi="Arial"/>
          <w:rFonts w:ascii="Arial"/>
          <w:sz w:val="24"/>
          <w:i/>
          <w:color w:val="navy"/>
        </w:rPr>
        <w:t xml:space="preserve">CONTROL Y VIGILANCIA.</w:t>
      </w:r>
      <w:bookmarkEnd w:id="61646"/>
      <w:r>
        <w:rPr>
          <w:rFonts w:hAnsi="Arial"/>
          <w:rFonts w:ascii="Arial"/>
          <w:sz w:val="24"/>
          <w:b/>
          <w:i/>
          <w:color w:val="black"/>
        </w:rPr>
        <w:t xml:space="preserve"> </w:t>
      </w:r>
      <w:r>
        <w:rPr>
          <w:rFonts w:hAnsi="Arial"/>
          <w:rFonts w:ascii="Arial"/>
          <w:sz w:val="24"/>
          <w:color w:val="black"/>
        </w:rPr>
        <w:t xml:space="preserve">La Superintendencia de Puertos y Transporte controlarα y vigilarα el cumplimiento de las disposiciones contenidas en el presente Tνtulo y del Cσdigo Internacional para la Protecciσn de los Buques y las Instalaciones Portuarias, PBIP, relacionadas con las instalaciones portuarias.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47" w:name="2.4.6.1.2.4"/>
      <w:r>
        <w:rPr>
          <w:rFonts w:hAnsi="Arial"/>
          <w:rFonts w:ascii="Arial"/>
          <w:sz w:val="24"/>
          <w:color w:val="navy"/>
        </w:rPr>
        <w:t xml:space="preserve">ARTΝCULO 2.4.6.1.2.4. </w:t>
      </w:r>
      <w:r>
        <w:rPr>
          <w:rFonts w:hAnsi="Arial"/>
          <w:rFonts w:ascii="Arial"/>
          <w:sz w:val="24"/>
          <w:i/>
          <w:color w:val="navy"/>
        </w:rPr>
        <w:t xml:space="preserve">PROTECCIΣN DE INSTALACIONES PORTUARIAS Y BUQUES.</w:t>
      </w:r>
      <w:bookmarkEnd w:id="61647"/>
      <w:r>
        <w:rPr>
          <w:rFonts w:hAnsi="Arial"/>
          <w:rFonts w:ascii="Arial"/>
          <w:sz w:val="24"/>
          <w:b/>
          <w:i/>
          <w:color w:val="black"/>
        </w:rPr>
        <w:t xml:space="preserve"> </w:t>
      </w:r>
      <w:r>
        <w:rPr>
          <w:rFonts w:hAnsi="Arial"/>
          <w:rFonts w:ascii="Arial"/>
          <w:sz w:val="24"/>
          <w:color w:val="black"/>
        </w:rPr>
        <w:t xml:space="preserve">La Direcciσn General Marνtima del Ministerio de Defensa Nacional serα la autoridad designada por el Gobierno Colombiano, para desempeρar las funciones de protecciσn en relaciσn con las instalaciones portuarias y de los buques, indicadas en el Capνtulo XI-2 o el denominado Cσdigo Internacional para la Protecciσn de los Buques y de las Instalaciones Portuarias, PBIP.</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648" w:name="2.4.6.1.2.5"/>
      <w:r>
        <w:rPr>
          <w:rFonts w:hAnsi="Arial"/>
          <w:rFonts w:ascii="Arial"/>
          <w:sz w:val="24"/>
          <w:color w:val="navy"/>
        </w:rPr>
        <w:t xml:space="preserve">ARTΝCULO 2.4.6.1.2.5. </w:t>
      </w:r>
      <w:r>
        <w:rPr>
          <w:rFonts w:hAnsi="Arial"/>
          <w:rFonts w:ascii="Arial"/>
          <w:sz w:val="24"/>
          <w:i/>
          <w:color w:val="navy"/>
        </w:rPr>
        <w:t xml:space="preserve">FUNCIONES DIMAR.</w:t>
      </w:r>
      <w:bookmarkEnd w:id="61648"/>
      <w:r>
        <w:rPr>
          <w:rFonts w:hAnsi="Arial"/>
          <w:rFonts w:ascii="Arial"/>
          <w:sz w:val="24"/>
          <w:b/>
          <w:i/>
          <w:color w:val="black"/>
        </w:rPr>
        <w:t xml:space="preserve"> </w:t>
      </w:r>
      <w:r>
        <w:rPr>
          <w:rFonts w:hAnsi="Arial"/>
          <w:rFonts w:ascii="Arial"/>
          <w:sz w:val="24"/>
          <w:color w:val="black"/>
        </w:rPr>
        <w:t xml:space="preserve">La Direcciσn General Marνtima, DIMAR, para efectos del presente Tνtulo tendrα las siguientes funciones:</w:t>
      </w:r>
    </w:p>
    <w:p>
      <w:pPr>
        <w:jc w:val="both"/>
      </w:pPr>
      <w:rPr>
        <w:sz w:val="24"/>
        <w:color w:val="black"/>
      </w:rPr>
    </w:p>
    <w:p>
      <w:pPr>
        <w:jc w:val="both"/>
      </w:pPr>
      <w:r>
        <w:rPr>
          <w:rFonts w:hAnsi="Arial"/>
          <w:rFonts w:ascii="Arial"/>
          <w:sz w:val="24"/>
          <w:color w:val="black"/>
        </w:rPr>
        <w:t xml:space="preserve">1. Verificar las evaluaciones y los planes de protecciσn de buques y de instalaciones portuarias.</w:t>
      </w:r>
    </w:p>
    <w:p>
      <w:pPr>
        <w:jc w:val="both"/>
      </w:pPr>
      <w:rPr>
        <w:sz w:val="24"/>
        <w:color w:val="black"/>
      </w:rPr>
    </w:p>
    <w:p>
      <w:pPr>
        <w:jc w:val="both"/>
      </w:pPr>
      <w:r>
        <w:rPr>
          <w:rFonts w:hAnsi="Arial"/>
          <w:rFonts w:ascii="Arial"/>
          <w:sz w:val="24"/>
          <w:color w:val="black"/>
        </w:rPr>
        <w:t xml:space="preserve">2. Aprobar los planes de protecciσn de buques, de las instalaciones portuarias y los cambios o enmiendas que se realicen a los mismos.</w:t>
      </w:r>
    </w:p>
    <w:p>
      <w:pPr>
        <w:jc w:val="both"/>
      </w:pPr>
      <w:rPr>
        <w:color w:val="black"/>
      </w:rPr>
    </w:p>
    <w:p>
      <w:pPr>
        <w:jc w:val="both"/>
      </w:pPr>
      <w:r>
        <w:rPr>
          <w:rFonts w:hAnsi="Arial"/>
          <w:rFonts w:ascii="Arial"/>
          <w:sz w:val="24"/>
          <w:color w:val="black"/>
        </w:rPr>
        <w:t xml:space="preserve">3. Expedir los certificados de protecciσn a los buques y el documento de cumplimiento a las instalaciones portuarias.</w:t>
      </w:r>
    </w:p>
    <w:p>
      <w:pPr>
        <w:jc w:val="both"/>
      </w:pPr>
      <w:rPr>
        <w:sz w:val="24"/>
        <w:color w:val="black"/>
      </w:rPr>
    </w:p>
    <w:p>
      <w:pPr>
        <w:jc w:val="both"/>
      </w:pPr>
      <w:r>
        <w:rPr>
          <w:rFonts w:hAnsi="Arial"/>
          <w:rFonts w:ascii="Arial"/>
          <w:sz w:val="24"/>
          <w:color w:val="black"/>
        </w:rPr>
        <w:t xml:space="preserve">4. Comunicar a la Organizaciσn Marνtima Internacional, OMI, cuando conceda las autorizaciones seρaladas en la Secciσn 15.6 y 16.9 de la Parte A del Cσdigo Internacional para la Protecciσn de los Buques y de las Instalaciones Portuarias, PBIP.</w:t>
      </w:r>
    </w:p>
    <w:p>
      <w:pPr>
        <w:jc w:val="both"/>
      </w:pPr>
      <w:rPr>
        <w:sz w:val="24"/>
        <w:color w:val="black"/>
      </w:rPr>
    </w:p>
    <w:p>
      <w:pPr>
        <w:jc w:val="both"/>
      </w:pPr>
      <w:r>
        <w:rPr>
          <w:rFonts w:hAnsi="Arial"/>
          <w:rFonts w:ascii="Arial"/>
          <w:sz w:val="24"/>
          <w:color w:val="black"/>
        </w:rPr>
        <w:t xml:space="preserve">5. Aprobar los planes y programas "que para tal efecto dicten los centros de formaciσn y compaρνas avalados por DIMAR, los cuales deberαn cumplir como mνnimo los parαmetros de los Cursos OMI.</w:t>
      </w:r>
    </w:p>
    <w:p>
      <w:pPr>
        <w:jc w:val="both"/>
      </w:pPr>
      <w:rPr>
        <w:sz w:val="24"/>
        <w:color w:val="black"/>
      </w:rPr>
    </w:p>
    <w:p>
      <w:pPr>
        <w:jc w:val="both"/>
      </w:pPr>
      <w:r>
        <w:rPr>
          <w:rFonts w:hAnsi="Arial"/>
          <w:rFonts w:ascii="Arial"/>
          <w:sz w:val="24"/>
          <w:color w:val="black"/>
        </w:rPr>
        <w:t xml:space="preserve">6. Adoptar los formatos y guνas que se requieran para la implementaciσn del Cσdigo Internacional para la Protecciσn de los Buques y las Instalaciones Portuarias, PBIP, asν como establecer los procedimientos para el diligenciamiento de los mismos.</w:t>
      </w:r>
    </w:p>
    <w:p>
      <w:pPr>
        <w:jc w:val="both"/>
      </w:pPr>
      <w:rPr>
        <w:sz w:val="24"/>
        <w:color w:val="black"/>
      </w:rPr>
    </w:p>
    <w:p>
      <w:pPr>
        <w:jc w:val="both"/>
      </w:pPr>
      <w:r>
        <w:rPr>
          <w:rFonts w:hAnsi="Arial"/>
          <w:rFonts w:ascii="Arial"/>
          <w:sz w:val="24"/>
          <w:color w:val="black"/>
        </w:rPr>
        <w:t xml:space="preserve">7. Realizar verificaciones a los planes de protecciσn de los buques y de las instalaciones portuarias, por medio de auditorνas o inspecciones, cuando lo considere necesario o la circunstancia lo amerite, de oficio o a peticiσn de parte.</w:t>
      </w:r>
    </w:p>
    <w:p>
      <w:pPr>
        <w:jc w:val="both"/>
      </w:pPr>
      <w:rPr>
        <w:sz w:val="24"/>
        <w:color w:val="black"/>
      </w:rPr>
    </w:p>
    <w:p>
      <w:pPr>
        <w:jc w:val="both"/>
      </w:pPr>
      <w:r>
        <w:rPr>
          <w:rFonts w:hAnsi="Arial"/>
          <w:rFonts w:ascii="Arial"/>
          <w:sz w:val="24"/>
          <w:color w:val="black"/>
        </w:rPr>
        <w:t xml:space="preserve">8. Refrendar, prorrogar y renovar los certificados de protecciσn a los buques y el documento de cumplimiento a las instalaciones portuarias.</w:t>
      </w:r>
    </w:p>
    <w:p>
      <w:pPr>
        <w:jc w:val="both"/>
      </w:pPr>
      <w:rPr>
        <w:sz w:val="24"/>
        <w:color w:val="black"/>
      </w:rPr>
    </w:p>
    <w:p>
      <w:pPr>
        <w:jc w:val="both"/>
      </w:pPr>
      <w:r>
        <w:rPr>
          <w:rFonts w:hAnsi="Arial"/>
          <w:rFonts w:ascii="Arial"/>
          <w:sz w:val="24"/>
          <w:color w:val="black"/>
        </w:rPr>
        <w:t xml:space="preserve">9. Establecer el nivel de protecciσn aplicable en los buques e instalaciones portuarias y comunicar esta determinaciσn a la Armada Nacional y/o al Ministerio de Transporte, respectivamente, y demαs autoridades competentes.</w:t>
      </w:r>
    </w:p>
    <w:p>
      <w:pPr>
        <w:jc w:val="both"/>
      </w:pPr>
      <w:rPr>
        <w:color w:val="black"/>
      </w:rPr>
    </w:p>
    <w:p>
      <w:pPr>
        <w:jc w:val="both"/>
      </w:pPr>
      <w:r>
        <w:rPr>
          <w:rFonts w:hAnsi="Arial"/>
          <w:rFonts w:ascii="Arial"/>
          <w:sz w:val="24"/>
          <w:color w:val="black"/>
        </w:rPr>
        <w:t xml:space="preserve">10. Coordinar y concertar con las autoridades correspondientes las decisiones que se relacionen con funciones o temas sobre los cuales tengan competencias otras entidades.</w:t>
      </w:r>
    </w:p>
    <w:p>
      <w:pPr>
        <w:jc w:val="both"/>
      </w:pPr>
      <w:rPr>
        <w:sz w:val="24"/>
        <w:color w:val="black"/>
      </w:rPr>
    </w:p>
    <w:p>
      <w:pPr>
        <w:jc w:val="both"/>
      </w:pPr>
      <w:r>
        <w:rPr>
          <w:rFonts w:hAnsi="Arial"/>
          <w:rFonts w:ascii="Arial"/>
          <w:sz w:val="24"/>
          <w:color w:val="black"/>
        </w:rPr>
        <w:t xml:space="preserve">11. Y las demαs, que tengan relaciσn con la protecciσn de los buques y las instalaciones portuarias en Colombia, siempre y cuando dicha funciσn no estι asignada a otra entidad.</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49" w:name="2.4.6.1.2.6"/>
      <w:r>
        <w:rPr>
          <w:rFonts w:hAnsi="Arial"/>
          <w:rFonts w:ascii="Arial"/>
          <w:sz w:val="24"/>
          <w:color w:val="navy"/>
        </w:rPr>
        <w:t xml:space="preserve">ARTΝCULO 2.4.6.1.2.6. </w:t>
      </w:r>
      <w:r>
        <w:rPr>
          <w:rFonts w:hAnsi="Arial"/>
          <w:rFonts w:ascii="Arial"/>
          <w:sz w:val="24"/>
          <w:i/>
          <w:color w:val="navy"/>
        </w:rPr>
        <w:t xml:space="preserve">REGISTRO DE ORGANIZACIONES DE PROTECCIΣN RECONOCIDAS.</w:t>
      </w:r>
      <w:bookmarkEnd w:id="61649"/>
      <w:r>
        <w:rPr>
          <w:rFonts w:hAnsi="Arial"/>
          <w:rFonts w:ascii="Arial"/>
          <w:sz w:val="24"/>
          <w:b/>
          <w:i/>
          <w:color w:val="black"/>
        </w:rPr>
        <w:t xml:space="preserve"> </w:t>
      </w:r>
      <w:r>
        <w:rPr>
          <w:rFonts w:hAnsi="Arial"/>
          <w:rFonts w:ascii="Arial"/>
          <w:sz w:val="24"/>
          <w:color w:val="black"/>
        </w:rPr>
        <w:t xml:space="preserve">La Direcciσn General Marνtima, Dimar, Divisiσn de Gente de Mar y Naves o quien haga sus veces-deberα llevar el Registro de las Organizaciones de Protecciσn Reconocidas (OPR), de acuerdo con lo establecido en el Capνtulo XI-2 o del denominado Cσdigo Internacional para la Protecciσn de los Buques y las Instalaciones Portuarias-PBIP, el Convenio Internacional para la Seguridad de la Vida Humana en el Mar de 1974-SOLAS y sus Enmiendas.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650" w:name="2.4.6.1.2.7"/>
      <w:r>
        <w:rPr>
          <w:rFonts w:hAnsi="Arial"/>
          <w:rFonts w:ascii="Arial"/>
          <w:sz w:val="24"/>
          <w:color w:val="navy"/>
        </w:rPr>
        <w:t xml:space="preserve">ARTΝCULO 2.4.6.1.2.7. </w:t>
      </w:r>
      <w:r>
        <w:rPr>
          <w:rFonts w:hAnsi="Arial"/>
          <w:rFonts w:ascii="Arial"/>
          <w:sz w:val="24"/>
          <w:i/>
          <w:color w:val="navy"/>
        </w:rPr>
        <w:t xml:space="preserve">ACTIVIDADES DE LAS ORGANIZACIONES DE PROTECCIΣN RECONOCIDAS.</w:t>
      </w:r>
      <w:bookmarkEnd w:id="61650"/>
      <w:r>
        <w:rPr>
          <w:rFonts w:hAnsi="Arial"/>
          <w:rFonts w:ascii="Arial"/>
          <w:sz w:val="24"/>
          <w:b/>
          <w:i/>
          <w:color w:val="black"/>
        </w:rPr>
        <w:t xml:space="preserve"> </w:t>
      </w:r>
      <w:r>
        <w:rPr>
          <w:rFonts w:hAnsi="Arial"/>
          <w:rFonts w:ascii="Arial"/>
          <w:sz w:val="24"/>
          <w:color w:val="black"/>
        </w:rPr>
        <w:t xml:space="preserve">La Direcciσn General Marνtima podrα mediante acto administrativo motivado, autorizar a Organizaciones de Protecciσn Reconocidas, OPR, para que realice las siguientes actividades:</w:t>
      </w:r>
    </w:p>
    <w:p>
      <w:pPr>
        <w:jc w:val="both"/>
      </w:pPr>
      <w:rPr>
        <w:sz w:val="24"/>
        <w:color w:val="black"/>
      </w:rPr>
    </w:p>
    <w:p>
      <w:pPr>
        <w:jc w:val="both"/>
      </w:pPr>
      <w:r>
        <w:rPr>
          <w:rFonts w:hAnsi="Arial"/>
          <w:rFonts w:ascii="Arial"/>
          <w:sz w:val="24"/>
          <w:color w:val="black"/>
        </w:rPr>
        <w:t xml:space="preserve">a) Evaluaciσn de protecciσn de los buques;</w:t>
      </w:r>
    </w:p>
    <w:p>
      <w:pPr>
        <w:jc w:val="both"/>
      </w:pPr>
      <w:rPr>
        <w:sz w:val="24"/>
        <w:color w:val="black"/>
      </w:rPr>
    </w:p>
    <w:p>
      <w:pPr>
        <w:jc w:val="both"/>
      </w:pPr>
      <w:r>
        <w:rPr>
          <w:rFonts w:hAnsi="Arial"/>
          <w:rFonts w:ascii="Arial"/>
          <w:sz w:val="24"/>
          <w:color w:val="black"/>
        </w:rPr>
        <w:t xml:space="preserve">b) Elaboraciσn de planes de protecciσn de buques;</w:t>
      </w:r>
    </w:p>
    <w:p>
      <w:pPr>
        <w:jc w:val="both"/>
      </w:pPr>
      <w:rPr>
        <w:sz w:val="24"/>
        <w:color w:val="black"/>
      </w:rPr>
    </w:p>
    <w:p>
      <w:pPr>
        <w:jc w:val="both"/>
      </w:pPr>
      <w:r>
        <w:rPr>
          <w:rFonts w:hAnsi="Arial"/>
          <w:rFonts w:ascii="Arial"/>
          <w:sz w:val="24"/>
          <w:color w:val="black"/>
        </w:rPr>
        <w:t xml:space="preserve">c) Evaluaciones de protecciσn de las instalaciones portuarias;</w:t>
      </w:r>
    </w:p>
    <w:p>
      <w:pPr>
        <w:jc w:val="both"/>
      </w:pPr>
      <w:rPr>
        <w:sz w:val="24"/>
        <w:color w:val="black"/>
      </w:rPr>
    </w:p>
    <w:p>
      <w:pPr>
        <w:jc w:val="both"/>
      </w:pPr>
      <w:r>
        <w:rPr>
          <w:rFonts w:hAnsi="Arial"/>
          <w:rFonts w:ascii="Arial"/>
          <w:sz w:val="24"/>
          <w:color w:val="black"/>
        </w:rPr>
        <w:t xml:space="preserve">d) Elaboraciσn de planes de protecciσn de instalaciones portuarias;</w:t>
      </w:r>
    </w:p>
    <w:p>
      <w:pPr>
        <w:jc w:val="both"/>
      </w:pPr>
      <w:rPr>
        <w:sz w:val="24"/>
        <w:color w:val="black"/>
      </w:rPr>
    </w:p>
    <w:p>
      <w:pPr>
        <w:jc w:val="both"/>
      </w:pPr>
      <w:r>
        <w:rPr>
          <w:rFonts w:hAnsi="Arial"/>
          <w:rFonts w:ascii="Arial"/>
          <w:sz w:val="24"/>
          <w:color w:val="black"/>
        </w:rPr>
        <w:t xml:space="preserve">e) Capacitaciσn de personal respecto de los planes elaborados por las OPR.</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651" w:name="CAPÍTULO 2.4.6.2"/>
      <w:r>
        <w:rPr>
          <w:rFonts w:hAnsi="Arial"/>
          <w:rFonts w:ascii="Arial"/>
          <w:sz w:val="24"/>
          <w:color w:val="navy"/>
        </w:rPr>
        <w:t xml:space="preserve">CAPΝTULO 2. </w:t>
      </w:r>
    </w:p>
    <w:p>
      <w:pPr>
        <w:jc w:val="center"/>
      </w:pPr>
      <w:r>
        <w:rPr>
          <w:rFonts w:hAnsi="Arial"/>
          <w:rFonts w:ascii="Arial"/>
          <w:sz w:val="24"/>
          <w:color w:val="navy"/>
        </w:rPr>
        <w:t xml:space="preserve">GESTIΣN DE PROTECCIΣN DEL BUQUE.</w:t>
      </w:r>
      <w:bookmarkEnd w:id="61651"/>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652" w:name="SECCIÓN 2.4.6.2.1"/>
      <w:r>
        <w:rPr>
          <w:rFonts w:hAnsi="Arial"/>
          <w:rFonts w:ascii="Arial"/>
          <w:sz w:val="24"/>
          <w:color w:val="navy"/>
        </w:rPr>
        <w:t xml:space="preserve">SECCIΣN 1. </w:t>
      </w:r>
    </w:p>
    <w:p>
      <w:pPr>
        <w:jc w:val="center"/>
      </w:pPr>
      <w:r>
        <w:rPr>
          <w:rFonts w:hAnsi="Arial"/>
          <w:rFonts w:ascii="Arial"/>
          <w:sz w:val="24"/>
          <w:color w:val="navy"/>
        </w:rPr>
        <w:t xml:space="preserve">PROCEDIMIENTO PARA LA CERTIFICACIΣN.</w:t>
      </w:r>
      <w:bookmarkEnd w:id="616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53" w:name="2.4.6.2.1.1"/>
      <w:r>
        <w:rPr>
          <w:rFonts w:hAnsi="Arial"/>
          <w:rFonts w:ascii="Arial"/>
          <w:sz w:val="24"/>
          <w:color w:val="navy"/>
        </w:rPr>
        <w:t xml:space="preserve">ARTΝCULO 2.4.6.2.1.1. </w:t>
      </w:r>
      <w:r>
        <w:rPr>
          <w:rFonts w:hAnsi="Arial"/>
          <w:rFonts w:ascii="Arial"/>
          <w:sz w:val="24"/>
          <w:i/>
          <w:color w:val="navy"/>
        </w:rPr>
        <w:t xml:space="preserve">PROCESO DE CERTIFICACIΣN.</w:t>
      </w:r>
      <w:bookmarkEnd w:id="61653"/>
      <w:r>
        <w:rPr>
          <w:rFonts w:hAnsi="Arial"/>
          <w:rFonts w:ascii="Arial"/>
          <w:sz w:val="24"/>
          <w:b/>
          <w:i/>
          <w:color w:val="black"/>
        </w:rPr>
        <w:t xml:space="preserve"> </w:t>
      </w:r>
      <w:r>
        <w:rPr>
          <w:rFonts w:hAnsi="Arial"/>
          <w:rFonts w:ascii="Arial"/>
          <w:sz w:val="24"/>
          <w:color w:val="black"/>
        </w:rPr>
        <w:t xml:space="preserve">El proceso de certificaciσn comprende ocho etapas que deberαn ser cumplidas para obtener el Certificado Internacional de Protecciσn de los buques a saber:</w:t>
      </w:r>
    </w:p>
    <w:p>
      <w:pPr>
        <w:jc w:val="both"/>
      </w:pPr>
      <w:rPr>
        <w:sz w:val="24"/>
        <w:color w:val="black"/>
      </w:rPr>
    </w:p>
    <w:p>
      <w:pPr>
        <w:jc w:val="both"/>
      </w:pPr>
      <w:r>
        <w:rPr>
          <w:rFonts w:hAnsi="Arial"/>
          <w:rFonts w:ascii="Arial"/>
          <w:sz w:val="24"/>
          <w:color w:val="black"/>
        </w:rPr>
        <w:t xml:space="preserve">1. Diseρo y Presentaciσn a Dimar de la Evaluaciσn de Protecciσn.</w:t>
      </w:r>
    </w:p>
    <w:p>
      <w:pPr>
        <w:jc w:val="both"/>
      </w:pPr>
      <w:rPr>
        <w:sz w:val="24"/>
        <w:color w:val="black"/>
      </w:rPr>
    </w:p>
    <w:p>
      <w:pPr>
        <w:jc w:val="both"/>
      </w:pPr>
      <w:r>
        <w:rPr>
          <w:rFonts w:hAnsi="Arial"/>
          <w:rFonts w:ascii="Arial"/>
          <w:sz w:val="24"/>
          <w:color w:val="black"/>
        </w:rPr>
        <w:t xml:space="preserve">2. Verificaciσn de la Evaluaciσn de Protecciσn.</w:t>
      </w:r>
    </w:p>
    <w:p>
      <w:pPr>
        <w:jc w:val="both"/>
      </w:pPr>
      <w:rPr>
        <w:sz w:val="24"/>
        <w:color w:val="black"/>
      </w:rPr>
    </w:p>
    <w:p>
      <w:pPr>
        <w:jc w:val="both"/>
      </w:pPr>
      <w:r>
        <w:rPr>
          <w:rFonts w:hAnsi="Arial"/>
          <w:rFonts w:ascii="Arial"/>
          <w:sz w:val="24"/>
          <w:color w:val="black"/>
        </w:rPr>
        <w:t xml:space="preserve">3. Aprobaciσn de la Evaluaciσn de Protecciσn.</w:t>
      </w:r>
    </w:p>
    <w:p>
      <w:pPr>
        <w:jc w:val="both"/>
      </w:pPr>
      <w:rPr>
        <w:sz w:val="24"/>
        <w:color w:val="black"/>
      </w:rPr>
    </w:p>
    <w:p>
      <w:pPr>
        <w:jc w:val="both"/>
      </w:pPr>
      <w:r>
        <w:rPr>
          <w:rFonts w:hAnsi="Arial"/>
          <w:rFonts w:ascii="Arial"/>
          <w:sz w:val="24"/>
          <w:color w:val="black"/>
        </w:rPr>
        <w:t xml:space="preserve">4. Diseρo y Presentaciσn a Dimar del Plan de Protecciσn.</w:t>
      </w:r>
    </w:p>
    <w:p>
      <w:pPr>
        <w:jc w:val="both"/>
      </w:pPr>
      <w:rPr>
        <w:sz w:val="24"/>
        <w:color w:val="black"/>
      </w:rPr>
    </w:p>
    <w:p>
      <w:pPr>
        <w:jc w:val="both"/>
      </w:pPr>
      <w:r>
        <w:rPr>
          <w:rFonts w:hAnsi="Arial"/>
          <w:rFonts w:ascii="Arial"/>
          <w:sz w:val="24"/>
          <w:color w:val="black"/>
        </w:rPr>
        <w:t xml:space="preserve">5. Verificaciσn del Plan de Protecciσn.</w:t>
      </w:r>
    </w:p>
    <w:p>
      <w:pPr>
        <w:jc w:val="both"/>
      </w:pPr>
      <w:rPr>
        <w:sz w:val="24"/>
        <w:color w:val="black"/>
      </w:rPr>
    </w:p>
    <w:p>
      <w:pPr>
        <w:jc w:val="both"/>
      </w:pPr>
      <w:r>
        <w:rPr>
          <w:rFonts w:hAnsi="Arial"/>
          <w:rFonts w:ascii="Arial"/>
          <w:sz w:val="24"/>
          <w:color w:val="black"/>
        </w:rPr>
        <w:t xml:space="preserve">6. Aprobaciσn del Plan de Protecciσn.</w:t>
      </w:r>
    </w:p>
    <w:p>
      <w:pPr>
        <w:jc w:val="both"/>
      </w:pPr>
      <w:rPr>
        <w:sz w:val="24"/>
        <w:color w:val="black"/>
      </w:rPr>
    </w:p>
    <w:p>
      <w:pPr>
        <w:jc w:val="both"/>
      </w:pPr>
      <w:r>
        <w:rPr>
          <w:rFonts w:hAnsi="Arial"/>
          <w:rFonts w:ascii="Arial"/>
          <w:sz w:val="24"/>
          <w:color w:val="black"/>
        </w:rPr>
        <w:t xml:space="preserve">7. Implementaciσn del Plan de Protecciσn.</w:t>
      </w:r>
    </w:p>
    <w:p>
      <w:pPr>
        <w:jc w:val="both"/>
      </w:pPr>
      <w:rPr>
        <w:sz w:val="24"/>
        <w:color w:val="black"/>
      </w:rPr>
    </w:p>
    <w:p>
      <w:pPr>
        <w:jc w:val="both"/>
      </w:pPr>
      <w:r>
        <w:rPr>
          <w:rFonts w:hAnsi="Arial"/>
          <w:rFonts w:ascii="Arial"/>
          <w:sz w:val="24"/>
          <w:color w:val="black"/>
        </w:rPr>
        <w:t xml:space="preserve">8. Verificaciσn y expediciσn de la Certificaciσn Internacional de Protecciσn del buque a cargo de Dimar.</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54" w:name="SECCIÓN 2.4.6.2.2"/>
      <w:r>
        <w:rPr>
          <w:rFonts w:hAnsi="Arial"/>
          <w:rFonts w:ascii="Arial"/>
          <w:sz w:val="24"/>
          <w:color w:val="navy"/>
        </w:rPr>
        <w:t xml:space="preserve">SECCIΣN 2. </w:t>
      </w:r>
    </w:p>
    <w:p>
      <w:pPr>
        <w:jc w:val="center"/>
      </w:pPr>
      <w:r>
        <w:rPr>
          <w:rFonts w:hAnsi="Arial"/>
          <w:rFonts w:ascii="Arial"/>
          <w:sz w:val="24"/>
          <w:color w:val="navy"/>
        </w:rPr>
        <w:t xml:space="preserve">EVALUACIΣN DE LA PROTECCIΣN.</w:t>
      </w:r>
      <w:bookmarkEnd w:id="6165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55" w:name="2.4.6.2.2.1"/>
      <w:r>
        <w:rPr>
          <w:rFonts w:hAnsi="Arial"/>
          <w:rFonts w:ascii="Arial"/>
          <w:sz w:val="24"/>
          <w:color w:val="navy"/>
        </w:rPr>
        <w:t xml:space="preserve">ARTΝCULO 2.4.6.2.2.1. </w:t>
      </w:r>
      <w:r>
        <w:rPr>
          <w:rFonts w:hAnsi="Arial"/>
          <w:rFonts w:ascii="Arial"/>
          <w:sz w:val="24"/>
          <w:i/>
          <w:color w:val="navy"/>
        </w:rPr>
        <w:t xml:space="preserve">EVALUACIΣN DE PROTECCIΣN.</w:t>
      </w:r>
      <w:bookmarkEnd w:id="61655"/>
      <w:r>
        <w:rPr>
          <w:rFonts w:hAnsi="Arial"/>
          <w:rFonts w:ascii="Arial"/>
          <w:sz w:val="24"/>
          <w:b/>
          <w:i/>
          <w:color w:val="black"/>
        </w:rPr>
        <w:t xml:space="preserve"> </w:t>
      </w:r>
      <w:r>
        <w:rPr>
          <w:rFonts w:hAnsi="Arial"/>
          <w:rFonts w:ascii="Arial"/>
          <w:sz w:val="24"/>
          <w:color w:val="black"/>
        </w:rPr>
        <w:t xml:space="preserve">La Evaluaciσn de Protecciσn de un determinado buque o buques de una misma Compaρνa podrα ser elaborada por la Compaρνa o la Organizaciσn de Protecciσn Reconocida, OPR, previamente autorizada por la Direcciσn General Marνtima, Dimar, para tal efecto, siguiendo los lineamientos establecidos en las partes A y B del Cσdigo Internacional para la Protecciσn de los Buques y las Instalaciones Portuarias, PBIP.</w:t>
      </w:r>
    </w:p>
    <w:p>
      <w:pPr>
        <w:jc w:val="both"/>
      </w:pPr>
      <w:rPr>
        <w:sz w:val="24"/>
        <w:color w:val="black"/>
      </w:rPr>
    </w:p>
    <w:p>
      <w:pPr>
        <w:jc w:val="both"/>
      </w:pPr>
      <w:r>
        <w:rPr>
          <w:rFonts w:hAnsi="Arial"/>
          <w:rFonts w:ascii="Arial"/>
          <w:sz w:val="24"/>
          <w:color w:val="black"/>
        </w:rPr>
        <w:t xml:space="preserve">La Evaluaciσn de Protecciσn consiste fundamentalmente en un anαlisis del riesgo de todos los aspectos del funcionamiento del buque, para determinar quι partes de ιl son mαs susceptibles, y/o el objetivo mαs probable para ocasionar un incidente de Protecciσn.</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Es responsabilidad de la compaρνa documentar, revisar, aceptar y conservar la evaluaciσn de la protecciσn del buque, por el tιrmino de cinco (5) aρos.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Compaρνa deberα presentar el informe de la Evaluaciσn de Protecciσn ante la Autoridad Marνtima Nacional.</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56" w:name="SECCIÓN 2.4.6.2.3"/>
      <w:r>
        <w:rPr>
          <w:rFonts w:hAnsi="Arial"/>
          <w:rFonts w:ascii="Arial"/>
          <w:sz w:val="24"/>
          <w:color w:val="navy"/>
        </w:rPr>
        <w:t xml:space="preserve">SECCIΣN 3. </w:t>
      </w:r>
    </w:p>
    <w:p>
      <w:pPr>
        <w:jc w:val="center"/>
      </w:pPr>
      <w:r>
        <w:rPr>
          <w:rFonts w:hAnsi="Arial"/>
          <w:rFonts w:ascii="Arial"/>
          <w:sz w:val="24"/>
          <w:color w:val="navy"/>
        </w:rPr>
        <w:t xml:space="preserve">PLAN DE PROTECCIΣN DEL BUQUE.</w:t>
      </w:r>
      <w:bookmarkEnd w:id="6165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57" w:name="2.4.6.2.3.1"/>
      <w:r>
        <w:rPr>
          <w:rFonts w:hAnsi="Arial"/>
          <w:rFonts w:ascii="Arial"/>
          <w:sz w:val="24"/>
          <w:color w:val="navy"/>
        </w:rPr>
        <w:t xml:space="preserve">ARTΝCULO 2.4.6.2.3.1. </w:t>
      </w:r>
      <w:r>
        <w:rPr>
          <w:rFonts w:hAnsi="Arial"/>
          <w:rFonts w:ascii="Arial"/>
          <w:sz w:val="24"/>
          <w:i/>
          <w:color w:val="navy"/>
        </w:rPr>
        <w:t xml:space="preserve">PLAN DE PROTECCIΣN.</w:t>
      </w:r>
      <w:bookmarkEnd w:id="61657"/>
      <w:r>
        <w:rPr>
          <w:rFonts w:hAnsi="Arial"/>
          <w:rFonts w:ascii="Arial"/>
          <w:sz w:val="24"/>
          <w:b/>
          <w:i/>
          <w:color w:val="black"/>
        </w:rPr>
        <w:t xml:space="preserve"> </w:t>
      </w:r>
      <w:r>
        <w:rPr>
          <w:rFonts w:hAnsi="Arial"/>
          <w:rFonts w:ascii="Arial"/>
          <w:sz w:val="24"/>
          <w:color w:val="black"/>
        </w:rPr>
        <w:t xml:space="preserve">Todo buque de bandera colombiana llevarα a bordo un plan de protecciσn del buque aprobado por la Direcciσn General Marνtima, Dimar, el plan comprenderα los tres niveles de protecciσn que se definen en la parte A del Cσdigo Internacional para la Protecciσn de los Buques y las Instalaciones Portuarias, PBIP.</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58" w:name="2.4.6.2.3.2"/>
      <w:r>
        <w:rPr>
          <w:rFonts w:hAnsi="Arial"/>
          <w:rFonts w:ascii="Arial"/>
          <w:sz w:val="24"/>
          <w:color w:val="navy"/>
        </w:rPr>
        <w:t xml:space="preserve">ARTΝCULO 2.4.6.2.3.2. </w:t>
      </w:r>
      <w:r>
        <w:rPr>
          <w:rFonts w:hAnsi="Arial"/>
          <w:rFonts w:ascii="Arial"/>
          <w:sz w:val="24"/>
          <w:i/>
          <w:color w:val="navy"/>
        </w:rPr>
        <w:t xml:space="preserve">PLAN DE PROTECCIΣN DE BUQUES DE UNA MISMA COMPAΡΝA.</w:t>
      </w:r>
      <w:bookmarkEnd w:id="61658"/>
      <w:r>
        <w:rPr>
          <w:rFonts w:hAnsi="Arial"/>
          <w:rFonts w:ascii="Arial"/>
          <w:sz w:val="24"/>
          <w:b/>
          <w:i/>
          <w:color w:val="black"/>
        </w:rPr>
        <w:t xml:space="preserve"> </w:t>
      </w:r>
      <w:r>
        <w:rPr>
          <w:rFonts w:hAnsi="Arial"/>
          <w:rFonts w:ascii="Arial"/>
          <w:sz w:val="24"/>
          <w:color w:val="black"/>
        </w:rPr>
        <w:t xml:space="preserve">El Plan de Protecciσn de un determinado buque o buques de una misma compaρνa podrα ser elaborado por la Compaρνa o la Organizaciσn de Protecciσn Reconocida, OPR, autorizada por la Direcciσn General Marνtima, Dimar para tal efecto. El plan de protecciσn del buque deberα indicar las medidas de seguridad operacional y fνsicas del buque, para cada uno de los niveles de protecciσn que se definen en Cσdigo Internacional para la Protecciσn de los Buques y las Instalaciones Portuarias, PBIP.</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59" w:name="2.4.6.2.3.3"/>
      <w:r>
        <w:rPr>
          <w:rFonts w:hAnsi="Arial"/>
          <w:rFonts w:ascii="Arial"/>
          <w:sz w:val="24"/>
          <w:color w:val="navy"/>
        </w:rPr>
        <w:t xml:space="preserve">ARTΝCULO 2.4.6.2.3.3. </w:t>
      </w:r>
      <w:r>
        <w:rPr>
          <w:rFonts w:hAnsi="Arial"/>
          <w:rFonts w:ascii="Arial"/>
          <w:sz w:val="24"/>
          <w:i/>
          <w:color w:val="navy"/>
        </w:rPr>
        <w:t xml:space="preserve">APROBACIΣN PLAN DE PROTECCIΣN.</w:t>
      </w:r>
      <w:bookmarkEnd w:id="61659"/>
      <w:r>
        <w:rPr>
          <w:rFonts w:hAnsi="Arial"/>
          <w:rFonts w:ascii="Arial"/>
          <w:sz w:val="24"/>
          <w:b/>
          <w:i/>
          <w:color w:val="black"/>
        </w:rPr>
        <w:t xml:space="preserve"> </w:t>
      </w:r>
      <w:r>
        <w:rPr>
          <w:rFonts w:hAnsi="Arial"/>
          <w:rFonts w:ascii="Arial"/>
          <w:sz w:val="24"/>
          <w:color w:val="black"/>
        </w:rPr>
        <w:t xml:space="preserve">La Compaρνa deberα presentar ante la autoridad marνtima, para su aprobaciσn, el plan de protecciσn del buque, siguiendo las prescripciones de la Parte A del Cσdigo Internacional para la Protecciσn de los Buques y las Instalaciones Portuarias, PBIP, el resultado de la evaluaciσn de protecciσn del buque, las orientaciones de la Parte B del mismo cσdigo y la guνa y/o procedimiento que la Direcciσn General Marνtima adopte para tal fin utilizando el formato correspondiente.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60" w:name="2.4.6.2.3.4"/>
      <w:r>
        <w:rPr>
          <w:rFonts w:hAnsi="Arial"/>
          <w:rFonts w:ascii="Arial"/>
          <w:sz w:val="24"/>
          <w:color w:val="navy"/>
        </w:rPr>
        <w:t xml:space="preserve">ARTΝCULO 2.4.6.2.3.4. </w:t>
      </w:r>
      <w:r>
        <w:rPr>
          <w:rFonts w:hAnsi="Arial"/>
          <w:rFonts w:ascii="Arial"/>
          <w:sz w:val="24"/>
          <w:i/>
          <w:color w:val="navy"/>
        </w:rPr>
        <w:t xml:space="preserve">REGISTRO DEL PLAN DE PROTECCIΣN.</w:t>
      </w:r>
      <w:bookmarkEnd w:id="61660"/>
      <w:r>
        <w:rPr>
          <w:rFonts w:hAnsi="Arial"/>
          <w:rFonts w:ascii="Arial"/>
          <w:sz w:val="24"/>
          <w:b/>
          <w:i/>
          <w:color w:val="black"/>
        </w:rPr>
        <w:t xml:space="preserve"> </w:t>
      </w:r>
      <w:r>
        <w:rPr>
          <w:rFonts w:hAnsi="Arial"/>
          <w:rFonts w:ascii="Arial"/>
          <w:sz w:val="24"/>
          <w:color w:val="black"/>
        </w:rPr>
        <w:t xml:space="preserve">La aprobaciσn del Plan o de sus enmiendas por la Direcciσn General Marνtima serα registrada por esta en el cuerpo del plan, a menos que dicho plan se encuentre en formato electrσnico, en cuyo caso su aprobaciσn y enmiendas se registrarα en soporte papel y se conservarα por el tιrmino de cinco (5) aρos, junto con los certificados previstos en la Parte A del Cσdigo Internacional para la Protecciσn de los Buques y las Instalaciones Portuarias, PBIP.</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61" w:name="SECCIÓN 2.4.6.2.4"/>
      <w:r>
        <w:rPr>
          <w:rFonts w:hAnsi="Arial"/>
          <w:rFonts w:ascii="Arial"/>
          <w:sz w:val="24"/>
          <w:color w:val="navy"/>
        </w:rPr>
        <w:t xml:space="preserve">SECCIΣN 4. </w:t>
      </w:r>
    </w:p>
    <w:p>
      <w:pPr>
        <w:jc w:val="center"/>
      </w:pPr>
      <w:r>
        <w:rPr>
          <w:rFonts w:hAnsi="Arial"/>
          <w:rFonts w:ascii="Arial"/>
          <w:sz w:val="24"/>
          <w:color w:val="navy"/>
        </w:rPr>
        <w:t xml:space="preserve">NIVEL DE PROTECCIΣN.</w:t>
      </w:r>
      <w:bookmarkEnd w:id="6166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62" w:name="2.4.6.2.4.1"/>
      <w:r>
        <w:rPr>
          <w:rFonts w:hAnsi="Arial"/>
          <w:rFonts w:ascii="Arial"/>
          <w:sz w:val="24"/>
          <w:color w:val="navy"/>
        </w:rPr>
        <w:t xml:space="preserve">ARTΝCULO 2.4.6.2.4.1. </w:t>
      </w:r>
      <w:r>
        <w:rPr>
          <w:rFonts w:hAnsi="Arial"/>
          <w:rFonts w:ascii="Arial"/>
          <w:sz w:val="24"/>
          <w:i/>
          <w:color w:val="navy"/>
        </w:rPr>
        <w:t xml:space="preserve">NIVEL DE PROTECCIΣN.</w:t>
      </w:r>
      <w:bookmarkEnd w:id="61662"/>
      <w:r>
        <w:rPr>
          <w:rFonts w:hAnsi="Arial"/>
          <w:rFonts w:ascii="Arial"/>
          <w:sz w:val="24"/>
          <w:b/>
          <w:i/>
          <w:color w:val="black"/>
        </w:rPr>
        <w:t xml:space="preserve"> </w:t>
      </w:r>
      <w:r>
        <w:rPr>
          <w:rFonts w:hAnsi="Arial"/>
          <w:rFonts w:ascii="Arial"/>
          <w:sz w:val="24"/>
          <w:color w:val="black"/>
        </w:rPr>
        <w:t xml:space="preserve">Cuando la Direcciσn General Marνtima, Dimar, establezca el nivel de protecciσn 2 σ 3, mediante acto administrativo, informarα a los buques o a su compaρνa tal determinaciσn y este deberα acusar recibo de la instrucciσn sobre el cambio del nivel protecciσn.</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63" w:name="2.4.6.2.4.2"/>
      <w:r>
        <w:rPr>
          <w:rFonts w:hAnsi="Arial"/>
          <w:rFonts w:ascii="Arial"/>
          <w:sz w:val="24"/>
          <w:color w:val="navy"/>
        </w:rPr>
        <w:t xml:space="preserve">ARTΝCULO 2.4.6.2.4.2. </w:t>
      </w:r>
      <w:r>
        <w:rPr>
          <w:rFonts w:hAnsi="Arial"/>
          <w:rFonts w:ascii="Arial"/>
          <w:sz w:val="24"/>
          <w:i/>
          <w:color w:val="navy"/>
        </w:rPr>
        <w:t>OBLIGACIONES.</w:t>
      </w:r>
      <w:bookmarkEnd w:id="61663"/>
      <w:r>
        <w:rPr>
          <w:rFonts w:hAnsi="Arial"/>
          <w:rFonts w:ascii="Arial"/>
          <w:sz w:val="24"/>
          <w:b/>
          <w:i/>
          <w:color w:val="black"/>
        </w:rPr>
        <w:t xml:space="preserve"> </w:t>
      </w:r>
      <w:r>
        <w:rPr>
          <w:rFonts w:hAnsi="Arial"/>
          <w:rFonts w:ascii="Arial"/>
          <w:sz w:val="24"/>
          <w:color w:val="black"/>
        </w:rPr>
        <w:t xml:space="preserve">Los buques que recalen en puertos colombianos de comercio exterior y de transporte internacional de pasajeros estαn obligados a actuar con arreglo a los niveles de protecciσn establecidos por el Gobierno colombiano.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64" w:name="SECCIÓN 2.4.6.2.5"/>
      <w:r>
        <w:rPr>
          <w:rFonts w:hAnsi="Arial"/>
          <w:rFonts w:ascii="Arial"/>
          <w:sz w:val="24"/>
          <w:color w:val="navy"/>
        </w:rPr>
        <w:t xml:space="preserve">SECCIΣN 5. </w:t>
      </w:r>
    </w:p>
    <w:p>
      <w:pPr>
        <w:jc w:val="center"/>
      </w:pPr>
      <w:r>
        <w:rPr>
          <w:rFonts w:hAnsi="Arial"/>
          <w:rFonts w:ascii="Arial"/>
          <w:sz w:val="24"/>
          <w:color w:val="navy"/>
        </w:rPr>
        <w:t xml:space="preserve">CERTIFICADO INTERNACIONAL DE PROTECCIΣN.</w:t>
      </w:r>
      <w:bookmarkEnd w:id="6166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65" w:name="2.4.6.2.5.1"/>
      <w:r>
        <w:rPr>
          <w:rFonts w:hAnsi="Arial"/>
          <w:rFonts w:ascii="Arial"/>
          <w:sz w:val="24"/>
          <w:color w:val="navy"/>
        </w:rPr>
        <w:t xml:space="preserve">ARTΝCULO 2.4.6.2.5.1. </w:t>
      </w:r>
      <w:r>
        <w:rPr>
          <w:rFonts w:hAnsi="Arial"/>
          <w:rFonts w:ascii="Arial"/>
          <w:sz w:val="24"/>
          <w:i/>
          <w:color w:val="navy"/>
        </w:rPr>
        <w:t xml:space="preserve">CERTIFICADO INTERNACIONAL DE PROTECCIΣN.</w:t>
      </w:r>
      <w:bookmarkEnd w:id="61665"/>
      <w:r>
        <w:rPr>
          <w:rFonts w:hAnsi="Arial"/>
          <w:rFonts w:ascii="Arial"/>
          <w:sz w:val="24"/>
          <w:b/>
          <w:i/>
          <w:color w:val="black"/>
        </w:rPr>
        <w:t xml:space="preserve"> </w:t>
      </w:r>
      <w:r>
        <w:rPr>
          <w:rFonts w:hAnsi="Arial"/>
          <w:rFonts w:ascii="Arial"/>
          <w:sz w:val="24"/>
          <w:color w:val="black"/>
        </w:rPr>
        <w:t xml:space="preserve">El Certificado Internacional de Protecciσn del Buque se expedirα por la Autoridad Marνtima Nacional por el tιrmino mαximo de cinco (5) aρos, contados a partir de la fecha de su expediciσn.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renovaciσn del Certificado Internacional de Protecciσn del Buque debe tramitarse con no menos de tres (3) meses de antelaciσn al vencimiento del mismo.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66" w:name="2.4.6.2.5.2"/>
      <w:r>
        <w:rPr>
          <w:rFonts w:hAnsi="Arial"/>
          <w:rFonts w:ascii="Arial"/>
          <w:sz w:val="24"/>
          <w:color w:val="navy"/>
        </w:rPr>
        <w:t xml:space="preserve">ARTΝCULO 2.4.6.2.5.2. </w:t>
      </w:r>
      <w:r>
        <w:rPr>
          <w:rFonts w:hAnsi="Arial"/>
          <w:rFonts w:ascii="Arial"/>
          <w:sz w:val="24"/>
          <w:i/>
          <w:color w:val="navy"/>
        </w:rPr>
        <w:t xml:space="preserve">PRΣRROGA DEL CERTIFICADO INTERNACIONAL DE PROTECCIΣN.</w:t>
      </w:r>
      <w:bookmarkEnd w:id="61666"/>
      <w:r>
        <w:rPr>
          <w:rFonts w:hAnsi="Arial"/>
          <w:rFonts w:ascii="Arial"/>
          <w:sz w:val="24"/>
          <w:b/>
          <w:i/>
          <w:color w:val="black"/>
        </w:rPr>
        <w:t xml:space="preserve"> </w:t>
      </w:r>
      <w:r>
        <w:rPr>
          <w:rFonts w:hAnsi="Arial"/>
          <w:rFonts w:ascii="Arial"/>
          <w:sz w:val="24"/>
          <w:color w:val="black"/>
        </w:rPr>
        <w:t xml:space="preserve">La prσrroga del certificado internacional de protecciσn del buque se podrα realizar en los siguientes casos:</w:t>
      </w:r>
    </w:p>
    <w:p>
      <w:pPr>
        <w:jc w:val="both"/>
      </w:pPr>
      <w:rPr>
        <w:sz w:val="24"/>
        <w:color w:val="black"/>
      </w:rPr>
    </w:p>
    <w:p>
      <w:pPr>
        <w:jc w:val="both"/>
      </w:pPr>
      <w:r>
        <w:rPr>
          <w:rFonts w:hAnsi="Arial"/>
          <w:rFonts w:ascii="Arial"/>
          <w:sz w:val="24"/>
          <w:color w:val="black"/>
        </w:rPr>
        <w:t xml:space="preserve">1. Cuando la Autoridad Marνtima Nacional haya expedido el certificado por un perνodo inferior a 5 aρos, podrα prorrogar su validez, hasta cubrir el periodo de 5 aρos.</w:t>
      </w:r>
    </w:p>
    <w:p>
      <w:pPr>
        <w:jc w:val="both"/>
      </w:pPr>
      <w:rPr>
        <w:sz w:val="24"/>
        <w:color w:val="black"/>
      </w:rPr>
    </w:p>
    <w:p>
      <w:pPr>
        <w:jc w:val="both"/>
      </w:pPr>
      <w:r>
        <w:rPr>
          <w:rFonts w:hAnsi="Arial"/>
          <w:rFonts w:ascii="Arial"/>
          <w:sz w:val="24"/>
          <w:color w:val="black"/>
        </w:rPr>
        <w:t xml:space="preserve">2. Cuando el buque no se encuentra en el puerto en que haya de ser objeto de verificaciσn, con el fin de que el buque pueda proseguir su viaje hasta el puerto en que haya de ser objeto de verificaciσn, esta prσrroga no podrα ser superior a 3 meses.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67" w:name="2.4.6.2.5.3"/>
      <w:r>
        <w:rPr>
          <w:rFonts w:hAnsi="Arial"/>
          <w:rFonts w:ascii="Arial"/>
          <w:sz w:val="24"/>
          <w:color w:val="navy"/>
        </w:rPr>
        <w:t xml:space="preserve">ARTΝCULO 2.4.6.2.5.3. </w:t>
      </w:r>
      <w:r>
        <w:rPr>
          <w:rFonts w:hAnsi="Arial"/>
          <w:rFonts w:ascii="Arial"/>
          <w:sz w:val="24"/>
          <w:i/>
          <w:color w:val="navy"/>
        </w:rPr>
        <w:t xml:space="preserve">BUQUES NO OBLIGADOS A CERTIFICARSE.</w:t>
      </w:r>
      <w:bookmarkEnd w:id="61667"/>
      <w:r>
        <w:rPr>
          <w:rFonts w:hAnsi="Arial"/>
          <w:rFonts w:ascii="Arial"/>
          <w:sz w:val="24"/>
          <w:b/>
          <w:i/>
          <w:color w:val="black"/>
        </w:rPr>
        <w:t xml:space="preserve"> </w:t>
      </w:r>
      <w:r>
        <w:rPr>
          <w:rFonts w:hAnsi="Arial"/>
          <w:rFonts w:ascii="Arial"/>
          <w:sz w:val="24"/>
          <w:color w:val="black"/>
        </w:rPr>
        <w:t xml:space="preserve">Los buques que no estιn obligados a certificarse, que de manera voluntaria cumplan las prescripciones del Capνtulo XI-2 del Convenio Internacional para la Seguridad de la Vida Humana en el Mar-SOLAS/74-y del Cσdigo Internacional para la Protecciσn de los Buques y de las Instalaciones Portuarias, PBIP podrαn solicitar su certificaciσn en los tιrminos del presente Tνtulo.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68" w:name="SECCIÓN 2.4.6.2.6"/>
      <w:r>
        <w:rPr>
          <w:rFonts w:hAnsi="Arial"/>
          <w:rFonts w:ascii="Arial"/>
          <w:sz w:val="24"/>
          <w:color w:val="navy"/>
        </w:rPr>
        <w:t xml:space="preserve">SECCIΣN 6. </w:t>
      </w:r>
    </w:p>
    <w:p>
      <w:pPr>
        <w:jc w:val="center"/>
      </w:pPr>
      <w:r>
        <w:rPr>
          <w:rFonts w:hAnsi="Arial"/>
          <w:rFonts w:ascii="Arial"/>
          <w:sz w:val="24"/>
          <w:color w:val="navy"/>
        </w:rPr>
        <w:t xml:space="preserve">CERTIFICADO PROVISIONAL.</w:t>
      </w:r>
      <w:bookmarkEnd w:id="616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69" w:name="2.4.6.2.6.1"/>
      <w:r>
        <w:rPr>
          <w:rFonts w:hAnsi="Arial"/>
          <w:rFonts w:ascii="Arial"/>
          <w:sz w:val="24"/>
          <w:color w:val="navy"/>
        </w:rPr>
        <w:t xml:space="preserve">ARTΝCULO 2.4.6.2.6.1. </w:t>
      </w:r>
      <w:r>
        <w:rPr>
          <w:rFonts w:hAnsi="Arial"/>
          <w:rFonts w:ascii="Arial"/>
          <w:sz w:val="24"/>
          <w:i/>
          <w:color w:val="navy"/>
        </w:rPr>
        <w:t xml:space="preserve">CERTIFICADO PROVISIONAL.</w:t>
      </w:r>
      <w:bookmarkEnd w:id="61669"/>
      <w:r>
        <w:rPr>
          <w:rFonts w:hAnsi="Arial"/>
          <w:rFonts w:ascii="Arial"/>
          <w:sz w:val="24"/>
          <w:b/>
          <w:i/>
          <w:color w:val="black"/>
        </w:rPr>
        <w:t xml:space="preserve"> </w:t>
      </w:r>
      <w:r>
        <w:rPr>
          <w:rFonts w:hAnsi="Arial"/>
          <w:rFonts w:ascii="Arial"/>
          <w:sz w:val="24"/>
          <w:color w:val="black"/>
        </w:rPr>
        <w:t xml:space="preserve">El certificado provisional sσlo serα vαlido por un periodo mαximo de 6 meses o hasta que se expida el certificado definitivo, sin que sobrepase dicho tιrmino. El certificado provisional se expedirα en los siguientes casos:</w:t>
      </w:r>
    </w:p>
    <w:p>
      <w:pPr>
        <w:jc w:val="both"/>
      </w:pPr>
      <w:rPr>
        <w:sz w:val="24"/>
        <w:color w:val="black"/>
      </w:rPr>
    </w:p>
    <w:p>
      <w:pPr>
        <w:jc w:val="both"/>
      </w:pPr>
      <w:r>
        <w:rPr>
          <w:rFonts w:hAnsi="Arial"/>
          <w:rFonts w:ascii="Arial"/>
          <w:sz w:val="24"/>
          <w:color w:val="black"/>
        </w:rPr>
        <w:t xml:space="preserve">1. Cuando el buque carezca de certificado en su fecha de entrega o antes de su entrada en servicio o su reincorporaciσn.</w:t>
      </w:r>
    </w:p>
    <w:p>
      <w:pPr>
        <w:jc w:val="both"/>
      </w:pPr>
      <w:rPr>
        <w:sz w:val="24"/>
        <w:color w:val="black"/>
      </w:rPr>
    </w:p>
    <w:p>
      <w:pPr>
        <w:jc w:val="both"/>
      </w:pPr>
      <w:r>
        <w:rPr>
          <w:rFonts w:hAnsi="Arial"/>
          <w:rFonts w:ascii="Arial"/>
          <w:sz w:val="24"/>
          <w:color w:val="black"/>
        </w:rPr>
        <w:t xml:space="preserve">2. Transferencia del buque del pabellσn de un Gobierno Contratante al pabellσn de otro Gobierno Contratante.</w:t>
      </w:r>
    </w:p>
    <w:p>
      <w:pPr>
        <w:jc w:val="both"/>
      </w:pPr>
      <w:rPr>
        <w:sz w:val="24"/>
        <w:color w:val="black"/>
      </w:rPr>
    </w:p>
    <w:p>
      <w:pPr>
        <w:jc w:val="both"/>
      </w:pPr>
      <w:r>
        <w:rPr>
          <w:rFonts w:hAnsi="Arial"/>
          <w:rFonts w:ascii="Arial"/>
          <w:sz w:val="24"/>
          <w:color w:val="black"/>
        </w:rPr>
        <w:t xml:space="preserve">3. Transferencia del buque a un pabellσn de un Gobierno Contratante procedente de un Estado que no sea un Gobierno Contratante, o</w:t>
      </w:r>
    </w:p>
    <w:p>
      <w:pPr>
        <w:jc w:val="both"/>
      </w:pPr>
      <w:rPr>
        <w:sz w:val="24"/>
        <w:color w:val="black"/>
      </w:rPr>
    </w:p>
    <w:p>
      <w:pPr>
        <w:jc w:val="both"/>
      </w:pPr>
      <w:r>
        <w:rPr>
          <w:rFonts w:hAnsi="Arial"/>
          <w:rFonts w:ascii="Arial"/>
          <w:sz w:val="24"/>
          <w:color w:val="black"/>
        </w:rPr>
        <w:t xml:space="preserve">4. Cuando una compaρνa asuma la responsabilidad de la explotaciσn de un buque que no haya gestionado previamente.</w:t>
      </w:r>
    </w:p>
    <w:p>
      <w:pPr>
        <w:jc w:val="both"/>
      </w:pPr>
      <w:rPr>
        <w:sz w:val="24"/>
        <w:color w:val="black"/>
      </w:rPr>
    </w:p>
    <w:p>
      <w:pPr>
        <w:jc w:val="both"/>
      </w:pPr>
      <w:r>
        <w:rPr>
          <w:rFonts w:hAnsi="Arial"/>
          <w:rFonts w:ascii="Arial"/>
          <w:sz w:val="24"/>
          <w:i/>
          <w:color w:val="black"/>
        </w:rPr>
        <w:t xml:space="preserve"> (Decreto 0730 de 2004 artνculo </w:t>
      </w:r>
      <w:r>
        <w:fldChar w:fldCharType="begin"/>
      </w:r>
      <w:r>
        <w:instrText>HYPERLINK "http://www.redjurista.com/document.aspx?ajcode=d0730004&amp;arts=21"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70" w:name="SECCIÓN 2.4.6.2.7"/>
      <w:r>
        <w:rPr>
          <w:rFonts w:hAnsi="Arial"/>
          <w:rFonts w:ascii="Arial"/>
          <w:sz w:val="24"/>
          <w:color w:val="navy"/>
        </w:rPr>
        <w:t xml:space="preserve">SECCIΣN 7. </w:t>
      </w:r>
    </w:p>
    <w:p>
      <w:pPr>
        <w:jc w:val="center"/>
      </w:pPr>
      <w:r>
        <w:rPr>
          <w:rFonts w:hAnsi="Arial"/>
          <w:rFonts w:ascii="Arial"/>
          <w:sz w:val="24"/>
          <w:color w:val="navy"/>
        </w:rPr>
        <w:t xml:space="preserve">OFICIALES DE PROTECCIΣN DEL BUQUE.</w:t>
      </w:r>
      <w:bookmarkEnd w:id="6167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71" w:name="2.4.6.2.7.1"/>
      <w:r>
        <w:rPr>
          <w:rFonts w:hAnsi="Arial"/>
          <w:rFonts w:ascii="Arial"/>
          <w:sz w:val="24"/>
          <w:color w:val="navy"/>
        </w:rPr>
        <w:t xml:space="preserve">ARTΝCULO 2.4.6.2.7.1. </w:t>
      </w:r>
      <w:r>
        <w:rPr>
          <w:rFonts w:hAnsi="Arial"/>
          <w:rFonts w:ascii="Arial"/>
          <w:sz w:val="24"/>
          <w:i/>
          <w:color w:val="navy"/>
        </w:rPr>
        <w:t xml:space="preserve">OFICIAL DE PROTECCIΣN DEL BUQUE.</w:t>
      </w:r>
      <w:bookmarkEnd w:id="61671"/>
      <w:r>
        <w:rPr>
          <w:rFonts w:hAnsi="Arial"/>
          <w:rFonts w:ascii="Arial"/>
          <w:sz w:val="24"/>
          <w:b/>
          <w:i/>
          <w:color w:val="black"/>
        </w:rPr>
        <w:t xml:space="preserve"> </w:t>
      </w:r>
      <w:r>
        <w:rPr>
          <w:rFonts w:hAnsi="Arial"/>
          <w:rFonts w:ascii="Arial"/>
          <w:sz w:val="24"/>
          <w:color w:val="black"/>
        </w:rPr>
        <w:t xml:space="preserve">El oficial de protecciσn del buque es la persona designada por la compaρνa para gestionar, mantener y evaluar continuamente el plan de protecciσn del buque. Igualmente estarα encargado de la coordinaciσn con los Oficiales de Protecciσn de las Instalaciones Portuarias.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72" w:name="2.4.6.2.7.2"/>
      <w:r>
        <w:rPr>
          <w:rFonts w:hAnsi="Arial"/>
          <w:rFonts w:ascii="Arial"/>
          <w:sz w:val="24"/>
          <w:color w:val="navy"/>
        </w:rPr>
        <w:t xml:space="preserve">ARTΝCULO 2.4.6.2.7.2. </w:t>
      </w:r>
      <w:r>
        <w:rPr>
          <w:rFonts w:hAnsi="Arial"/>
          <w:rFonts w:ascii="Arial"/>
          <w:sz w:val="24"/>
          <w:i/>
          <w:color w:val="navy"/>
        </w:rPr>
        <w:t xml:space="preserve">INSCRIPCIΣN COMO OFICIAL DE PROTECCIΣN DEL BUQUE.</w:t>
      </w:r>
      <w:bookmarkEnd w:id="61672"/>
      <w:r>
        <w:rPr>
          <w:rFonts w:hAnsi="Arial"/>
          <w:rFonts w:ascii="Arial"/>
          <w:sz w:val="24"/>
          <w:b/>
          <w:i/>
          <w:color w:val="black"/>
        </w:rPr>
        <w:t xml:space="preserve"> </w:t>
      </w:r>
      <w:r>
        <w:rPr>
          <w:rFonts w:hAnsi="Arial"/>
          <w:rFonts w:ascii="Arial"/>
          <w:sz w:val="24"/>
          <w:color w:val="black"/>
        </w:rPr>
        <w:t xml:space="preserve">Para inscribirse como Oficial de Protecciσn del Buque deberα cumplir los siguientes requisitos:</w:t>
      </w:r>
    </w:p>
    <w:p>
      <w:pPr>
        <w:jc w:val="both"/>
      </w:pPr>
      <w:rPr>
        <w:sz w:val="24"/>
        <w:color w:val="black"/>
      </w:rPr>
    </w:p>
    <w:p>
      <w:pPr>
        <w:jc w:val="both"/>
      </w:pPr>
      <w:r>
        <w:rPr>
          <w:rFonts w:hAnsi="Arial"/>
          <w:rFonts w:ascii="Arial"/>
          <w:sz w:val="24"/>
          <w:color w:val="black"/>
        </w:rPr>
        <w:t xml:space="preserve">1. Tener tνtulo de oficial de altura categorνa "A" con mνnimo tres (3) aρos de experiencia a bordo de buques.</w:t>
      </w:r>
    </w:p>
    <w:p>
      <w:pPr>
        <w:jc w:val="both"/>
      </w:pPr>
      <w:rPr>
        <w:sz w:val="24"/>
        <w:color w:val="black"/>
      </w:rPr>
    </w:p>
    <w:p>
      <w:pPr>
        <w:jc w:val="both"/>
      </w:pPr>
      <w:r>
        <w:rPr>
          <w:rFonts w:hAnsi="Arial"/>
          <w:rFonts w:ascii="Arial"/>
          <w:sz w:val="24"/>
          <w:color w:val="black"/>
        </w:rPr>
        <w:t xml:space="preserve">2. Aprobar el curso modelo OMI 3.19 en protecciσn marνtima en las instituciones avaladas por la Direcciσn General Marνtima, los cursos realizados en el exterior deberαn ser homologados por la Autoridad Marνtima Nacional.</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1673" w:name="SECCIÓN 2.4.6.2.8"/>
      <w:r>
        <w:rPr>
          <w:rFonts w:hAnsi="Arial"/>
          <w:rFonts w:ascii="Arial"/>
          <w:sz w:val="24"/>
          <w:color w:val="navy"/>
        </w:rPr>
        <w:t xml:space="preserve">SECCIΣN 8. </w:t>
      </w:r>
    </w:p>
    <w:p>
      <w:pPr>
        <w:jc w:val="center"/>
      </w:pPr>
      <w:r>
        <w:rPr>
          <w:rFonts w:hAnsi="Arial"/>
          <w:rFonts w:ascii="Arial"/>
          <w:sz w:val="24"/>
          <w:color w:val="navy"/>
        </w:rPr>
        <w:t xml:space="preserve">OFICIALES DE LA COMPAΡΝA PARA LA PROTECCIΣN MARΝTIMA.</w:t>
      </w:r>
      <w:bookmarkEnd w:id="6167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74" w:name="2.4.6.2.8.1"/>
      <w:r>
        <w:rPr>
          <w:rFonts w:hAnsi="Arial"/>
          <w:rFonts w:ascii="Arial"/>
          <w:sz w:val="24"/>
          <w:color w:val="navy"/>
        </w:rPr>
        <w:t xml:space="preserve">ARTΝCULO 2.4.6.2.8.1. </w:t>
      </w:r>
      <w:r>
        <w:rPr>
          <w:rFonts w:hAnsi="Arial"/>
          <w:rFonts w:ascii="Arial"/>
          <w:sz w:val="24"/>
          <w:i/>
          <w:color w:val="navy"/>
        </w:rPr>
        <w:t xml:space="preserve">OFICIALES DE LA COMPAΡΝA PARA LA PROTECCIΣN MARΝTIMA.</w:t>
      </w:r>
      <w:bookmarkEnd w:id="61674"/>
      <w:r>
        <w:rPr>
          <w:rFonts w:hAnsi="Arial"/>
          <w:rFonts w:ascii="Arial"/>
          <w:sz w:val="24"/>
          <w:b/>
          <w:i/>
          <w:color w:val="black"/>
        </w:rPr>
        <w:t xml:space="preserve"> </w:t>
      </w:r>
      <w:r>
        <w:rPr>
          <w:rFonts w:hAnsi="Arial"/>
          <w:rFonts w:ascii="Arial"/>
          <w:sz w:val="24"/>
          <w:color w:val="black"/>
        </w:rPr>
        <w:t xml:space="preserve">El oficial de la compaρνa para la protecciσn marνtima es la persona designada por la compaρνa para garantizar y coordinar el diseρo, aprobaciσn e implementaciσn del plan de protecciσn en el buque o buques de la misma.</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75" w:name="2.4.6.2.8.2"/>
      <w:r>
        <w:rPr>
          <w:rFonts w:hAnsi="Arial"/>
          <w:rFonts w:ascii="Arial"/>
          <w:sz w:val="24"/>
          <w:color w:val="navy"/>
        </w:rPr>
        <w:t xml:space="preserve">ARTΝCULO 2.4.6.2.8.2. </w:t>
      </w:r>
      <w:r>
        <w:rPr>
          <w:rFonts w:hAnsi="Arial"/>
          <w:rFonts w:ascii="Arial"/>
          <w:sz w:val="24"/>
          <w:i/>
          <w:color w:val="navy"/>
        </w:rPr>
        <w:t xml:space="preserve">REQUISITOS PARA OFICIAL DE LA COMPAΡΝA PARA LA PROTECCIΣN MARΝTIMA.</w:t>
      </w:r>
      <w:bookmarkEnd w:id="61675"/>
      <w:r>
        <w:rPr>
          <w:rFonts w:hAnsi="Arial"/>
          <w:rFonts w:ascii="Arial"/>
          <w:sz w:val="24"/>
          <w:b/>
          <w:i/>
          <w:color w:val="black"/>
        </w:rPr>
        <w:t xml:space="preserve"> </w:t>
      </w:r>
      <w:r>
        <w:rPr>
          <w:rFonts w:hAnsi="Arial"/>
          <w:rFonts w:ascii="Arial"/>
          <w:sz w:val="24"/>
          <w:color w:val="black"/>
        </w:rPr>
        <w:t xml:space="preserve">Para inscribirse como oficial de la compaρνa para la protecciσn marνtima deberα cumplir los siguientes requisitos:</w:t>
      </w:r>
    </w:p>
    <w:p>
      <w:pPr>
        <w:jc w:val="both"/>
      </w:pPr>
      <w:rPr>
        <w:sz w:val="24"/>
        <w:color w:val="black"/>
      </w:rPr>
    </w:p>
    <w:p>
      <w:pPr>
        <w:jc w:val="both"/>
      </w:pPr>
      <w:r>
        <w:rPr>
          <w:rFonts w:hAnsi="Arial"/>
          <w:rFonts w:ascii="Arial"/>
          <w:sz w:val="24"/>
          <w:color w:val="black"/>
        </w:rPr>
        <w:t xml:space="preserve">1. Ser Oficial Naval en uso de buen retiro u Oficial Mercante con tνtulo de Oficial de Altura Categorνa "A", con mνnimo tres (3) aρos de experiencia a bordo de buques.</w:t>
      </w:r>
    </w:p>
    <w:p>
      <w:pPr>
        <w:jc w:val="both"/>
      </w:pPr>
      <w:rPr>
        <w:sz w:val="24"/>
        <w:color w:val="black"/>
      </w:rPr>
    </w:p>
    <w:p>
      <w:pPr>
        <w:jc w:val="both"/>
      </w:pPr>
      <w:r>
        <w:rPr>
          <w:rFonts w:hAnsi="Arial"/>
          <w:rFonts w:ascii="Arial"/>
          <w:sz w:val="24"/>
          <w:color w:val="black"/>
        </w:rPr>
        <w:t xml:space="preserve">2. Acreditar experiencia mνnima de un (1) aρo o capacitaciσn en gerencia o manejo de sistemas de gestiσn y en seguridad.</w:t>
      </w:r>
    </w:p>
    <w:p>
      <w:pPr>
        <w:jc w:val="both"/>
      </w:pPr>
      <w:rPr>
        <w:sz w:val="24"/>
        <w:color w:val="black"/>
      </w:rPr>
    </w:p>
    <w:p>
      <w:pPr>
        <w:jc w:val="both"/>
      </w:pPr>
      <w:r>
        <w:rPr>
          <w:rFonts w:hAnsi="Arial"/>
          <w:rFonts w:ascii="Arial"/>
          <w:sz w:val="24"/>
          <w:color w:val="black"/>
        </w:rPr>
        <w:t xml:space="preserve">3. Aprobar el curso modelo OMI 3.20 en protecciσn marνtima en las instituciones avaladas por la Direcciσn General Marνtima, los cursos realizados en el exterior deberαn ser homologados por la Autoridad Marνtima Nacional.</w:t>
      </w:r>
    </w:p>
    <w:p>
      <w:pPr>
        <w:jc w:val="both"/>
      </w:pPr>
      <w:rPr>
        <w:sz w:val="24"/>
        <w:color w:val="black"/>
      </w:rPr>
    </w:p>
    <w:p>
      <w:pPr>
        <w:jc w:val="both"/>
      </w:pPr>
      <w:r>
        <w:rPr>
          <w:rFonts w:hAnsi="Arial"/>
          <w:rFonts w:ascii="Arial"/>
          <w:sz w:val="24"/>
          <w:color w:val="black"/>
        </w:rPr>
        <w:t xml:space="preserve">4. Acreditar dominio del idioma inglιs tιcnico marνtimo.</w:t>
      </w:r>
    </w:p>
    <w:p>
      <w:pPr>
        <w:jc w:val="both"/>
      </w:pPr>
      <w:rPr>
        <w:sz w:val="24"/>
        <w:color w:val="black"/>
      </w:rPr>
    </w:p>
    <w:p>
      <w:pPr>
        <w:jc w:val="both"/>
      </w:pPr>
      <w:r>
        <w:rPr>
          <w:rFonts w:hAnsi="Arial"/>
          <w:rFonts w:ascii="Arial"/>
          <w:sz w:val="24"/>
          <w:color w:val="black"/>
        </w:rPr>
        <w:t xml:space="preserve">5. No estar incurso en algϊn impedimento o inhabilidad constitucional o legal y/o sanciσn profesional.</w:t>
      </w:r>
    </w:p>
    <w:p>
      <w:pPr>
        <w:jc w:val="both"/>
      </w:pPr>
      <w:rPr>
        <w:sz w:val="24"/>
        <w:color w:val="black"/>
      </w:rPr>
    </w:p>
    <w:p>
      <w:pPr>
        <w:jc w:val="both"/>
      </w:pPr>
      <w:r>
        <w:rPr>
          <w:rFonts w:hAnsi="Arial"/>
          <w:rFonts w:ascii="Arial"/>
          <w:sz w:val="24"/>
          <w:color w:val="black"/>
        </w:rPr>
        <w:t xml:space="preserve">6. Presentar el certificado de antecedentes policiales y judiciales y verificaciσn de Carencia de Informes por trαfico de Estupefacientes relacionado con comportamientos referidos a delitos de trαfico de estupefacientes y conexos, lavado de activos, testaferrato y enriquecimiento ilνcito, asν como frente a procesos de extinciσn de dominio.</w:t>
      </w:r>
    </w:p>
    <w:p>
      <w:pPr>
        <w:jc w:val="both"/>
      </w:pPr>
      <w:rPr>
        <w:sz w:val="24"/>
        <w:color w:val="black"/>
      </w:rPr>
    </w:p>
    <w:p>
      <w:pPr>
        <w:jc w:val="both"/>
      </w:pPr>
      <w:r>
        <w:rPr>
          <w:rFonts w:hAnsi="Arial"/>
          <w:rFonts w:ascii="Arial"/>
          <w:sz w:val="24"/>
          <w:color w:val="black"/>
        </w:rPr>
        <w:t xml:space="preserve">7. Presentar el certificado de antecedentes disciplinarios expedido por la Procuradurνa General de la Naciσn.</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76" w:name="CAPÍTULO 2.4.6.3"/>
      <w:r>
        <w:rPr>
          <w:rFonts w:hAnsi="Arial"/>
          <w:rFonts w:ascii="Arial"/>
          <w:sz w:val="24"/>
          <w:color w:val="navy"/>
        </w:rPr>
        <w:t xml:space="preserve">CAPΝTULO 3. </w:t>
      </w:r>
    </w:p>
    <w:p>
      <w:pPr>
        <w:jc w:val="center"/>
      </w:pPr>
      <w:r>
        <w:rPr>
          <w:rFonts w:hAnsi="Arial"/>
          <w:rFonts w:ascii="Arial"/>
          <w:sz w:val="24"/>
          <w:color w:val="navy"/>
        </w:rPr>
        <w:t xml:space="preserve">GESTIΣN DE PROTECCIΣN DE LA INSTALACIΣN PORTUARIA.</w:t>
      </w:r>
      <w:bookmarkEnd w:id="61676"/>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677" w:name="SECCIÓN 2.4.6.3.1"/>
      <w:r>
        <w:rPr>
          <w:rFonts w:hAnsi="Arial"/>
          <w:rFonts w:ascii="Arial"/>
          <w:sz w:val="24"/>
          <w:color w:val="navy"/>
        </w:rPr>
        <w:t xml:space="preserve">SECCIΣN 1. </w:t>
      </w:r>
    </w:p>
    <w:p>
      <w:pPr>
        <w:jc w:val="center"/>
      </w:pPr>
      <w:r>
        <w:rPr>
          <w:rFonts w:hAnsi="Arial"/>
          <w:rFonts w:ascii="Arial"/>
          <w:sz w:val="24"/>
          <w:color w:val="navy"/>
        </w:rPr>
        <w:t xml:space="preserve">PROCEDIMIENTO PARA EL DOCUMENTO DE CUMPLIMIENTO.</w:t>
      </w:r>
      <w:bookmarkEnd w:id="616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78" w:name="2.4.6.3.1.1"/>
      <w:r>
        <w:rPr>
          <w:rFonts w:hAnsi="Arial"/>
          <w:rFonts w:ascii="Arial"/>
          <w:sz w:val="24"/>
          <w:color w:val="navy"/>
        </w:rPr>
        <w:t xml:space="preserve">ARTΝCULO 2.4.6.3.1.1. </w:t>
      </w:r>
      <w:r>
        <w:rPr>
          <w:rFonts w:hAnsi="Arial"/>
          <w:rFonts w:ascii="Arial"/>
          <w:sz w:val="24"/>
          <w:i/>
          <w:color w:val="navy"/>
        </w:rPr>
        <w:t>ETAPAS.</w:t>
      </w:r>
      <w:bookmarkEnd w:id="61678"/>
      <w:r>
        <w:rPr>
          <w:rFonts w:hAnsi="Arial"/>
          <w:rFonts w:ascii="Arial"/>
          <w:sz w:val="24"/>
          <w:b/>
          <w:i/>
          <w:color w:val="black"/>
        </w:rPr>
        <w:t xml:space="preserve"> </w:t>
      </w:r>
      <w:r>
        <w:rPr>
          <w:rFonts w:hAnsi="Arial"/>
          <w:rFonts w:ascii="Arial"/>
          <w:sz w:val="24"/>
          <w:color w:val="black"/>
        </w:rPr>
        <w:t xml:space="preserve">El proceso de certificaciσn comprende ocho etapas que deberαn ser cumplidas para obtener el Documento de Cumplimiento de la instalaciσn Portuaria a saber:</w:t>
      </w:r>
    </w:p>
    <w:p>
      <w:pPr>
        <w:jc w:val="both"/>
      </w:pPr>
      <w:rPr>
        <w:sz w:val="24"/>
        <w:color w:val="black"/>
      </w:rPr>
    </w:p>
    <w:p>
      <w:pPr>
        <w:jc w:val="both"/>
      </w:pPr>
      <w:r>
        <w:rPr>
          <w:rFonts w:hAnsi="Arial"/>
          <w:rFonts w:ascii="Arial"/>
          <w:sz w:val="24"/>
          <w:color w:val="black"/>
        </w:rPr>
        <w:t xml:space="preserve">1. Diseρo y Presentaciσn a Dimar de la Evaluaciσn de Protecciσn.</w:t>
      </w:r>
    </w:p>
    <w:p>
      <w:pPr>
        <w:jc w:val="both"/>
      </w:pPr>
      <w:rPr>
        <w:sz w:val="24"/>
        <w:color w:val="black"/>
      </w:rPr>
    </w:p>
    <w:p>
      <w:pPr>
        <w:jc w:val="both"/>
      </w:pPr>
      <w:r>
        <w:rPr>
          <w:rFonts w:hAnsi="Arial"/>
          <w:rFonts w:ascii="Arial"/>
          <w:sz w:val="24"/>
          <w:color w:val="black"/>
        </w:rPr>
        <w:t xml:space="preserve">2. Verificaciσn de la Evaluaciσn de Protecciσn.</w:t>
      </w:r>
    </w:p>
    <w:p>
      <w:pPr>
        <w:jc w:val="both"/>
      </w:pPr>
      <w:rPr>
        <w:sz w:val="24"/>
        <w:color w:val="black"/>
      </w:rPr>
    </w:p>
    <w:p>
      <w:pPr>
        <w:jc w:val="both"/>
      </w:pPr>
      <w:r>
        <w:rPr>
          <w:rFonts w:hAnsi="Arial"/>
          <w:rFonts w:ascii="Arial"/>
          <w:sz w:val="24"/>
          <w:color w:val="black"/>
        </w:rPr>
        <w:t xml:space="preserve">3. Aprobaciσn de la Evaluaciσn de Protecciσn.</w:t>
      </w:r>
    </w:p>
    <w:p>
      <w:pPr>
        <w:jc w:val="both"/>
      </w:pPr>
      <w:rPr>
        <w:sz w:val="24"/>
        <w:color w:val="black"/>
      </w:rPr>
    </w:p>
    <w:p>
      <w:pPr>
        <w:jc w:val="both"/>
      </w:pPr>
      <w:r>
        <w:rPr>
          <w:rFonts w:hAnsi="Arial"/>
          <w:rFonts w:ascii="Arial"/>
          <w:sz w:val="24"/>
          <w:color w:val="black"/>
        </w:rPr>
        <w:t xml:space="preserve">4. Diseρo y Presentaciσn a Dimar del Plan de Protecciσn.</w:t>
      </w:r>
    </w:p>
    <w:p>
      <w:pPr>
        <w:jc w:val="both"/>
      </w:pPr>
      <w:rPr>
        <w:sz w:val="24"/>
        <w:color w:val="black"/>
      </w:rPr>
    </w:p>
    <w:p>
      <w:pPr>
        <w:jc w:val="both"/>
      </w:pPr>
      <w:r>
        <w:rPr>
          <w:rFonts w:hAnsi="Arial"/>
          <w:rFonts w:ascii="Arial"/>
          <w:sz w:val="24"/>
          <w:color w:val="black"/>
        </w:rPr>
        <w:t xml:space="preserve">5. Verificaciσn del Plan de Protecciσn.</w:t>
      </w:r>
    </w:p>
    <w:p>
      <w:pPr>
        <w:jc w:val="both"/>
      </w:pPr>
      <w:rPr>
        <w:sz w:val="24"/>
        <w:color w:val="black"/>
      </w:rPr>
    </w:p>
    <w:p>
      <w:pPr>
        <w:jc w:val="both"/>
      </w:pPr>
      <w:r>
        <w:rPr>
          <w:rFonts w:hAnsi="Arial"/>
          <w:rFonts w:ascii="Arial"/>
          <w:sz w:val="24"/>
          <w:color w:val="black"/>
        </w:rPr>
        <w:t xml:space="preserve">6. Aprobaciσn del Plan de Protecciσn.</w:t>
      </w:r>
    </w:p>
    <w:p>
      <w:pPr>
        <w:jc w:val="both"/>
      </w:pPr>
      <w:rPr>
        <w:sz w:val="24"/>
        <w:color w:val="black"/>
      </w:rPr>
    </w:p>
    <w:p>
      <w:pPr>
        <w:jc w:val="both"/>
      </w:pPr>
      <w:r>
        <w:rPr>
          <w:rFonts w:hAnsi="Arial"/>
          <w:rFonts w:ascii="Arial"/>
          <w:sz w:val="24"/>
          <w:color w:val="black"/>
        </w:rPr>
        <w:t xml:space="preserve">7. Implementaciσn del Plan de Protecciσn.</w:t>
      </w:r>
    </w:p>
    <w:p>
      <w:pPr>
        <w:jc w:val="both"/>
      </w:pPr>
      <w:rPr>
        <w:sz w:val="24"/>
        <w:color w:val="black"/>
      </w:rPr>
    </w:p>
    <w:p>
      <w:pPr>
        <w:jc w:val="both"/>
      </w:pPr>
      <w:r>
        <w:rPr>
          <w:rFonts w:hAnsi="Arial"/>
          <w:rFonts w:ascii="Arial"/>
          <w:sz w:val="24"/>
          <w:color w:val="black"/>
        </w:rPr>
        <w:t xml:space="preserve">8. Verificaciσn y expediciσn del Documento de Cumplimiento a cargo de Dimar.</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1679" w:name="SECCIÓN 2.4.6.3.2"/>
      <w:r>
        <w:rPr>
          <w:rFonts w:hAnsi="Arial"/>
          <w:rFonts w:ascii="Arial"/>
          <w:sz w:val="24"/>
          <w:color w:val="navy"/>
        </w:rPr>
        <w:t xml:space="preserve">SECCIΣN 2. </w:t>
      </w:r>
    </w:p>
    <w:p>
      <w:pPr>
        <w:jc w:val="center"/>
      </w:pPr>
      <w:r>
        <w:rPr>
          <w:rFonts w:hAnsi="Arial"/>
          <w:rFonts w:ascii="Arial"/>
          <w:sz w:val="24"/>
          <w:color w:val="navy"/>
        </w:rPr>
        <w:t xml:space="preserve">MEDIDAS Y PROCEDIMIENTOS DE PROTECCIΣN.</w:t>
      </w:r>
      <w:bookmarkEnd w:id="6167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80" w:name="2.4.6.3.2.1"/>
      <w:r>
        <w:rPr>
          <w:rFonts w:hAnsi="Arial"/>
          <w:rFonts w:ascii="Arial"/>
          <w:sz w:val="24"/>
          <w:color w:val="navy"/>
        </w:rPr>
        <w:t xml:space="preserve">ARTΝCULO 2.4.6.3.2.1. </w:t>
      </w:r>
      <w:r>
        <w:rPr>
          <w:rFonts w:hAnsi="Arial"/>
          <w:rFonts w:ascii="Arial"/>
          <w:sz w:val="24"/>
          <w:i/>
          <w:color w:val="navy"/>
        </w:rPr>
        <w:t xml:space="preserve">MEDIDAS Y PROCEDIMIENTOS DE PROTECCIΣN.</w:t>
      </w:r>
      <w:bookmarkEnd w:id="61680"/>
      <w:r>
        <w:rPr>
          <w:rFonts w:hAnsi="Arial"/>
          <w:rFonts w:ascii="Arial"/>
          <w:sz w:val="24"/>
          <w:b/>
          <w:i/>
          <w:color w:val="black"/>
        </w:rPr>
        <w:t xml:space="preserve"> </w:t>
      </w:r>
      <w:r>
        <w:rPr>
          <w:rFonts w:hAnsi="Arial"/>
          <w:rFonts w:ascii="Arial"/>
          <w:sz w:val="24"/>
          <w:color w:val="black"/>
        </w:rPr>
        <w:t xml:space="preserve">La Protecciσn de las Instalaciones Portuarias estα sujeta a las normas jurνdicas, tιcnicas y de seguridad vigentes tanto nacionales como internacionales, las adoptadas en el Cσdigo Internacional para la Protecciσn de los Buques y de las Instalaciones Portuarias, PBIP, y las disposiciones que el Gobierno Colombiano a travιs de las autoridades competentes implemente en todos los muelles y puertos marνtimos y/o fluviales habilitados para el comercio exterior de mercancνas, servicios y de pasajeros de transporte internacional.</w:t>
      </w:r>
    </w:p>
    <w:p>
      <w:pPr>
        <w:jc w:val="both"/>
      </w:pPr>
      <w:rPr>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medidas y procedimientos de protecciσn establecidos y los que se establezcan, se aplicarαn en las instalaciones portuarias de modo que reduzcan al mνnimo los inconvenientes o demoras para los pasajeros, los buques, el personal y los visitantes de los buques, las mercancνas y los servicios.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81" w:name="SECCIÓN 2.4.6.3.3"/>
      <w:r>
        <w:rPr>
          <w:rFonts w:hAnsi="Arial"/>
          <w:rFonts w:ascii="Arial"/>
          <w:sz w:val="24"/>
          <w:color w:val="navy"/>
        </w:rPr>
        <w:t xml:space="preserve">SECCIΣN 3. </w:t>
      </w:r>
    </w:p>
    <w:p>
      <w:pPr>
        <w:jc w:val="center"/>
      </w:pPr>
      <w:r>
        <w:rPr>
          <w:rFonts w:hAnsi="Arial"/>
          <w:rFonts w:ascii="Arial"/>
          <w:sz w:val="24"/>
          <w:color w:val="navy"/>
        </w:rPr>
        <w:t xml:space="preserve">PLAN DE PROTECCIΣN DE LA INSTALACIΣN PORTUARIA.</w:t>
      </w:r>
      <w:bookmarkEnd w:id="6168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82" w:name="2.4.6.3.3.1"/>
      <w:r>
        <w:rPr>
          <w:rFonts w:hAnsi="Arial"/>
          <w:rFonts w:ascii="Arial"/>
          <w:sz w:val="24"/>
          <w:color w:val="navy"/>
        </w:rPr>
        <w:t xml:space="preserve">ARTΝCULO 2.4.6.3.3.1. </w:t>
      </w:r>
      <w:r>
        <w:rPr>
          <w:rFonts w:hAnsi="Arial"/>
          <w:rFonts w:ascii="Arial"/>
          <w:sz w:val="24"/>
          <w:i/>
          <w:color w:val="navy"/>
        </w:rPr>
        <w:t xml:space="preserve">PLAN DE PROTECCIΣN.</w:t>
      </w:r>
      <w:bookmarkEnd w:id="61682"/>
      <w:r>
        <w:rPr>
          <w:rFonts w:hAnsi="Arial"/>
          <w:rFonts w:ascii="Arial"/>
          <w:sz w:val="24"/>
          <w:b/>
          <w:i/>
          <w:color w:val="black"/>
        </w:rPr>
        <w:t xml:space="preserve"> </w:t>
      </w:r>
      <w:r>
        <w:rPr>
          <w:rFonts w:hAnsi="Arial"/>
          <w:rFonts w:ascii="Arial"/>
          <w:sz w:val="24"/>
          <w:color w:val="black"/>
        </w:rPr>
        <w:t xml:space="preserve">El Plan de Protecciσn de la Instalaciσn Portuaria asν como sus enmiendas deberα ser aprobado por la Direcciσn General Marνtima, Dimar, previo concepto del Ministerio de Transporte a travιs de la Direcciσn de Infraestructura o quien haga sus veces.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83" w:name="2.4.6.3.3.2"/>
      <w:r>
        <w:rPr>
          <w:rFonts w:hAnsi="Arial"/>
          <w:rFonts w:ascii="Arial"/>
          <w:sz w:val="24"/>
          <w:color w:val="navy"/>
        </w:rPr>
        <w:t xml:space="preserve">ARTΝCULO 2.4.6.3.3.2. </w:t>
      </w:r>
      <w:r>
        <w:rPr>
          <w:rFonts w:hAnsi="Arial"/>
          <w:rFonts w:ascii="Arial"/>
          <w:sz w:val="24"/>
          <w:i/>
          <w:color w:val="navy"/>
        </w:rPr>
        <w:t>COMBINACIONES.</w:t>
      </w:r>
      <w:bookmarkEnd w:id="61683"/>
      <w:r>
        <w:rPr>
          <w:rFonts w:hAnsi="Arial"/>
          <w:rFonts w:ascii="Arial"/>
          <w:sz w:val="24"/>
          <w:b/>
          <w:i/>
          <w:color w:val="black"/>
        </w:rPr>
        <w:t xml:space="preserve"> </w:t>
      </w:r>
      <w:r>
        <w:rPr>
          <w:rFonts w:hAnsi="Arial"/>
          <w:rFonts w:ascii="Arial"/>
          <w:sz w:val="24"/>
          <w:color w:val="black"/>
        </w:rPr>
        <w:t xml:space="preserve">El plan de protecciσn de la instalaciσn portuaria podrα combinarse con el plan de protecciσn de la zona portuaria o de cualquier otro plan del puerto, para atender situaciones de emergencia o formar parte de ellos, entre los que se encuentran los establecidos en el reglamento tιcnico de operaciσn aprobado por el Ministerio de Transporte.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Direcciσn General Marνtima, Dimar, previo concepto del Ministerio de Transporte, podrα autorizar que el plan de protecciσn de una instalaciσn portuaria abarque mαs de una instalaciσn portuaria cuando el explotador, la ubicaciσn, el funcionamiento, el equipo y el proyecto de tales instalaciones sean semejantes. Cuando el Gobierno colombiano, Dimar autorice estas disposiciones alternativas, comunicarα sus pormenores a la Organizaciσn Marνtima Internacional, OMI.</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84" w:name="SECCIÓN 2.4.6.3.4"/>
      <w:r>
        <w:rPr>
          <w:rFonts w:hAnsi="Arial"/>
          <w:rFonts w:ascii="Arial"/>
          <w:sz w:val="24"/>
          <w:color w:val="navy"/>
        </w:rPr>
        <w:t xml:space="preserve">SECCIΣN 4. </w:t>
      </w:r>
    </w:p>
    <w:p>
      <w:pPr>
        <w:jc w:val="center"/>
      </w:pPr>
      <w:r>
        <w:rPr>
          <w:rFonts w:hAnsi="Arial"/>
          <w:rFonts w:ascii="Arial"/>
          <w:sz w:val="24"/>
          <w:color w:val="navy"/>
        </w:rPr>
        <w:t xml:space="preserve">DOCUMENTO DE CUMPLIMIENTO.</w:t>
      </w:r>
      <w:bookmarkEnd w:id="6168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85" w:name="2.4.6.3.4.1"/>
      <w:r>
        <w:rPr>
          <w:rFonts w:hAnsi="Arial"/>
          <w:rFonts w:ascii="Arial"/>
          <w:sz w:val="24"/>
          <w:color w:val="navy"/>
        </w:rPr>
        <w:t xml:space="preserve">ARTΝCULO 2.4.6.3.4.1. </w:t>
      </w:r>
      <w:r>
        <w:rPr>
          <w:rFonts w:hAnsi="Arial"/>
          <w:rFonts w:ascii="Arial"/>
          <w:sz w:val="24"/>
          <w:i/>
          <w:color w:val="navy"/>
        </w:rPr>
        <w:t xml:space="preserve">DOCUMENTO DE CUMPLIMIENTO.</w:t>
      </w:r>
      <w:bookmarkEnd w:id="61685"/>
      <w:r>
        <w:rPr>
          <w:rFonts w:hAnsi="Arial"/>
          <w:rFonts w:ascii="Arial"/>
          <w:sz w:val="24"/>
          <w:b/>
          <w:i/>
          <w:color w:val="black"/>
        </w:rPr>
        <w:t xml:space="preserve"> </w:t>
      </w:r>
      <w:r>
        <w:rPr>
          <w:rFonts w:hAnsi="Arial"/>
          <w:rFonts w:ascii="Arial"/>
          <w:sz w:val="24"/>
          <w:color w:val="black"/>
        </w:rPr>
        <w:t xml:space="preserve">El Documento de Cumplimiento de la instalaciσn portuaria se expedirα por la Autoridad Marνtima Nacional por el tιrmino mαximo de cinco (5) aρos, contados a partir de la fecha de su expediciσn.</w:t>
      </w:r>
    </w:p>
    <w:p>
      <w:pPr>
        <w:jc w:val="both"/>
      </w:pPr>
      <w:rPr>
        <w:sz w:val="24"/>
        <w:color w:val="black"/>
      </w:rPr>
    </w:p>
    <w:p>
      <w:pPr>
        <w:jc w:val="both"/>
      </w:pPr>
      <w:r>
        <w:rPr>
          <w:rFonts w:hAnsi="Arial"/>
          <w:rFonts w:ascii="Arial"/>
          <w:sz w:val="24"/>
          <w:color w:val="black"/>
        </w:rPr>
        <w:t xml:space="preserve">Una vez se expida el documento de cumplimiento para las Instalaciones Portuarias, la Direcciσn General Marνtima comunicarα al Ministerio de Transporte, tal decisiσn para su conocimiento y fines pertinentes.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renovaciσn del Documento de Cumplimiento de la instalaciσn portuaria debe tramitarse con no menos de tres (3) meses de antelaciσn al vencimiento del mismo.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86" w:name="SECCIÓN 2.4.6.3.5"/>
      <w:r>
        <w:rPr>
          <w:rFonts w:hAnsi="Arial"/>
          <w:rFonts w:ascii="Arial"/>
          <w:sz w:val="24"/>
          <w:color w:val="navy"/>
        </w:rPr>
        <w:t xml:space="preserve">SECCIΣN 5. </w:t>
      </w:r>
    </w:p>
    <w:p>
      <w:pPr>
        <w:jc w:val="center"/>
      </w:pPr>
      <w:r>
        <w:rPr>
          <w:rFonts w:hAnsi="Arial"/>
          <w:rFonts w:ascii="Arial"/>
          <w:sz w:val="24"/>
          <w:color w:val="navy"/>
        </w:rPr>
        <w:t xml:space="preserve">OFICIAL DE PROTECCIΣN DE LA INSTALACIΣN PORTUARIA.</w:t>
      </w:r>
      <w:bookmarkEnd w:id="6168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87" w:name="2.4.6.3.5.1"/>
      <w:r>
        <w:rPr>
          <w:rFonts w:hAnsi="Arial"/>
          <w:rFonts w:ascii="Arial"/>
          <w:sz w:val="24"/>
          <w:color w:val="navy"/>
        </w:rPr>
        <w:t xml:space="preserve">ARTΝCULO 2.4.6.3.5.1. </w:t>
      </w:r>
      <w:r>
        <w:rPr>
          <w:rFonts w:hAnsi="Arial"/>
          <w:rFonts w:ascii="Arial"/>
          <w:sz w:val="24"/>
          <w:i/>
          <w:color w:val="navy"/>
        </w:rPr>
        <w:t xml:space="preserve">OFICIAL DE PROTECCIΣN DE LA INSTALACIΣN PORTUARIA.</w:t>
      </w:r>
      <w:bookmarkEnd w:id="61687"/>
      <w:r>
        <w:rPr>
          <w:rFonts w:hAnsi="Arial"/>
          <w:rFonts w:ascii="Arial"/>
          <w:sz w:val="24"/>
          <w:b/>
          <w:i/>
          <w:color w:val="black"/>
        </w:rPr>
        <w:t xml:space="preserve"> </w:t>
      </w:r>
      <w:r>
        <w:rPr>
          <w:rFonts w:hAnsi="Arial"/>
          <w:rFonts w:ascii="Arial"/>
          <w:sz w:val="24"/>
          <w:color w:val="black"/>
        </w:rPr>
        <w:t xml:space="preserve">El oficial de protecciσn de la instalaciσn portuaria es la persona designada por la sociedad para gestionar, mantener y evaluar continuamente el plan de protecciσn de la Instalaciσn Portuaria. Igualmente estarα encargado de la coordinaciσn con los Oficiales de Protecciσn del Buque.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88" w:name="2.4.6.3.5.2"/>
      <w:r>
        <w:rPr>
          <w:rFonts w:hAnsi="Arial"/>
          <w:rFonts w:ascii="Arial"/>
          <w:sz w:val="24"/>
          <w:color w:val="navy"/>
        </w:rPr>
        <w:t xml:space="preserve">ARTΝCULO 2.4.6.3.5.2. </w:t>
      </w:r>
      <w:r>
        <w:rPr>
          <w:rFonts w:hAnsi="Arial"/>
          <w:rFonts w:ascii="Arial"/>
          <w:sz w:val="24"/>
          <w:i/>
          <w:color w:val="navy"/>
        </w:rPr>
        <w:t xml:space="preserve">INSCRIPCIΣN COMO OFICIAL DE PROTECCIΣN DE LA INSTALACIΣN PORTUARIA.</w:t>
      </w:r>
      <w:bookmarkEnd w:id="61688"/>
      <w:r>
        <w:rPr>
          <w:rFonts w:hAnsi="Arial"/>
          <w:rFonts w:ascii="Arial"/>
          <w:sz w:val="24"/>
          <w:b/>
          <w:i/>
          <w:color w:val="black"/>
        </w:rPr>
        <w:t xml:space="preserve"> </w:t>
      </w:r>
      <w:r>
        <w:rPr>
          <w:rFonts w:hAnsi="Arial"/>
          <w:rFonts w:ascii="Arial"/>
          <w:sz w:val="24"/>
          <w:color w:val="black"/>
        </w:rPr>
        <w:t xml:space="preserve">Para inscribirse como Oficial de Protecciσn de la Instalaciσn Portuaria deberα cumplir los siguientes requisitos:</w:t>
      </w:r>
    </w:p>
    <w:p>
      <w:pPr>
        <w:jc w:val="both"/>
      </w:pPr>
      <w:rPr>
        <w:sz w:val="24"/>
        <w:color w:val="black"/>
      </w:rPr>
    </w:p>
    <w:p>
      <w:pPr>
        <w:jc w:val="both"/>
      </w:pPr>
      <w:r>
        <w:rPr>
          <w:rFonts w:hAnsi="Arial"/>
          <w:rFonts w:ascii="Arial"/>
          <w:sz w:val="24"/>
          <w:color w:val="black"/>
        </w:rPr>
        <w:t xml:space="preserve">1. Tνtulo universitario expedido por una instituciσn de educaciσn superior debidamente reconocida por el Icfes.</w:t>
      </w:r>
    </w:p>
    <w:p>
      <w:pPr>
        <w:jc w:val="both"/>
      </w:pPr>
      <w:rPr>
        <w:sz w:val="24"/>
        <w:color w:val="black"/>
      </w:rPr>
    </w:p>
    <w:p>
      <w:pPr>
        <w:jc w:val="both"/>
      </w:pPr>
      <w:r>
        <w:rPr>
          <w:rFonts w:hAnsi="Arial"/>
          <w:rFonts w:ascii="Arial"/>
          <w:sz w:val="24"/>
          <w:color w:val="black"/>
        </w:rPr>
        <w:t xml:space="preserve">2. Acreditar experiencia mνnima de 3 aρos en cargos relacionados con la operaciσn de puertos y/o gestiσn de la seguridad de los mismos o tνtulo de especializaciσn o posgrado en gerencia o manejo de sistemas de gestiσn o en seguridad.</w:t>
      </w:r>
    </w:p>
    <w:p>
      <w:pPr>
        <w:jc w:val="both"/>
      </w:pPr>
      <w:rPr>
        <w:sz w:val="24"/>
        <w:color w:val="black"/>
      </w:rPr>
    </w:p>
    <w:p>
      <w:pPr>
        <w:jc w:val="both"/>
      </w:pPr>
      <w:r>
        <w:rPr>
          <w:rFonts w:hAnsi="Arial"/>
          <w:rFonts w:ascii="Arial"/>
          <w:sz w:val="24"/>
          <w:color w:val="black"/>
        </w:rPr>
        <w:t xml:space="preserve">3. Aprobar el curso modelo OMI 3.21 en protecciσn marνtima en las instituciones avaladas por la Direcciσn General Marνtima, los cursos realizados en el exterior deberαn ser homologados por la Autoridad Marνtima Nacional.</w:t>
      </w:r>
    </w:p>
    <w:p>
      <w:pPr>
        <w:jc w:val="both"/>
      </w:pPr>
      <w:rPr>
        <w:sz w:val="24"/>
        <w:color w:val="black"/>
      </w:rPr>
    </w:p>
    <w:p>
      <w:pPr>
        <w:jc w:val="both"/>
      </w:pPr>
      <w:r>
        <w:rPr>
          <w:rFonts w:hAnsi="Arial"/>
          <w:rFonts w:ascii="Arial"/>
          <w:sz w:val="24"/>
          <w:color w:val="black"/>
        </w:rPr>
        <w:t xml:space="preserve">4. Acreditar dominio del idioma inglιs tιcnico marνtimo.</w:t>
      </w:r>
    </w:p>
    <w:p>
      <w:pPr>
        <w:jc w:val="both"/>
      </w:pPr>
      <w:rPr>
        <w:sz w:val="24"/>
        <w:color w:val="black"/>
      </w:rPr>
    </w:p>
    <w:p>
      <w:pPr>
        <w:jc w:val="both"/>
      </w:pPr>
      <w:r>
        <w:rPr>
          <w:rFonts w:hAnsi="Arial"/>
          <w:rFonts w:ascii="Arial"/>
          <w:sz w:val="24"/>
          <w:color w:val="black"/>
        </w:rPr>
        <w:t xml:space="preserve">5. No estar incurso en algϊn impedimento o inhabilidad constitucional o legal y/o sanciσn profesional.</w:t>
      </w:r>
    </w:p>
    <w:p>
      <w:pPr>
        <w:jc w:val="both"/>
      </w:pPr>
      <w:rPr>
        <w:sz w:val="24"/>
        <w:color w:val="black"/>
      </w:rPr>
    </w:p>
    <w:p>
      <w:pPr>
        <w:jc w:val="both"/>
      </w:pPr>
      <w:r>
        <w:rPr>
          <w:rFonts w:hAnsi="Arial"/>
          <w:rFonts w:ascii="Arial"/>
          <w:sz w:val="24"/>
          <w:color w:val="black"/>
        </w:rPr>
        <w:t xml:space="preserve">6. Presentar el certificado de antecedentes policiales y judiciales y verificaciσn de Carencia de Informes por trαfico de estupefacientes relacionado con comportamientos referidos a delitos de trαfico de estupefacientes y conexos, lavado de activos, testaferrato y enriquecimiento ilνcito, asν como frente a procesos de extinciσn de dominio.</w:t>
      </w:r>
    </w:p>
    <w:p>
      <w:pPr>
        <w:jc w:val="both"/>
      </w:pPr>
      <w:rPr>
        <w:sz w:val="24"/>
        <w:color w:val="black"/>
      </w:rPr>
    </w:p>
    <w:p>
      <w:pPr>
        <w:jc w:val="both"/>
      </w:pPr>
      <w:r>
        <w:rPr>
          <w:rFonts w:hAnsi="Arial"/>
          <w:rFonts w:ascii="Arial"/>
          <w:sz w:val="24"/>
          <w:color w:val="black"/>
        </w:rPr>
        <w:t xml:space="preserve">7. Presentar el certificado de antecedentes disciplinarios expedido por la Procuradurνa General de la Naciσn.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el evento que el tνtulo universitario, de postgrado o especializaciσn sea obtenido en el exterior, deberαn ser homologados previamente por el Icfes o la entidad competente para ello.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89" w:name="CAPÍTULO 2.4.6.4"/>
      <w:r>
        <w:rPr>
          <w:rFonts w:hAnsi="Arial"/>
          <w:rFonts w:ascii="Arial"/>
          <w:sz w:val="24"/>
          <w:color w:val="navy"/>
        </w:rPr>
        <w:t xml:space="preserve">CAPΝTULO 4. </w:t>
      </w:r>
    </w:p>
    <w:p>
      <w:pPr>
        <w:jc w:val="center"/>
      </w:pPr>
      <w:r>
        <w:rPr>
          <w:rFonts w:hAnsi="Arial"/>
          <w:rFonts w:ascii="Arial"/>
          <w:sz w:val="24"/>
          <w:color w:val="navy"/>
        </w:rPr>
        <w:t xml:space="preserve">DECLARACIΣN DE PROTECCIΣN MARΝTIMA.</w:t>
      </w:r>
      <w:bookmarkEnd w:id="616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90" w:name="2.4.6.4.1"/>
      <w:r>
        <w:rPr>
          <w:rFonts w:hAnsi="Arial"/>
          <w:rFonts w:ascii="Arial"/>
          <w:sz w:val="24"/>
          <w:color w:val="navy"/>
        </w:rPr>
        <w:t xml:space="preserve">ARTΝCULO 2.4.6.4.1. </w:t>
      </w:r>
      <w:r>
        <w:rPr>
          <w:rFonts w:hAnsi="Arial"/>
          <w:rFonts w:ascii="Arial"/>
          <w:sz w:val="24"/>
          <w:i/>
          <w:color w:val="navy"/>
        </w:rPr>
        <w:t xml:space="preserve">DECLARACIΣN DE PROTECCIΣN MARΝTIMA.</w:t>
      </w:r>
      <w:bookmarkEnd w:id="61690"/>
      <w:r>
        <w:rPr>
          <w:rFonts w:hAnsi="Arial"/>
          <w:rFonts w:ascii="Arial"/>
          <w:sz w:val="24"/>
          <w:b/>
          <w:i/>
          <w:color w:val="black"/>
        </w:rPr>
        <w:t xml:space="preserve"> </w:t>
      </w:r>
      <w:r>
        <w:rPr>
          <w:rFonts w:hAnsi="Arial"/>
          <w:rFonts w:ascii="Arial"/>
          <w:sz w:val="24"/>
          <w:color w:val="black"/>
        </w:rPr>
        <w:t xml:space="preserve">La declaraciσn de protecciσn marνtima consiste en un documento donde se registran las medidas de protecciσn marνtima y responsabilidades acordadas entre el buque y la instalaciσn portuaria, o entre buque-buque. Es decir, medidas de seguridad desde el punto de origen hasta el punto de destino del buque.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1" w:name="2.4.6.4.2"/>
      <w:r>
        <w:rPr>
          <w:rFonts w:hAnsi="Arial"/>
          <w:rFonts w:ascii="Arial"/>
          <w:sz w:val="24"/>
          <w:color w:val="navy"/>
        </w:rPr>
        <w:t xml:space="preserve">ARTΝCULO 2.4.6.4.2. </w:t>
      </w:r>
      <w:r>
        <w:rPr>
          <w:rFonts w:hAnsi="Arial"/>
          <w:rFonts w:ascii="Arial"/>
          <w:sz w:val="24"/>
          <w:i/>
          <w:color w:val="navy"/>
        </w:rPr>
        <w:t xml:space="preserve">REGISTRΣ DECLARACIΣN DE PROTECCIΣN MARΝTIMA.</w:t>
      </w:r>
      <w:bookmarkEnd w:id="61691"/>
      <w:r>
        <w:rPr>
          <w:rFonts w:hAnsi="Arial"/>
          <w:rFonts w:ascii="Arial"/>
          <w:sz w:val="24"/>
          <w:b/>
          <w:i/>
          <w:color w:val="black"/>
        </w:rPr>
        <w:t xml:space="preserve"> </w:t>
      </w:r>
      <w:r>
        <w:rPr>
          <w:rFonts w:hAnsi="Arial"/>
          <w:rFonts w:ascii="Arial"/>
          <w:sz w:val="24"/>
          <w:color w:val="black"/>
        </w:rPr>
        <w:t xml:space="preserve">Los Capitanes de los buques no contemplados por el Cσdigo Internacional para la Protecciσn de los Buques y las Instalaciones Portuarias, PBIP, y de los buques que enarbolen pabellσn de un Estado que no sea parte del convenio SOLAS/74 ni del protocolo 1988, deberαn, a requerimiento de la instalaciσn portuaria, de otro buque, o cuando lo determine la Autoridad Marνtima Nacional, acordar y registrar una Declaraciσn de Protecciσn Marνtima, segϊn las prescripciones del Cσdigo Internacional para la Protecciσn de los Buques y las Instalaciones Portuarias, PBIP, para las operaciones de la interfaz buque-puerto y actividad buque-buque segϊn corresponda.</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2" w:name="2.4.6.4.3"/>
      <w:r>
        <w:rPr>
          <w:rFonts w:hAnsi="Arial"/>
          <w:rFonts w:ascii="Arial"/>
          <w:sz w:val="24"/>
          <w:color w:val="navy"/>
        </w:rPr>
        <w:t xml:space="preserve">ARTΝCULO 2.4.6.4.3. </w:t>
      </w:r>
      <w:r>
        <w:rPr>
          <w:rFonts w:hAnsi="Arial"/>
          <w:rFonts w:ascii="Arial"/>
          <w:sz w:val="24"/>
          <w:i/>
          <w:color w:val="navy"/>
        </w:rPr>
        <w:t xml:space="preserve">ELABORACIΣN DECLARACIΣN DE PROTECCIΣN MARΝTIMA.</w:t>
      </w:r>
      <w:bookmarkEnd w:id="61692"/>
      <w:r>
        <w:rPr>
          <w:rFonts w:hAnsi="Arial"/>
          <w:rFonts w:ascii="Arial"/>
          <w:sz w:val="24"/>
          <w:b/>
          <w:i/>
          <w:color w:val="black"/>
        </w:rPr>
        <w:t xml:space="preserve"> </w:t>
      </w:r>
      <w:r>
        <w:rPr>
          <w:rFonts w:hAnsi="Arial"/>
          <w:rFonts w:ascii="Arial"/>
          <w:sz w:val="24"/>
          <w:color w:val="black"/>
        </w:rPr>
        <w:t xml:space="preserve">Se deberα elaborar una declaraciσn de protecciσn marνtima cuando los propios Planes de Protecciσn de los Buques lo prevean, o los de las Instalaciones Portuarias, o cuando asν lo disponga el Oficial de Protecciσn de la Autoridad Marνtima Nacional responsable de la protecciσn en el αrea de la instalaciσn portuaria o αrea donde opere el buque.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3" w:name="2.4.6.4.4"/>
      <w:r>
        <w:rPr>
          <w:rFonts w:hAnsi="Arial"/>
          <w:rFonts w:ascii="Arial"/>
          <w:sz w:val="24"/>
          <w:color w:val="navy"/>
        </w:rPr>
        <w:t xml:space="preserve">ARTΝCULO 2.4.6.4.4. </w:t>
      </w:r>
      <w:r>
        <w:rPr>
          <w:rFonts w:hAnsi="Arial"/>
          <w:rFonts w:ascii="Arial"/>
          <w:sz w:val="24"/>
          <w:i/>
          <w:color w:val="navy"/>
        </w:rPr>
        <w:t xml:space="preserve">BUQUES CON DERECHO A ENARBOLAR LA BANDERA COLOMBIANA.</w:t>
      </w:r>
      <w:bookmarkEnd w:id="61693"/>
      <w:r>
        <w:rPr>
          <w:rFonts w:hAnsi="Arial"/>
          <w:rFonts w:ascii="Arial"/>
          <w:sz w:val="24"/>
          <w:b/>
          <w:i/>
          <w:color w:val="black"/>
        </w:rPr>
        <w:t xml:space="preserve"> </w:t>
      </w:r>
      <w:r>
        <w:rPr>
          <w:rFonts w:hAnsi="Arial"/>
          <w:rFonts w:ascii="Arial"/>
          <w:sz w:val="24"/>
          <w:color w:val="black"/>
        </w:rPr>
        <w:t xml:space="preserve">Respecto de los buques con derecho a enarbolar la bandera colombiana, en virtud de lo establecido en el Libro V del Cσdigo de Comercio, la Autoridad Marνtima Nacional podrα disponer la elaboraciσn de una declaraciσn de protecciσn marνtima, como consecuencia de los resultados del proceso de certificaciσn durante la evaluaciσn de la protecciσn del buque, lo que se indicarα debidamente en el plan de protecciσn del buque.</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4" w:name="2.4.6.4.5"/>
      <w:r>
        <w:rPr>
          <w:rFonts w:hAnsi="Arial"/>
          <w:rFonts w:ascii="Arial"/>
          <w:sz w:val="24"/>
          <w:color w:val="navy"/>
        </w:rPr>
        <w:t xml:space="preserve">ARTΝCULO 2.4.6.4.5. </w:t>
      </w:r>
      <w:r>
        <w:rPr>
          <w:rFonts w:hAnsi="Arial"/>
          <w:rFonts w:ascii="Arial"/>
          <w:sz w:val="24"/>
          <w:i/>
          <w:color w:val="navy"/>
        </w:rPr>
        <w:t xml:space="preserve">SOLICITUD DE ELABORACIΣN DE UNA DECLARACIΣN DE PROTECCIΣN MARΝTIMA.</w:t>
      </w:r>
      <w:bookmarkEnd w:id="61694"/>
      <w:r>
        <w:rPr>
          <w:rFonts w:hAnsi="Arial"/>
          <w:rFonts w:ascii="Arial"/>
          <w:sz w:val="24"/>
          <w:b/>
          <w:i/>
          <w:color w:val="black"/>
        </w:rPr>
        <w:t xml:space="preserve"> </w:t>
      </w:r>
      <w:r>
        <w:rPr>
          <w:rFonts w:hAnsi="Arial"/>
          <w:rFonts w:ascii="Arial"/>
          <w:sz w:val="24"/>
          <w:color w:val="black"/>
        </w:rPr>
        <w:t xml:space="preserve">El Oficial de Protecciσn de la Instalaciσn Portuaria podrα tambiιn solicitar la elaboraciσn de una declaraciσn de protecciσn marνtima antes de llevar a cabo operaciones de interfaz buque-puerto cuyo interιs especial se haya mencionado expresamente en la evaluaciσn de la protecciσn de la instalaciσn portuaria.</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5" w:name="2.4.6.4.6"/>
      <w:r>
        <w:rPr>
          <w:rFonts w:hAnsi="Arial"/>
          <w:rFonts w:ascii="Arial"/>
          <w:sz w:val="24"/>
          <w:color w:val="navy"/>
        </w:rPr>
        <w:t xml:space="preserve">ARTΝCULO 2.4.6.4.6. </w:t>
      </w:r>
      <w:r>
        <w:rPr>
          <w:rFonts w:hAnsi="Arial"/>
          <w:rFonts w:ascii="Arial"/>
          <w:sz w:val="24"/>
          <w:i/>
          <w:color w:val="navy"/>
        </w:rPr>
        <w:t>OBLIGACIONES.</w:t>
      </w:r>
      <w:bookmarkEnd w:id="61695"/>
      <w:r>
        <w:rPr>
          <w:rFonts w:hAnsi="Arial"/>
          <w:rFonts w:ascii="Arial"/>
          <w:sz w:val="24"/>
          <w:b/>
          <w:i/>
          <w:color w:val="black"/>
        </w:rPr>
        <w:t xml:space="preserve"> </w:t>
      </w:r>
      <w:r>
        <w:rPr>
          <w:rFonts w:hAnsi="Arial"/>
          <w:rFonts w:ascii="Arial"/>
          <w:sz w:val="24"/>
          <w:color w:val="black"/>
        </w:rPr>
        <w:t xml:space="preserve">En el caso de que un buque, una Instalaciσn Portuaria, o una Autoridad Designada soliciten una declaraciσn de protecciσn marνtima a un buque de bandera colombiana operando en jurisdicciσn extranjera, el Oficial de Protecciσn del Buque deberα acusar recibo de la solicitud, examinar las medidas de protecciσn oportunas e informar a la Autoridad Marνtima Nacional por el medio y el canal que se establezca.</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6" w:name="2.4.6.4.7"/>
      <w:r>
        <w:rPr>
          <w:rFonts w:hAnsi="Arial"/>
          <w:rFonts w:ascii="Arial"/>
          <w:sz w:val="24"/>
          <w:color w:val="navy"/>
        </w:rPr>
        <w:t xml:space="preserve">ARTΝCULO 2.4.6.4.7. </w:t>
      </w:r>
      <w:r>
        <w:rPr>
          <w:rFonts w:hAnsi="Arial"/>
          <w:rFonts w:ascii="Arial"/>
          <w:sz w:val="24"/>
          <w:i/>
          <w:color w:val="navy"/>
        </w:rPr>
        <w:t>REQUISITOS.</w:t>
      </w:r>
      <w:bookmarkEnd w:id="61696"/>
      <w:r>
        <w:rPr>
          <w:rFonts w:hAnsi="Arial"/>
          <w:rFonts w:ascii="Arial"/>
          <w:sz w:val="24"/>
          <w:b/>
          <w:i/>
          <w:color w:val="black"/>
        </w:rPr>
        <w:t xml:space="preserve"> </w:t>
      </w:r>
      <w:r>
        <w:rPr>
          <w:rFonts w:hAnsi="Arial"/>
          <w:rFonts w:ascii="Arial"/>
          <w:sz w:val="24"/>
          <w:color w:val="black"/>
        </w:rPr>
        <w:t xml:space="preserve">La declaraciσn de protecciσn marνtima acordada deberα ser firmada y fechada por los intervinientes y por la Autoridad Marνtima Nacional y en ella debe quedar constancia del cumplimiento de lo dispuesto en el Capνtulo XI-2 del Convenio SOLAS, en la Parte A del Cσdigo Internacional para la Protecciσn de los Buques y las Instalaciones Portuarias, PBIP, determinando: el periodo de vigencia de la declaraciσn de protecciσn marνtima, el nivel o niveles de protecciσn pertinentes.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declaraciσn de protecciσn marνtima debe ser redactada en castellano y en un idioma comϊn a la instalaciσn portuaria y al buque o buques, segϊn sea el caso.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697" w:name="CAPÍTULO 2.4.6.5"/>
      <w:r>
        <w:rPr>
          <w:rFonts w:hAnsi="Arial"/>
          <w:rFonts w:ascii="Arial"/>
          <w:sz w:val="24"/>
          <w:color w:val="navy"/>
        </w:rPr>
        <w:t xml:space="preserve">CAPΝTULO 5. </w:t>
      </w:r>
    </w:p>
    <w:p>
      <w:pPr>
        <w:jc w:val="center"/>
      </w:pPr>
      <w:r>
        <w:rPr>
          <w:rFonts w:hAnsi="Arial"/>
          <w:rFonts w:ascii="Arial"/>
          <w:sz w:val="24"/>
          <w:color w:val="navy"/>
        </w:rPr>
        <w:t xml:space="preserve">ORGANIZACIΣN DE PROTECCIΣN RECONOCIDA.</w:t>
      </w:r>
      <w:bookmarkEnd w:id="6169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698" w:name="2.4.6.5.1"/>
      <w:r>
        <w:rPr>
          <w:rFonts w:hAnsi="Arial"/>
          <w:rFonts w:ascii="Arial"/>
          <w:sz w:val="24"/>
          <w:color w:val="navy"/>
        </w:rPr>
        <w:t xml:space="preserve">ARTΝCULO 2.4.6.5.1. </w:t>
      </w:r>
      <w:r>
        <w:rPr>
          <w:rFonts w:hAnsi="Arial"/>
          <w:rFonts w:ascii="Arial"/>
          <w:sz w:val="24"/>
          <w:i/>
          <w:color w:val="navy"/>
        </w:rPr>
        <w:t xml:space="preserve">ORGANIZACIΣN DE PROTECCIΣN RECONOCIDA.</w:t>
      </w:r>
      <w:bookmarkEnd w:id="61698"/>
      <w:r>
        <w:rPr>
          <w:rFonts w:hAnsi="Arial"/>
          <w:rFonts w:ascii="Arial"/>
          <w:sz w:val="24"/>
          <w:b/>
          <w:i/>
          <w:color w:val="black"/>
        </w:rPr>
        <w:t xml:space="preserve"> </w:t>
      </w:r>
      <w:r>
        <w:rPr>
          <w:rFonts w:hAnsi="Arial"/>
          <w:rFonts w:ascii="Arial"/>
          <w:sz w:val="24"/>
          <w:color w:val="black"/>
        </w:rPr>
        <w:t xml:space="preserve">La Organizaciσn de Protecciσn Reconocida, OPR, es la persona jurνdica inscrita ante la Autoridad Marνtima Nacional, a la cual se podrαn autorizar las siguientes funciones:</w:t>
      </w:r>
    </w:p>
    <w:p>
      <w:pPr>
        <w:jc w:val="both"/>
      </w:pPr>
      <w:rPr>
        <w:sz w:val="24"/>
        <w:color w:val="black"/>
      </w:rPr>
    </w:p>
    <w:p>
      <w:pPr>
        <w:jc w:val="both"/>
      </w:pPr>
      <w:r>
        <w:rPr>
          <w:rFonts w:hAnsi="Arial"/>
          <w:rFonts w:ascii="Arial"/>
          <w:sz w:val="24"/>
          <w:color w:val="black"/>
        </w:rPr>
        <w:t xml:space="preserve">a) Evaluaciσn de protecciσn de los buques;</w:t>
      </w:r>
    </w:p>
    <w:p>
      <w:pPr>
        <w:jc w:val="both"/>
      </w:pPr>
      <w:rPr>
        <w:sz w:val="24"/>
        <w:color w:val="black"/>
      </w:rPr>
    </w:p>
    <w:p>
      <w:pPr>
        <w:jc w:val="both"/>
      </w:pPr>
      <w:r>
        <w:rPr>
          <w:rFonts w:hAnsi="Arial"/>
          <w:rFonts w:ascii="Arial"/>
          <w:sz w:val="24"/>
          <w:color w:val="black"/>
        </w:rPr>
        <w:t xml:space="preserve">b) Elaboraciσn de planes de protecciσn de buques;</w:t>
      </w:r>
    </w:p>
    <w:p>
      <w:pPr>
        <w:jc w:val="both"/>
      </w:pPr>
      <w:rPr>
        <w:sz w:val="24"/>
        <w:color w:val="black"/>
      </w:rPr>
    </w:p>
    <w:p>
      <w:pPr>
        <w:jc w:val="both"/>
      </w:pPr>
      <w:r>
        <w:rPr>
          <w:rFonts w:hAnsi="Arial"/>
          <w:rFonts w:ascii="Arial"/>
          <w:sz w:val="24"/>
          <w:color w:val="black"/>
        </w:rPr>
        <w:t xml:space="preserve">c) Evaluaciones de protecciσn de las instalaciones portuarias;</w:t>
      </w:r>
    </w:p>
    <w:p>
      <w:pPr>
        <w:jc w:val="both"/>
      </w:pPr>
      <w:rPr>
        <w:sz w:val="24"/>
        <w:color w:val="black"/>
      </w:rPr>
    </w:p>
    <w:p>
      <w:pPr>
        <w:jc w:val="both"/>
      </w:pPr>
      <w:r>
        <w:rPr>
          <w:rFonts w:hAnsi="Arial"/>
          <w:rFonts w:ascii="Arial"/>
          <w:sz w:val="24"/>
          <w:color w:val="black"/>
        </w:rPr>
        <w:t xml:space="preserve">d) Elaboraciσn de planes de protecciσn de instalaciones portuarias;</w:t>
      </w:r>
    </w:p>
    <w:p>
      <w:pPr>
        <w:jc w:val="both"/>
      </w:pPr>
      <w:rPr>
        <w:sz w:val="24"/>
        <w:color w:val="black"/>
      </w:rPr>
    </w:p>
    <w:p>
      <w:pPr>
        <w:jc w:val="both"/>
      </w:pPr>
      <w:r>
        <w:rPr>
          <w:rFonts w:hAnsi="Arial"/>
          <w:rFonts w:ascii="Arial"/>
          <w:sz w:val="24"/>
          <w:color w:val="black"/>
        </w:rPr>
        <w:t xml:space="preserve">e) Capacitaciσn de personal respecto de los planes elaborados por las OPR.</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grado de funciones autorizadas a la Organizaciσn de Protecciσn Reconocida, OPR, estarα determinado por sus condiciones y capacidades financieras, de infraestructura, tιcnicas, operativas y administrativas.</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699" w:name="2.4.6.5.2"/>
      <w:r>
        <w:rPr>
          <w:rFonts w:hAnsi="Arial"/>
          <w:rFonts w:ascii="Arial"/>
          <w:sz w:val="24"/>
          <w:color w:val="navy"/>
        </w:rPr>
        <w:t xml:space="preserve">ARTΝCULO 2.4.6.5.2. </w:t>
      </w:r>
      <w:r>
        <w:rPr>
          <w:rFonts w:hAnsi="Arial"/>
          <w:rFonts w:ascii="Arial"/>
          <w:sz w:val="24"/>
          <w:i/>
          <w:color w:val="navy"/>
        </w:rPr>
        <w:t xml:space="preserve">INSCRIPCIΣN COMO ORGANIZACIΣN DE PROTECCIΣN RECONOCIDA.</w:t>
      </w:r>
      <w:bookmarkEnd w:id="61699"/>
      <w:r>
        <w:rPr>
          <w:rFonts w:hAnsi="Arial"/>
          <w:rFonts w:ascii="Arial"/>
          <w:sz w:val="24"/>
          <w:b/>
          <w:i/>
          <w:color w:val="black"/>
        </w:rPr>
        <w:t xml:space="preserve"> </w:t>
      </w:r>
      <w:r>
        <w:rPr>
          <w:rFonts w:hAnsi="Arial"/>
          <w:rFonts w:ascii="Arial"/>
          <w:sz w:val="24"/>
          <w:color w:val="black"/>
        </w:rPr>
        <w:t xml:space="preserve">Para inscribirse como Organizaciσn de Protecciσn Reconocida, OPR, ante la Autoridad Marνtima Nacional deberα cumplir los siguientes requisitos:</w:t>
      </w:r>
    </w:p>
    <w:p>
      <w:pPr>
        <w:jc w:val="both"/>
      </w:pPr>
      <w:rPr>
        <w:sz w:val="24"/>
        <w:color w:val="black"/>
      </w:rPr>
    </w:p>
    <w:p>
      <w:pPr>
        <w:jc w:val="both"/>
      </w:pPr>
      <w:r>
        <w:rPr>
          <w:rFonts w:hAnsi="Arial"/>
          <w:rFonts w:ascii="Arial"/>
          <w:sz w:val="24"/>
          <w:color w:val="black"/>
        </w:rPr>
        <w:t xml:space="preserve">1. Certificado de existencia y representaciσn legal expedido por la Cαmara de Comercio respectiva, con una vigencia no superior a tres (3) meses y matrνcula mercantil renovada cuando corresponda.</w:t>
      </w:r>
    </w:p>
    <w:p>
      <w:pPr>
        <w:jc w:val="both"/>
      </w:pPr>
      <w:rPr>
        <w:sz w:val="24"/>
        <w:color w:val="black"/>
      </w:rPr>
    </w:p>
    <w:p>
      <w:pPr>
        <w:jc w:val="both"/>
      </w:pPr>
      <w:r>
        <w:rPr>
          <w:rFonts w:hAnsi="Arial"/>
          <w:rFonts w:ascii="Arial"/>
          <w:sz w:val="24"/>
          <w:color w:val="black"/>
        </w:rPr>
        <w:t xml:space="preserve">2. Estar constituida como una empresa de vigilancia y seguridad privada o como empresa de asesorνa y consultorνa en seguridad ante la Superintendencia de Vigilancia y Seguridad Privada en los tιrminos del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y demαs normas reglamentarias y concordantes.</w:t>
      </w:r>
    </w:p>
    <w:p>
      <w:pPr>
        <w:jc w:val="both"/>
      </w:pPr>
      <w:rPr>
        <w:sz w:val="24"/>
        <w:color w:val="black"/>
      </w:rPr>
    </w:p>
    <w:p>
      <w:pPr>
        <w:jc w:val="both"/>
      </w:pPr>
      <w:r>
        <w:rPr>
          <w:rFonts w:hAnsi="Arial"/>
          <w:rFonts w:ascii="Arial"/>
          <w:sz w:val="24"/>
          <w:color w:val="black"/>
        </w:rPr>
        <w:t xml:space="preserve">3. Los miembros de los σrganos de direcciσn no deben estar incursos en causal de incompatibilidad o inhabilidad constitucional o legal y/o sanciσn profesional.</w:t>
      </w:r>
    </w:p>
    <w:p>
      <w:pPr>
        <w:jc w:val="both"/>
      </w:pPr>
      <w:rPr>
        <w:sz w:val="24"/>
        <w:color w:val="black"/>
      </w:rPr>
    </w:p>
    <w:p>
      <w:pPr>
        <w:jc w:val="both"/>
      </w:pPr>
      <w:r>
        <w:rPr>
          <w:rFonts w:hAnsi="Arial"/>
          <w:rFonts w:ascii="Arial"/>
          <w:sz w:val="24"/>
          <w:color w:val="black"/>
        </w:rPr>
        <w:t xml:space="preserve">4. Tener documentado el diseρo e implementaciσn de un sistema de gestiσn procedimental para la elaboraciσn de evaluaciones y planes de protecciσn.</w:t>
      </w:r>
    </w:p>
    <w:p>
      <w:pPr>
        <w:jc w:val="both"/>
      </w:pPr>
      <w:rPr>
        <w:sz w:val="24"/>
        <w:color w:val="black"/>
      </w:rPr>
    </w:p>
    <w:p>
      <w:pPr>
        <w:jc w:val="both"/>
      </w:pPr>
      <w:r>
        <w:rPr>
          <w:rFonts w:hAnsi="Arial"/>
          <w:rFonts w:ascii="Arial"/>
          <w:sz w:val="24"/>
          <w:color w:val="black"/>
        </w:rPr>
        <w:t xml:space="preserve">5. Constituir pσliza de cumplimiento de disposiciones legales vigentes, cuya cuantνa y entrada en vigencia serα fijada por la Direcciσn General Marνtima de conformidad con las disposiciones vigentes.</w:t>
      </w:r>
    </w:p>
    <w:p>
      <w:pPr>
        <w:jc w:val="both"/>
      </w:pPr>
      <w:rPr>
        <w:color w:val="black"/>
      </w:rPr>
    </w:p>
    <w:p>
      <w:pPr>
        <w:jc w:val="both"/>
      </w:pPr>
      <w:r>
        <w:rPr>
          <w:rFonts w:hAnsi="Arial"/>
          <w:rFonts w:ascii="Arial"/>
          <w:sz w:val="24"/>
          <w:color w:val="black"/>
        </w:rPr>
        <w:t xml:space="preserve">6. Disponer de personal competente y suficiente de supervisiσn, evaluaciσn tιcnica e inspecciσn.</w:t>
      </w:r>
    </w:p>
    <w:p>
      <w:pPr>
        <w:jc w:val="both"/>
      </w:pPr>
      <w:rPr>
        <w:sz w:val="24"/>
        <w:color w:val="black"/>
      </w:rPr>
    </w:p>
    <w:p>
      <w:pPr>
        <w:jc w:val="both"/>
      </w:pPr>
      <w:r>
        <w:rPr>
          <w:rFonts w:hAnsi="Arial"/>
          <w:rFonts w:ascii="Arial"/>
          <w:sz w:val="24"/>
          <w:color w:val="black"/>
        </w:rPr>
        <w:t xml:space="preserve">6.1. El personal que realiza y/o se responsabiliza de la preparaciσn de Evaluaciones de Protecciσn y Planes de Protecciσn debe cumplir los siguientes requisitos:</w:t>
      </w:r>
    </w:p>
    <w:p>
      <w:pPr>
        <w:jc w:val="both"/>
      </w:pPr>
      <w:rPr>
        <w:sz w:val="24"/>
        <w:color w:val="black"/>
      </w:rPr>
    </w:p>
    <w:p>
      <w:pPr>
        <w:jc w:val="both"/>
      </w:pPr>
      <w:r>
        <w:rPr>
          <w:rFonts w:hAnsi="Arial"/>
          <w:rFonts w:ascii="Arial"/>
          <w:sz w:val="24"/>
          <w:color w:val="black"/>
        </w:rPr>
        <w:t xml:space="preserve">a) Estar acreditado como consultor o asesor en seguridad privada, ante la Superintendencia de Vigilancia y Seguridad Privada;</w:t>
      </w:r>
    </w:p>
    <w:p>
      <w:pPr>
        <w:jc w:val="both"/>
      </w:pPr>
      <w:rPr>
        <w:sz w:val="24"/>
        <w:color w:val="black"/>
      </w:rPr>
    </w:p>
    <w:p>
      <w:pPr>
        <w:jc w:val="both"/>
      </w:pPr>
      <w:r>
        <w:rPr>
          <w:rFonts w:hAnsi="Arial"/>
          <w:rFonts w:ascii="Arial"/>
          <w:sz w:val="24"/>
          <w:color w:val="black"/>
        </w:rPr>
        <w:t xml:space="preserve">b) Poseer tνtulo profesional universitario expedido por una instituciσn reconocida por el Icfes y acreditar experiencia mνnima de dieciocho (18) meses en el αrea de puertos y buques;</w:t>
      </w:r>
    </w:p>
    <w:p>
      <w:pPr>
        <w:jc w:val="both"/>
      </w:pPr>
      <w:rPr>
        <w:sz w:val="24"/>
        <w:color w:val="black"/>
      </w:rPr>
    </w:p>
    <w:p>
      <w:pPr>
        <w:jc w:val="both"/>
      </w:pPr>
      <w:r>
        <w:rPr>
          <w:rFonts w:hAnsi="Arial"/>
          <w:rFonts w:ascii="Arial"/>
          <w:sz w:val="24"/>
          <w:color w:val="black"/>
        </w:rPr>
        <w:t xml:space="preserve">c) Acreditar experiencia mνnima de 6 meses o capacitaciσn en gerencia o manejo de sistemas de gestiσn o αreas afines.</w:t>
      </w:r>
    </w:p>
    <w:p>
      <w:pPr>
        <w:jc w:val="both"/>
      </w:pPr>
      <w:rPr>
        <w:sz w:val="24"/>
        <w:color w:val="black"/>
      </w:rPr>
    </w:p>
    <w:p>
      <w:pPr>
        <w:jc w:val="both"/>
      </w:pPr>
      <w:r>
        <w:rPr>
          <w:rFonts w:hAnsi="Arial"/>
          <w:rFonts w:ascii="Arial"/>
          <w:sz w:val="24"/>
          <w:color w:val="black"/>
        </w:rPr>
        <w:t xml:space="preserve">d) Aprobar el curso de protecciσn marνtima en las instituciones avaladas por la Direcciσn General Marνtima los cursos realizados en el exterior deberαn ser homologados por la Autoridad Marνtima Nacional.</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00" w:name="2.4.6.5.3"/>
      <w:r>
        <w:rPr>
          <w:rFonts w:hAnsi="Arial"/>
          <w:rFonts w:ascii="Arial"/>
          <w:sz w:val="24"/>
          <w:color w:val="navy"/>
        </w:rPr>
        <w:t xml:space="preserve">ARTΝCULO 2.4.6.5.3. </w:t>
      </w:r>
      <w:r>
        <w:rPr>
          <w:rFonts w:hAnsi="Arial"/>
          <w:rFonts w:ascii="Arial"/>
          <w:sz w:val="24"/>
          <w:i/>
          <w:color w:val="navy"/>
        </w:rPr>
        <w:t xml:space="preserve">OBLIGACIONES DE LA ORGANIZACIΣN DE PROTECCIΣN RECONOCIDA.</w:t>
      </w:r>
      <w:bookmarkEnd w:id="61700"/>
      <w:r>
        <w:rPr>
          <w:rFonts w:hAnsi="Arial"/>
          <w:rFonts w:ascii="Arial"/>
          <w:sz w:val="24"/>
          <w:b/>
          <w:i/>
          <w:color w:val="black"/>
        </w:rPr>
        <w:t xml:space="preserve"> </w:t>
      </w:r>
      <w:r>
        <w:rPr>
          <w:rFonts w:hAnsi="Arial"/>
          <w:rFonts w:ascii="Arial"/>
          <w:sz w:val="24"/>
          <w:color w:val="black"/>
        </w:rPr>
        <w:t xml:space="preserve">La Organizaciσn de Protecciσn Reconocida, OPR, tendrα las siguientes obligaciones:</w:t>
      </w:r>
    </w:p>
    <w:p>
      <w:pPr>
        <w:jc w:val="both"/>
      </w:pPr>
      <w:rPr>
        <w:sz w:val="24"/>
        <w:color w:val="black"/>
      </w:rPr>
    </w:p>
    <w:p>
      <w:pPr>
        <w:jc w:val="both"/>
      </w:pPr>
      <w:r>
        <w:rPr>
          <w:rFonts w:hAnsi="Arial"/>
          <w:rFonts w:ascii="Arial"/>
          <w:sz w:val="24"/>
          <w:color w:val="black"/>
        </w:rPr>
        <w:t xml:space="preserve">1. Ofrecer capacitaciσn continuada, apoyo tιcnico y administrativo a todo el personal y mantener un sistema documental para la preparaciσn y actualizaciσn continua de conocimientos del personal.</w:t>
      </w:r>
    </w:p>
    <w:p>
      <w:pPr>
        <w:jc w:val="both"/>
      </w:pPr>
      <w:rPr>
        <w:sz w:val="24"/>
        <w:color w:val="black"/>
      </w:rPr>
    </w:p>
    <w:p>
      <w:pPr>
        <w:jc w:val="both"/>
      </w:pPr>
      <w:r>
        <w:rPr>
          <w:rFonts w:hAnsi="Arial"/>
          <w:rFonts w:ascii="Arial"/>
          <w:sz w:val="24"/>
          <w:color w:val="black"/>
        </w:rPr>
        <w:t xml:space="preserve">2. Proveer lo necesario para la preparaciσn de las evaluaciones de protecciσn y los planes de protecciσn de buques con arreglo a las clαusulas de la Parte A y B del Cσdigo Internacional para la Protecciσn de los Buques y de las Instalaciones Portuarias, PBIP, que apliquen en cada caso.</w:t>
      </w:r>
    </w:p>
    <w:p>
      <w:pPr>
        <w:jc w:val="both"/>
      </w:pPr>
      <w:rPr>
        <w:sz w:val="24"/>
        <w:color w:val="black"/>
      </w:rPr>
    </w:p>
    <w:p>
      <w:pPr>
        <w:jc w:val="both"/>
      </w:pPr>
      <w:r>
        <w:rPr>
          <w:rFonts w:hAnsi="Arial"/>
          <w:rFonts w:ascii="Arial"/>
          <w:sz w:val="24"/>
          <w:color w:val="black"/>
        </w:rPr>
        <w:t xml:space="preserve">3. Establecer los procedimientos para el manejo y control de la documentaciσn.</w:t>
      </w:r>
    </w:p>
    <w:p>
      <w:pPr>
        <w:jc w:val="both"/>
      </w:pPr>
      <w:rPr>
        <w:sz w:val="24"/>
        <w:color w:val="black"/>
      </w:rPr>
    </w:p>
    <w:p>
      <w:pPr>
        <w:jc w:val="both"/>
      </w:pPr>
      <w:r>
        <w:rPr>
          <w:rFonts w:hAnsi="Arial"/>
          <w:rFonts w:ascii="Arial"/>
          <w:sz w:val="24"/>
          <w:color w:val="black"/>
        </w:rPr>
        <w:t xml:space="preserve">4. Mantener Sistemas de control que permitan ejercer vigilancia, supervisiσn y control sobre todo el personal de la Organizaciσn de Protecciσn Reconocida, OPR.</w:t>
      </w:r>
    </w:p>
    <w:p>
      <w:pPr>
        <w:jc w:val="both"/>
      </w:pPr>
      <w:rPr>
        <w:sz w:val="24"/>
        <w:color w:val="black"/>
      </w:rPr>
    </w:p>
    <w:p>
      <w:pPr>
        <w:jc w:val="both"/>
      </w:pPr>
      <w:r>
        <w:rPr>
          <w:rFonts w:hAnsi="Arial"/>
          <w:rFonts w:ascii="Arial"/>
          <w:sz w:val="24"/>
          <w:color w:val="black"/>
        </w:rPr>
        <w:t xml:space="preserve">5. Mantener vigente la pσliza de cumplimiento de disposiciones legales vigentes mientras se encuentren registradas como Organizaciσn de Protecciσn Reconocida ante la Autoridad Marνtima Nacional.</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01" w:name="2.4.6.5.4"/>
      <w:r>
        <w:rPr>
          <w:rFonts w:hAnsi="Arial"/>
          <w:rFonts w:ascii="Arial"/>
          <w:sz w:val="24"/>
          <w:color w:val="navy"/>
        </w:rPr>
        <w:t xml:space="preserve">ARTΝCULO 2.4.6.5.4. </w:t>
      </w:r>
      <w:r>
        <w:rPr>
          <w:rFonts w:hAnsi="Arial"/>
          <w:rFonts w:ascii="Arial"/>
          <w:sz w:val="24"/>
          <w:i/>
          <w:color w:val="navy"/>
        </w:rPr>
        <w:t xml:space="preserve">CANCELACIΣN DEL REGISTRO COMO ORGANIZACIΣN DE PROTECCIΣN RECONOCIDA.</w:t>
      </w:r>
      <w:bookmarkEnd w:id="61701"/>
      <w:r>
        <w:rPr>
          <w:rFonts w:hAnsi="Arial"/>
          <w:rFonts w:ascii="Arial"/>
          <w:sz w:val="24"/>
          <w:b/>
          <w:i/>
          <w:color w:val="black"/>
        </w:rPr>
        <w:t xml:space="preserve"> </w:t>
      </w:r>
      <w:r>
        <w:rPr>
          <w:rFonts w:hAnsi="Arial"/>
          <w:rFonts w:ascii="Arial"/>
          <w:sz w:val="24"/>
          <w:color w:val="black"/>
        </w:rPr>
        <w:t xml:space="preserve">Darα motivo de cancelaciσn del registro como Organizaciσn de Protecciσn Reconocida, OPR, el incurrir en una de las siguientes causales:</w:t>
      </w:r>
    </w:p>
    <w:p>
      <w:pPr>
        <w:jc w:val="both"/>
      </w:pPr>
      <w:rPr>
        <w:sz w:val="24"/>
        <w:color w:val="black"/>
      </w:rPr>
    </w:p>
    <w:p>
      <w:pPr>
        <w:jc w:val="both"/>
      </w:pPr>
      <w:r>
        <w:rPr>
          <w:rFonts w:hAnsi="Arial"/>
          <w:rFonts w:ascii="Arial"/>
          <w:sz w:val="24"/>
          <w:color w:val="black"/>
        </w:rPr>
        <w:t xml:space="preserve">1. El incumplimiento de una de las obligaciones consignadas en el artνculo anterior.</w:t>
      </w:r>
    </w:p>
    <w:p>
      <w:pPr>
        <w:jc w:val="both"/>
      </w:pPr>
      <w:rPr>
        <w:sz w:val="24"/>
        <w:color w:val="black"/>
      </w:rPr>
    </w:p>
    <w:p>
      <w:pPr>
        <w:jc w:val="both"/>
      </w:pPr>
      <w:r>
        <w:rPr>
          <w:rFonts w:hAnsi="Arial"/>
          <w:rFonts w:ascii="Arial"/>
          <w:sz w:val="24"/>
          <w:color w:val="black"/>
        </w:rPr>
        <w:t xml:space="preserve">2. Cuando la Autoridad Marνtima Nacional inspeccione y verifique que las condiciones iniciales no se mantienen o han sido modificadas sin autorizaciσn de esta.</w:t>
      </w:r>
    </w:p>
    <w:p>
      <w:pPr>
        <w:jc w:val="both"/>
      </w:pPr>
      <w:rPr>
        <w:sz w:val="24"/>
        <w:color w:val="black"/>
      </w:rPr>
    </w:p>
    <w:p>
      <w:pPr>
        <w:jc w:val="both"/>
      </w:pPr>
      <w:r>
        <w:rPr>
          <w:rFonts w:hAnsi="Arial"/>
          <w:rFonts w:ascii="Arial"/>
          <w:sz w:val="24"/>
          <w:color w:val="black"/>
        </w:rPr>
        <w:t xml:space="preserve">3. El no solicitar la renovaciσn en el tiempo establecido en el presente Capνtulo.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02" w:name="2.4.6.5.5"/>
      <w:r>
        <w:rPr>
          <w:rFonts w:hAnsi="Arial"/>
          <w:rFonts w:ascii="Arial"/>
          <w:sz w:val="24"/>
          <w:color w:val="navy"/>
        </w:rPr>
        <w:t xml:space="preserve">ARTΝCULO 2.4.6.5.5. </w:t>
      </w:r>
      <w:r>
        <w:rPr>
          <w:rFonts w:hAnsi="Arial"/>
          <w:rFonts w:ascii="Arial"/>
          <w:sz w:val="24"/>
          <w:i/>
          <w:color w:val="navy"/>
        </w:rPr>
        <w:t xml:space="preserve">RENOVACIΣN DEL REGISTRO DE LA ORGANIZACIΣN DE PROTECCIΣN RECONOCIDA.</w:t>
      </w:r>
      <w:bookmarkEnd w:id="61702"/>
      <w:r>
        <w:rPr>
          <w:rFonts w:hAnsi="Arial"/>
          <w:rFonts w:ascii="Arial"/>
          <w:sz w:val="24"/>
          <w:b/>
          <w:i/>
          <w:color w:val="black"/>
        </w:rPr>
        <w:t xml:space="preserve"> </w:t>
      </w:r>
      <w:r>
        <w:rPr>
          <w:rFonts w:hAnsi="Arial"/>
          <w:rFonts w:ascii="Arial"/>
          <w:sz w:val="24"/>
          <w:color w:val="black"/>
        </w:rPr>
        <w:t xml:space="preserve">La renovaciσn del registro de las Organizaciones de Protecciσn Reconocidas, OPR, serα cada tres (3) aρos y deberα solicitarse dentro de los treinta (30) dνas hαbiles anteriores a la fecha de su vencimiento.</w:t>
      </w:r>
    </w:p>
    <w:p>
      <w:pPr>
        <w:jc w:val="both"/>
      </w:pPr>
      <w:rPr>
        <w:sz w:val="24"/>
        <w:color w:val="black"/>
      </w:rPr>
    </w:p>
    <w:p>
      <w:pPr>
        <w:jc w:val="both"/>
      </w:pPr>
      <w:r>
        <w:rPr>
          <w:rFonts w:hAnsi="Arial"/>
          <w:rFonts w:ascii="Arial"/>
          <w:sz w:val="24"/>
          <w:i/>
          <w:color w:val="black"/>
        </w:rPr>
        <w:t xml:space="preserve">(Decreto 0730 de 2004 artνculo </w:t>
      </w:r>
      <w:r>
        <w:fldChar w:fldCharType="begin"/>
      </w:r>
      <w:r>
        <w:instrText>HYPERLINK "http://www.redjurista.com/document.aspx?ajcode=d0730004&amp;arts=44"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1703" w:name="TÍTULO 2.4.7"/>
      <w:r>
        <w:rPr>
          <w:rFonts w:hAnsi="Arial"/>
          <w:rFonts w:ascii="Arial"/>
          <w:sz w:val="24"/>
          <w:color w:val="navy"/>
        </w:rPr>
        <w:t xml:space="preserve">TΝTULO 7. </w:t>
      </w:r>
    </w:p>
    <w:p>
      <w:pPr>
        <w:jc w:val="center"/>
      </w:pPr>
      <w:r>
        <w:rPr>
          <w:rFonts w:hAnsi="Arial"/>
          <w:rFonts w:ascii="Arial"/>
          <w:sz w:val="24"/>
          <w:color w:val="navy"/>
        </w:rPr>
        <w:t xml:space="preserve">FACILITACIΣN MARΝTIMA.</w:t>
      </w:r>
      <w:bookmarkEnd w:id="61703"/>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61704" w:name="2.4.7.1"/>
      <w:r>
        <w:rPr>
          <w:rFonts w:hAnsi="Arial"/>
          <w:rFonts w:ascii="Arial"/>
          <w:sz w:val="24"/>
          <w:color w:val="navy"/>
        </w:rPr>
        <w:t xml:space="preserve">ARTΝCULO 2.4.7.1. </w:t>
      </w:r>
      <w:r>
        <w:rPr>
          <w:rFonts w:hAnsi="Arial"/>
          <w:rFonts w:ascii="Arial"/>
          <w:sz w:val="24"/>
          <w:i/>
          <w:color w:val="navy"/>
        </w:rPr>
        <w:t>DEFINICIONES</w:t>
      </w:r>
      <w:r>
        <w:rPr>
          <w:rFonts w:hAnsi="Arial"/>
          <w:rFonts w:ascii="Arial"/>
          <w:sz w:val="24"/>
          <w:color w:val="navy"/>
        </w:rPr>
        <w:t>.</w:t>
      </w:r>
      <w:bookmarkEnd w:id="6170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Para la aplicaciσn del Convenio para facilitar el trαfico marνtimo internacional (Convenio FAL) aprobado mediante la Ley </w:t>
      </w:r>
      <w:r>
        <w:fldChar w:fldCharType="begin"/>
      </w:r>
      <w:r>
        <w:instrText>HYPERLINK "http://www.redjurista.com/document.aspx?ajcode=l0017_91&amp;arts=INICIO"</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1991, se tendrαn en cuenta las siguientes definiciones:</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Visita Oficial de Arribo: </w:t>
      </w:r>
      <w:r>
        <w:rPr>
          <w:rFonts w:hAnsi="Arial"/>
          <w:rFonts w:ascii="Arial"/>
          <w:sz w:val="24"/>
          <w:color w:val="black"/>
        </w:rPr>
        <w:t xml:space="preserve">Es aquella que se realiza a la nave por las autoridades, para que sea recibida oficialmente y aceptada en puerto sin cuarentena.</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Libre Plαtica: </w:t>
      </w:r>
      <w:r>
        <w:rPr>
          <w:rFonts w:hAnsi="Arial"/>
          <w:rFonts w:ascii="Arial"/>
          <w:sz w:val="24"/>
          <w:color w:val="black"/>
        </w:rPr>
        <w:t xml:space="preserve">Es la autorizaciσn a una nave, para entrar en un puerto, embarcar o desembarcar, descargar o cargar suministros o mercancνa, permitiιndole iniciar actividades de embarque y/o desembarque de pasajeros y tripulantes, al igual que iniciar operaciones de cargue o descargue de suministros o mercancνa.</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Visita Ϊnica Oficial de Arribo: </w:t>
      </w:r>
      <w:r>
        <w:rPr>
          <w:rFonts w:hAnsi="Arial"/>
          <w:rFonts w:ascii="Arial"/>
          <w:sz w:val="24"/>
          <w:color w:val="black"/>
        </w:rPr>
        <w:t xml:space="preserve">Es aquella que se realiza a la nave por las autoridades en el primer puerto de arribo, con el propσsito de otorgar la libre plαtica, en los siguientes puertos colombianos a donde consecutivamente atraque la nave no serα necesario realizar la misma.</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Autorizaciσn Anticipada de Inicio de Operaciones de Buque</w:t>
      </w:r>
      <w:r>
        <w:rPr>
          <w:rFonts w:hAnsi="Arial"/>
          <w:rFonts w:ascii="Arial"/>
          <w:sz w:val="24"/>
          <w:color w:val="black"/>
        </w:rPr>
        <w:t xml:space="preserve">: Es el permiso que otorgan las Autoridades de Libre Plαtica a una nave o embarcaciσn (a excepciσn de los cruceros o cualquier otro medio de transporte marνtimo que incluya traslado de pasajeros), para iniciar las operaciones de cargue y descargue de mercancνas, antes de la realizaciσn de la Visita Oficial de Arribo y en cumplimiento de las condiciones dadas por las Autoridades de Libre Plαtica en el presente tνtulo.</w:t>
      </w:r>
    </w:p>
    <w:p>
      <w:pPr>
        <w:jc w:val="both"/>
      </w:pPr>
      <w:rPr>
        <w:color w:val="black"/>
      </w:rPr>
    </w:p>
    <w:p>
      <w:pPr>
        <w:jc w:val="both"/>
      </w:pPr>
      <w:r>
        <w:rPr>
          <w:rFonts w:hAnsi="Arial"/>
          <w:rFonts w:ascii="Arial"/>
          <w:sz w:val="24"/>
          <w:b/>
          <w:vanish/>
          <w:color w:val="black"/>
        </w:rPr>
        <w:t>&amp;$</w:t>
      </w:r>
      <w:bookmarkStart w:id="61705" w:name="2.4.7.2"/>
      <w:r>
        <w:rPr>
          <w:rFonts w:hAnsi="Arial"/>
          <w:rFonts w:ascii="Arial"/>
          <w:sz w:val="24"/>
          <w:color w:val="navy"/>
        </w:rPr>
        <w:t xml:space="preserve">ARTΝCULO 2.4.7.2. </w:t>
      </w:r>
      <w:r>
        <w:rPr>
          <w:rFonts w:hAnsi="Arial"/>
          <w:rFonts w:ascii="Arial"/>
          <w:sz w:val="24"/>
          <w:i/>
          <w:color w:val="navy"/>
        </w:rPr>
        <w:t xml:space="preserve">AUTORIDADES QUE PARTICIPAN EN LA VISITA OFICIAL DE ARRIBO.</w:t>
      </w:r>
      <w:bookmarkEnd w:id="6170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w:t>
      </w:r>
      <w:r>
        <w:rPr>
          <w:rFonts w:hAnsi="Arial"/>
          <w:rFonts w:ascii="Arial"/>
          <w:sz w:val="24"/>
          <w:b/>
          <w:i/>
          <w:u w:val="none"/>
          <w:color w:val="black"/>
        </w:rPr>
        <w:t xml:space="preserve"> </w:t>
      </w:r>
      <w:r>
        <w:rPr>
          <w:rFonts w:hAnsi="Arial"/>
          <w:rFonts w:ascii="Arial"/>
          <w:sz w:val="24"/>
          <w:u w:val="none"/>
          <w:color w:val="black"/>
        </w:rPr>
        <w:t xml:space="preserve">Para los efectos del presente tνtulo se entenderα por autoridades de la visita oficial de arribo: La Direcciσn General Marνtima (Dimar), la Direcciσn o Entidad Territorial de Salud, el Instituto Colombiano Agropecuario (ICA) y la Unidad Administrativa Especial Migraciσn Colombia, las cuales actuarαn a travιs de sus representantes respectivos en el terminal marνtimo.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Los agentes marνtimos deben garantizar en coordinaciσn con el capitαn de la nave, las condiciones de seguridad a los funcionarios que participan en la visita oficial de arribo, con el objeto de minimizar los riesgos asociados con el ejercicio de esta funciσn, sin las cuales no se llevarα a cabo dicha visita.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El propietario y/o armador del buque serαn los responsables de las condiciones migratorias reglamentarias de pasajeros, tripulantes y polizones dentro de la nave durante el arribo, permanencia y salida de puerto.</w:t>
      </w:r>
    </w:p>
    <w:p>
      <w:pPr>
        <w:jc w:val="both"/>
      </w:pPr>
      <w:rPr>
        <w:color w:val="black"/>
      </w:rPr>
    </w:p>
    <w:p>
      <w:pPr>
        <w:jc w:val="both"/>
      </w:pPr>
      <w:r>
        <w:rPr>
          <w:rFonts w:hAnsi="Arial"/>
          <w:rFonts w:ascii="Arial"/>
          <w:sz w:val="24"/>
          <w:b/>
          <w:vanish/>
          <w:color w:val="black"/>
        </w:rPr>
        <w:t>&amp;$</w:t>
      </w:r>
      <w:bookmarkStart w:id="61706" w:name="2.4.7.3"/>
      <w:r>
        <w:rPr>
          <w:rFonts w:hAnsi="Arial"/>
          <w:rFonts w:ascii="Arial"/>
          <w:sz w:val="24"/>
          <w:color w:val="navy"/>
        </w:rPr>
        <w:t xml:space="preserve">ARTΝCULO 2.4.7.3. </w:t>
      </w:r>
      <w:r>
        <w:rPr>
          <w:rFonts w:hAnsi="Arial"/>
          <w:rFonts w:ascii="Arial"/>
          <w:sz w:val="24"/>
          <w:i/>
          <w:color w:val="navy"/>
        </w:rPr>
        <w:t xml:space="preserve">AUTORIZACIΣN ANTICIPADA DE INICIO DE LAS OPERACIONES DE BUQUE.</w:t>
      </w:r>
      <w:bookmarkEnd w:id="61706"/>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El Capitαn de Puerto autorizarα el inicio anticipado de operaciones, previo concepto favorable de las autoridades competentes que participan en la visita oficial de arribo.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Para tales efectos, el Ministerio de Comercio, Industria y Turismo coordinarα conjuntamente con el Ministerio de Salud, la Dimar, el ICA y la Unidad Administrativa Especial Migraciσn Colombia la expediciσn del acto administrativo que reglamente la autorizaciσn anticipada de inicio de operaciones del buque asν como los procedimientos armonizados y coordinados para la debida implementaciσn del mismo, en el tιrmino de un (1) aρo siguiente a la expediciσn del presente tνtulo.</w:t>
      </w:r>
    </w:p>
    <w:p>
      <w:pPr>
        <w:jc w:val="both"/>
      </w:pPr>
      <w:rPr>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autorizaciσn materia del presente artνculo aplicarα a todo tipo de naves o embarcaciones a excepciσn de los buques de pasajeros, o cualquier otro medio de transporte marνtimo que incluya traslado de pasajeros.</w:t>
      </w:r>
    </w:p>
    <w:p>
      <w:pPr>
        <w:jc w:val="both"/>
      </w:pPr>
    </w:p>
    <w:p>
      <w:pPr>
        <w:jc w:val="both"/>
      </w:pPr>
      <w:r>
        <w:rPr>
          <w:rFonts w:hAnsi="Arial"/>
          <w:rFonts w:ascii="Arial"/>
          <w:sz w:val="24"/>
          <w:b/>
          <w:vanish/>
          <w:color w:val="black"/>
        </w:rPr>
        <w:t>&amp;$</w:t>
      </w:r>
      <w:bookmarkStart w:id="61707" w:name="2.4.7.4"/>
      <w:r>
        <w:rPr>
          <w:rFonts w:hAnsi="Arial"/>
          <w:rFonts w:ascii="Arial"/>
          <w:sz w:val="24"/>
          <w:color w:val="navy"/>
        </w:rPr>
        <w:t xml:space="preserve">ARTΝCULO 2.4.7.4. </w:t>
      </w:r>
      <w:r>
        <w:rPr>
          <w:rFonts w:hAnsi="Arial"/>
          <w:rFonts w:ascii="Arial"/>
          <w:sz w:val="24"/>
          <w:i/>
          <w:color w:val="navy"/>
        </w:rPr>
        <w:t xml:space="preserve">ESTANDARIZACIΣN DE LOS PROCEDIMIENTOS DE LIBRE PLΑTICA.</w:t>
      </w:r>
      <w:bookmarkEnd w:id="6170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Las autoridades de la visita oficial de arribo, emitirαn de manera conjunta en el tιrmino de un (1) aρo siguiente a la expediciσn del presente tνtulo, los procedimientos armonizados y coordinados para la debida implementaciσn.</w:t>
      </w:r>
    </w:p>
    <w:p>
      <w:pPr>
        <w:jc w:val="both"/>
      </w:pPr>
      <w:rPr>
        <w:color w:val="black"/>
      </w:rPr>
    </w:p>
    <w:p>
      <w:pPr>
        <w:jc w:val="both"/>
      </w:pPr>
      <w:r>
        <w:rPr>
          <w:rFonts w:hAnsi="Arial"/>
          <w:rFonts w:ascii="Arial"/>
          <w:sz w:val="24"/>
          <w:b/>
          <w:vanish/>
          <w:color w:val="black"/>
        </w:rPr>
        <w:t>&amp;$</w:t>
      </w:r>
      <w:bookmarkStart w:id="61708" w:name="2.4.7.5"/>
      <w:r>
        <w:rPr>
          <w:rFonts w:hAnsi="Arial"/>
          <w:rFonts w:ascii="Arial"/>
          <w:sz w:val="24"/>
          <w:color w:val="navy"/>
        </w:rPr>
        <w:t xml:space="preserve">ARTΝCULO 2.4.7.5. </w:t>
      </w:r>
      <w:r>
        <w:rPr>
          <w:rFonts w:hAnsi="Arial"/>
          <w:rFonts w:ascii="Arial"/>
          <w:sz w:val="24"/>
          <w:i/>
          <w:color w:val="navy"/>
        </w:rPr>
        <w:t xml:space="preserve">SEGUIMIENTO AL PROCESO DE LIBRE PLΑTICA.</w:t>
      </w:r>
      <w:bookmarkEnd w:id="6170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La Direcciσn General Marνtima (Dimar) en coordinaciσn con el Ministerio de Salud y Protecciσn Social, el Instituto Colombiano Agropecuario (ICA) y la Unidad Administrativa Especial de Migraciσn Colombia, deberαn realizar seguimiento periσdico que garantice la eficiencia y optimizaciσn de la libre plαtica.</w:t>
      </w:r>
    </w:p>
    <w:p>
      <w:pPr>
        <w:jc w:val="both"/>
      </w:pPr>
      <w:rPr>
        <w:sz w:val="24"/>
        <w:color w:val="black"/>
      </w:rPr>
    </w:p>
    <w:p>
      <w:pPr>
        <w:jc w:val="both"/>
      </w:pPr>
      <w:r>
        <w:rPr>
          <w:rFonts w:hAnsi="Arial"/>
          <w:rFonts w:ascii="Arial"/>
          <w:sz w:val="24"/>
          <w:color w:val="black"/>
        </w:rPr>
        <w:t xml:space="preserve">El seguimiento local, estarα a cargo de la Dimar a travιs de sus Capitanνas de Puerto, quienes garantizarαn que las medidas que se adopten en el procedimiento de libre plαtica se cumplan por parte de las autoridades y usuarios, en caso contrario, se deberα informar a las autoridades de libre plαtica de nivel central, para las acciones de su competencia.</w:t>
      </w:r>
    </w:p>
    <w:p>
      <w:pPr>
        <w:jc w:val="both"/>
      </w:pPr>
      <w:rPr>
        <w:color w:val="black"/>
      </w:rPr>
    </w:p>
    <w:p>
      <w:pPr>
        <w:jc w:val="both"/>
      </w:pPr>
      <w:r>
        <w:rPr>
          <w:rFonts w:hAnsi="Arial"/>
          <w:rFonts w:ascii="Arial"/>
          <w:sz w:val="24"/>
          <w:b/>
          <w:vanish/>
          <w:color w:val="black"/>
        </w:rPr>
        <w:t>&amp;$</w:t>
      </w:r>
      <w:bookmarkStart w:id="61709" w:name="2.4.7.6"/>
      <w:r>
        <w:rPr>
          <w:rFonts w:hAnsi="Arial"/>
          <w:rFonts w:ascii="Arial"/>
          <w:sz w:val="24"/>
          <w:color w:val="navy"/>
        </w:rPr>
        <w:t xml:space="preserve">ARTΝCULO 2.4.7.6. </w:t>
      </w:r>
      <w:r>
        <w:rPr>
          <w:rFonts w:hAnsi="Arial"/>
          <w:rFonts w:ascii="Arial"/>
          <w:sz w:val="24"/>
          <w:i/>
          <w:color w:val="navy"/>
        </w:rPr>
        <w:t xml:space="preserve">IMPLEMENTACIΣN DE HERRAMIENTAS INFORMΑTICAS Y ADMINISTRACIΣN DE LA GESTIΣN DEL RIESGO.</w:t>
      </w:r>
      <w:bookmarkEnd w:id="6170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Las autoridades de la visita oficial de arribo, deberαn coordinar la implementaciσn de herramientas informαticas para los fines establecidos en el presente tνtulo, liderados por la Direcciσn General Marνtima (Dimar).</w:t>
      </w:r>
    </w:p>
    <w:p>
      <w:pPr>
        <w:jc w:val="both"/>
      </w:pPr>
      <w:rPr>
        <w:sz w:val="24"/>
        <w:color w:val="black"/>
      </w:rPr>
    </w:p>
    <w:p>
      <w:pPr>
        <w:jc w:val="both"/>
      </w:pPr>
      <w:r>
        <w:rPr>
          <w:rFonts w:hAnsi="Arial"/>
          <w:rFonts w:ascii="Arial"/>
          <w:sz w:val="24"/>
          <w:color w:val="black"/>
        </w:rPr>
        <w:t xml:space="preserve">Las autoridades deberαn implementar y mantener un sistema de administraciσn de riesgo que les permita asegurar la cadena logνstica de la operaciσn de libre plαtica.</w:t>
      </w:r>
    </w:p>
    <w:p>
      <w:pPr>
        <w:jc w:val="both"/>
      </w:pPr>
      <w:rPr>
        <w:color w:val="black"/>
      </w:rPr>
    </w:p>
    <w:p>
      <w:pPr>
        <w:jc w:val="both"/>
      </w:pPr>
      <w:r>
        <w:rPr>
          <w:rFonts w:hAnsi="Arial"/>
          <w:rFonts w:ascii="Arial"/>
          <w:sz w:val="24"/>
          <w:b/>
          <w:vanish/>
          <w:color w:val="black"/>
        </w:rPr>
        <w:t>&amp;$</w:t>
      </w:r>
      <w:bookmarkStart w:id="61710" w:name="2.4.7.7"/>
      <w:r>
        <w:rPr>
          <w:rFonts w:hAnsi="Arial"/>
          <w:rFonts w:ascii="Arial"/>
          <w:sz w:val="24"/>
          <w:color w:val="navy"/>
        </w:rPr>
        <w:t xml:space="preserve">ARTΝCULO 2.4.7.7. </w:t>
      </w:r>
      <w:r>
        <w:rPr>
          <w:rFonts w:hAnsi="Arial"/>
          <w:rFonts w:ascii="Arial"/>
          <w:sz w:val="24"/>
          <w:i/>
          <w:color w:val="navy"/>
        </w:rPr>
        <w:t xml:space="preserve">INDICADORES DE LAS OPERACIONES.</w:t>
      </w:r>
      <w:bookmarkEnd w:id="61710"/>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"http://www.redjurista.com/document.aspx?ajcode=d0910017&amp;arts=1"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910 de 2017. El nuevo texto es el siguiente:&gt; La Direcciσn General Marνtima (Dimar) en coordinaciσn con el Ministerio de Salud y Protecciσn Social, el Instituto Colombiano Agropecuario (ICA) y la Unidad Administrativa Especial de Migraciσn Colombia, establecerαn los indicadores que permitan a partir de una lνnea base, medir el comportamiento del proceso de visita de libre plαtica, en cada uno de los terminales del paνs, con el propσsito de tomar las medidas que conlleven a la facilitaciσn del comercio, sin detrimento del control que cada una de las entidades deba realizar en cumplimiento de su objeto. Para tales efectos, la Direcciσn General Marνtima (Dimar) adelantarα los desarrollos informαticos en el sistema Sitmar que permitan contar con la informaciσn en lνnea.</w:t>
      </w:r>
    </w:p>
    <w:p>
      <w:pPr>
        <w:jc w:val="center"/>
      </w:pPr>
      <w:rPr>
        <w:sz w:val="24"/>
        <w:b/>
        <w:color w:val="black"/>
      </w:rPr>
    </w:p>
    <w:p>
      <w:pPr>
        <w:jc w:val="center"/>
      </w:pPr>
      <w:r>
        <w:rPr>
          <w:rFonts w:hAnsi="Arial"/>
          <w:rFonts w:ascii="Arial"/>
          <w:sz w:val="24"/>
          <w:b/>
          <w:vanish/>
          <w:color w:val="black"/>
        </w:rPr>
        <w:t>&amp;$</w:t>
      </w:r>
      <w:bookmarkStart w:id="61711" w:name="TÍTULO 2.4.8"/>
      <w:r>
        <w:rPr>
          <w:rFonts w:hAnsi="Arial"/>
          <w:rFonts w:ascii="Arial"/>
          <w:sz w:val="24"/>
          <w:color w:val="navy"/>
        </w:rPr>
        <w:t xml:space="preserve">TΝTULO 8. </w:t>
      </w:r>
    </w:p>
    <w:p>
      <w:pPr>
        <w:jc w:val="center"/>
      </w:pPr>
      <w:r>
        <w:rPr>
          <w:rFonts w:hAnsi="Arial"/>
          <w:rFonts w:ascii="Arial"/>
          <w:sz w:val="24"/>
          <w:color w:val="navy"/>
        </w:rPr>
        <w:t xml:space="preserve">SISTEMA DE BΪSQUEDA Y SALVAMENTO MARΝTIMO NACIONAL COLOMBIANO.</w:t>
      </w:r>
      <w:bookmarkEnd w:id="61711"/>
      <w:r>
        <w:rPr>
          <w:rFonts w:hAnsi="Arial"/>
          <w:rFonts w:ascii="Arial"/>
          <w:sz w:val="24"/>
          <w:b/>
          <w:color w:val="black"/>
        </w:rPr>
        <w:t xml:space="preserve"> </w:t>
      </w:r>
    </w:p>
    <w:p>
      <w:pPr>
        <w:jc w:val="both"/>
        <w:keepNext/>
      </w:pPr>
      <w:rPr>
        <w:color w:val="black"/>
      </w:rPr>
    </w:p>
    <w:p>
      <w:pPr>
        <w:jc w:val="both"/>
        <w:keepNext/>
      </w:pPr>
      <w:r>
        <w:rPr>
          <w:rFonts w:hAnsi="Arial"/>
          <w:rFonts w:ascii="Arial"/>
          <w:sz w:val="24"/>
          <w:b/>
          <w:vanish/>
          <w:color w:val="black"/>
        </w:rPr>
        <w:t>&amp;$</w:t>
      </w:r>
      <w:bookmarkStart w:id="61712" w:name="2.4.8.1"/>
      <w:r>
        <w:rPr>
          <w:rFonts w:hAnsi="Arial"/>
          <w:rFonts w:ascii="Arial"/>
          <w:sz w:val="24"/>
          <w:color w:val="navy"/>
        </w:rPr>
        <w:t xml:space="preserve">ARTΝCULO 2.4.8.1. DEFINICIONES.</w:t>
      </w:r>
      <w:bookmarkEnd w:id="6171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Para efectos del presente tνtulo, se establecen las siguientes definiciones: </w:t>
      </w:r>
    </w:p>
    <w:p>
      <w:pPr>
        <w:jc w:val="both"/>
        <w:keepNext/>
      </w:pPr>
      <w:rPr>
        <w:sz w:val="24"/>
        <w:b/>
        <w:color w:val="black"/>
      </w:rPr>
    </w:p>
    <w:p>
      <w:pPr>
        <w:jc w:val="both"/>
        <w:keepNext/>
      </w:pPr>
      <w:r>
        <w:rPr>
          <w:rFonts w:hAnsi="Arial"/>
          <w:rFonts w:ascii="Arial"/>
          <w:sz w:val="24"/>
          <w:b/>
          <w:color w:val="black"/>
        </w:rPr>
        <w:t xml:space="preserve">1. Sistema de Bϊsqueda y Salvamento Marνtimo Nacional Colombiano: </w:t>
      </w:r>
      <w:r>
        <w:rPr>
          <w:rFonts w:hAnsi="Arial"/>
          <w:rFonts w:ascii="Arial"/>
          <w:sz w:val="24"/>
          <w:color w:val="black"/>
        </w:rPr>
        <w:t xml:space="preserve">Se entiende como el conjunto de entidades, equipos, elementos y personas que actϊan de manera coordinada y organizada para la adecuada atenciσn de llamadas de emergencia o socorro que se presenten en la jurisdicciσn del Servicio de Bϊsqueda y Salvamento Marνtimo Colombiano. </w:t>
      </w:r>
    </w:p>
    <w:p>
      <w:pPr>
        <w:jc w:val="both"/>
        <w:keepNext/>
      </w:pPr>
      <w:rPr>
        <w:sz w:val="24"/>
        <w:b/>
        <w:color w:val="black"/>
      </w:rPr>
    </w:p>
    <w:p>
      <w:pPr>
        <w:jc w:val="both"/>
        <w:keepNext/>
      </w:pPr>
      <w:r>
        <w:rPr>
          <w:rFonts w:hAnsi="Arial"/>
          <w:rFonts w:ascii="Arial"/>
          <w:sz w:val="24"/>
          <w:b/>
          <w:color w:val="black"/>
        </w:rPr>
        <w:t xml:space="preserve">2. Bϊsqueda: </w:t>
      </w:r>
      <w:r>
        <w:rPr>
          <w:rFonts w:hAnsi="Arial"/>
          <w:rFonts w:ascii="Arial"/>
          <w:sz w:val="24"/>
          <w:color w:val="black"/>
        </w:rPr>
        <w:t xml:space="preserve">Se entiende como la Operaciσn coordinada normalmente por un centro coordinador de salvamento o un subcentro de salvamento, en la que se utilizan el personal y los medios disponibles del Sistema de Bϊsqueda y Salvamento Marνtimo Nacional Colombiano para localizar a personas en peligro. </w:t>
      </w:r>
    </w:p>
    <w:p>
      <w:pPr>
        <w:jc w:val="both"/>
        <w:keepNext/>
      </w:pPr>
      <w:rPr>
        <w:sz w:val="24"/>
        <w:b/>
        <w:color w:val="black"/>
      </w:rPr>
    </w:p>
    <w:p>
      <w:pPr>
        <w:jc w:val="both"/>
        <w:keepNext/>
      </w:pPr>
      <w:r>
        <w:rPr>
          <w:rFonts w:hAnsi="Arial"/>
          <w:rFonts w:ascii="Arial"/>
          <w:sz w:val="24"/>
          <w:b/>
          <w:color w:val="black"/>
        </w:rPr>
        <w:t xml:space="preserve">3. Salvamento: </w:t>
      </w:r>
      <w:r>
        <w:rPr>
          <w:rFonts w:hAnsi="Arial"/>
          <w:rFonts w:ascii="Arial"/>
          <w:sz w:val="24"/>
          <w:color w:val="black"/>
        </w:rPr>
        <w:t xml:space="preserve">Para efectos de este Decreto, se entiende como la Operaciσn realizada por el Sistema de Bϊsqueda y Salvamento Marνtimo Nacional Colombiano para recuperar a personas en peligro, prestarles primeros auxilios, y transportarlas a un lugar seguro. Para efectos de esta normativa y de la doctrina operacional el tιrmino Salvamento equivale a Rescate. </w:t>
      </w:r>
    </w:p>
    <w:p>
      <w:pPr>
        <w:jc w:val="both"/>
        <w:keepNext/>
      </w:pPr>
      <w:rPr>
        <w:sz w:val="24"/>
        <w:b/>
        <w:color w:val="black"/>
      </w:rPr>
    </w:p>
    <w:p>
      <w:pPr>
        <w:jc w:val="both"/>
        <w:keepNext/>
      </w:pPr>
      <w:r>
        <w:rPr>
          <w:rFonts w:hAnsi="Arial"/>
          <w:rFonts w:ascii="Arial"/>
          <w:sz w:val="24"/>
          <w:b/>
          <w:color w:val="black"/>
        </w:rPr>
        <w:t xml:space="preserve">4. Servicio de Bϊsqueda y Salvamento: </w:t>
      </w:r>
      <w:r>
        <w:rPr>
          <w:rFonts w:hAnsi="Arial"/>
          <w:rFonts w:ascii="Arial"/>
          <w:sz w:val="24"/>
          <w:color w:val="black"/>
        </w:rPr>
        <w:t xml:space="preserve">Se entiende como el desempeρo de las funciones de supervisiσn, comunicaciσn, coordinaciσn, bϊsqueda y salvamento en una situaciσn de peligro, incluido prestarles los primeros auxilios, mediante la utilizaciσn de recursos pϊblicos y privados, incluidas aeronaves, buques y otras naves e instalaciones que colaboren en las operaciones. </w:t>
      </w:r>
    </w:p>
    <w:p>
      <w:pPr>
        <w:jc w:val="both"/>
      </w:pPr>
      <w:rPr>
        <w:color w:val="black"/>
      </w:rPr>
    </w:p>
    <w:p>
      <w:pPr>
        <w:jc w:val="both"/>
      </w:pPr>
      <w:r>
        <w:rPr>
          <w:rFonts w:hAnsi="Arial"/>
          <w:rFonts w:ascii="Arial"/>
          <w:sz w:val="24"/>
          <w:b/>
          <w:vanish/>
          <w:color w:val="black"/>
        </w:rPr>
        <w:t>&amp;$</w:t>
      </w:r>
      <w:bookmarkStart w:id="61713" w:name="2.4.8.2"/>
      <w:r>
        <w:rPr>
          <w:rFonts w:hAnsi="Arial"/>
          <w:rFonts w:ascii="Arial"/>
          <w:sz w:val="24"/>
          <w:color w:val="navy"/>
        </w:rPr>
        <w:t xml:space="preserve">ARTΝCULO 2.4.8.2. OBJETO.</w:t>
      </w:r>
      <w:bookmarkEnd w:id="6171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Crear el Sistema de Bϊsqueda y Salvamento Marνtimo Nacional Colombiano, y establecer el Plan Nacional de Bϊsqueda y Salvamento Marνtimo Colombiano como el documento estructurador del Sistema. </w:t>
      </w:r>
    </w:p>
    <w:p>
      <w:pPr>
        <w:jc w:val="both"/>
      </w:pPr>
      <w:rPr>
        <w:color w:val="black"/>
      </w:rPr>
    </w:p>
    <w:p>
      <w:pPr>
        <w:jc w:val="both"/>
      </w:pPr>
      <w:r>
        <w:rPr>
          <w:rFonts w:hAnsi="Arial"/>
          <w:rFonts w:ascii="Arial"/>
          <w:sz w:val="24"/>
          <w:b/>
          <w:vanish/>
          <w:color w:val="black"/>
        </w:rPr>
        <w:t>&amp;$</w:t>
      </w:r>
      <w:bookmarkStart w:id="61714" w:name="2.4.8.3"/>
      <w:r>
        <w:rPr>
          <w:rFonts w:hAnsi="Arial"/>
          <w:rFonts w:ascii="Arial"/>
          <w:sz w:val="24"/>
          <w:color w:val="navy"/>
        </w:rPr>
        <w:t xml:space="preserve">ARTΝCULO 2.4.8.3. ΑMBITO DE APLICACIΣN.</w:t>
      </w:r>
      <w:bookmarkEnd w:id="6171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Lo previsto en el presente Tνtulo aplica al Servicio de Bϊsqueda y Salvamento Marνtimo Colombiano y a las entidades de apoyo a la operaciσn SAR, dentro de las aguas marνtimas colombianas.  </w:t>
      </w:r>
    </w:p>
    <w:p>
      <w:pPr>
        <w:jc w:val="both"/>
      </w:pPr>
      <w:rPr>
        <w:color w:val="black"/>
      </w:rPr>
    </w:p>
    <w:p>
      <w:pPr>
        <w:jc w:val="both"/>
      </w:pPr>
      <w:r>
        <w:rPr>
          <w:rFonts w:hAnsi="Arial"/>
          <w:rFonts w:ascii="Arial"/>
          <w:sz w:val="24"/>
          <w:vanish/>
          <w:color w:val="black"/>
        </w:rPr>
        <w:t>&amp;$</w:t>
      </w:r>
      <w:bookmarkStart w:id="61715" w:name="2.4.8.4"/>
      <w:r>
        <w:rPr>
          <w:rFonts w:hAnsi="Arial"/>
          <w:rFonts w:ascii="Arial"/>
          <w:sz w:val="24"/>
          <w:color w:val="navy"/>
        </w:rPr>
        <w:t xml:space="preserve">ARTΝCULO 2.4.8.4. SISTEMA DE BΪSQUEDA Y SALVAMENTO MARΝTIMO NACIONAL.</w:t>
      </w:r>
      <w:bookmarkEnd w:id="6171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El Sistema de Bϊsqueda y Salvamento Marνtimo Nacional Colombiano, estarα conformado por: </w:t>
      </w:r>
    </w:p>
    <w:p>
      <w:pPr>
        <w:jc w:val="both"/>
      </w:pPr>
      <w:rPr>
        <w:sz w:val="24"/>
        <w:b/>
        <w:color w:val="black"/>
      </w:rPr>
    </w:p>
    <w:p>
      <w:pPr>
        <w:jc w:val="both"/>
      </w:pPr>
      <w:r>
        <w:rPr>
          <w:rFonts w:hAnsi="Arial"/>
          <w:rFonts w:ascii="Arial"/>
          <w:sz w:val="24"/>
          <w:b/>
          <w:color w:val="black"/>
        </w:rPr>
        <w:t xml:space="preserve">1. La Direcciσn General Marνtima (DIMAR), </w:t>
      </w:r>
      <w:r>
        <w:rPr>
          <w:rFonts w:hAnsi="Arial"/>
          <w:rFonts w:ascii="Arial"/>
          <w:sz w:val="24"/>
          <w:color w:val="black"/>
        </w:rPr>
        <w:t xml:space="preserve">como responsable de la direcciσn, coordinaciσn y control del Servicio de Bϊsqueda y Salvamento Marνtimo Nacional. </w:t>
      </w:r>
    </w:p>
    <w:p>
      <w:pPr>
        <w:jc w:val="both"/>
      </w:pPr>
      <w:rPr>
        <w:sz w:val="24"/>
        <w:b/>
        <w:color w:val="black"/>
      </w:rPr>
    </w:p>
    <w:p>
      <w:pPr>
        <w:jc w:val="both"/>
      </w:pPr>
      <w:r>
        <w:rPr>
          <w:rFonts w:hAnsi="Arial"/>
          <w:rFonts w:ascii="Arial"/>
          <w:sz w:val="24"/>
          <w:b/>
          <w:color w:val="black"/>
        </w:rPr>
        <w:t xml:space="preserve">2. La Armada Nacional (ARC), </w:t>
      </w:r>
      <w:r>
        <w:rPr>
          <w:rFonts w:hAnsi="Arial"/>
          <w:rFonts w:ascii="Arial"/>
          <w:sz w:val="24"/>
          <w:color w:val="black"/>
        </w:rPr>
        <w:t xml:space="preserve">como responsable del planeamiento y ejecuciσn operacional de la Bϊsqueda y Salvamento en el Αrea de Responsabilidad Operacional Marνtima. </w:t>
      </w:r>
    </w:p>
    <w:p>
      <w:pPr>
        <w:jc w:val="both"/>
      </w:pPr>
      <w:rPr>
        <w:sz w:val="24"/>
        <w:b/>
        <w:color w:val="black"/>
      </w:rPr>
    </w:p>
    <w:p>
      <w:pPr>
        <w:jc w:val="both"/>
      </w:pPr>
      <w:r>
        <w:rPr>
          <w:rFonts w:hAnsi="Arial"/>
          <w:rFonts w:ascii="Arial"/>
          <w:sz w:val="24"/>
          <w:b/>
          <w:color w:val="black"/>
        </w:rPr>
        <w:t xml:space="preserve">3. La Unidad Administrativa Especial de Aeronαutica Civil - Aerocivil (UAEAC), </w:t>
      </w:r>
      <w:r>
        <w:rPr>
          <w:rFonts w:hAnsi="Arial"/>
          <w:rFonts w:ascii="Arial"/>
          <w:sz w:val="24"/>
          <w:color w:val="black"/>
        </w:rPr>
        <w:t xml:space="preserve">como responsable de la direcciσn, coordinaciσn y control del Servicio de Bϊsqueda y Salvamento Aeronαutico Nacional, conforme a lo establecido en el Reglamento Aeronαutico Nacional y demαs normas correspondientes. </w:t>
      </w:r>
    </w:p>
    <w:p>
      <w:pPr>
        <w:jc w:val="both"/>
      </w:pPr>
      <w:bookmarkStart w:id="61716" w:name="LIBRO 1"/>
    </w:p>
    <w:p>
      <w:pPr>
        <w:jc w:val="both"/>
      </w:pPr>
      <w:bookmarkEnd w:id="61716"/>
      <w:r>
        <w:rPr>
          <w:rFonts w:hAnsi="Arial"/>
          <w:rFonts w:ascii="Arial"/>
          <w:sz w:val="24"/>
          <w:color w:val="navy"/>
        </w:rPr>
        <w:t>PARΑGRAFO.</w:t>
      </w:r>
      <w:r>
        <w:rPr>
          <w:rFonts w:hAnsi="Arial"/>
          <w:rFonts w:ascii="Arial"/>
          <w:sz w:val="24"/>
          <w:color w:val="black"/>
        </w:rPr>
        <w:t xml:space="preserve"> Las entidades que conforman el Sistema se coordinarαn y articularαn de acuerdo con lo que se establezca en el Plan Nacional (SAR) adoptado por el presente Decreto. </w:t>
      </w:r>
    </w:p>
    <w:p>
      <w:pPr>
        <w:jc w:val="both"/>
        <w:keepNext/>
      </w:pPr>
      <w:rPr>
        <w:color w:val="black"/>
      </w:rPr>
    </w:p>
    <w:p>
      <w:pPr>
        <w:jc w:val="both"/>
        <w:keepNext/>
      </w:pPr>
      <w:r>
        <w:rPr>
          <w:rFonts w:hAnsi="Arial"/>
          <w:rFonts w:ascii="Arial"/>
          <w:sz w:val="24"/>
          <w:b/>
          <w:vanish/>
          <w:color w:val="black"/>
        </w:rPr>
        <w:t>&amp;$</w:t>
      </w:r>
      <w:bookmarkStart w:id="61717" w:name="2.4.8.5"/>
      <w:r>
        <w:rPr>
          <w:rFonts w:hAnsi="Arial"/>
          <w:rFonts w:ascii="Arial"/>
          <w:sz w:val="24"/>
          <w:color w:val="navy"/>
        </w:rPr>
        <w:t xml:space="preserve">ARTΝCULO 2.4.8.5. FUNCIONES GENERALES.</w:t>
      </w:r>
      <w:bookmarkEnd w:id="6171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El Sistema de Bϊsqueda y Salvamento Marνtimo Nacional Colombiano, tendrα las siguientes funciones generales: </w:t>
      </w:r>
    </w:p>
    <w:p>
      <w:pPr>
        <w:jc w:val="both"/>
        <w:keepNext/>
      </w:pPr>
      <w:rPr>
        <w:sz w:val="24"/>
        <w:b/>
        <w:color w:val="black"/>
      </w:rPr>
    </w:p>
    <w:p>
      <w:pPr>
        <w:jc w:val="both"/>
        <w:keepNext/>
      </w:pPr>
      <w:r>
        <w:rPr>
          <w:rFonts w:hAnsi="Arial"/>
          <w:rFonts w:ascii="Arial"/>
          <w:sz w:val="24"/>
          <w:color w:val="black"/>
        </w:rPr>
        <w:t xml:space="preserve">1. Recibir, acusar recibo y retransmitir notificaciones de emergencia o socorro al correspondiente Centro Coordinador de Salvamento. </w:t>
      </w:r>
    </w:p>
    <w:p>
      <w:pPr>
        <w:jc w:val="both"/>
        <w:keepNext/>
      </w:pPr>
      <w:rPr>
        <w:sz w:val="24"/>
        <w:b/>
        <w:color w:val="black"/>
      </w:rPr>
    </w:p>
    <w:p>
      <w:pPr>
        <w:jc w:val="both"/>
        <w:keepNext/>
      </w:pPr>
      <w:r>
        <w:rPr>
          <w:rFonts w:hAnsi="Arial"/>
          <w:rFonts w:ascii="Arial"/>
          <w:sz w:val="24"/>
          <w:color w:val="black"/>
        </w:rPr>
        <w:t xml:space="preserve">2. Coordinar la bϊsqueda. </w:t>
      </w:r>
    </w:p>
    <w:p>
      <w:pPr>
        <w:jc w:val="both"/>
        <w:keepNext/>
      </w:pPr>
      <w:rPr>
        <w:sz w:val="24"/>
        <w:b/>
        <w:color w:val="black"/>
      </w:rPr>
    </w:p>
    <w:p>
      <w:pPr>
        <w:jc w:val="both"/>
        <w:keepNext/>
      </w:pPr>
      <w:r>
        <w:rPr>
          <w:rFonts w:hAnsi="Arial"/>
          <w:rFonts w:ascii="Arial"/>
          <w:sz w:val="24"/>
          <w:color w:val="black"/>
        </w:rPr>
        <w:t xml:space="preserve">3. Coordinar el salvamento y transporte de los supervivientes a un lugar seguro. </w:t>
      </w:r>
    </w:p>
    <w:p>
      <w:pPr>
        <w:jc w:val="both"/>
        <w:keepNext/>
      </w:pPr>
      <w:rPr>
        <w:sz w:val="24"/>
        <w:b/>
        <w:color w:val="black"/>
      </w:rPr>
    </w:p>
    <w:p>
      <w:pPr>
        <w:jc w:val="both"/>
        <w:keepNext/>
      </w:pPr>
      <w:r>
        <w:rPr>
          <w:rFonts w:hAnsi="Arial"/>
          <w:rFonts w:ascii="Arial"/>
          <w:sz w:val="24"/>
          <w:color w:val="black"/>
        </w:rPr>
        <w:t xml:space="preserve">4. Ofrecer asesoramiento mιdico, primeros auxilios o evacuaciσn mιdica. </w:t>
      </w:r>
    </w:p>
    <w:p>
      <w:pPr>
        <w:jc w:val="both"/>
        <w:keepNext/>
      </w:pPr>
      <w:rPr>
        <w:sz w:val="24"/>
        <w:b/>
        <w:color w:val="black"/>
      </w:rPr>
    </w:p>
    <w:p>
      <w:pPr>
        <w:jc w:val="both"/>
        <w:keepNext/>
      </w:pPr>
      <w:r>
        <w:rPr>
          <w:rFonts w:hAnsi="Arial"/>
          <w:rFonts w:ascii="Arial"/>
          <w:sz w:val="24"/>
          <w:color w:val="black"/>
        </w:rPr>
        <w:t xml:space="preserve">5. Las que se establezcan de manera especνfica en el Plan Nacional de Bϊsqueda y Salvamento Marνtimo PNS o en los manuales y planes operacionales correspondientes. </w:t>
      </w:r>
    </w:p>
    <w:p>
      <w:pPr>
        <w:jc w:val="both"/>
      </w:pPr>
      <w:rPr>
        <w:color w:val="black"/>
      </w:rPr>
    </w:p>
    <w:p>
      <w:pPr>
        <w:jc w:val="both"/>
      </w:pPr>
      <w:r>
        <w:rPr>
          <w:rFonts w:hAnsi="Arial"/>
          <w:rFonts w:ascii="Arial"/>
          <w:sz w:val="24"/>
          <w:b/>
          <w:vanish/>
          <w:color w:val="black"/>
        </w:rPr>
        <w:t>&amp;$</w:t>
      </w:r>
      <w:bookmarkStart w:id="61718" w:name="2.4.8.6"/>
      <w:r>
        <w:rPr>
          <w:rFonts w:hAnsi="Arial"/>
          <w:rFonts w:ascii="Arial"/>
          <w:sz w:val="24"/>
          <w:color w:val="navy"/>
        </w:rPr>
        <w:t xml:space="preserve">ARTΝCULO 2.4.8.6. PLAN NACIONAL DE BΪSQUEDA Y SALVAMENTO MARΝTIMO.</w:t>
      </w:r>
      <w:bookmarkEnd w:id="61718"/>
      <w:r>
        <w:rPr>
          <w:rFonts w:hAnsi="Arial"/>
          <w:rFonts w:ascii="Arial"/>
          <w:sz w:val="24"/>
          <w:color w:val="black"/>
        </w:rPr>
        <w:t xml:space="preserve"> &lt;Artνculo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Se establece el Plan Nacional de Bϊsqueda y Salvamento Marνtimo Colombiano como el documento que implementa las directrices generales de organizaciσn, operaciσn, articulaciσn, armonizaciσn y administraciσn del Sistema de Bϊsqueda y Salvamento Marνtimo Nacional colombiano. El Plan Nacional, deberα estar acorde con los instrumentos internacionales suscritos por Colombia y las normas nacionales especiales aplicables a las entidades que hacen parte del Sistema de Bϊsqueda y Salvamento Marνtimo Nacional.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El Plan Nacional de Bϊsqueda y Salvamento Marνtimo Colombiano constituye un anexo del presente decreto, formando parte integral del mismo. Las actualizaciones de carαcter tιcnico y operativo que se efectϊen a dicho Plan, no implicarαn modificaciσn del presente decreto. La actualizaciσn del Plan Nacional de Bϊsqueda y Salvamento Marνtimo, se efectuarα de acuerdo con el procedimiento que este mismo establezca para tal fin. </w:t>
      </w:r>
    </w:p>
    <w:p>
      <w:pPr>
        <w:jc w:val="both"/>
      </w:pPr>
      <w:rPr>
        <w:color w:val="black"/>
      </w:rPr>
    </w:p>
    <w:p>
      <w:pPr>
        <w:jc w:val="both"/>
      </w:pPr>
      <w:r>
        <w:rPr>
          <w:rFonts w:hAnsi="Arial"/>
          <w:rFonts w:ascii="Arial"/>
          <w:sz w:val="24"/>
          <w:b/>
          <w:vanish/>
          <w:color w:val="black"/>
        </w:rPr>
        <w:t>&amp;$</w:t>
      </w:r>
      <w:bookmarkStart w:id="61719" w:name="2.4.8.7"/>
      <w:r>
        <w:rPr>
          <w:rFonts w:hAnsi="Arial"/>
          <w:rFonts w:ascii="Arial"/>
          <w:sz w:val="24"/>
          <w:color w:val="navy"/>
        </w:rPr>
        <w:t xml:space="preserve">ARTΝCULO 2.4.8.7. SUJETOS DE APOYO AL SISTEMA DE BΪSQUEDA Y SALVAMENTO MARΝTIMO NACIONAL.</w:t>
      </w:r>
      <w:bookmarkEnd w:id="6171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"http://www.redjurista.com/document.aspx?ajcode=d0307023&amp;arts=1"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307 de 2023. El nuevo texto es el siguiente:&gt; Son todas aquellas personas naturales o jurνdicas, del sector pϊblico o privado, que de conformidad con sus funciones y ante el requerimiento del Sistema, estιn en condiciones de apoyar la ejecuciσn adecuada de la operaciσn SAR Marνtima de conformidad con las directrices generales establecidas en el Plan Nacional de Bϊsqueda y Salvamento Marνtimo Colombiano. </w:t>
      </w:r>
    </w:p>
    <w:p>
      <w:pPr>
        <w:jc w:val="both"/>
      </w:pPr>
      <w:rPr>
        <w:color w:val="black"/>
      </w:rPr>
    </w:p>
    <w:p>
      <w:pPr>
        <w:jc w:val="center"/>
      </w:pPr>
      <w:r>
        <w:rPr>
          <w:rFonts w:hAnsi="Arial"/>
          <w:rFonts w:ascii="Arial"/>
          <w:sz w:val="24"/>
          <w:vanish/>
          <w:color w:val="black"/>
        </w:rPr>
        <w:t>&amp;$</w:t>
      </w:r>
      <w:bookmarkStart w:id="61720" w:name="PARTE 2.5"/>
      <w:r>
        <w:rPr>
          <w:rFonts w:hAnsi="Arial"/>
          <w:rFonts w:ascii="Arial"/>
          <w:sz w:val="24"/>
          <w:color w:val="navy"/>
        </w:rPr>
        <w:t xml:space="preserve">PARTE 5. </w:t>
      </w:r>
    </w:p>
    <w:p>
      <w:pPr>
        <w:jc w:val="center"/>
      </w:pPr>
      <w:r>
        <w:rPr>
          <w:rFonts w:hAnsi="Arial"/>
          <w:rFonts w:ascii="Arial"/>
          <w:sz w:val="24"/>
          <w:color w:val="navy"/>
        </w:rPr>
        <w:t xml:space="preserve">POLICΝA NACIONAL.</w:t>
      </w:r>
      <w:bookmarkEnd w:id="6172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721" w:name="TÍTULO 2.5.1"/>
      <w:r>
        <w:rPr>
          <w:rFonts w:hAnsi="Arial"/>
          <w:rFonts w:ascii="Arial"/>
          <w:sz w:val="24"/>
          <w:color w:val="navy"/>
        </w:rPr>
        <w:t xml:space="preserve">TΝTULO 1. </w:t>
      </w:r>
    </w:p>
    <w:p>
      <w:pPr>
        <w:jc w:val="center"/>
      </w:pPr>
      <w:r>
        <w:rPr>
          <w:rFonts w:hAnsi="Arial"/>
          <w:rFonts w:ascii="Arial"/>
          <w:sz w:val="24"/>
          <w:color w:val="navy"/>
        </w:rPr>
        <w:t xml:space="preserve">GRADOS HONORARIOS.</w:t>
      </w:r>
      <w:bookmarkEnd w:id="617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722" w:name="2.5.1.1"/>
      <w:r>
        <w:rPr>
          <w:rFonts w:hAnsi="Arial"/>
          <w:rFonts w:ascii="Arial"/>
          <w:sz w:val="24"/>
          <w:color w:val="navy"/>
        </w:rPr>
        <w:t xml:space="preserve">ARTΝCULO 2.5.1.1. </w:t>
      </w:r>
      <w:r>
        <w:rPr>
          <w:rFonts w:hAnsi="Arial"/>
          <w:rFonts w:ascii="Arial"/>
          <w:sz w:val="24"/>
          <w:i/>
          <w:color w:val="navy"/>
        </w:rPr>
        <w:t xml:space="preserve">GRADOS HONORARIOS.</w:t>
      </w:r>
      <w:bookmarkEnd w:id="61722"/>
      <w:r>
        <w:rPr>
          <w:rFonts w:hAnsi="Arial"/>
          <w:rFonts w:ascii="Arial"/>
          <w:sz w:val="24"/>
          <w:b/>
          <w:i/>
          <w:color w:val="black"/>
        </w:rPr>
        <w:t xml:space="preserve"> </w:t>
      </w:r>
      <w:r>
        <w:rPr>
          <w:rFonts w:hAnsi="Arial"/>
          <w:rFonts w:ascii="Arial"/>
          <w:sz w:val="24"/>
          <w:color w:val="black"/>
        </w:rPr>
        <w:t xml:space="preserve">Para el otorgamiento de los grados policiales honorarios a que se refiere el artνculo </w:t>
      </w:r>
      <w:r>
        <w:fldChar w:fldCharType="begin"/>
      </w:r>
      <w:r>
        <w:instrText>HYPERLINK "http://www.redjurista.com/document.aspx?ajcode=d1791000&amp;arts=90"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del Decreto 1791 de 2000, se tendrα en cuenta el siguiente procedimiento:</w:t>
      </w:r>
    </w:p>
    <w:p>
      <w:pPr>
        <w:jc w:val="both"/>
      </w:pPr>
      <w:rPr>
        <w:sz w:val="24"/>
        <w:color w:val="black"/>
      </w:rPr>
    </w:p>
    <w:p>
      <w:pPr>
        <w:jc w:val="both"/>
      </w:pPr>
      <w:r>
        <w:rPr>
          <w:rFonts w:hAnsi="Arial"/>
          <w:rFonts w:ascii="Arial"/>
          <w:sz w:val="24"/>
          <w:color w:val="black"/>
        </w:rPr>
        <w:t xml:space="preserve">a) Los grados honorarios serαn una distinciσn excepcional, que podrα concederse en una sola oportunidad y no genera efectos fiscales ni otorga mando;</w:t>
      </w:r>
    </w:p>
    <w:p>
      <w:pPr>
        <w:jc w:val="both"/>
      </w:pPr>
      <w:rPr>
        <w:sz w:val="24"/>
        <w:color w:val="black"/>
      </w:rPr>
    </w:p>
    <w:p>
      <w:pPr>
        <w:jc w:val="both"/>
      </w:pPr>
      <w:r>
        <w:rPr>
          <w:rFonts w:hAnsi="Arial"/>
          <w:rFonts w:ascii="Arial"/>
          <w:sz w:val="24"/>
          <w:color w:val="black"/>
        </w:rPr>
        <w:t xml:space="preserve">b) Cuando se trate de ascensos honorarios para personal retirado de la Instituciσn, estos sσlo podrαn concederse al grado inmediatamente superior y a quienes hayan sido retirados por solicitud propia;</w:t>
      </w:r>
    </w:p>
    <w:p>
      <w:pPr>
        <w:jc w:val="both"/>
      </w:pPr>
      <w:rPr>
        <w:sz w:val="24"/>
        <w:color w:val="black"/>
      </w:rPr>
    </w:p>
    <w:p>
      <w:pPr>
        <w:jc w:val="both"/>
      </w:pPr>
      <w:r>
        <w:rPr>
          <w:rFonts w:hAnsi="Arial"/>
          <w:rFonts w:ascii="Arial"/>
          <w:sz w:val="24"/>
          <w:color w:val="black"/>
        </w:rPr>
        <w:t xml:space="preserve">c) Para la aprobaciσn de ascensos honorarios en la categorνa de Oficial, se requiere ser propuesto ante el Gobierno Nacional por la Direcciσn General de la Policνa Nacional, indicando en forma clara y precisa los motivos y el grado que se conferirα al homenajeado;</w:t>
      </w:r>
    </w:p>
    <w:p>
      <w:pPr>
        <w:jc w:val="both"/>
      </w:pPr>
      <w:rPr>
        <w:sz w:val="24"/>
        <w:color w:val="black"/>
      </w:rPr>
    </w:p>
    <w:p>
      <w:pPr>
        <w:jc w:val="both"/>
      </w:pPr>
      <w:r>
        <w:rPr>
          <w:rFonts w:hAnsi="Arial"/>
          <w:rFonts w:ascii="Arial"/>
          <w:sz w:val="24"/>
          <w:color w:val="black"/>
        </w:rPr>
        <w:t xml:space="preserve">d) Las solicitudes para el otorgamiento de grados honorarios en la categorνa de Oficial, junto con los documentos necesarios para comprobar la idoneidad o merecimiento de los candidatos, serαn sometidas a consideraciσn de la Junta Asesora del Ministerio de Defensa para la Policνa Nacional, cuyo concepto favorable serα requisito indispensable para conceder la distinciσn.</w:t>
      </w:r>
    </w:p>
    <w:p>
      <w:pPr>
        <w:jc w:val="both"/>
      </w:pPr>
      <w:rPr>
        <w:sz w:val="24"/>
        <w:color w:val="black"/>
      </w:rPr>
    </w:p>
    <w:p>
      <w:pPr>
        <w:jc w:val="both"/>
      </w:pPr>
      <w:r>
        <w:rPr>
          <w:rFonts w:hAnsi="Arial"/>
          <w:rFonts w:ascii="Arial"/>
          <w:sz w:val="24"/>
          <w:color w:val="black"/>
        </w:rPr>
        <w:t xml:space="preserve">e) Los grados honorarios podrαn otorgarse a oficiales de la Policνa Nacional en situaciσn de retiro y altas personalidades nacionales o extranjeras que a juicio de la Junta Asesora del Ministerio de Defensa para la Policνa Nacional o su organismo equivalente hayan prestado servicios particularmente meritorios a la instituciσn o hayan contribuido con programas para el mejoramiento de la seguridad y convivencia ciudadana;</w:t>
      </w:r>
    </w:p>
    <w:p>
      <w:pPr>
        <w:jc w:val="both"/>
      </w:pPr>
      <w:rPr>
        <w:sz w:val="24"/>
        <w:color w:val="black"/>
      </w:rPr>
    </w:p>
    <w:p>
      <w:pPr>
        <w:jc w:val="both"/>
      </w:pPr>
      <w:r>
        <w:rPr>
          <w:rFonts w:hAnsi="Arial"/>
          <w:rFonts w:ascii="Arial"/>
          <w:sz w:val="24"/>
          <w:color w:val="black"/>
        </w:rPr>
        <w:t xml:space="preserve">f) Para el otorgamiento de grados honorarios en la categorνa de Suboficial, Nivel Ejecutivo o estudiantes, se requiere solicitud a la Direcciσn General de la Policνa Nacional elevada por la Subdirecciσn General de la misma instituciσn, indicando en forma clara y precisa los motivos de la solicitud y acompaρada de los documentos que acrediten el merecimiento;</w:t>
      </w:r>
    </w:p>
    <w:p>
      <w:pPr>
        <w:jc w:val="both"/>
      </w:pPr>
      <w:rPr>
        <w:sz w:val="24"/>
        <w:color w:val="black"/>
      </w:rPr>
    </w:p>
    <w:p>
      <w:pPr>
        <w:jc w:val="both"/>
      </w:pPr>
      <w:r>
        <w:rPr>
          <w:rFonts w:hAnsi="Arial"/>
          <w:rFonts w:ascii="Arial"/>
          <w:sz w:val="24"/>
          <w:color w:val="black"/>
        </w:rPr>
        <w:t xml:space="preserve">g) Las solicitudes para el otorgamiento de grados honorarios en la categorνa de Suboficial, Nivel Ejecutivo o estudiantes, deberαn ser autorizadas por la Direcciσn General de la Policνa Nacional, previo estudio de la documentaciσn allegada para tal fin;</w:t>
      </w:r>
    </w:p>
    <w:p>
      <w:pPr>
        <w:jc w:val="both"/>
      </w:pPr>
      <w:rPr>
        <w:sz w:val="24"/>
        <w:color w:val="black"/>
      </w:rPr>
    </w:p>
    <w:p>
      <w:pPr>
        <w:jc w:val="both"/>
      </w:pPr>
      <w:r>
        <w:rPr>
          <w:rFonts w:hAnsi="Arial"/>
          <w:rFonts w:ascii="Arial"/>
          <w:sz w:val="24"/>
          <w:color w:val="black"/>
        </w:rPr>
        <w:t xml:space="preserve">h) Los ascendidos en forma honoraria tendrαn derecho a una dotaciσn completa por una sola vez;</w:t>
      </w:r>
    </w:p>
    <w:p>
      <w:pPr>
        <w:jc w:val="both"/>
      </w:pPr>
      <w:rPr>
        <w:sz w:val="24"/>
        <w:color w:val="black"/>
      </w:rPr>
    </w:p>
    <w:p>
      <w:pPr>
        <w:jc w:val="both"/>
      </w:pPr>
      <w:r>
        <w:rPr>
          <w:rFonts w:hAnsi="Arial"/>
          <w:rFonts w:ascii="Arial"/>
          <w:sz w:val="24"/>
          <w:color w:val="black"/>
        </w:rPr>
        <w:t xml:space="preserve">i) Para el uso del uniforme se deberα solicitar permiso previo ante la Direcciσn General de la Policνa Nacional, el cual sσlo podrα portarse en eventos especiales e institucionales.</w:t>
      </w:r>
    </w:p>
    <w:p>
      <w:pPr>
        <w:jc w:val="both"/>
      </w:pPr>
      <w:rPr>
        <w:sz w:val="24"/>
        <w:color w:val="black"/>
      </w:rPr>
    </w:p>
    <w:p>
      <w:pPr>
        <w:jc w:val="both"/>
      </w:pPr>
      <w:r>
        <w:rPr>
          <w:rFonts w:hAnsi="Arial"/>
          <w:rFonts w:ascii="Arial"/>
          <w:sz w:val="24"/>
          <w:i/>
          <w:color w:val="black"/>
        </w:rPr>
        <w:t xml:space="preserve">(Decreto 0973 de 2001 artνculo </w:t>
      </w:r>
      <w:r>
        <w:fldChar w:fldCharType="begin"/>
      </w:r>
      <w:r>
        <w:instrText>HYPERLINK "http://www.redjurista.com/document.aspx?ajcode=d0973001&amp;arts=1"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23" w:name="TÍTULO 2.5.2"/>
      <w:r>
        <w:rPr>
          <w:rFonts w:hAnsi="Arial"/>
          <w:rFonts w:ascii="Arial"/>
          <w:sz w:val="24"/>
          <w:color w:val="navy"/>
        </w:rPr>
        <w:t xml:space="preserve">TΝTULO 2. </w:t>
      </w:r>
    </w:p>
    <w:p>
      <w:pPr>
        <w:jc w:val="center"/>
      </w:pPr>
      <w:r>
        <w:rPr>
          <w:rFonts w:hAnsi="Arial"/>
          <w:rFonts w:ascii="Arial"/>
          <w:sz w:val="24"/>
          <w:color w:val="navy"/>
        </w:rPr>
        <w:t xml:space="preserve">CATEGORΝAS, REQUISITOS, REMUNERACIΣN E INCENTIVOS PARA EL PROFESOR POLICIAL.</w:t>
      </w:r>
      <w:bookmarkEnd w:id="6172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724" w:name="CAPÍTULO 2.5.2.1"/>
      <w:r>
        <w:rPr>
          <w:rFonts w:hAnsi="Arial"/>
          <w:rFonts w:ascii="Arial"/>
          <w:sz w:val="24"/>
          <w:color w:val="navy"/>
        </w:rPr>
        <w:t xml:space="preserve">CAPΝTULO 1. </w:t>
      </w:r>
    </w:p>
    <w:p>
      <w:pPr>
        <w:jc w:val="center"/>
      </w:pPr>
      <w:r>
        <w:rPr>
          <w:rFonts w:hAnsi="Arial"/>
          <w:rFonts w:ascii="Arial"/>
          <w:sz w:val="24"/>
          <w:color w:val="navy"/>
        </w:rPr>
        <w:t>CATEGORΝAS.</w:t>
      </w:r>
      <w:bookmarkEnd w:id="6172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725" w:name="2.5.2.1.1"/>
      <w:r>
        <w:rPr>
          <w:rFonts w:hAnsi="Arial"/>
          <w:rFonts w:ascii="Arial"/>
          <w:sz w:val="24"/>
          <w:color w:val="navy"/>
        </w:rPr>
        <w:t xml:space="preserve">ARTΝCULO 2.5.2.1.1. </w:t>
      </w:r>
      <w:r>
        <w:rPr>
          <w:rFonts w:hAnsi="Arial"/>
          <w:rFonts w:ascii="Arial"/>
          <w:sz w:val="24"/>
          <w:i/>
          <w:color w:val="navy"/>
        </w:rPr>
        <w:t>CATEGORΝAS.</w:t>
      </w:r>
      <w:bookmarkEnd w:id="61725"/>
      <w:r>
        <w:rPr>
          <w:rFonts w:hAnsi="Arial"/>
          <w:rFonts w:ascii="Arial"/>
          <w:sz w:val="24"/>
          <w:b/>
          <w:i/>
          <w:color w:val="black"/>
        </w:rPr>
        <w:t xml:space="preserve"> </w:t>
      </w:r>
      <w:r>
        <w:rPr>
          <w:rFonts w:hAnsi="Arial"/>
          <w:rFonts w:ascii="Arial"/>
          <w:sz w:val="24"/>
          <w:color w:val="black"/>
        </w:rPr>
        <w:t xml:space="preserve">A los docentes policiales les serα otorgada las siguientes categorνas:</w:t>
      </w:r>
    </w:p>
    <w:p>
      <w:pPr>
        <w:jc w:val="both"/>
      </w:pPr>
      <w:rPr>
        <w:sz w:val="24"/>
        <w:color w:val="black"/>
      </w:rPr>
    </w:p>
    <w:p>
      <w:pPr>
        <w:jc w:val="both"/>
      </w:pPr>
      <w:r>
        <w:rPr>
          <w:rFonts w:hAnsi="Arial"/>
          <w:rFonts w:ascii="Arial"/>
          <w:sz w:val="24"/>
          <w:color w:val="black"/>
        </w:rPr>
        <w:t xml:space="preserve">Profesor Titular</w:t>
      </w:r>
    </w:p>
    <w:p>
      <w:pPr>
        <w:jc w:val="both"/>
      </w:pPr>
      <w:rPr>
        <w:sz w:val="24"/>
        <w:color w:val="black"/>
      </w:rPr>
    </w:p>
    <w:p>
      <w:pPr>
        <w:jc w:val="both"/>
      </w:pPr>
      <w:r>
        <w:rPr>
          <w:rFonts w:hAnsi="Arial"/>
          <w:rFonts w:ascii="Arial"/>
          <w:sz w:val="24"/>
          <w:color w:val="black"/>
        </w:rPr>
        <w:t xml:space="preserve">Profesor Asociado</w:t>
      </w:r>
    </w:p>
    <w:p>
      <w:pPr>
        <w:jc w:val="both"/>
      </w:pPr>
      <w:rPr>
        <w:sz w:val="24"/>
        <w:color w:val="black"/>
      </w:rPr>
    </w:p>
    <w:p>
      <w:pPr>
        <w:jc w:val="both"/>
      </w:pPr>
      <w:r>
        <w:rPr>
          <w:rFonts w:hAnsi="Arial"/>
          <w:rFonts w:ascii="Arial"/>
          <w:sz w:val="24"/>
          <w:color w:val="black"/>
        </w:rPr>
        <w:t xml:space="preserve">Profesor Asistente</w:t>
      </w:r>
    </w:p>
    <w:p>
      <w:pPr>
        <w:jc w:val="both"/>
      </w:pPr>
      <w:rPr>
        <w:sz w:val="24"/>
        <w:color w:val="black"/>
      </w:rPr>
    </w:p>
    <w:p>
      <w:pPr>
        <w:jc w:val="both"/>
      </w:pPr>
      <w:r>
        <w:rPr>
          <w:rFonts w:hAnsi="Arial"/>
          <w:rFonts w:ascii="Arial"/>
          <w:sz w:val="24"/>
          <w:color w:val="black"/>
        </w:rPr>
        <w:t xml:space="preserve">Profesor Auxiliar</w:t>
      </w:r>
    </w:p>
    <w:p>
      <w:pPr>
        <w:jc w:val="both"/>
      </w:pPr>
      <w:rPr>
        <w:sz w:val="24"/>
        <w:color w:val="black"/>
      </w:rPr>
    </w:p>
    <w:p>
      <w:pPr>
        <w:jc w:val="both"/>
      </w:pPr>
      <w:r>
        <w:rPr>
          <w:rFonts w:hAnsi="Arial"/>
          <w:rFonts w:ascii="Arial"/>
          <w:sz w:val="24"/>
          <w:color w:val="black"/>
        </w:rPr>
        <w:t>Instructor</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Director General de la Policνa Nacional otorgarα la calidad de profesor en la categorνa que corresponda al personal uniformado que demuestre especial vocaciσn e idoneidad para las labores docentes y se dediquen a ellas en la Policνa Nacional.</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26" w:name="CAPÍTULO 2.5.2.2"/>
      <w:r>
        <w:rPr>
          <w:rFonts w:hAnsi="Arial"/>
          <w:rFonts w:ascii="Arial"/>
          <w:sz w:val="24"/>
          <w:color w:val="navy"/>
        </w:rPr>
        <w:t xml:space="preserve">CAPΝTULO 2. </w:t>
      </w:r>
    </w:p>
    <w:p>
      <w:pPr>
        <w:jc w:val="center"/>
      </w:pPr>
      <w:r>
        <w:rPr>
          <w:rFonts w:hAnsi="Arial"/>
          <w:rFonts w:ascii="Arial"/>
          <w:sz w:val="24"/>
          <w:color w:val="navy"/>
        </w:rPr>
        <w:t>REQUISITOS.</w:t>
      </w:r>
      <w:bookmarkEnd w:id="6172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27" w:name="2.5.2.2.1"/>
      <w:r>
        <w:rPr>
          <w:rFonts w:hAnsi="Arial"/>
          <w:rFonts w:ascii="Arial"/>
          <w:sz w:val="24"/>
          <w:color w:val="navy"/>
        </w:rPr>
        <w:t xml:space="preserve">ARTΝCULO 2.5.2.2.1. </w:t>
      </w:r>
      <w:r>
        <w:rPr>
          <w:rFonts w:hAnsi="Arial"/>
          <w:rFonts w:ascii="Arial"/>
          <w:sz w:val="24"/>
          <w:i/>
          <w:color w:val="navy"/>
        </w:rPr>
        <w:t xml:space="preserve">REQUISITOS PARA SER INSTRUCTOR.</w:t>
      </w:r>
      <w:bookmarkEnd w:id="61727"/>
      <w:r>
        <w:rPr>
          <w:rFonts w:hAnsi="Arial"/>
          <w:rFonts w:ascii="Arial"/>
          <w:sz w:val="24"/>
          <w:b/>
          <w:i/>
          <w:color w:val="black"/>
        </w:rPr>
        <w:t xml:space="preserve"> </w:t>
      </w:r>
      <w:r>
        <w:rPr>
          <w:rFonts w:hAnsi="Arial"/>
          <w:rFonts w:ascii="Arial"/>
          <w:sz w:val="24"/>
          <w:color w:val="black"/>
        </w:rPr>
        <w:t xml:space="preserve">Para ser instructor se requiere:</w:t>
      </w:r>
    </w:p>
    <w:p>
      <w:pPr>
        <w:jc w:val="both"/>
      </w:pPr>
      <w:rPr>
        <w:sz w:val="24"/>
        <w:color w:val="black"/>
      </w:rPr>
    </w:p>
    <w:p>
      <w:pPr>
        <w:jc w:val="both"/>
      </w:pPr>
      <w:r>
        <w:rPr>
          <w:rFonts w:hAnsi="Arial"/>
          <w:rFonts w:ascii="Arial"/>
          <w:sz w:val="24"/>
          <w:color w:val="black"/>
        </w:rPr>
        <w:t xml:space="preserve">- Acreditar como mνnimo tres (3) aρos de experiencia policial y mνnimo dos (2) en el αrea operativa.</w:t>
      </w:r>
    </w:p>
    <w:p>
      <w:pPr>
        <w:jc w:val="both"/>
      </w:pPr>
      <w:rPr>
        <w:sz w:val="24"/>
        <w:color w:val="black"/>
      </w:rPr>
    </w:p>
    <w:p>
      <w:pPr>
        <w:jc w:val="both"/>
      </w:pPr>
      <w:r>
        <w:rPr>
          <w:rFonts w:hAnsi="Arial"/>
          <w:rFonts w:ascii="Arial"/>
          <w:sz w:val="24"/>
          <w:color w:val="black"/>
        </w:rPr>
        <w:t xml:space="preserve">- Acreditar tνtulo profesional o tιcnico.</w:t>
      </w:r>
    </w:p>
    <w:p>
      <w:pPr>
        <w:jc w:val="both"/>
      </w:pPr>
      <w:rPr>
        <w:sz w:val="24"/>
        <w:color w:val="black"/>
      </w:rPr>
    </w:p>
    <w:p>
      <w:pPr>
        <w:jc w:val="both"/>
      </w:pPr>
      <w:r>
        <w:rPr>
          <w:rFonts w:hAnsi="Arial"/>
          <w:rFonts w:ascii="Arial"/>
          <w:sz w:val="24"/>
          <w:color w:val="black"/>
        </w:rPr>
        <w:t xml:space="preserve">- Acreditar curso o participaciσn en seminarios de actualizaciσn o formaciσn pedagσgica, con un mνnimo de ochenta (80) horas.</w:t>
      </w:r>
    </w:p>
    <w:p>
      <w:pPr>
        <w:jc w:val="both"/>
      </w:pPr>
      <w:rPr>
        <w:sz w:val="24"/>
        <w:color w:val="black"/>
      </w:rPr>
    </w:p>
    <w:p>
      <w:pPr>
        <w:jc w:val="both"/>
      </w:pPr>
      <w:r>
        <w:rPr>
          <w:rFonts w:hAnsi="Arial"/>
          <w:rFonts w:ascii="Arial"/>
          <w:sz w:val="24"/>
          <w:color w:val="black"/>
        </w:rPr>
        <w:t xml:space="preserve">- Experiencia policial calificada en su campo de actividad de tres (3) aρos como mνnimo.</w:t>
      </w:r>
    </w:p>
    <w:p>
      <w:pPr>
        <w:jc w:val="both"/>
      </w:pPr>
      <w:rPr>
        <w:sz w:val="24"/>
        <w:color w:val="black"/>
      </w:rPr>
    </w:p>
    <w:p>
      <w:pPr>
        <w:jc w:val="both"/>
      </w:pPr>
      <w:r>
        <w:rPr>
          <w:rFonts w:hAnsi="Arial"/>
          <w:rFonts w:ascii="Arial"/>
          <w:sz w:val="24"/>
          <w:color w:val="black"/>
        </w:rPr>
        <w:t xml:space="preserve">- Concepto favorable de su desempeρo policial, expedido por el jefe inmediato de la unidad a la que pertenece.</w:t>
      </w:r>
    </w:p>
    <w:p>
      <w:pPr>
        <w:jc w:val="both"/>
      </w:pPr>
      <w:rPr>
        <w:sz w:val="24"/>
        <w:color w:val="black"/>
      </w:rPr>
    </w:p>
    <w:p>
      <w:pPr>
        <w:jc w:val="both"/>
      </w:pPr>
      <w:r>
        <w:rPr>
          <w:rFonts w:hAnsi="Arial"/>
          <w:rFonts w:ascii="Arial"/>
          <w:sz w:val="24"/>
          <w:color w:val="black"/>
        </w:rPr>
        <w:t xml:space="preserve">- Estar evaluado y clasificado policialmente como superior o excepcional o su equivalente.</w:t>
      </w:r>
    </w:p>
    <w:p>
      <w:pPr>
        <w:jc w:val="both"/>
      </w:pPr>
      <w:rPr>
        <w:sz w:val="24"/>
        <w:color w:val="black"/>
      </w:rPr>
    </w:p>
    <w:p>
      <w:pPr>
        <w:jc w:val="both"/>
      </w:pPr>
      <w:r>
        <w:rPr>
          <w:rFonts w:hAnsi="Arial"/>
          <w:rFonts w:ascii="Arial"/>
          <w:sz w:val="24"/>
          <w:color w:val="black"/>
        </w:rPr>
        <w:t xml:space="preserve">- Acreditar certificaciσn de idoneidad, expedida por la unidad policial o entidad reconocida en la especialidad que instruirα.</w:t>
      </w:r>
    </w:p>
    <w:p>
      <w:pPr>
        <w:jc w:val="both"/>
      </w:pPr>
      <w:rPr>
        <w:sz w:val="24"/>
        <w:color w:val="black"/>
      </w:rPr>
    </w:p>
    <w:p>
      <w:pPr>
        <w:jc w:val="both"/>
      </w:pPr>
      <w:r>
        <w:rPr>
          <w:rFonts w:hAnsi="Arial"/>
          <w:rFonts w:ascii="Arial"/>
          <w:sz w:val="24"/>
          <w:color w:val="black"/>
        </w:rPr>
        <w:t xml:space="preserve">- Concepto favorable del Director de la Escuela Nacional de Policνa.</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28" w:name="2.5.2.2.2"/>
      <w:r>
        <w:rPr>
          <w:rFonts w:hAnsi="Arial"/>
          <w:rFonts w:ascii="Arial"/>
          <w:sz w:val="24"/>
          <w:color w:val="navy"/>
        </w:rPr>
        <w:t xml:space="preserve">ARTΝCULO 2.5.2.2.2. </w:t>
      </w:r>
      <w:r>
        <w:rPr>
          <w:rFonts w:hAnsi="Arial"/>
          <w:rFonts w:ascii="Arial"/>
          <w:sz w:val="24"/>
          <w:i/>
          <w:color w:val="navy"/>
        </w:rPr>
        <w:t xml:space="preserve">REQUISITOS PARA SER PROFESOR AUXILIAR.</w:t>
      </w:r>
      <w:bookmarkEnd w:id="61728"/>
      <w:r>
        <w:rPr>
          <w:rFonts w:hAnsi="Arial"/>
          <w:rFonts w:ascii="Arial"/>
          <w:sz w:val="24"/>
          <w:b/>
          <w:i/>
          <w:color w:val="black"/>
        </w:rPr>
        <w:t xml:space="preserve"> </w:t>
      </w:r>
      <w:r>
        <w:rPr>
          <w:rFonts w:hAnsi="Arial"/>
          <w:rFonts w:ascii="Arial"/>
          <w:sz w:val="24"/>
          <w:color w:val="black"/>
        </w:rPr>
        <w:t xml:space="preserve">Para ser profesor auxiliar se requiere:</w:t>
      </w:r>
    </w:p>
    <w:p>
      <w:pPr>
        <w:jc w:val="both"/>
      </w:pPr>
      <w:rPr>
        <w:sz w:val="24"/>
        <w:color w:val="black"/>
      </w:rPr>
    </w:p>
    <w:p>
      <w:pPr>
        <w:jc w:val="both"/>
      </w:pPr>
      <w:r>
        <w:rPr>
          <w:rFonts w:hAnsi="Arial"/>
          <w:rFonts w:ascii="Arial"/>
          <w:sz w:val="24"/>
          <w:color w:val="black"/>
        </w:rPr>
        <w:t xml:space="preserve">- Acreditar dos (2) aρos en el αrea operativa, posteriores a la anterior categorνa.</w:t>
      </w:r>
    </w:p>
    <w:p>
      <w:pPr>
        <w:jc w:val="both"/>
      </w:pPr>
      <w:rPr>
        <w:sz w:val="24"/>
        <w:color w:val="black"/>
      </w:rPr>
    </w:p>
    <w:p>
      <w:pPr>
        <w:jc w:val="both"/>
      </w:pPr>
      <w:r>
        <w:rPr>
          <w:rFonts w:hAnsi="Arial"/>
          <w:rFonts w:ascii="Arial"/>
          <w:sz w:val="24"/>
          <w:color w:val="black"/>
        </w:rPr>
        <w:t xml:space="preserve">- Acreditar tνtulo de profesional o tecnolσgico.</w:t>
      </w:r>
    </w:p>
    <w:p>
      <w:pPr>
        <w:jc w:val="both"/>
      </w:pPr>
      <w:rPr>
        <w:sz w:val="24"/>
        <w:color w:val="black"/>
      </w:rPr>
    </w:p>
    <w:p>
      <w:pPr>
        <w:jc w:val="both"/>
      </w:pPr>
      <w:r>
        <w:rPr>
          <w:rFonts w:hAnsi="Arial"/>
          <w:rFonts w:ascii="Arial"/>
          <w:sz w:val="24"/>
          <w:color w:val="black"/>
        </w:rPr>
        <w:t xml:space="preserve">- Acreditar curso o participaciσn en seminarios de actualizaciσn o formaciσn pedagσgica, con un mνnimo de ochenta (80) horas.</w:t>
      </w:r>
    </w:p>
    <w:p>
      <w:pPr>
        <w:jc w:val="both"/>
      </w:pPr>
      <w:rPr>
        <w:sz w:val="24"/>
        <w:color w:val="black"/>
      </w:rPr>
    </w:p>
    <w:p>
      <w:pPr>
        <w:jc w:val="both"/>
      </w:pPr>
      <w:r>
        <w:rPr>
          <w:rFonts w:hAnsi="Arial"/>
          <w:rFonts w:ascii="Arial"/>
          <w:sz w:val="24"/>
          <w:color w:val="black"/>
        </w:rPr>
        <w:t xml:space="preserve">- Haber dictado un mνnimo de trescientas sesenta (360) horas de clases en escuelas de formaciσn como profesor instructor.</w:t>
      </w:r>
    </w:p>
    <w:p>
      <w:pPr>
        <w:jc w:val="both"/>
      </w:pPr>
      <w:rPr>
        <w:sz w:val="24"/>
        <w:color w:val="black"/>
      </w:rPr>
    </w:p>
    <w:p>
      <w:pPr>
        <w:jc w:val="both"/>
      </w:pPr>
      <w:r>
        <w:rPr>
          <w:rFonts w:hAnsi="Arial"/>
          <w:rFonts w:ascii="Arial"/>
          <w:sz w:val="24"/>
          <w:color w:val="black"/>
        </w:rPr>
        <w:t xml:space="preserve">- Concepto favorable de su desempeρo docente como excelente o muy bueno, expedido por el jefe del αrea acadιmica.</w:t>
      </w:r>
    </w:p>
    <w:p>
      <w:pPr>
        <w:jc w:val="both"/>
      </w:pPr>
      <w:rPr>
        <w:sz w:val="24"/>
        <w:color w:val="black"/>
      </w:rPr>
    </w:p>
    <w:p>
      <w:pPr>
        <w:jc w:val="both"/>
      </w:pPr>
      <w:r>
        <w:rPr>
          <w:rFonts w:hAnsi="Arial"/>
          <w:rFonts w:ascii="Arial"/>
          <w:sz w:val="24"/>
          <w:color w:val="black"/>
        </w:rPr>
        <w:t xml:space="preserve">- Estar evaluado y clasificado policialmente como superior o excepcional o su equivalente.</w:t>
      </w:r>
    </w:p>
    <w:p>
      <w:pPr>
        <w:jc w:val="both"/>
      </w:pPr>
      <w:rPr>
        <w:sz w:val="24"/>
        <w:color w:val="black"/>
      </w:rPr>
    </w:p>
    <w:p>
      <w:pPr>
        <w:jc w:val="both"/>
      </w:pPr>
      <w:r>
        <w:rPr>
          <w:rFonts w:hAnsi="Arial"/>
          <w:rFonts w:ascii="Arial"/>
          <w:sz w:val="24"/>
          <w:color w:val="black"/>
        </w:rPr>
        <w:t xml:space="preserve">- Concepto favorable del Director de la Escuela Nacional de Policνa.</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29" w:name="2.5.2.2.3"/>
      <w:r>
        <w:rPr>
          <w:rFonts w:hAnsi="Arial"/>
          <w:rFonts w:ascii="Arial"/>
          <w:sz w:val="24"/>
          <w:color w:val="navy"/>
        </w:rPr>
        <w:t xml:space="preserve">ARTΝCULO 2.5.2.2.3. </w:t>
      </w:r>
      <w:r>
        <w:rPr>
          <w:rFonts w:hAnsi="Arial"/>
          <w:rFonts w:ascii="Arial"/>
          <w:sz w:val="24"/>
          <w:i/>
          <w:color w:val="navy"/>
        </w:rPr>
        <w:t xml:space="preserve">REQUISITOS PARA SER PROFESOR ASISTENTE.</w:t>
      </w:r>
      <w:bookmarkEnd w:id="61729"/>
      <w:r>
        <w:rPr>
          <w:rFonts w:hAnsi="Arial"/>
          <w:rFonts w:ascii="Arial"/>
          <w:sz w:val="24"/>
          <w:b/>
          <w:i/>
          <w:color w:val="black"/>
        </w:rPr>
        <w:t xml:space="preserve"> </w:t>
      </w:r>
      <w:r>
        <w:rPr>
          <w:rFonts w:hAnsi="Arial"/>
          <w:rFonts w:ascii="Arial"/>
          <w:sz w:val="24"/>
          <w:color w:val="black"/>
        </w:rPr>
        <w:t xml:space="preserve">Para ser profesor asistente se requiere:</w:t>
      </w:r>
    </w:p>
    <w:p>
      <w:pPr>
        <w:jc w:val="both"/>
      </w:pPr>
      <w:rPr>
        <w:sz w:val="24"/>
        <w:color w:val="black"/>
      </w:rPr>
    </w:p>
    <w:p>
      <w:pPr>
        <w:jc w:val="both"/>
      </w:pPr>
      <w:r>
        <w:rPr>
          <w:rFonts w:hAnsi="Arial"/>
          <w:rFonts w:ascii="Arial"/>
          <w:sz w:val="24"/>
          <w:color w:val="black"/>
        </w:rPr>
        <w:t xml:space="preserve">- Acreditar tνtulo profesional o tecnolσgico.</w:t>
      </w:r>
    </w:p>
    <w:p>
      <w:pPr>
        <w:jc w:val="both"/>
      </w:pPr>
      <w:rPr>
        <w:sz w:val="24"/>
        <w:color w:val="black"/>
      </w:rPr>
    </w:p>
    <w:p>
      <w:pPr>
        <w:jc w:val="both"/>
      </w:pPr>
      <w:r>
        <w:rPr>
          <w:rFonts w:hAnsi="Arial"/>
          <w:rFonts w:ascii="Arial"/>
          <w:sz w:val="24"/>
          <w:color w:val="black"/>
        </w:rPr>
        <w:t xml:space="preserve">- Acreditar dos (2) aρos en el αrea operativa, posteriores a la anterior categorνa.</w:t>
      </w:r>
    </w:p>
    <w:p>
      <w:pPr>
        <w:jc w:val="both"/>
      </w:pPr>
      <w:rPr>
        <w:sz w:val="24"/>
        <w:color w:val="black"/>
      </w:rPr>
    </w:p>
    <w:p>
      <w:pPr>
        <w:jc w:val="both"/>
      </w:pPr>
      <w:r>
        <w:rPr>
          <w:rFonts w:hAnsi="Arial"/>
          <w:rFonts w:ascii="Arial"/>
          <w:sz w:val="24"/>
          <w:color w:val="black"/>
        </w:rPr>
        <w:t xml:space="preserve">- Acreditar curso o participaciσn en seminarios de actualizaciσn o formaciσn pedagσgica, con un mνnimo de ochenta (80) horas.</w:t>
      </w:r>
    </w:p>
    <w:p>
      <w:pPr>
        <w:jc w:val="both"/>
      </w:pPr>
      <w:rPr>
        <w:sz w:val="24"/>
        <w:color w:val="black"/>
      </w:rPr>
    </w:p>
    <w:p>
      <w:pPr>
        <w:jc w:val="both"/>
      </w:pPr>
      <w:r>
        <w:rPr>
          <w:rFonts w:hAnsi="Arial"/>
          <w:rFonts w:ascii="Arial"/>
          <w:sz w:val="24"/>
          <w:color w:val="black"/>
        </w:rPr>
        <w:t xml:space="preserve">- Haber dictado un mνnimo de trescientas sesenta (360) horas de clase en escuelas de formaciσn como profesor auxiliar.</w:t>
      </w:r>
    </w:p>
    <w:p>
      <w:pPr>
        <w:jc w:val="both"/>
      </w:pPr>
      <w:rPr>
        <w:sz w:val="24"/>
        <w:color w:val="black"/>
      </w:rPr>
    </w:p>
    <w:p>
      <w:pPr>
        <w:jc w:val="both"/>
      </w:pPr>
      <w:r>
        <w:rPr>
          <w:rFonts w:hAnsi="Arial"/>
          <w:rFonts w:ascii="Arial"/>
          <w:sz w:val="24"/>
          <w:color w:val="black"/>
        </w:rPr>
        <w:t xml:space="preserve">- Concepto favorable de su desempeρo docente como excelente o muy bueno, expedido por el jefe del αrea acadιmica.</w:t>
      </w:r>
    </w:p>
    <w:p>
      <w:pPr>
        <w:jc w:val="both"/>
      </w:pPr>
      <w:rPr>
        <w:sz w:val="24"/>
        <w:color w:val="black"/>
      </w:rPr>
    </w:p>
    <w:p>
      <w:pPr>
        <w:jc w:val="both"/>
      </w:pPr>
      <w:r>
        <w:rPr>
          <w:rFonts w:hAnsi="Arial"/>
          <w:rFonts w:ascii="Arial"/>
          <w:sz w:val="24"/>
          <w:color w:val="black"/>
        </w:rPr>
        <w:t xml:space="preserve">- Estar evaluado y clasificado policialmente como superior o excepcional o su equivalente.</w:t>
      </w:r>
    </w:p>
    <w:p>
      <w:pPr>
        <w:jc w:val="both"/>
      </w:pPr>
      <w:rPr>
        <w:sz w:val="24"/>
        <w:color w:val="black"/>
      </w:rPr>
    </w:p>
    <w:p>
      <w:pPr>
        <w:jc w:val="both"/>
      </w:pPr>
      <w:r>
        <w:rPr>
          <w:rFonts w:hAnsi="Arial"/>
          <w:rFonts w:ascii="Arial"/>
          <w:sz w:val="24"/>
          <w:color w:val="black"/>
        </w:rPr>
        <w:t xml:space="preserve">- Concepto favorable del Director de la Escuela Nacional de Policνa.</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30" w:name="2.5.2.2.4"/>
      <w:r>
        <w:rPr>
          <w:rFonts w:hAnsi="Arial"/>
          <w:rFonts w:ascii="Arial"/>
          <w:sz w:val="24"/>
          <w:color w:val="navy"/>
        </w:rPr>
        <w:t xml:space="preserve">ARTΝCULO 2.5.2.2.4. </w:t>
      </w:r>
      <w:r>
        <w:rPr>
          <w:rFonts w:hAnsi="Arial"/>
          <w:rFonts w:ascii="Arial"/>
          <w:sz w:val="24"/>
          <w:i/>
          <w:color w:val="navy"/>
        </w:rPr>
        <w:t xml:space="preserve">REQUISITOS PARA SER PROFESOR ASOCIADO.</w:t>
      </w:r>
      <w:bookmarkEnd w:id="61730"/>
      <w:r>
        <w:rPr>
          <w:rFonts w:hAnsi="Arial"/>
          <w:rFonts w:ascii="Arial"/>
          <w:sz w:val="24"/>
          <w:b/>
          <w:i/>
          <w:color w:val="black"/>
        </w:rPr>
        <w:t xml:space="preserve"> </w:t>
      </w:r>
      <w:r>
        <w:rPr>
          <w:rFonts w:hAnsi="Arial"/>
          <w:rFonts w:ascii="Arial"/>
          <w:sz w:val="24"/>
          <w:color w:val="black"/>
        </w:rPr>
        <w:t xml:space="preserve">Para ser profesor asociado se requiere:</w:t>
      </w:r>
    </w:p>
    <w:p>
      <w:pPr>
        <w:jc w:val="both"/>
      </w:pPr>
      <w:rPr>
        <w:sz w:val="24"/>
        <w:color w:val="black"/>
      </w:rPr>
    </w:p>
    <w:p>
      <w:pPr>
        <w:jc w:val="both"/>
      </w:pPr>
      <w:r>
        <w:rPr>
          <w:rFonts w:hAnsi="Arial"/>
          <w:rFonts w:ascii="Arial"/>
          <w:sz w:val="24"/>
          <w:color w:val="black"/>
        </w:rPr>
        <w:t xml:space="preserve">- Acreditar tνtulo profesional o tecnolσgico.</w:t>
      </w:r>
    </w:p>
    <w:p>
      <w:pPr>
        <w:jc w:val="both"/>
      </w:pPr>
      <w:rPr>
        <w:sz w:val="24"/>
        <w:color w:val="black"/>
      </w:rPr>
    </w:p>
    <w:p>
      <w:pPr>
        <w:jc w:val="both"/>
      </w:pPr>
      <w:r>
        <w:rPr>
          <w:rFonts w:hAnsi="Arial"/>
          <w:rFonts w:ascii="Arial"/>
          <w:sz w:val="24"/>
          <w:color w:val="black"/>
        </w:rPr>
        <w:t xml:space="preserve">- Acreditar dos (2) aρos en el αrea operativa, posteriores a la anterior categorνa.</w:t>
      </w:r>
    </w:p>
    <w:p>
      <w:pPr>
        <w:jc w:val="both"/>
      </w:pPr>
      <w:rPr>
        <w:sz w:val="24"/>
        <w:color w:val="black"/>
      </w:rPr>
    </w:p>
    <w:p>
      <w:pPr>
        <w:jc w:val="both"/>
      </w:pPr>
      <w:r>
        <w:rPr>
          <w:rFonts w:hAnsi="Arial"/>
          <w:rFonts w:ascii="Arial"/>
          <w:sz w:val="24"/>
          <w:color w:val="black"/>
        </w:rPr>
        <w:t xml:space="preserve">- Acreditar curso o participaciσn en seminarios de actualizaciσn pedagσgica, por un mνnimo de ochenta (80) horas.</w:t>
      </w:r>
    </w:p>
    <w:p>
      <w:pPr>
        <w:jc w:val="both"/>
      </w:pPr>
      <w:rPr>
        <w:sz w:val="24"/>
        <w:color w:val="black"/>
      </w:rPr>
    </w:p>
    <w:p>
      <w:pPr>
        <w:jc w:val="both"/>
      </w:pPr>
      <w:r>
        <w:rPr>
          <w:rFonts w:hAnsi="Arial"/>
          <w:rFonts w:ascii="Arial"/>
          <w:sz w:val="24"/>
          <w:color w:val="black"/>
        </w:rPr>
        <w:t xml:space="preserve">- Concepto favorable de su desempeρo docente como excelente o muy bueno, expedido por el jefe del αrea acadιmica.</w:t>
      </w:r>
    </w:p>
    <w:p>
      <w:pPr>
        <w:jc w:val="both"/>
      </w:pPr>
      <w:rPr>
        <w:sz w:val="24"/>
        <w:color w:val="black"/>
      </w:rPr>
    </w:p>
    <w:p>
      <w:pPr>
        <w:jc w:val="both"/>
      </w:pPr>
      <w:r>
        <w:rPr>
          <w:rFonts w:hAnsi="Arial"/>
          <w:rFonts w:ascii="Arial"/>
          <w:sz w:val="24"/>
          <w:color w:val="black"/>
        </w:rPr>
        <w:t xml:space="preserve">- Haber dictado un mνnimo de trescientas sesenta (360) horas de clase en escuelas de formaciσn como profesor asistente.</w:t>
      </w:r>
    </w:p>
    <w:p>
      <w:pPr>
        <w:jc w:val="both"/>
      </w:pPr>
      <w:rPr>
        <w:sz w:val="24"/>
        <w:color w:val="black"/>
      </w:rPr>
    </w:p>
    <w:p>
      <w:pPr>
        <w:jc w:val="both"/>
      </w:pPr>
      <w:r>
        <w:rPr>
          <w:rFonts w:hAnsi="Arial"/>
          <w:rFonts w:ascii="Arial"/>
          <w:sz w:val="24"/>
          <w:color w:val="black"/>
        </w:rPr>
        <w:t xml:space="preserve">- Estar evaluado y clasificado policialmente como superior o excepcional o su equivalente.</w:t>
      </w:r>
    </w:p>
    <w:p>
      <w:pPr>
        <w:jc w:val="both"/>
      </w:pPr>
      <w:rPr>
        <w:sz w:val="24"/>
        <w:color w:val="black"/>
      </w:rPr>
    </w:p>
    <w:p>
      <w:pPr>
        <w:jc w:val="both"/>
      </w:pPr>
      <w:r>
        <w:rPr>
          <w:rFonts w:hAnsi="Arial"/>
          <w:rFonts w:ascii="Arial"/>
          <w:sz w:val="24"/>
          <w:color w:val="black"/>
        </w:rPr>
        <w:t xml:space="preserve">- Haber publicado documentos de interιs institucional, de acuerdo a certificaciσn expedida por la Vicerrectorνa Acadιmica de la Escuela Nacional de Policνa.</w:t>
      </w:r>
    </w:p>
    <w:p>
      <w:pPr>
        <w:jc w:val="both"/>
      </w:pPr>
      <w:rPr>
        <w:sz w:val="24"/>
        <w:color w:val="black"/>
      </w:rPr>
    </w:p>
    <w:p>
      <w:pPr>
        <w:jc w:val="both"/>
      </w:pPr>
      <w:r>
        <w:rPr>
          <w:rFonts w:hAnsi="Arial"/>
          <w:rFonts w:ascii="Arial"/>
          <w:sz w:val="24"/>
          <w:color w:val="black"/>
        </w:rPr>
        <w:t xml:space="preserve">- Concepto favorable del Director de la Escuela Nacional de Policνa.</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31" w:name="2.5.2.2.5"/>
      <w:r>
        <w:rPr>
          <w:rFonts w:hAnsi="Arial"/>
          <w:rFonts w:ascii="Arial"/>
          <w:sz w:val="24"/>
          <w:color w:val="navy"/>
        </w:rPr>
        <w:t xml:space="preserve">ARTΝCULO 2.5.2.2.5. </w:t>
      </w:r>
      <w:r>
        <w:rPr>
          <w:rFonts w:hAnsi="Arial"/>
          <w:rFonts w:ascii="Arial"/>
          <w:sz w:val="24"/>
          <w:i/>
          <w:color w:val="navy"/>
        </w:rPr>
        <w:t xml:space="preserve">REQUISITOS PARA SER PROFESOR TITULAR.</w:t>
      </w:r>
      <w:bookmarkEnd w:id="61731"/>
      <w:r>
        <w:rPr>
          <w:rFonts w:hAnsi="Arial"/>
          <w:rFonts w:ascii="Arial"/>
          <w:sz w:val="24"/>
          <w:b/>
          <w:i/>
          <w:color w:val="black"/>
        </w:rPr>
        <w:t xml:space="preserve"> </w:t>
      </w:r>
      <w:r>
        <w:rPr>
          <w:rFonts w:hAnsi="Arial"/>
          <w:rFonts w:ascii="Arial"/>
          <w:sz w:val="24"/>
          <w:color w:val="black"/>
        </w:rPr>
        <w:t xml:space="preserve">Para ser profesor titular se requiere:</w:t>
      </w:r>
    </w:p>
    <w:p>
      <w:pPr>
        <w:jc w:val="both"/>
      </w:pPr>
      <w:rPr>
        <w:sz w:val="24"/>
        <w:color w:val="black"/>
      </w:rPr>
    </w:p>
    <w:p>
      <w:pPr>
        <w:jc w:val="both"/>
      </w:pPr>
      <w:r>
        <w:rPr>
          <w:rFonts w:hAnsi="Arial"/>
          <w:rFonts w:ascii="Arial"/>
          <w:sz w:val="24"/>
          <w:color w:val="black"/>
        </w:rPr>
        <w:t xml:space="preserve">- Acreditar tνtulo profesional o tecnolσgico y un diplomado policial para el nivel ejecutivo y suboficiales.</w:t>
      </w:r>
    </w:p>
    <w:p>
      <w:pPr>
        <w:jc w:val="both"/>
      </w:pPr>
      <w:rPr>
        <w:sz w:val="24"/>
        <w:color w:val="black"/>
      </w:rPr>
    </w:p>
    <w:p>
      <w:pPr>
        <w:jc w:val="both"/>
      </w:pPr>
      <w:r>
        <w:rPr>
          <w:rFonts w:hAnsi="Arial"/>
          <w:rFonts w:ascii="Arial"/>
          <w:sz w:val="24"/>
          <w:color w:val="black"/>
        </w:rPr>
        <w:t xml:space="preserve">- Acreditar dos (2) aρos en el αrea operativa, posteriores a la anterior categorνa.</w:t>
      </w:r>
    </w:p>
    <w:p>
      <w:pPr>
        <w:jc w:val="both"/>
      </w:pPr>
      <w:rPr>
        <w:sz w:val="24"/>
        <w:color w:val="black"/>
      </w:rPr>
    </w:p>
    <w:p>
      <w:pPr>
        <w:jc w:val="both"/>
      </w:pPr>
      <w:r>
        <w:rPr>
          <w:rFonts w:hAnsi="Arial"/>
          <w:rFonts w:ascii="Arial"/>
          <w:sz w:val="24"/>
          <w:color w:val="black"/>
        </w:rPr>
        <w:t xml:space="preserve">- Acreditar tνtulo de postgrado policial o especializaciσn en otra αrea del conocimiento o diplomado policial para el nivel ejecutivo y suboficiales.</w:t>
      </w:r>
    </w:p>
    <w:p>
      <w:pPr>
        <w:jc w:val="both"/>
      </w:pPr>
      <w:rPr>
        <w:sz w:val="24"/>
        <w:color w:val="black"/>
      </w:rPr>
    </w:p>
    <w:p>
      <w:pPr>
        <w:jc w:val="both"/>
      </w:pPr>
      <w:r>
        <w:rPr>
          <w:rFonts w:hAnsi="Arial"/>
          <w:rFonts w:ascii="Arial"/>
          <w:sz w:val="24"/>
          <w:color w:val="black"/>
        </w:rPr>
        <w:t xml:space="preserve">- Haber hecho contribuciones significativas, de corte acadιmico, cientνfico, operacional al desarrollo institucional o a la disciplina en la cual se desempeρa, de acuerdo a certificaciσn expedida por la Vicerrectorνa Acadιmica de la Escuela Nacional de Policνa.</w:t>
      </w:r>
    </w:p>
    <w:p>
      <w:pPr>
        <w:jc w:val="both"/>
      </w:pPr>
      <w:rPr>
        <w:sz w:val="24"/>
        <w:color w:val="black"/>
      </w:rPr>
    </w:p>
    <w:p>
      <w:pPr>
        <w:jc w:val="both"/>
      </w:pPr>
      <w:r>
        <w:rPr>
          <w:rFonts w:hAnsi="Arial"/>
          <w:rFonts w:ascii="Arial"/>
          <w:sz w:val="24"/>
          <w:color w:val="black"/>
        </w:rPr>
        <w:t xml:space="preserve">- Acreditar curso o participaciσn en seminarios de actualizaciσn pedagσgica por un mνnimo de ochenta (80) horas.</w:t>
      </w:r>
    </w:p>
    <w:p>
      <w:pPr>
        <w:jc w:val="both"/>
      </w:pPr>
      <w:rPr>
        <w:sz w:val="24"/>
        <w:color w:val="black"/>
      </w:rPr>
    </w:p>
    <w:p>
      <w:pPr>
        <w:jc w:val="both"/>
      </w:pPr>
      <w:r>
        <w:rPr>
          <w:rFonts w:hAnsi="Arial"/>
          <w:rFonts w:ascii="Arial"/>
          <w:sz w:val="24"/>
          <w:color w:val="black"/>
        </w:rPr>
        <w:t xml:space="preserve">- Haber dictado un mνnimo de trescientas sesenta (360) horas de clase como profesor asociado.</w:t>
      </w:r>
    </w:p>
    <w:p>
      <w:pPr>
        <w:jc w:val="both"/>
      </w:pPr>
      <w:rPr>
        <w:sz w:val="24"/>
        <w:color w:val="black"/>
      </w:rPr>
    </w:p>
    <w:p>
      <w:pPr>
        <w:jc w:val="both"/>
      </w:pPr>
      <w:r>
        <w:rPr>
          <w:rFonts w:hAnsi="Arial"/>
          <w:rFonts w:ascii="Arial"/>
          <w:sz w:val="24"/>
          <w:color w:val="black"/>
        </w:rPr>
        <w:t xml:space="preserve">- Acreditar la prestaciσn de excelente servicio en funciones docentes o de direcciσn acadιmica en la Instituciσn Policial, debidamente ponderados por la Escuela Nacional de Policνa.</w:t>
      </w:r>
    </w:p>
    <w:p>
      <w:pPr>
        <w:jc w:val="both"/>
      </w:pPr>
      <w:rPr>
        <w:sz w:val="24"/>
        <w:color w:val="black"/>
      </w:rPr>
    </w:p>
    <w:p>
      <w:pPr>
        <w:jc w:val="both"/>
      </w:pPr>
      <w:r>
        <w:rPr>
          <w:rFonts w:hAnsi="Arial"/>
          <w:rFonts w:ascii="Arial"/>
          <w:sz w:val="24"/>
          <w:color w:val="black"/>
        </w:rPr>
        <w:t xml:space="preserve">- Concepto favorable de su desempeρo como docente, como excelente o muy bueno, expedido por parte del jefe del αrea acadιmica.</w:t>
      </w:r>
    </w:p>
    <w:p>
      <w:pPr>
        <w:jc w:val="both"/>
      </w:pPr>
      <w:rPr>
        <w:sz w:val="24"/>
        <w:color w:val="black"/>
      </w:rPr>
    </w:p>
    <w:p>
      <w:pPr>
        <w:jc w:val="both"/>
      </w:pPr>
      <w:r>
        <w:rPr>
          <w:rFonts w:hAnsi="Arial"/>
          <w:rFonts w:ascii="Arial"/>
          <w:sz w:val="24"/>
          <w:color w:val="black"/>
        </w:rPr>
        <w:t xml:space="preserve">- Estar evaluado y clasificado policialmente como superior o excepcional o su equivalente.</w:t>
      </w:r>
    </w:p>
    <w:p>
      <w:pPr>
        <w:jc w:val="both"/>
      </w:pPr>
      <w:rPr>
        <w:sz w:val="24"/>
        <w:color w:val="black"/>
      </w:rPr>
    </w:p>
    <w:p>
      <w:pPr>
        <w:jc w:val="both"/>
      </w:pPr>
      <w:r>
        <w:rPr>
          <w:rFonts w:hAnsi="Arial"/>
          <w:rFonts w:ascii="Arial"/>
          <w:sz w:val="24"/>
          <w:color w:val="black"/>
        </w:rPr>
        <w:t xml:space="preserve">- Concepto favorable del Director de la Escuela Nacional de Policνa.</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32" w:name="2.5.2.2.6"/>
      <w:r>
        <w:rPr>
          <w:rFonts w:hAnsi="Arial"/>
          <w:rFonts w:ascii="Arial"/>
          <w:sz w:val="24"/>
          <w:color w:val="navy"/>
        </w:rPr>
        <w:t xml:space="preserve">ARTΝCULO 2.5.2.2.6. CATEGORΝAS PROFESOR POLICIAL.</w:t>
      </w:r>
      <w:bookmarkEnd w:id="61732"/>
      <w:r>
        <w:rPr>
          <w:rFonts w:hAnsi="Arial"/>
          <w:rFonts w:ascii="Arial"/>
          <w:sz w:val="24"/>
          <w:b/>
          <w:color w:val="black"/>
        </w:rPr>
        <w:t xml:space="preserve"> </w:t>
      </w:r>
      <w:r>
        <w:rPr>
          <w:rFonts w:hAnsi="Arial"/>
          <w:rFonts w:ascii="Arial"/>
          <w:sz w:val="24"/>
          <w:color w:val="black"/>
        </w:rPr>
        <w:t xml:space="preserve">El personal docente policial con tνtulo universitario, tιcnico o tecnolσgico segϊn el caso y que al 13 de enero de 2005 (entrada en vigencia del Decreto </w:t>
      </w:r>
      <w:r>
        <w:fldChar w:fldCharType="begin"/>
      </w:r>
      <w:r>
        <w:instrText>HYPERLINK "http://www.redjurista.com/document.aspx?ajcode=d0003005&amp;arts=INICIO"</w:instrText>
      </w:r>
      <w:r>
        <w:fldChar w:fldCharType="separate"/>
      </w:r>
      <w:r>
        <w:rPr>
          <w:rFonts w:hAnsi="Arial"/>
          <w:rFonts w:ascii="Arial"/>
          <w:sz w:val="24"/>
          <w:u w:val="single"/>
          <w:color w:val="black"/>
        </w:rPr>
        <w:t>003</w:t>
      </w:r>
      <w:r>
        <w:fldChar w:fldCharType="end"/>
      </w:r>
      <w:r>
        <w:rPr>
          <w:rFonts w:hAnsi="Arial"/>
          <w:rFonts w:ascii="Arial"/>
          <w:sz w:val="24"/>
          <w:u w:val="none"/>
          <w:color w:val="black"/>
        </w:rPr>
        <w:t xml:space="preserve"> de 2005) se hallare escalafonado como docente policial en cualquiera de las categorνas contempladas en el Decreto </w:t>
      </w:r>
      <w:r>
        <w:fldChar w:fldCharType="begin"/>
      </w:r>
      <w:r>
        <w:instrText>HYPERLINK "http://www.redjurista.com/document.aspx?ajcode=d0400_92&amp;arts=INICIO"</w:instrText>
      </w:r>
      <w:r>
        <w:fldChar w:fldCharType="separate"/>
      </w:r>
      <w:r>
        <w:rPr>
          <w:rFonts w:hAnsi="Arial"/>
          <w:rFonts w:ascii="Arial"/>
          <w:sz w:val="24"/>
          <w:u w:val="single"/>
          <w:color w:val="black"/>
        </w:rPr>
        <w:t>400</w:t>
      </w:r>
      <w:r>
        <w:fldChar w:fldCharType="end"/>
      </w:r>
      <w:r>
        <w:rPr>
          <w:rFonts w:hAnsi="Arial"/>
          <w:rFonts w:ascii="Arial"/>
          <w:sz w:val="24"/>
          <w:u w:val="none"/>
          <w:color w:val="black"/>
        </w:rPr>
        <w:t xml:space="preserve"> del 5 de marzo de 1992, podrα solicitar su homologaciσn ante el Director General de la Policνa Nacional, segϊn su categorνa asν:</w:t>
      </w:r>
    </w:p>
    <w:p>
      <w:pPr>
        <w:jc w:val="both"/>
      </w:pPr>
      <w:rPr>
        <w:sz w:val="24"/>
        <w:color w:val="black"/>
      </w:rPr>
    </w:p>
    <w:p>
      <w:pPr>
        <w:jc w:val="both"/>
      </w:pPr>
      <w:r>
        <w:rPr>
          <w:rFonts w:hAnsi="Arial"/>
          <w:rFonts w:ascii="Arial"/>
          <w:sz w:val="24"/>
          <w:color w:val="black"/>
        </w:rPr>
        <w:t xml:space="preserve">Profesor Policial de Quinta Categorνa a Instructor.</w:t>
      </w:r>
    </w:p>
    <w:p>
      <w:pPr>
        <w:jc w:val="both"/>
      </w:pPr>
      <w:rPr>
        <w:sz w:val="24"/>
        <w:color w:val="black"/>
      </w:rPr>
    </w:p>
    <w:p>
      <w:pPr>
        <w:jc w:val="both"/>
      </w:pPr>
      <w:r>
        <w:rPr>
          <w:rFonts w:hAnsi="Arial"/>
          <w:rFonts w:ascii="Arial"/>
          <w:sz w:val="24"/>
          <w:color w:val="black"/>
        </w:rPr>
        <w:t xml:space="preserve">Profesor Policial de Cuarta Categorνa a Profesor Auxiliar.</w:t>
      </w:r>
    </w:p>
    <w:p>
      <w:pPr>
        <w:jc w:val="both"/>
      </w:pPr>
      <w:rPr>
        <w:sz w:val="24"/>
        <w:color w:val="black"/>
      </w:rPr>
    </w:p>
    <w:p>
      <w:pPr>
        <w:jc w:val="both"/>
      </w:pPr>
      <w:r>
        <w:rPr>
          <w:rFonts w:hAnsi="Arial"/>
          <w:rFonts w:ascii="Arial"/>
          <w:sz w:val="24"/>
          <w:color w:val="black"/>
        </w:rPr>
        <w:t xml:space="preserve">Profesor Policial de Tercera Categorνa a Profesor Asistente.</w:t>
      </w:r>
    </w:p>
    <w:p>
      <w:pPr>
        <w:jc w:val="both"/>
      </w:pPr>
      <w:rPr>
        <w:sz w:val="24"/>
        <w:color w:val="black"/>
      </w:rPr>
    </w:p>
    <w:p>
      <w:pPr>
        <w:jc w:val="both"/>
      </w:pPr>
      <w:r>
        <w:rPr>
          <w:rFonts w:hAnsi="Arial"/>
          <w:rFonts w:ascii="Arial"/>
          <w:sz w:val="24"/>
          <w:color w:val="black"/>
        </w:rPr>
        <w:t xml:space="preserve">Profesor Policial de Segunda Categorνa a Profesor Asociado.</w:t>
      </w:r>
    </w:p>
    <w:p>
      <w:pPr>
        <w:jc w:val="both"/>
      </w:pPr>
      <w:rPr>
        <w:sz w:val="24"/>
        <w:color w:val="black"/>
      </w:rPr>
    </w:p>
    <w:p>
      <w:pPr>
        <w:jc w:val="both"/>
      </w:pPr>
      <w:r>
        <w:rPr>
          <w:rFonts w:hAnsi="Arial"/>
          <w:rFonts w:ascii="Arial"/>
          <w:sz w:val="24"/>
          <w:color w:val="black"/>
        </w:rPr>
        <w:t xml:space="preserve">Profesor Policial de Primera Categorνa a Profesor Titulado.</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33" w:name="CAPÍTULO 2.5.2.3"/>
      <w:r>
        <w:rPr>
          <w:rFonts w:hAnsi="Arial"/>
          <w:rFonts w:ascii="Arial"/>
          <w:sz w:val="24"/>
          <w:color w:val="navy"/>
        </w:rPr>
        <w:t xml:space="preserve">CAPΝTULO 3. </w:t>
      </w:r>
    </w:p>
    <w:p>
      <w:pPr>
        <w:jc w:val="center"/>
      </w:pPr>
      <w:r>
        <w:rPr>
          <w:rFonts w:hAnsi="Arial"/>
          <w:rFonts w:ascii="Arial"/>
          <w:sz w:val="24"/>
          <w:color w:val="navy"/>
        </w:rPr>
        <w:t>REMUNERACIΣN.</w:t>
      </w:r>
      <w:bookmarkEnd w:id="6173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34" w:name="2.5.2.3.1"/>
      <w:r>
        <w:rPr>
          <w:rFonts w:hAnsi="Arial"/>
          <w:rFonts w:ascii="Arial"/>
          <w:sz w:val="24"/>
          <w:color w:val="navy"/>
        </w:rPr>
        <w:t xml:space="preserve">ARTΝCULO 2.5.2.3.1. </w:t>
      </w:r>
      <w:r>
        <w:rPr>
          <w:rFonts w:hAnsi="Arial"/>
          <w:rFonts w:ascii="Arial"/>
          <w:sz w:val="24"/>
          <w:i/>
          <w:color w:val="navy"/>
        </w:rPr>
        <w:t xml:space="preserve">REMUNERACIΣN COMO INSTRUCTOR.</w:t>
      </w:r>
      <w:bookmarkEnd w:id="61734"/>
      <w:r>
        <w:rPr>
          <w:rFonts w:hAnsi="Arial"/>
          <w:rFonts w:ascii="Arial"/>
          <w:sz w:val="24"/>
          <w:b/>
          <w:i/>
          <w:color w:val="black"/>
        </w:rPr>
        <w:t xml:space="preserve"> </w:t>
      </w:r>
      <w:r>
        <w:rPr>
          <w:rFonts w:hAnsi="Arial"/>
          <w:rFonts w:ascii="Arial"/>
          <w:sz w:val="24"/>
          <w:color w:val="black"/>
        </w:rPr>
        <w:t xml:space="preserve">Los profesores a los cuales les sea otorgada la categorνa como instructores, les serαn reconocidas mαximo veinticuatro (24) horas al mes, las cuales tendrαn como mαximo de remuneraciσn el 50% de un salario mνnimo legal mensual vigente, o el valor proporcional de acuerdo con las clases dictadas.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35" w:name="2.5.2.3.2"/>
      <w:r>
        <w:rPr>
          <w:rFonts w:hAnsi="Arial"/>
          <w:rFonts w:ascii="Arial"/>
          <w:sz w:val="24"/>
          <w:color w:val="navy"/>
        </w:rPr>
        <w:t xml:space="preserve">ARTΝCULO 2.5.2.3.2. </w:t>
      </w:r>
      <w:r>
        <w:rPr>
          <w:rFonts w:hAnsi="Arial"/>
          <w:rFonts w:ascii="Arial"/>
          <w:sz w:val="24"/>
          <w:i/>
          <w:color w:val="navy"/>
        </w:rPr>
        <w:t xml:space="preserve">REMUNERACIΣN COMO PROFESOR AUXILIAR.</w:t>
      </w:r>
      <w:bookmarkEnd w:id="61735"/>
      <w:r>
        <w:rPr>
          <w:rFonts w:hAnsi="Arial"/>
          <w:rFonts w:ascii="Arial"/>
          <w:sz w:val="24"/>
          <w:b/>
          <w:i/>
          <w:color w:val="black"/>
        </w:rPr>
        <w:t xml:space="preserve"> </w:t>
      </w:r>
      <w:r>
        <w:rPr>
          <w:rFonts w:hAnsi="Arial"/>
          <w:rFonts w:ascii="Arial"/>
          <w:sz w:val="24"/>
          <w:color w:val="black"/>
        </w:rPr>
        <w:t xml:space="preserve">Los profesores a los cuales les sea otorgada la categorνa como profesor auxiliar, les serαn reconocidas mαximo veinticuatro (24) horas al mes, las cuales tendrαn como mαximo de remuneraciσn el 62.5% de un salario mνnimo legal mensual vigente, o el valor proporcional de acuerdo con las clases dictadas.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36" w:name="2.5.2.3.3"/>
      <w:r>
        <w:rPr>
          <w:rFonts w:hAnsi="Arial"/>
          <w:rFonts w:ascii="Arial"/>
          <w:sz w:val="24"/>
          <w:color w:val="navy"/>
        </w:rPr>
        <w:t xml:space="preserve">ARTΝCULO 2.5.2.3.3. </w:t>
      </w:r>
      <w:r>
        <w:rPr>
          <w:rFonts w:hAnsi="Arial"/>
          <w:rFonts w:ascii="Arial"/>
          <w:sz w:val="24"/>
          <w:i/>
          <w:color w:val="navy"/>
        </w:rPr>
        <w:t xml:space="preserve">REMUNERACIΣN COMO PROFESOR ASISTENTE.</w:t>
      </w:r>
      <w:bookmarkEnd w:id="61736"/>
      <w:r>
        <w:rPr>
          <w:rFonts w:hAnsi="Arial"/>
          <w:rFonts w:ascii="Arial"/>
          <w:sz w:val="24"/>
          <w:b/>
          <w:i/>
          <w:color w:val="black"/>
        </w:rPr>
        <w:t xml:space="preserve"> </w:t>
      </w:r>
      <w:r>
        <w:rPr>
          <w:rFonts w:hAnsi="Arial"/>
          <w:rFonts w:ascii="Arial"/>
          <w:sz w:val="24"/>
          <w:color w:val="black"/>
        </w:rPr>
        <w:t xml:space="preserve">Los profesores a los cuales les sea otorgada la categorνa como Profesor asistente, les serαn reconocidas mαximo veinticuatro (24) horas al mes, las cuales tendrαn como mαximo de remuneraciσn el 75% de un salario mνnimo legal mensual vigente, o el valor proporcional de acuerdo con las clases dictadas.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37" w:name="2.5.2.3.4"/>
      <w:r>
        <w:rPr>
          <w:rFonts w:hAnsi="Arial"/>
          <w:rFonts w:ascii="Arial"/>
          <w:sz w:val="24"/>
          <w:color w:val="navy"/>
        </w:rPr>
        <w:t xml:space="preserve">ARTΝCULO 2.5.2.3.4. </w:t>
      </w:r>
      <w:r>
        <w:rPr>
          <w:rFonts w:hAnsi="Arial"/>
          <w:rFonts w:ascii="Arial"/>
          <w:sz w:val="24"/>
          <w:i/>
          <w:color w:val="navy"/>
        </w:rPr>
        <w:t xml:space="preserve">REMUNERACIΣN COMO PROFESOR ASOCIADO.</w:t>
      </w:r>
      <w:bookmarkEnd w:id="61737"/>
      <w:r>
        <w:rPr>
          <w:rFonts w:hAnsi="Arial"/>
          <w:rFonts w:ascii="Arial"/>
          <w:sz w:val="24"/>
          <w:b/>
          <w:i/>
          <w:color w:val="black"/>
        </w:rPr>
        <w:t xml:space="preserve"> </w:t>
      </w:r>
      <w:r>
        <w:rPr>
          <w:rFonts w:hAnsi="Arial"/>
          <w:rFonts w:ascii="Arial"/>
          <w:sz w:val="24"/>
          <w:color w:val="black"/>
        </w:rPr>
        <w:t xml:space="preserve">Los profesores a los cuales les sea otorgada la categorνa como Profesor asociado, les serαn reconocidas mαximo veinticuatro (24) horas al mes, las cuales tendrαn como mαximo de remuneraciσn el 87.5% de un salario mνnimo legal mensual vigente, o el valor proporcional de acuerdo con las clases dictadas.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38" w:name="2.5.2.3.5"/>
      <w:r>
        <w:rPr>
          <w:rFonts w:hAnsi="Arial"/>
          <w:rFonts w:ascii="Arial"/>
          <w:sz w:val="24"/>
          <w:color w:val="navy"/>
        </w:rPr>
        <w:t xml:space="preserve">ARTΝCULO 2.5.2.3.5. </w:t>
      </w:r>
      <w:r>
        <w:rPr>
          <w:rFonts w:hAnsi="Arial"/>
          <w:rFonts w:ascii="Arial"/>
          <w:sz w:val="24"/>
          <w:i/>
          <w:color w:val="navy"/>
        </w:rPr>
        <w:t xml:space="preserve">REMUNERACIΣN COMO PROFESOR TITULADO.</w:t>
      </w:r>
      <w:bookmarkEnd w:id="61738"/>
      <w:r>
        <w:rPr>
          <w:rFonts w:hAnsi="Arial"/>
          <w:rFonts w:ascii="Arial"/>
          <w:sz w:val="24"/>
          <w:b/>
          <w:i/>
          <w:color w:val="black"/>
        </w:rPr>
        <w:t xml:space="preserve"> </w:t>
      </w:r>
      <w:r>
        <w:rPr>
          <w:rFonts w:hAnsi="Arial"/>
          <w:rFonts w:ascii="Arial"/>
          <w:sz w:val="24"/>
          <w:color w:val="black"/>
        </w:rPr>
        <w:t xml:space="preserve">Los profesores a los cuales les sea otorgada la categorνa como profesor titulado, les serαn reconocidos mαximo veinticuatro (24) horas al mes, las cuales tendrαn como mαximo de remuneraciσn el 100% de un salario mνnimo legal mensual vigente, o el valor proporcional de acuerdo con las clases dictadas.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personas a las que no les haya sido otorgada la calidad de profesor policial no tendrαn derecho a la remuneraciσn fijada en el presente Tνtulo.</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39" w:name="2.5.2.3.6"/>
      <w:r>
        <w:rPr>
          <w:rFonts w:hAnsi="Arial"/>
          <w:rFonts w:ascii="Arial"/>
          <w:sz w:val="24"/>
          <w:color w:val="navy"/>
        </w:rPr>
        <w:t xml:space="preserve">ARTΝCULO 2.5.2.3.6. </w:t>
      </w:r>
      <w:r>
        <w:rPr>
          <w:rFonts w:hAnsi="Arial"/>
          <w:rFonts w:ascii="Arial"/>
          <w:sz w:val="24"/>
          <w:i/>
          <w:color w:val="navy"/>
        </w:rPr>
        <w:t xml:space="preserve">PERSONAL POLICIAL DE PLANTA.</w:t>
      </w:r>
      <w:bookmarkEnd w:id="61739"/>
      <w:r>
        <w:rPr>
          <w:rFonts w:hAnsi="Arial"/>
          <w:rFonts w:ascii="Arial"/>
          <w:sz w:val="24"/>
          <w:b/>
          <w:i/>
          <w:color w:val="black"/>
        </w:rPr>
        <w:t xml:space="preserve"> </w:t>
      </w:r>
      <w:r>
        <w:rPr>
          <w:rFonts w:hAnsi="Arial"/>
          <w:rFonts w:ascii="Arial"/>
          <w:sz w:val="24"/>
          <w:color w:val="black"/>
        </w:rPr>
        <w:t xml:space="preserve">El personal docente policial que se encuentra de planta en las Escuelas Seccionales de la Policνa Nacional y cuyo cargo tenga como ϊnica funciσn, la dedicaciσn exclusiva como profesor policial, quedarα excluido del pago de la remuneraciσn indicada en los artνculos anteriores.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40" w:name="2.5.2.3.7"/>
      <w:r>
        <w:rPr>
          <w:rFonts w:hAnsi="Arial"/>
          <w:rFonts w:ascii="Arial"/>
          <w:sz w:val="24"/>
          <w:color w:val="navy"/>
        </w:rPr>
        <w:t xml:space="preserve">ARTΝCULO 2.5.2.3.7. </w:t>
      </w:r>
      <w:r>
        <w:rPr>
          <w:rFonts w:hAnsi="Arial"/>
          <w:rFonts w:ascii="Arial"/>
          <w:sz w:val="24"/>
          <w:i/>
          <w:color w:val="navy"/>
        </w:rPr>
        <w:t>CLASIFICACIΣN.</w:t>
      </w:r>
      <w:bookmarkEnd w:id="61740"/>
      <w:r>
        <w:rPr>
          <w:rFonts w:hAnsi="Arial"/>
          <w:rFonts w:ascii="Arial"/>
          <w:sz w:val="24"/>
          <w:b/>
          <w:i/>
          <w:color w:val="black"/>
        </w:rPr>
        <w:t xml:space="preserve"> </w:t>
      </w:r>
      <w:r>
        <w:rPr>
          <w:rFonts w:hAnsi="Arial"/>
          <w:rFonts w:ascii="Arial"/>
          <w:sz w:val="24"/>
          <w:color w:val="black"/>
        </w:rPr>
        <w:t xml:space="preserve">Los docentes policiales se clasifican en:</w:t>
      </w:r>
    </w:p>
    <w:p>
      <w:pPr>
        <w:jc w:val="both"/>
      </w:pPr>
      <w:rPr>
        <w:sz w:val="24"/>
        <w:color w:val="black"/>
      </w:rPr>
    </w:p>
    <w:p>
      <w:pPr>
        <w:jc w:val="both"/>
      </w:pPr>
      <w:r>
        <w:rPr>
          <w:rFonts w:hAnsi="Arial"/>
          <w:rFonts w:ascii="Arial"/>
          <w:sz w:val="24"/>
          <w:color w:val="black"/>
        </w:rPr>
        <w:t xml:space="preserve">Docente Policial de Dedicaciσn Exclusiva. Son aquellos policiales que laboran en las Escuelas Seccionales de la Policνa Nacional, con cargos de enseρanza, investigaciσn al servicio de la gestiσn acadιmica y dentro de las funciones de su cargo estι la de dictar clase, coordinar y diseρar programas acadιmicos.</w:t>
      </w:r>
    </w:p>
    <w:p>
      <w:pPr>
        <w:jc w:val="both"/>
      </w:pPr>
      <w:rPr>
        <w:sz w:val="24"/>
        <w:color w:val="black"/>
      </w:rPr>
    </w:p>
    <w:p>
      <w:pPr>
        <w:jc w:val="both"/>
      </w:pPr>
      <w:r>
        <w:rPr>
          <w:rFonts w:hAnsi="Arial"/>
          <w:rFonts w:ascii="Arial"/>
          <w:sz w:val="24"/>
          <w:color w:val="black"/>
        </w:rPr>
        <w:t xml:space="preserve">Docente Policial de Apoyo. Son aquellos policiales que laboran en cualquier unidad policial o en la Escuela Nacional de Policνa y sus Escuelas, que en forma transitoria contribuyen en el ejercicio docente para la formaciσn, capacitaciσn y especializaciσn mediante el desarrollo de los programas acadιmicos policiales.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41" w:name="2.5.2.3.8"/>
      <w:r>
        <w:rPr>
          <w:rFonts w:hAnsi="Arial"/>
          <w:rFonts w:ascii="Arial"/>
          <w:sz w:val="24"/>
          <w:color w:val="navy"/>
        </w:rPr>
        <w:t xml:space="preserve">ARTΝCULO 2.5.2.3.8. </w:t>
      </w:r>
      <w:r>
        <w:rPr>
          <w:rFonts w:hAnsi="Arial"/>
          <w:rFonts w:ascii="Arial"/>
          <w:sz w:val="24"/>
          <w:i/>
          <w:color w:val="navy"/>
        </w:rPr>
        <w:t>REMUNERACIΣN.</w:t>
      </w:r>
      <w:bookmarkEnd w:id="61741"/>
      <w:r>
        <w:rPr>
          <w:rFonts w:hAnsi="Arial"/>
          <w:rFonts w:ascii="Arial"/>
          <w:sz w:val="24"/>
          <w:b/>
          <w:i/>
          <w:color w:val="black"/>
        </w:rPr>
        <w:t xml:space="preserve"> </w:t>
      </w:r>
      <w:r>
        <w:rPr>
          <w:rFonts w:hAnsi="Arial"/>
          <w:rFonts w:ascii="Arial"/>
          <w:sz w:val="24"/>
          <w:color w:val="black"/>
        </w:rPr>
        <w:t xml:space="preserve">La remuneraciσn establecida en el presente Tνtulo serα con cargo al rubro gastos de personal y no se aplicarα para ningϊn efecto prestacional.</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742" w:name="CAPÍTULO 2.5.2.4"/>
      <w:r>
        <w:rPr>
          <w:rFonts w:hAnsi="Arial"/>
          <w:rFonts w:ascii="Arial"/>
          <w:sz w:val="24"/>
          <w:color w:val="navy"/>
        </w:rPr>
        <w:t xml:space="preserve">CAPΝTULO 4. </w:t>
      </w:r>
    </w:p>
    <w:p>
      <w:pPr>
        <w:jc w:val="center"/>
      </w:pPr>
      <w:r>
        <w:rPr>
          <w:rFonts w:hAnsi="Arial"/>
          <w:rFonts w:ascii="Arial"/>
          <w:sz w:val="24"/>
          <w:color w:val="navy"/>
        </w:rPr>
        <w:t>INCENTIVOS.</w:t>
      </w:r>
      <w:bookmarkEnd w:id="6174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43" w:name="2.5.2.4.1"/>
      <w:r>
        <w:rPr>
          <w:rFonts w:hAnsi="Arial"/>
          <w:rFonts w:ascii="Arial"/>
          <w:sz w:val="24"/>
          <w:color w:val="navy"/>
        </w:rPr>
        <w:t xml:space="preserve">ARTΝCULO 2.5.2.4.1. </w:t>
      </w:r>
      <w:r>
        <w:rPr>
          <w:rFonts w:hAnsi="Arial"/>
          <w:rFonts w:ascii="Arial"/>
          <w:sz w:val="24"/>
          <w:i/>
          <w:color w:val="navy"/>
        </w:rPr>
        <w:t>CAPACITACIΣN.</w:t>
      </w:r>
      <w:bookmarkEnd w:id="61743"/>
      <w:r>
        <w:rPr>
          <w:rFonts w:hAnsi="Arial"/>
          <w:rFonts w:ascii="Arial"/>
          <w:sz w:val="24"/>
          <w:b/>
          <w:i/>
          <w:color w:val="black"/>
        </w:rPr>
        <w:t xml:space="preserve"> </w:t>
      </w:r>
      <w:r>
        <w:rPr>
          <w:rFonts w:hAnsi="Arial"/>
          <w:rFonts w:ascii="Arial"/>
          <w:sz w:val="24"/>
          <w:color w:val="black"/>
        </w:rPr>
        <w:t xml:space="preserve">La capacitaciσn del personal docente de la Policνa Nacional se concibe como un estνmulo para incrementar la calidad del mismo y proyectar las labores docentes como investigaciσn y extensiσn que correspondan a los planes de desarrollo institucional o la formaciσn integral de los alumnos. El Director Nacional de Escuelas, fijarα los criterios para la selecciσn del personal docente policial que sea merecedor de tal incentivo.</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44" w:name="2.5.2.4.2"/>
      <w:r>
        <w:rPr>
          <w:rFonts w:hAnsi="Arial"/>
          <w:rFonts w:ascii="Arial"/>
          <w:sz w:val="24"/>
          <w:color w:val="navy"/>
        </w:rPr>
        <w:t xml:space="preserve">ARTΝCULO 2.5.2.4.2. </w:t>
      </w:r>
      <w:r>
        <w:rPr>
          <w:rFonts w:hAnsi="Arial"/>
          <w:rFonts w:ascii="Arial"/>
          <w:sz w:val="24"/>
          <w:i/>
          <w:color w:val="navy"/>
        </w:rPr>
        <w:t xml:space="preserve">FUNCIΣN DE LA CAPACITACIΣN.</w:t>
      </w:r>
      <w:bookmarkEnd w:id="61744"/>
      <w:r>
        <w:rPr>
          <w:rFonts w:hAnsi="Arial"/>
          <w:rFonts w:ascii="Arial"/>
          <w:sz w:val="24"/>
          <w:b/>
          <w:i/>
          <w:color w:val="black"/>
        </w:rPr>
        <w:t xml:space="preserve"> </w:t>
      </w:r>
      <w:r>
        <w:rPr>
          <w:rFonts w:hAnsi="Arial"/>
          <w:rFonts w:ascii="Arial"/>
          <w:sz w:val="24"/>
          <w:color w:val="black"/>
        </w:rPr>
        <w:t xml:space="preserve">La capacitaciσn se harα en funciσn de las necesidades y prioridades institucionales que correspondan a los resultados de las distintas evaluaciones sobre desempeρo docente.</w:t>
      </w:r>
    </w:p>
    <w:p>
      <w:pPr>
        <w:jc w:val="both"/>
      </w:pPr>
      <w:rPr>
        <w:sz w:val="24"/>
        <w:color w:val="black"/>
      </w:rPr>
    </w:p>
    <w:p>
      <w:pPr>
        <w:jc w:val="both"/>
      </w:pPr>
      <w:r>
        <w:rPr>
          <w:rFonts w:hAnsi="Arial"/>
          <w:rFonts w:ascii="Arial"/>
          <w:sz w:val="24"/>
          <w:color w:val="black"/>
        </w:rPr>
        <w:t xml:space="preserve">Toda actividad de capacitaciσn debe entenderse como una necesidad y preocupaciσn permanente propiciada por la instituciσn o por el propio docente.</w:t>
      </w:r>
    </w:p>
    <w:p>
      <w:pPr>
        <w:jc w:val="both"/>
      </w:pPr>
      <w:rPr>
        <w:sz w:val="24"/>
        <w:color w:val="black"/>
      </w:rPr>
    </w:p>
    <w:p>
      <w:pPr>
        <w:jc w:val="both"/>
      </w:pPr>
      <w:r>
        <w:rPr>
          <w:rFonts w:hAnsi="Arial"/>
          <w:rFonts w:ascii="Arial"/>
          <w:sz w:val="24"/>
          <w:color w:val="black"/>
        </w:rPr>
        <w:t xml:space="preserve">Las actividades de capacitaciσn se refieren al mejoramiento del ejercicio docente a travιs de programas acadιmicos formales y no formales que contribuyen al perfeccionamiento de esta labor.</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45" w:name="2.5.2.4.3"/>
      <w:r>
        <w:rPr>
          <w:rFonts w:hAnsi="Arial"/>
          <w:rFonts w:ascii="Arial"/>
          <w:sz w:val="24"/>
          <w:color w:val="navy"/>
        </w:rPr>
        <w:t xml:space="preserve">ARTΝCULO 2.5.2.4.3. </w:t>
      </w:r>
      <w:r>
        <w:rPr>
          <w:rFonts w:hAnsi="Arial"/>
          <w:rFonts w:ascii="Arial"/>
          <w:sz w:val="24"/>
          <w:i/>
          <w:color w:val="navy"/>
        </w:rPr>
        <w:t xml:space="preserve">REQUISITOS PARA ASCENSO POLICIAL.</w:t>
      </w:r>
      <w:bookmarkEnd w:id="61745"/>
      <w:r>
        <w:rPr>
          <w:rFonts w:hAnsi="Arial"/>
          <w:rFonts w:ascii="Arial"/>
          <w:sz w:val="24"/>
          <w:b/>
          <w:i/>
          <w:color w:val="black"/>
        </w:rPr>
        <w:t xml:space="preserve"> </w:t>
      </w:r>
      <w:r>
        <w:rPr>
          <w:rFonts w:hAnsi="Arial"/>
          <w:rFonts w:ascii="Arial"/>
          <w:sz w:val="24"/>
          <w:color w:val="black"/>
        </w:rPr>
        <w:t xml:space="preserve">Los docentes policiales de planta en los cargos de: Director de Escuela, Comandante de Compaρνa, Comandante de Secciσn, Escuadra, o cuyo cargo tenga dentro de sus funciones la dedicaciσn exclusiva como docente policial de la Direcciσn Nacional de Escuelas y sus unidades desconcentradas, tendrαn derecho a que se les reconozca como requisito de ascenso de acuerdo con la ley, su dedicaciσn a labores docentes.</w:t>
      </w:r>
    </w:p>
    <w:p>
      <w:pPr>
        <w:jc w:val="both"/>
      </w:pPr>
      <w:rPr>
        <w:sz w:val="24"/>
        <w:color w:val="black"/>
      </w:rPr>
    </w:p>
    <w:p>
      <w:pPr>
        <w:jc w:val="both"/>
      </w:pPr>
      <w:r>
        <w:rPr>
          <w:rFonts w:hAnsi="Arial"/>
          <w:rFonts w:ascii="Arial"/>
          <w:sz w:val="24"/>
          <w:i/>
          <w:color w:val="black"/>
        </w:rPr>
        <w:t xml:space="preserve">(Decreto 003 de 2005 artνculo </w:t>
      </w:r>
      <w:r>
        <w:fldChar w:fldCharType="begin"/>
      </w:r>
      <w:r>
        <w:instrText>HYPERLINK "http://www.redjurista.com/document.aspx?ajcode=d0003005&amp;arts=18"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center"/>
      </w:pPr>
      <w:r>
        <w:rPr>
          <w:rFonts w:hAnsi="Arial"/>
          <w:rFonts w:ascii="Arial"/>
          <w:sz w:val="24"/>
          <w:vanish/>
          <w:color w:val="black"/>
        </w:rPr>
        <w:t>&amp;$</w:t>
      </w:r>
      <w:bookmarkStart w:id="61746" w:name="TÍTULO 2.5.3"/>
      <w:r>
        <w:rPr>
          <w:rFonts w:hAnsi="Arial"/>
          <w:rFonts w:ascii="Arial"/>
          <w:sz w:val="24"/>
          <w:color w:val="navy"/>
        </w:rPr>
        <w:t xml:space="preserve">TΝTULO 3. </w:t>
      </w:r>
    </w:p>
    <w:p>
      <w:pPr>
        <w:jc w:val="center"/>
      </w:pPr>
      <w:r>
        <w:rPr>
          <w:rFonts w:hAnsi="Arial"/>
          <w:rFonts w:ascii="Arial"/>
          <w:sz w:val="24"/>
          <w:color w:val="navy"/>
        </w:rPr>
        <w:t xml:space="preserve">TARJETA PROFESIONAL DE ADMINISTRADOR POLICIAL.</w:t>
      </w:r>
      <w:bookmarkEnd w:id="6174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47" w:name="2.5.3.1"/>
      <w:r>
        <w:rPr>
          <w:rFonts w:hAnsi="Arial"/>
          <w:rFonts w:ascii="Arial"/>
          <w:sz w:val="24"/>
          <w:color w:val="navy"/>
        </w:rPr>
        <w:t xml:space="preserve">ARTΝCULO 2.5.3.1. </w:t>
      </w:r>
      <w:r>
        <w:rPr>
          <w:rFonts w:hAnsi="Arial"/>
          <w:rFonts w:ascii="Arial"/>
          <w:sz w:val="24"/>
          <w:i/>
          <w:color w:val="navy"/>
        </w:rPr>
        <w:t xml:space="preserve">DELEGACIΣN DE FUNCIONES.</w:t>
      </w:r>
      <w:bookmarkEnd w:id="61747"/>
      <w:r>
        <w:rPr>
          <w:rFonts w:hAnsi="Arial"/>
          <w:rFonts w:ascii="Arial"/>
          <w:sz w:val="24"/>
          <w:b/>
          <w:i/>
          <w:color w:val="black"/>
        </w:rPr>
        <w:t xml:space="preserve"> </w:t>
      </w:r>
      <w:r>
        <w:rPr>
          <w:rFonts w:hAnsi="Arial"/>
          <w:rFonts w:ascii="Arial"/>
          <w:sz w:val="24"/>
          <w:color w:val="black"/>
        </w:rPr>
        <w:t xml:space="preserve">De conformidad con lo establecido en el artνculo </w:t>
      </w:r>
      <w:r>
        <w:fldChar w:fldCharType="begin"/>
      </w:r>
      <w:r>
        <w:instrText>HYPERLINK "http://www.redjurista.com/document.aspx?ajcode=l1249008&amp;arts=7"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1249 de 2008, el Gobierno Nacional delega al Colegio Profesional de Administradores Policiales, las siguientes funciones:</w:t>
      </w:r>
    </w:p>
    <w:p>
      <w:pPr>
        <w:jc w:val="both"/>
      </w:pPr>
      <w:rPr>
        <w:sz w:val="24"/>
        <w:color w:val="black"/>
      </w:rPr>
    </w:p>
    <w:p>
      <w:pPr>
        <w:jc w:val="both"/>
      </w:pPr>
      <w:r>
        <w:rPr>
          <w:rFonts w:hAnsi="Arial"/>
          <w:rFonts w:ascii="Arial"/>
          <w:sz w:val="24"/>
          <w:color w:val="black"/>
        </w:rPr>
        <w:t xml:space="preserve">1. Expedir la tarjeta a los profesionales en Administraciσn Policial.</w:t>
      </w:r>
    </w:p>
    <w:p>
      <w:pPr>
        <w:jc w:val="both"/>
      </w:pPr>
      <w:rPr>
        <w:sz w:val="24"/>
        <w:color w:val="black"/>
      </w:rPr>
    </w:p>
    <w:p>
      <w:pPr>
        <w:jc w:val="both"/>
      </w:pPr>
      <w:r>
        <w:rPr>
          <w:rFonts w:hAnsi="Arial"/>
          <w:rFonts w:ascii="Arial"/>
          <w:sz w:val="24"/>
          <w:color w:val="black"/>
        </w:rPr>
        <w:t xml:space="preserve">2. Llevar el registro de los graduados en Administraciσn Policial, cuyo listado serα remitido por las Facultades de Administraciσn Policial de las universidades.</w:t>
      </w:r>
    </w:p>
    <w:p>
      <w:pPr>
        <w:jc w:val="both"/>
      </w:pPr>
      <w:rPr>
        <w:sz w:val="24"/>
        <w:color w:val="black"/>
      </w:rPr>
    </w:p>
    <w:p>
      <w:pPr>
        <w:jc w:val="both"/>
      </w:pPr>
      <w:r>
        <w:rPr>
          <w:rFonts w:hAnsi="Arial"/>
          <w:rFonts w:ascii="Arial"/>
          <w:sz w:val="24"/>
          <w:i/>
          <w:color w:val="black"/>
        </w:rPr>
        <w:t xml:space="preserve">(Decreto 1410 de 2011 artνculo </w:t>
      </w:r>
      <w:r>
        <w:fldChar w:fldCharType="begin"/>
      </w:r>
      <w:r>
        <w:instrText>HYPERLINK "http://www.redjurista.com/document.aspx?ajcode=d1410011&amp;arts=1"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48" w:name="2.5.3.2"/>
      <w:r>
        <w:rPr>
          <w:rFonts w:hAnsi="Arial"/>
          <w:rFonts w:ascii="Arial"/>
          <w:sz w:val="24"/>
          <w:color w:val="navy"/>
        </w:rPr>
        <w:t xml:space="preserve">ARTΝCULO 2.5.3.2. </w:t>
      </w:r>
      <w:r>
        <w:rPr>
          <w:rFonts w:hAnsi="Arial"/>
          <w:rFonts w:ascii="Arial"/>
          <w:sz w:val="24"/>
          <w:i/>
          <w:color w:val="navy"/>
        </w:rPr>
        <w:t xml:space="preserve">TARJETA PROFESIONAL.</w:t>
      </w:r>
      <w:bookmarkEnd w:id="61748"/>
      <w:r>
        <w:rPr>
          <w:rFonts w:hAnsi="Arial"/>
          <w:rFonts w:ascii="Arial"/>
          <w:sz w:val="24"/>
          <w:b/>
          <w:i/>
          <w:color w:val="black"/>
        </w:rPr>
        <w:t xml:space="preserve"> </w:t>
      </w:r>
      <w:r>
        <w:rPr>
          <w:rFonts w:hAnsi="Arial"/>
          <w:rFonts w:ascii="Arial"/>
          <w:sz w:val="24"/>
          <w:color w:val="black"/>
        </w:rPr>
        <w:t xml:space="preserve">La Tarjeta Profesional de Administrador Policial acredita que su titular ha recibido la formaciσn acadιmica especνfica y que posee la competencia para desempeρar o ejercer las actividades propias y relacionadas con la profesiσn.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Colegio Profesional de Administradores Policiales establecerα los procesos y procedimientos para la expediciσn de la tarjeta profesional.</w:t>
      </w:r>
    </w:p>
    <w:p>
      <w:pPr>
        <w:jc w:val="both"/>
      </w:pPr>
      <w:rPr>
        <w:sz w:val="24"/>
        <w:color w:val="black"/>
      </w:rPr>
    </w:p>
    <w:p>
      <w:pPr>
        <w:jc w:val="both"/>
      </w:pPr>
      <w:r>
        <w:rPr>
          <w:rFonts w:hAnsi="Arial"/>
          <w:rFonts w:ascii="Arial"/>
          <w:sz w:val="24"/>
          <w:i/>
          <w:color w:val="black"/>
        </w:rPr>
        <w:t xml:space="preserve">(Decreto 1410 de 2011 artνculo </w:t>
      </w:r>
      <w:r>
        <w:fldChar w:fldCharType="begin"/>
      </w:r>
      <w:r>
        <w:instrText>HYPERLINK "http://www.redjurista.com/document.aspx?ajcode=d1410011&amp;arts=2"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49" w:name="2.5.3.3"/>
      <w:r>
        <w:rPr>
          <w:rFonts w:hAnsi="Arial"/>
          <w:rFonts w:ascii="Arial"/>
          <w:sz w:val="24"/>
          <w:color w:val="navy"/>
        </w:rPr>
        <w:t xml:space="preserve">ARTΝCULO 2.5.3.3. </w:t>
      </w:r>
      <w:r>
        <w:rPr>
          <w:rFonts w:hAnsi="Arial"/>
          <w:rFonts w:ascii="Arial"/>
          <w:sz w:val="24"/>
          <w:i/>
          <w:color w:val="navy"/>
        </w:rPr>
        <w:t xml:space="preserve">REQUISITOS DE LOS INTEGRANTES DEL TRIBUNAL ΙTICO.</w:t>
      </w:r>
      <w:bookmarkEnd w:id="61749"/>
      <w:r>
        <w:rPr>
          <w:rFonts w:hAnsi="Arial"/>
          <w:rFonts w:ascii="Arial"/>
          <w:sz w:val="24"/>
          <w:b/>
          <w:i/>
          <w:color w:val="black"/>
        </w:rPr>
        <w:t xml:space="preserve"> </w:t>
      </w:r>
      <w:r>
        <w:rPr>
          <w:rFonts w:hAnsi="Arial"/>
          <w:rFonts w:ascii="Arial"/>
          <w:sz w:val="24"/>
          <w:color w:val="black"/>
        </w:rPr>
        <w:t xml:space="preserve">Los integrantes del Tribunal Ιtico deberαn cumplir con los siguientes requisitos:</w:t>
      </w:r>
    </w:p>
    <w:p>
      <w:pPr>
        <w:jc w:val="both"/>
      </w:pPr>
      <w:rPr>
        <w:sz w:val="24"/>
        <w:color w:val="black"/>
      </w:rPr>
    </w:p>
    <w:p>
      <w:pPr>
        <w:jc w:val="both"/>
      </w:pPr>
      <w:r>
        <w:rPr>
          <w:rFonts w:hAnsi="Arial"/>
          <w:rFonts w:ascii="Arial"/>
          <w:sz w:val="24"/>
          <w:color w:val="black"/>
        </w:rPr>
        <w:t xml:space="preserve">1. Ser Administrador Policial titulado e inscrito.</w:t>
      </w:r>
    </w:p>
    <w:p>
      <w:pPr>
        <w:jc w:val="both"/>
      </w:pPr>
      <w:rPr>
        <w:sz w:val="24"/>
        <w:color w:val="black"/>
      </w:rPr>
    </w:p>
    <w:p>
      <w:pPr>
        <w:jc w:val="both"/>
      </w:pPr>
      <w:r>
        <w:rPr>
          <w:rFonts w:hAnsi="Arial"/>
          <w:rFonts w:ascii="Arial"/>
          <w:sz w:val="24"/>
          <w:color w:val="black"/>
        </w:rPr>
        <w:t xml:space="preserve">2. Haber ejercido la profesiσn de Administrador Policial.</w:t>
      </w:r>
    </w:p>
    <w:p>
      <w:pPr>
        <w:jc w:val="both"/>
      </w:pPr>
      <w:rPr>
        <w:sz w:val="24"/>
        <w:color w:val="black"/>
      </w:rPr>
    </w:p>
    <w:p>
      <w:pPr>
        <w:jc w:val="both"/>
      </w:pPr>
      <w:r>
        <w:rPr>
          <w:rFonts w:hAnsi="Arial"/>
          <w:rFonts w:ascii="Arial"/>
          <w:sz w:val="24"/>
          <w:color w:val="black"/>
        </w:rPr>
        <w:t xml:space="preserve">3. No estar inmerso en una causal de inhabilidad o incompatibilidad, de conformidad con las disposiciones legales vigentes.</w:t>
      </w:r>
    </w:p>
    <w:p>
      <w:pPr>
        <w:jc w:val="both"/>
      </w:pPr>
      <w:rPr>
        <w:sz w:val="24"/>
        <w:color w:val="black"/>
      </w:rPr>
    </w:p>
    <w:p>
      <w:pPr>
        <w:jc w:val="both"/>
      </w:pPr>
      <w:r>
        <w:rPr>
          <w:rFonts w:hAnsi="Arial"/>
          <w:rFonts w:ascii="Arial"/>
          <w:sz w:val="24"/>
          <w:i/>
          <w:color w:val="black"/>
        </w:rPr>
        <w:t xml:space="preserve">(Decreto 1410 de 2011 artνculo </w:t>
      </w:r>
      <w:r>
        <w:fldChar w:fldCharType="begin"/>
      </w:r>
      <w:r>
        <w:instrText>HYPERLINK "http://www.redjurista.com/document.aspx?ajcode=d1410011&amp;arts=3"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750" w:name="TÍTULO 2.5.4"/>
      <w:r>
        <w:rPr>
          <w:rFonts w:hAnsi="Arial"/>
          <w:rFonts w:ascii="Arial"/>
          <w:sz w:val="24"/>
          <w:color w:val="navy"/>
        </w:rPr>
        <w:t xml:space="preserve">TΝTULO 4. </w:t>
      </w:r>
    </w:p>
    <w:p>
      <w:pPr>
        <w:jc w:val="center"/>
      </w:pPr>
      <w:r>
        <w:rPr>
          <w:rFonts w:hAnsi="Arial"/>
          <w:rFonts w:ascii="Arial"/>
          <w:sz w:val="24"/>
          <w:color w:val="navy"/>
        </w:rPr>
        <w:t xml:space="preserve">SISTEMA NACIONAL DE PARTICIPACIΣN CIUDADANA EN ASUNTOS DE POLICΝA Y COMISIONES NACIONAL, DEPARTAMENTALES, DEL DISTRITO CAPITAL Y CIUDADES CAPITALES, MUNICIPALES Y LOCALES DE POLICΝA Y PARTICIPACIΣN CIUDADANA.</w:t>
      </w:r>
      <w:bookmarkEnd w:id="61750"/>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61751" w:name="2.5.4.1"/>
      <w:r>
        <w:rPr>
          <w:rFonts w:hAnsi="Arial"/>
          <w:rFonts w:ascii="Arial"/>
          <w:sz w:val="24"/>
          <w:color w:val="navy"/>
        </w:rPr>
        <w:t xml:space="preserve">ARTΝCULO 2.5.4.1. </w:t>
      </w:r>
      <w:r>
        <w:rPr>
          <w:rFonts w:hAnsi="Arial"/>
          <w:rFonts w:ascii="Arial"/>
          <w:sz w:val="24"/>
          <w:i/>
          <w:color w:val="navy"/>
        </w:rPr>
        <w:t xml:space="preserve">SISTEMA NACIONAL DE PARTICIPACIΣN CIUDADANA EN ASUNTOS DE POLICΝA.</w:t>
      </w:r>
      <w:bookmarkEnd w:id="61751"/>
      <w:r>
        <w:rPr>
          <w:rFonts w:hAnsi="Arial"/>
          <w:rFonts w:ascii="Arial"/>
          <w:sz w:val="24"/>
          <w:b/>
          <w:i/>
          <w:color w:val="black"/>
        </w:rPr>
        <w:t xml:space="preserve"> </w:t>
      </w:r>
      <w:r>
        <w:rPr>
          <w:rFonts w:hAnsi="Arial"/>
          <w:rFonts w:ascii="Arial"/>
          <w:sz w:val="24"/>
          <w:color w:val="black"/>
        </w:rPr>
        <w:t xml:space="preserve">El Sistema Nacional de Participaciσn Ciudadana en asuntos de Policνa se desarrollarα a travιs de las Comisiones Nacional, Departamentales, del Distrito Capital, de Ciudades Capitales, Municipales y Locales de Policνa y Participaciσn Ciudadana, con el fin de fortalecer las relaciones entre el ciudadano, la Policνa Nacional y las autoridades administrativas.</w:t>
      </w:r>
    </w:p>
    <w:p>
      <w:pPr>
        <w:jc w:val="both"/>
      </w:pPr>
      <w:rPr>
        <w:sz w:val="24"/>
        <w:color w:val="black"/>
      </w:rPr>
    </w:p>
    <w:p>
      <w:pPr>
        <w:jc w:val="both"/>
      </w:pPr>
      <w:r>
        <w:rPr>
          <w:rFonts w:hAnsi="Arial"/>
          <w:rFonts w:ascii="Arial"/>
          <w:sz w:val="24"/>
          <w:color w:val="black"/>
        </w:rPr>
        <w:t xml:space="preserve">Las Comisiones son mecanismos que permitirαn que se expresen y sean atendidos distintos intereses sectoriales y regionales atinentes al servicio de Policνa y a la seguridad ciudadana.</w:t>
      </w:r>
    </w:p>
    <w:p>
      <w:pPr>
        <w:jc w:val="both"/>
      </w:pPr>
      <w:rPr>
        <w:sz w:val="24"/>
        <w:color w:val="black"/>
      </w:rPr>
    </w:p>
    <w:p>
      <w:pPr>
        <w:jc w:val="both"/>
      </w:pPr>
      <w:r>
        <w:rPr>
          <w:rFonts w:hAnsi="Arial"/>
          <w:rFonts w:ascii="Arial"/>
          <w:sz w:val="24"/>
          <w:color w:val="black"/>
        </w:rPr>
        <w:t xml:space="preserve">La Comisiσn Nacional es el organismo del mαs alto nivel encargado de orientar y fiscalizar las relaciones entre la ciudadanνa, la Policνa Nacional y las autoridades administrativas. La Comisiσn Nacional tiene por objeto emitir opiniones sobre el conjunto de normas procedimentales y de comportamiento que regulan los servicios de la Policνa y promover las investigaciones a que haya lugar.</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52" w:name="CAPÍTULO 2.5.4.1"/>
      <w:r>
        <w:rPr>
          <w:rFonts w:hAnsi="Arial"/>
          <w:rFonts w:ascii="Arial"/>
          <w:sz w:val="24"/>
          <w:color w:val="navy"/>
        </w:rPr>
        <w:t xml:space="preserve">CAPΝTULO 1. </w:t>
      </w:r>
    </w:p>
    <w:p>
      <w:pPr>
        <w:jc w:val="center"/>
      </w:pPr>
      <w:r>
        <w:rPr>
          <w:rFonts w:hAnsi="Arial"/>
          <w:rFonts w:ascii="Arial"/>
          <w:sz w:val="24"/>
          <w:color w:val="navy"/>
        </w:rPr>
        <w:t xml:space="preserve">DE LA COMISIΣN NACIONAL DE POLICΝA Y PARTICIPACIΣN CIUDADANA.</w:t>
      </w:r>
      <w:bookmarkEnd w:id="617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53" w:name="2.5.4.1.1"/>
      <w:r>
        <w:rPr>
          <w:rFonts w:hAnsi="Arial"/>
          <w:rFonts w:ascii="Arial"/>
          <w:sz w:val="24"/>
          <w:color w:val="navy"/>
        </w:rPr>
        <w:t xml:space="preserve">ARTΝCULO 2.5.4.1.1. </w:t>
      </w:r>
      <w:r>
        <w:rPr>
          <w:rFonts w:hAnsi="Arial"/>
          <w:rFonts w:ascii="Arial"/>
          <w:sz w:val="24"/>
          <w:i/>
          <w:color w:val="navy"/>
        </w:rPr>
        <w:t>MIEMBROS.</w:t>
      </w:r>
      <w:bookmarkEnd w:id="61753"/>
      <w:r>
        <w:rPr>
          <w:rFonts w:hAnsi="Arial"/>
          <w:rFonts w:ascii="Arial"/>
          <w:sz w:val="24"/>
          <w:b/>
          <w:i/>
          <w:color w:val="black"/>
        </w:rPr>
        <w:t xml:space="preserve"> </w:t>
      </w:r>
      <w:r>
        <w:rPr>
          <w:rFonts w:hAnsi="Arial"/>
          <w:rFonts w:ascii="Arial"/>
          <w:sz w:val="24"/>
          <w:color w:val="black"/>
        </w:rPr>
        <w:t xml:space="preserve">La Comisiσn Nacional de Policνa y Participaciσn Ciudadana estarα integrada por:</w:t>
      </w:r>
    </w:p>
    <w:p>
      <w:pPr>
        <w:jc w:val="both"/>
      </w:pPr>
      <w:rPr>
        <w:sz w:val="24"/>
        <w:color w:val="black"/>
      </w:rPr>
    </w:p>
    <w:p>
      <w:pPr>
        <w:jc w:val="both"/>
      </w:pPr>
      <w:r>
        <w:rPr>
          <w:rFonts w:hAnsi="Arial"/>
          <w:rFonts w:ascii="Arial"/>
          <w:sz w:val="24"/>
          <w:color w:val="black"/>
        </w:rPr>
        <w:t xml:space="preserve">- El Ministro de Defensa Nacional.</w:t>
      </w:r>
    </w:p>
    <w:p>
      <w:pPr>
        <w:jc w:val="both"/>
      </w:pPr>
      <w:rPr>
        <w:sz w:val="24"/>
        <w:color w:val="black"/>
      </w:rPr>
    </w:p>
    <w:p>
      <w:pPr>
        <w:jc w:val="both"/>
      </w:pPr>
      <w:r>
        <w:rPr>
          <w:rFonts w:hAnsi="Arial"/>
          <w:rFonts w:ascii="Arial"/>
          <w:sz w:val="24"/>
          <w:color w:val="black"/>
        </w:rPr>
        <w:t xml:space="preserve">- El Ministro o Ministros que designe el Presidente de la Repϊblica segϊn las circunstancias.</w:t>
      </w:r>
    </w:p>
    <w:p>
      <w:pPr>
        <w:jc w:val="both"/>
      </w:pPr>
      <w:rPr>
        <w:sz w:val="24"/>
        <w:color w:val="black"/>
      </w:rPr>
    </w:p>
    <w:p>
      <w:pPr>
        <w:jc w:val="both"/>
      </w:pPr>
      <w:r>
        <w:rPr>
          <w:rFonts w:hAnsi="Arial"/>
          <w:rFonts w:ascii="Arial"/>
          <w:sz w:val="24"/>
          <w:color w:val="black"/>
        </w:rPr>
        <w:t xml:space="preserve">- El Director de la Policνa Nacional.</w:t>
      </w:r>
    </w:p>
    <w:p>
      <w:pPr>
        <w:jc w:val="both"/>
      </w:pPr>
      <w:rPr>
        <w:sz w:val="24"/>
        <w:color w:val="black"/>
      </w:rPr>
    </w:p>
    <w:p>
      <w:pPr>
        <w:jc w:val="both"/>
      </w:pPr>
      <w:r>
        <w:rPr>
          <w:rFonts w:hAnsi="Arial"/>
          <w:rFonts w:ascii="Arial"/>
          <w:sz w:val="24"/>
          <w:color w:val="black"/>
        </w:rPr>
        <w:t xml:space="preserve">- El Subdirector de seguridad ciudadana.</w:t>
      </w:r>
    </w:p>
    <w:p>
      <w:pPr>
        <w:jc w:val="both"/>
      </w:pPr>
      <w:rPr>
        <w:sz w:val="24"/>
        <w:color w:val="black"/>
      </w:rPr>
    </w:p>
    <w:p>
      <w:pPr>
        <w:jc w:val="both"/>
      </w:pPr>
      <w:r>
        <w:rPr>
          <w:rFonts w:hAnsi="Arial"/>
          <w:rFonts w:ascii="Arial"/>
          <w:sz w:val="24"/>
          <w:color w:val="black"/>
        </w:rPr>
        <w:t xml:space="preserve">- El Defensor del Pueblo.</w:t>
      </w:r>
    </w:p>
    <w:p>
      <w:pPr>
        <w:jc w:val="both"/>
      </w:pPr>
      <w:rPr>
        <w:sz w:val="24"/>
        <w:color w:val="black"/>
      </w:rPr>
    </w:p>
    <w:p>
      <w:pPr>
        <w:jc w:val="both"/>
      </w:pPr>
      <w:r>
        <w:rPr>
          <w:rFonts w:hAnsi="Arial"/>
          <w:rFonts w:ascii="Arial"/>
          <w:sz w:val="24"/>
          <w:color w:val="black"/>
        </w:rPr>
        <w:t xml:space="preserve">- Un Gobernador Delegado por la Conferencia Nacional de Gobernadores.</w:t>
      </w:r>
    </w:p>
    <w:p>
      <w:pPr>
        <w:jc w:val="both"/>
      </w:pPr>
      <w:rPr>
        <w:sz w:val="24"/>
        <w:color w:val="black"/>
      </w:rPr>
    </w:p>
    <w:p>
      <w:pPr>
        <w:jc w:val="both"/>
      </w:pPr>
      <w:r>
        <w:rPr>
          <w:rFonts w:hAnsi="Arial"/>
          <w:rFonts w:ascii="Arial"/>
          <w:sz w:val="24"/>
          <w:color w:val="black"/>
        </w:rPr>
        <w:t xml:space="preserve">- Un Alcalde Delegado por la Federaciσn Colombiana de Municipios.</w:t>
      </w:r>
    </w:p>
    <w:p>
      <w:pPr>
        <w:jc w:val="both"/>
      </w:pPr>
      <w:rPr>
        <w:sz w:val="24"/>
        <w:color w:val="black"/>
      </w:rPr>
    </w:p>
    <w:p>
      <w:pPr>
        <w:jc w:val="both"/>
      </w:pPr>
      <w:r>
        <w:rPr>
          <w:rFonts w:hAnsi="Arial"/>
          <w:rFonts w:ascii="Arial"/>
          <w:sz w:val="24"/>
          <w:color w:val="black"/>
        </w:rPr>
        <w:t xml:space="preserve">- El Presidente de la Federaciσn de Organismos no gubernamentales.</w:t>
      </w:r>
    </w:p>
    <w:p>
      <w:pPr>
        <w:jc w:val="both"/>
      </w:pPr>
      <w:rPr>
        <w:sz w:val="24"/>
        <w:color w:val="black"/>
      </w:rPr>
    </w:p>
    <w:p>
      <w:pPr>
        <w:jc w:val="both"/>
      </w:pPr>
      <w:r>
        <w:rPr>
          <w:rFonts w:hAnsi="Arial"/>
          <w:rFonts w:ascii="Arial"/>
          <w:sz w:val="24"/>
          <w:color w:val="black"/>
        </w:rPr>
        <w:t xml:space="preserve">- Un representante de los medios de Comunicaciσn Social.</w:t>
      </w:r>
    </w:p>
    <w:p>
      <w:pPr>
        <w:jc w:val="both"/>
      </w:pPr>
      <w:rPr>
        <w:sz w:val="24"/>
        <w:color w:val="black"/>
      </w:rPr>
    </w:p>
    <w:p>
      <w:pPr>
        <w:jc w:val="both"/>
      </w:pPr>
      <w:r>
        <w:rPr>
          <w:rFonts w:hAnsi="Arial"/>
          <w:rFonts w:ascii="Arial"/>
          <w:sz w:val="24"/>
          <w:color w:val="black"/>
        </w:rPr>
        <w:t xml:space="preserve">- Un representante del sector sindical.</w:t>
      </w:r>
    </w:p>
    <w:p>
      <w:pPr>
        <w:jc w:val="both"/>
      </w:pPr>
      <w:rPr>
        <w:sz w:val="24"/>
        <w:color w:val="black"/>
      </w:rPr>
    </w:p>
    <w:p>
      <w:pPr>
        <w:jc w:val="both"/>
      </w:pPr>
      <w:r>
        <w:rPr>
          <w:rFonts w:hAnsi="Arial"/>
          <w:rFonts w:ascii="Arial"/>
          <w:sz w:val="24"/>
          <w:color w:val="black"/>
        </w:rPr>
        <w:t xml:space="preserve">- Un representante gremial por cada sector asν: del comercio, de la producciσn industrial y agropecuaria y de los servicios y transporte.</w:t>
      </w:r>
    </w:p>
    <w:p>
      <w:pPr>
        <w:jc w:val="both"/>
      </w:pPr>
      <w:rPr>
        <w:sz w:val="24"/>
        <w:color w:val="black"/>
      </w:rPr>
    </w:p>
    <w:p>
      <w:pPr>
        <w:jc w:val="both"/>
      </w:pPr>
      <w:r>
        <w:rPr>
          <w:rFonts w:hAnsi="Arial"/>
          <w:rFonts w:ascii="Arial"/>
          <w:sz w:val="24"/>
          <w:color w:val="black"/>
        </w:rPr>
        <w:t xml:space="preserve">- Un representante del campesinado designado por las respectivas organizaciones.</w:t>
      </w:r>
    </w:p>
    <w:p>
      <w:pPr>
        <w:jc w:val="both"/>
      </w:pPr>
      <w:rPr>
        <w:sz w:val="24"/>
        <w:color w:val="black"/>
      </w:rPr>
    </w:p>
    <w:p>
      <w:pPr>
        <w:jc w:val="both"/>
      </w:pPr>
      <w:r>
        <w:rPr>
          <w:rFonts w:hAnsi="Arial"/>
          <w:rFonts w:ascii="Arial"/>
          <w:sz w:val="24"/>
          <w:color w:val="black"/>
        </w:rPr>
        <w:t xml:space="preserve">- Un representante de las comunidades indνgenas designado por las respectivas organizaciones.</w:t>
      </w:r>
    </w:p>
    <w:p>
      <w:pPr>
        <w:jc w:val="both"/>
      </w:pPr>
      <w:rPr>
        <w:sz w:val="24"/>
        <w:color w:val="black"/>
      </w:rPr>
    </w:p>
    <w:p>
      <w:pPr>
        <w:jc w:val="both"/>
      </w:pPr>
      <w:r>
        <w:rPr>
          <w:rFonts w:hAnsi="Arial"/>
          <w:rFonts w:ascii="Arial"/>
          <w:sz w:val="24"/>
          <w:color w:val="black"/>
        </w:rPr>
        <w:t xml:space="preserve">- Un representante de las comunidades negras designado por las respectivas organizaciones.</w:t>
      </w:r>
    </w:p>
    <w:p>
      <w:pPr>
        <w:jc w:val="both"/>
      </w:pPr>
      <w:rPr>
        <w:sz w:val="24"/>
        <w:color w:val="black"/>
      </w:rPr>
    </w:p>
    <w:p>
      <w:pPr>
        <w:jc w:val="both"/>
      </w:pPr>
      <w:r>
        <w:rPr>
          <w:rFonts w:hAnsi="Arial"/>
          <w:rFonts w:ascii="Arial"/>
          <w:sz w:val="24"/>
          <w:color w:val="black"/>
        </w:rPr>
        <w:t xml:space="preserve">- Un representante que designe el movimiento comunal.</w:t>
      </w:r>
    </w:p>
    <w:p>
      <w:pPr>
        <w:jc w:val="both"/>
      </w:pPr>
      <w:rPr>
        <w:sz w:val="24"/>
        <w:color w:val="black"/>
      </w:rPr>
    </w:p>
    <w:p>
      <w:pPr>
        <w:jc w:val="both"/>
      </w:pPr>
      <w:r>
        <w:rPr>
          <w:rFonts w:hAnsi="Arial"/>
          <w:rFonts w:ascii="Arial"/>
          <w:sz w:val="24"/>
          <w:color w:val="black"/>
        </w:rPr>
        <w:t xml:space="preserve">- Un representante de las universidades.</w:t>
      </w:r>
    </w:p>
    <w:p>
      <w:pPr>
        <w:jc w:val="both"/>
      </w:pPr>
      <w:rPr>
        <w:sz w:val="24"/>
        <w:color w:val="black"/>
      </w:rPr>
    </w:p>
    <w:p>
      <w:pPr>
        <w:jc w:val="both"/>
      </w:pPr>
      <w:r>
        <w:rPr>
          <w:rFonts w:hAnsi="Arial"/>
          <w:rFonts w:ascii="Arial"/>
          <w:sz w:val="24"/>
          <w:color w:val="black"/>
        </w:rPr>
        <w:t xml:space="preserve">- Un representante de los movimientos juveniles.</w:t>
      </w:r>
    </w:p>
    <w:p>
      <w:pPr>
        <w:jc w:val="both"/>
      </w:pPr>
      <w:rPr>
        <w:sz w:val="24"/>
        <w:color w:val="black"/>
      </w:rPr>
    </w:p>
    <w:p>
      <w:pPr>
        <w:jc w:val="both"/>
      </w:pPr>
      <w:r>
        <w:rPr>
          <w:rFonts w:hAnsi="Arial"/>
          <w:rFonts w:ascii="Arial"/>
          <w:sz w:val="24"/>
          <w:color w:val="black"/>
        </w:rPr>
        <w:t xml:space="preserve">- Un representante de las organizaciones femeninas.</w:t>
      </w:r>
    </w:p>
    <w:p>
      <w:pPr>
        <w:jc w:val="both"/>
      </w:pPr>
      <w:rPr>
        <w:sz w:val="24"/>
        <w:color w:val="black"/>
      </w:rPr>
    </w:p>
    <w:p>
      <w:pPr>
        <w:jc w:val="both"/>
      </w:pPr>
      <w:r>
        <w:rPr>
          <w:rFonts w:hAnsi="Arial"/>
          <w:rFonts w:ascii="Arial"/>
          <w:sz w:val="24"/>
          <w:color w:val="black"/>
        </w:rPr>
        <w:t xml:space="preserve">- Un representante de las organizaciones de derechos humanos.</w:t>
      </w:r>
    </w:p>
    <w:p>
      <w:pPr>
        <w:jc w:val="both"/>
      </w:pPr>
      <w:rPr>
        <w:sz w:val="24"/>
        <w:color w:val="black"/>
      </w:rPr>
    </w:p>
    <w:p>
      <w:pPr>
        <w:jc w:val="both"/>
      </w:pPr>
      <w:r>
        <w:rPr>
          <w:rFonts w:hAnsi="Arial"/>
          <w:rFonts w:ascii="Arial"/>
          <w:sz w:val="24"/>
          <w:color w:val="black"/>
        </w:rPr>
        <w:t xml:space="preserve">- Un representante de las organizaciones de educadores.</w:t>
      </w:r>
    </w:p>
    <w:p>
      <w:pPr>
        <w:jc w:val="both"/>
      </w:pPr>
      <w:rPr>
        <w:sz w:val="24"/>
        <w:color w:val="black"/>
      </w:rPr>
    </w:p>
    <w:p>
      <w:pPr>
        <w:jc w:val="both"/>
      </w:pPr>
      <w:r>
        <w:rPr>
          <w:rFonts w:hAnsi="Arial"/>
          <w:rFonts w:ascii="Arial"/>
          <w:sz w:val="24"/>
          <w:color w:val="black"/>
        </w:rPr>
        <w:t xml:space="preserve">- Un representante de las agremiaciones de retirados de la policνa.</w:t>
      </w:r>
    </w:p>
    <w:p>
      <w:pPr>
        <w:jc w:val="both"/>
      </w:pPr>
      <w:rPr>
        <w:sz w:val="24"/>
        <w:color w:val="black"/>
      </w:rPr>
    </w:p>
    <w:p>
      <w:pPr>
        <w:jc w:val="both"/>
      </w:pPr>
      <w:r>
        <w:rPr>
          <w:rFonts w:hAnsi="Arial"/>
          <w:rFonts w:ascii="Arial"/>
          <w:sz w:val="24"/>
          <w:color w:val="black"/>
        </w:rPr>
        <w:t xml:space="preserve">- Un representante de las organizaciones de la tercera edad.</w:t>
      </w:r>
    </w:p>
    <w:p>
      <w:pPr>
        <w:jc w:val="both"/>
      </w:pPr>
      <w:rPr>
        <w:sz w:val="24"/>
        <w:color w:val="black"/>
      </w:rPr>
    </w:p>
    <w:p>
      <w:pPr>
        <w:jc w:val="both"/>
      </w:pPr>
      <w:r>
        <w:rPr>
          <w:rFonts w:hAnsi="Arial"/>
          <w:rFonts w:ascii="Arial"/>
          <w:sz w:val="24"/>
          <w:color w:val="black"/>
        </w:rPr>
        <w:t xml:space="preserve">- Un representante de los limitados fνsicos.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Ministro de Defensa Nacional presidirα la Comisiσn Nacional.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Secretarνa Ejecutiva de la Comisiσn Nacional estarα a cargo del Subdirector de Seguridad Ciudadana de la Policνa Nacional.</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El Gobierno Nacional podrα invitar a las reuniones de la Comisiσn Nacional a otros sectores de la comunidad, profesionales, asesores y otros funcionarios pϊblicos cuya intervenciσn sea ϊtil para el cumplimiento de las funciones que le corresponden a la Comisiσn.</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54" w:name="2.5.4.1.2"/>
      <w:r>
        <w:rPr>
          <w:rFonts w:hAnsi="Arial"/>
          <w:rFonts w:ascii="Arial"/>
          <w:sz w:val="24"/>
          <w:color w:val="navy"/>
        </w:rPr>
        <w:t xml:space="preserve">ARTΝCULO 2.5.4.1.2. </w:t>
      </w:r>
      <w:r>
        <w:rPr>
          <w:rFonts w:hAnsi="Arial"/>
          <w:rFonts w:ascii="Arial"/>
          <w:sz w:val="24"/>
          <w:i/>
          <w:color w:val="navy"/>
        </w:rPr>
        <w:t xml:space="preserve">FUNCIONES DE LA COMISIΣN NACIONAL DE POLICΝA Y PARTICIPACIΣN CIUDADANA.</w:t>
      </w:r>
      <w:bookmarkEnd w:id="61754"/>
      <w:r>
        <w:rPr>
          <w:rFonts w:hAnsi="Arial"/>
          <w:rFonts w:ascii="Arial"/>
          <w:sz w:val="24"/>
          <w:b/>
          <w:i/>
          <w:color w:val="black"/>
        </w:rPr>
        <w:t xml:space="preserve"> </w:t>
      </w:r>
      <w:r>
        <w:rPr>
          <w:rFonts w:hAnsi="Arial"/>
          <w:rFonts w:ascii="Arial"/>
          <w:sz w:val="24"/>
          <w:color w:val="black"/>
        </w:rPr>
        <w:t xml:space="preserve">Son funciones de la Comisiσn Nacional de Policνa y Participaciσn Ciudadana:</w:t>
      </w:r>
    </w:p>
    <w:p>
      <w:pPr>
        <w:jc w:val="both"/>
      </w:pPr>
      <w:rPr>
        <w:sz w:val="24"/>
        <w:color w:val="black"/>
      </w:rPr>
    </w:p>
    <w:p>
      <w:pPr>
        <w:jc w:val="both"/>
      </w:pPr>
      <w:r>
        <w:rPr>
          <w:rFonts w:hAnsi="Arial"/>
          <w:rFonts w:ascii="Arial"/>
          <w:sz w:val="24"/>
          <w:color w:val="black"/>
        </w:rPr>
        <w:t xml:space="preserve">1. Proponer polνticas para fortalecer la acciσn preventiva de la Policνa Nacional frente a la sociedad, asν como prevenir la comisiσn de faltas y delitos por parte de miembros de la Instituciσn.</w:t>
      </w:r>
    </w:p>
    <w:p>
      <w:pPr>
        <w:jc w:val="both"/>
      </w:pPr>
      <w:rPr>
        <w:sz w:val="24"/>
        <w:color w:val="black"/>
      </w:rPr>
    </w:p>
    <w:p>
      <w:pPr>
        <w:jc w:val="both"/>
      </w:pPr>
      <w:r>
        <w:rPr>
          <w:rFonts w:hAnsi="Arial"/>
          <w:rFonts w:ascii="Arial"/>
          <w:sz w:val="24"/>
          <w:color w:val="black"/>
        </w:rPr>
        <w:t xml:space="preserve">2. Proponer polνticas y mecanismos tendientes a determinar en forma prioritaria una orientaciσn ιtica, civilista, democrαtica, educativa y social en la relaciσn Comunidad- Policνa.</w:t>
      </w:r>
    </w:p>
    <w:p>
      <w:pPr>
        <w:jc w:val="both"/>
      </w:pPr>
      <w:rPr>
        <w:sz w:val="24"/>
        <w:color w:val="black"/>
      </w:rPr>
    </w:p>
    <w:p>
      <w:pPr>
        <w:jc w:val="both"/>
      </w:pPr>
      <w:r>
        <w:rPr>
          <w:rFonts w:hAnsi="Arial"/>
          <w:rFonts w:ascii="Arial"/>
          <w:sz w:val="24"/>
          <w:color w:val="black"/>
        </w:rPr>
        <w:t xml:space="preserve">3. Supervisar la conformaciσn y actividad de las Comisiones Departamentales, del Distrito Capital, de Ciudades Capitales, Municipales y Locales, a que se refiere este Tνtulo. El Gobierno Nacional podrα suspender o disolver en cualquier momento tales Comisiones por razones de orden pϊblico o cuando circunstancias especiales asν lo ameriten.</w:t>
      </w:r>
    </w:p>
    <w:p>
      <w:pPr>
        <w:jc w:val="both"/>
      </w:pPr>
      <w:rPr>
        <w:sz w:val="24"/>
        <w:color w:val="black"/>
      </w:rPr>
    </w:p>
    <w:p>
      <w:pPr>
        <w:jc w:val="both"/>
      </w:pPr>
      <w:r>
        <w:rPr>
          <w:rFonts w:hAnsi="Arial"/>
          <w:rFonts w:ascii="Arial"/>
          <w:sz w:val="24"/>
          <w:color w:val="black"/>
        </w:rPr>
        <w:t xml:space="preserve">4. Promover la participaciσn ciudadana en los asuntos de Policνa en los niveles Nacional, Departamental y Municipal.</w:t>
      </w:r>
    </w:p>
    <w:p>
      <w:pPr>
        <w:jc w:val="both"/>
      </w:pPr>
      <w:rPr>
        <w:sz w:val="24"/>
        <w:color w:val="black"/>
      </w:rPr>
    </w:p>
    <w:p>
      <w:pPr>
        <w:jc w:val="both"/>
      </w:pPr>
      <w:r>
        <w:rPr>
          <w:rFonts w:hAnsi="Arial"/>
          <w:rFonts w:ascii="Arial"/>
          <w:sz w:val="24"/>
          <w:color w:val="black"/>
        </w:rPr>
        <w:t xml:space="preserve">5. Recomendar el diseρo de mecanismos, planes y programas para asegurar el compromiso de la Comunidad con la Policνa.</w:t>
      </w:r>
    </w:p>
    <w:p>
      <w:pPr>
        <w:jc w:val="both"/>
      </w:pPr>
      <w:rPr>
        <w:sz w:val="24"/>
        <w:color w:val="black"/>
      </w:rPr>
    </w:p>
    <w:p>
      <w:pPr>
        <w:jc w:val="both"/>
      </w:pPr>
      <w:r>
        <w:rPr>
          <w:rFonts w:hAnsi="Arial"/>
          <w:rFonts w:ascii="Arial"/>
          <w:sz w:val="24"/>
          <w:color w:val="black"/>
        </w:rPr>
        <w:t xml:space="preserve">6. Canalizar a travιs de todo el Sistema Nacional de Participaciσn Ciudadana las quejas y reclamos de personas naturales y jurνdicas y de las autoridades polνtico administrativas ante el Inspector General de la Policνa Nacional.</w:t>
      </w:r>
    </w:p>
    <w:p>
      <w:pPr>
        <w:jc w:val="both"/>
      </w:pPr>
      <w:rPr>
        <w:sz w:val="24"/>
        <w:color w:val="black"/>
      </w:rPr>
    </w:p>
    <w:p>
      <w:pPr>
        <w:jc w:val="both"/>
      </w:pPr>
      <w:r>
        <w:rPr>
          <w:rFonts w:hAnsi="Arial"/>
          <w:rFonts w:ascii="Arial"/>
          <w:sz w:val="24"/>
          <w:color w:val="black"/>
        </w:rPr>
        <w:t xml:space="preserve">7. Proponer y coordinar con la Defensorνa del Pueblo el desarrollo de programas educativos en la Policνa y la comunidad sobre derechos humanos.</w:t>
      </w:r>
    </w:p>
    <w:p>
      <w:pPr>
        <w:jc w:val="both"/>
      </w:pPr>
      <w:rPr>
        <w:sz w:val="24"/>
        <w:color w:val="black"/>
      </w:rPr>
    </w:p>
    <w:p>
      <w:pPr>
        <w:jc w:val="both"/>
      </w:pPr>
      <w:r>
        <w:rPr>
          <w:rFonts w:hAnsi="Arial"/>
          <w:rFonts w:ascii="Arial"/>
          <w:sz w:val="24"/>
          <w:color w:val="black"/>
        </w:rPr>
        <w:t xml:space="preserve">8. Recomendar programas de desarrollo, salud, vivienda, educaciσn y bienestar del personal de la Instituciσn.</w:t>
      </w:r>
    </w:p>
    <w:p>
      <w:pPr>
        <w:jc w:val="both"/>
      </w:pPr>
      <w:rPr>
        <w:sz w:val="24"/>
        <w:color w:val="black"/>
      </w:rPr>
    </w:p>
    <w:p>
      <w:pPr>
        <w:jc w:val="both"/>
      </w:pPr>
      <w:r>
        <w:rPr>
          <w:rFonts w:hAnsi="Arial"/>
          <w:rFonts w:ascii="Arial"/>
          <w:sz w:val="24"/>
          <w:color w:val="black"/>
        </w:rPr>
        <w:t xml:space="preserve">9. Propender porque el personal de agentes de la Policνa Nacional preste el servicio en sus regiones de origen.</w:t>
      </w:r>
    </w:p>
    <w:p>
      <w:pPr>
        <w:jc w:val="both"/>
      </w:pPr>
      <w:rPr>
        <w:sz w:val="24"/>
        <w:color w:val="black"/>
      </w:rPr>
    </w:p>
    <w:p>
      <w:pPr>
        <w:jc w:val="both"/>
      </w:pPr>
      <w:r>
        <w:rPr>
          <w:rFonts w:hAnsi="Arial"/>
          <w:rFonts w:ascii="Arial"/>
          <w:sz w:val="24"/>
          <w:color w:val="black"/>
        </w:rPr>
        <w:t xml:space="preserve">10. Recomendar polνticas que garanticen el manejo transparente, eficiente y oportuno de la informaciσn que recopila y maneja la Policνa en αreas de interιs pϊblico.</w:t>
      </w:r>
    </w:p>
    <w:p>
      <w:pPr>
        <w:jc w:val="both"/>
      </w:pPr>
      <w:rPr>
        <w:sz w:val="24"/>
        <w:color w:val="black"/>
      </w:rPr>
    </w:p>
    <w:p>
      <w:pPr>
        <w:jc w:val="both"/>
      </w:pPr>
      <w:r>
        <w:rPr>
          <w:rFonts w:hAnsi="Arial"/>
          <w:rFonts w:ascii="Arial"/>
          <w:sz w:val="24"/>
          <w:color w:val="black"/>
        </w:rPr>
        <w:t xml:space="preserve">11. Estimular la organizaciσn, solidaridad y participaciσn de la comunidad en la prevenciσn de delitos y contravenciones.</w:t>
      </w:r>
    </w:p>
    <w:p>
      <w:pPr>
        <w:jc w:val="both"/>
      </w:pPr>
      <w:rPr>
        <w:sz w:val="24"/>
        <w:color w:val="black"/>
      </w:rPr>
    </w:p>
    <w:p>
      <w:pPr>
        <w:jc w:val="both"/>
      </w:pPr>
      <w:r>
        <w:rPr>
          <w:rFonts w:hAnsi="Arial"/>
          <w:rFonts w:ascii="Arial"/>
          <w:sz w:val="24"/>
          <w:color w:val="black"/>
        </w:rPr>
        <w:t xml:space="preserve">12. Recomendar los mecanismos necesarios para promover el cumplimiento de deberes ciudadanos seρalados en el artνculo </w:t>
      </w:r>
      <w:r>
        <w:fldChar w:fldCharType="begin"/>
      </w:r>
      <w:r>
        <w:instrText>HYPERLINK "http://www.redjurista.com/document.aspx?ajcode=cons_p91&amp;arts=95"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Constituciσn Polνtica.</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55" w:name="2.5.4.1.3"/>
      <w:r>
        <w:rPr>
          <w:rFonts w:hAnsi="Arial"/>
          <w:rFonts w:ascii="Arial"/>
          <w:sz w:val="24"/>
          <w:color w:val="navy"/>
        </w:rPr>
        <w:t xml:space="preserve">ARTΝCULO 2.5.4.1.3. </w:t>
      </w:r>
      <w:r>
        <w:rPr>
          <w:rFonts w:hAnsi="Arial"/>
          <w:rFonts w:ascii="Arial"/>
          <w:sz w:val="24"/>
          <w:i/>
          <w:color w:val="navy"/>
        </w:rPr>
        <w:t>REPRESENTANTES.</w:t>
      </w:r>
      <w:bookmarkEnd w:id="61755"/>
      <w:r>
        <w:rPr>
          <w:rFonts w:hAnsi="Arial"/>
          <w:rFonts w:ascii="Arial"/>
          <w:sz w:val="24"/>
          <w:b/>
          <w:i/>
          <w:color w:val="black"/>
        </w:rPr>
        <w:t xml:space="preserve"> </w:t>
      </w:r>
      <w:r>
        <w:rPr>
          <w:rFonts w:hAnsi="Arial"/>
          <w:rFonts w:ascii="Arial"/>
          <w:sz w:val="24"/>
          <w:color w:val="black"/>
        </w:rPr>
        <w:t xml:space="preserve">Para la designaciσn a la Comisiσn Nacional de Policνa y Participaciσn Ciudadana, cada una de las organizaciones, sectores o gremios seρalados elegirα su representante, en un tιrmino no mayor a quince (15) dνas a partir del 19 de mayo de 1994 (entrada en vigencia del Decreto </w:t>
      </w:r>
      <w:r>
        <w:fldChar w:fldCharType="begin"/>
      </w:r>
      <w:r>
        <w:instrText>HYPERLINK "http://www.redjurista.com/document.aspx?ajcode=d1028_94&amp;arts=INICIO"</w:instrText>
      </w:r>
      <w:r>
        <w:fldChar w:fldCharType="separate"/>
      </w:r>
      <w:r>
        <w:rPr>
          <w:rFonts w:hAnsi="Arial"/>
          <w:rFonts w:ascii="Arial"/>
          <w:sz w:val="24"/>
          <w:u w:val="single"/>
          <w:color w:val="black"/>
        </w:rPr>
        <w:t>1028</w:t>
      </w:r>
      <w:r>
        <w:fldChar w:fldCharType="end"/>
      </w:r>
      <w:r>
        <w:rPr>
          <w:rFonts w:hAnsi="Arial"/>
          <w:rFonts w:ascii="Arial"/>
          <w:sz w:val="24"/>
          <w:u w:val="none"/>
          <w:color w:val="black"/>
        </w:rPr>
        <w:t xml:space="preserve"> de 1994), por un perνodo de dos (2) aρos.</w:t>
      </w:r>
    </w:p>
    <w:p>
      <w:pPr>
        <w:jc w:val="both"/>
      </w:pPr>
      <w:rPr>
        <w:sz w:val="24"/>
        <w:color w:val="black"/>
      </w:rPr>
    </w:p>
    <w:p>
      <w:pPr>
        <w:jc w:val="both"/>
      </w:pPr>
      <w:r>
        <w:rPr>
          <w:rFonts w:hAnsi="Arial"/>
          <w:rFonts w:ascii="Arial"/>
          <w:sz w:val="24"/>
          <w:color w:val="black"/>
        </w:rPr>
        <w:t xml:space="preserve">Los representantes elegidos deberαn acreditar su calidad ante la Secretarνa Ejecutiva de la Comisiσn Nacional con la presentaciσn del acta de la asamblea o reuniσn en que fueron designados, certificada por el Presidente o Secretario de la misma o quienes hagan sus veces. La lista de los representantes debidamente acreditados serα refrendada por el Gobierno Nacional.</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56" w:name="2.5.4.1.4"/>
      <w:r>
        <w:rPr>
          <w:rFonts w:hAnsi="Arial"/>
          <w:rFonts w:ascii="Arial"/>
          <w:sz w:val="24"/>
          <w:color w:val="navy"/>
        </w:rPr>
        <w:t xml:space="preserve">ARTΝCULO 2.5.4.1.4. </w:t>
      </w:r>
      <w:r>
        <w:rPr>
          <w:rFonts w:hAnsi="Arial"/>
          <w:rFonts w:ascii="Arial"/>
          <w:sz w:val="24"/>
          <w:i/>
          <w:color w:val="navy"/>
        </w:rPr>
        <w:t>ASISTENCIA.</w:t>
      </w:r>
      <w:bookmarkEnd w:id="61756"/>
      <w:r>
        <w:rPr>
          <w:rFonts w:hAnsi="Arial"/>
          <w:rFonts w:ascii="Arial"/>
          <w:sz w:val="24"/>
          <w:b/>
          <w:i/>
          <w:color w:val="black"/>
        </w:rPr>
        <w:t xml:space="preserve"> </w:t>
      </w:r>
      <w:r>
        <w:rPr>
          <w:rFonts w:hAnsi="Arial"/>
          <w:rFonts w:ascii="Arial"/>
          <w:sz w:val="24"/>
          <w:color w:val="black"/>
        </w:rPr>
        <w:t xml:space="preserve">La asistencia de los miembros a las sesiones de la Comisiσn Nacional es de carαcter personal e indelegable.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57" w:name="2.5.4.1.5"/>
      <w:r>
        <w:rPr>
          <w:rFonts w:hAnsi="Arial"/>
          <w:rFonts w:ascii="Arial"/>
          <w:sz w:val="24"/>
          <w:color w:val="navy"/>
        </w:rPr>
        <w:t xml:space="preserve">ARTΝCULO 2.5.4.1.5. </w:t>
      </w:r>
      <w:r>
        <w:rPr>
          <w:rFonts w:hAnsi="Arial"/>
          <w:rFonts w:ascii="Arial"/>
          <w:sz w:val="24"/>
          <w:i/>
          <w:color w:val="navy"/>
        </w:rPr>
        <w:t>REUNIONES.</w:t>
      </w:r>
      <w:bookmarkEnd w:id="61757"/>
      <w:r>
        <w:rPr>
          <w:rFonts w:hAnsi="Arial"/>
          <w:rFonts w:ascii="Arial"/>
          <w:sz w:val="24"/>
          <w:b/>
          <w:i/>
          <w:color w:val="black"/>
        </w:rPr>
        <w:t xml:space="preserve"> </w:t>
      </w:r>
      <w:r>
        <w:rPr>
          <w:rFonts w:hAnsi="Arial"/>
          <w:rFonts w:ascii="Arial"/>
          <w:sz w:val="24"/>
          <w:color w:val="black"/>
        </w:rPr>
        <w:t xml:space="preserve">La Comisiσn Nacional de Policνa y Participaciσn Ciudadana se reunirα ordinariamente dos (2) veces al aρo y extraordinariamente cuando la convoque el Gobierno Nacional.</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58" w:name="CAPÍTULO 2.5.4.2"/>
      <w:r>
        <w:rPr>
          <w:rFonts w:hAnsi="Arial"/>
          <w:rFonts w:ascii="Arial"/>
          <w:sz w:val="24"/>
          <w:color w:val="navy"/>
        </w:rPr>
        <w:t xml:space="preserve">CAPΝTULO 2. </w:t>
      </w:r>
    </w:p>
    <w:p>
      <w:pPr>
        <w:jc w:val="center"/>
      </w:pPr>
      <w:r>
        <w:rPr>
          <w:rFonts w:hAnsi="Arial"/>
          <w:rFonts w:ascii="Arial"/>
          <w:sz w:val="24"/>
          <w:color w:val="navy"/>
        </w:rPr>
        <w:t xml:space="preserve">DE LAS COMISIONES DEPARTAMENTALES DE POLICΝA Y PARTICIPACIΣN CIUDADANA.</w:t>
      </w:r>
      <w:bookmarkEnd w:id="6175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59" w:name="2.5.4.2.1"/>
      <w:r>
        <w:rPr>
          <w:rFonts w:hAnsi="Arial"/>
          <w:rFonts w:ascii="Arial"/>
          <w:sz w:val="24"/>
          <w:color w:val="navy"/>
        </w:rPr>
        <w:t xml:space="preserve">ARTΝCULO 2.5.4.2.1. </w:t>
      </w:r>
      <w:r>
        <w:rPr>
          <w:rFonts w:hAnsi="Arial"/>
          <w:rFonts w:ascii="Arial"/>
          <w:sz w:val="24"/>
          <w:i/>
          <w:color w:val="navy"/>
        </w:rPr>
        <w:t>MIEMBROS.</w:t>
      </w:r>
      <w:bookmarkEnd w:id="61759"/>
      <w:r>
        <w:rPr>
          <w:rFonts w:hAnsi="Arial"/>
          <w:rFonts w:ascii="Arial"/>
          <w:sz w:val="24"/>
          <w:b/>
          <w:i/>
          <w:color w:val="black"/>
        </w:rPr>
        <w:t xml:space="preserve"> </w:t>
      </w:r>
      <w:r>
        <w:rPr>
          <w:rFonts w:hAnsi="Arial"/>
          <w:rFonts w:ascii="Arial"/>
          <w:sz w:val="24"/>
          <w:color w:val="black"/>
        </w:rPr>
        <w:t xml:space="preserve">En cada uno de los Departamentos funcionarα una Comisiσn Departamental de Policνa y Participaciσn Ciudadana integrada por los siguientes miembros:</w:t>
      </w:r>
    </w:p>
    <w:p>
      <w:pPr>
        <w:jc w:val="both"/>
      </w:pPr>
      <w:rPr>
        <w:sz w:val="24"/>
        <w:color w:val="black"/>
      </w:rPr>
    </w:p>
    <w:p>
      <w:pPr>
        <w:jc w:val="both"/>
      </w:pPr>
      <w:r>
        <w:rPr>
          <w:rFonts w:hAnsi="Arial"/>
          <w:rFonts w:ascii="Arial"/>
          <w:sz w:val="24"/>
          <w:color w:val="black"/>
        </w:rPr>
        <w:t xml:space="preserve">- El Gobernador del Departamento, quien la presidirα.</w:t>
      </w:r>
    </w:p>
    <w:p>
      <w:pPr>
        <w:jc w:val="both"/>
      </w:pPr>
      <w:rPr>
        <w:sz w:val="24"/>
        <w:color w:val="black"/>
      </w:rPr>
    </w:p>
    <w:p>
      <w:pPr>
        <w:jc w:val="both"/>
      </w:pPr>
      <w:r>
        <w:rPr>
          <w:rFonts w:hAnsi="Arial"/>
          <w:rFonts w:ascii="Arial"/>
          <w:sz w:val="24"/>
          <w:color w:val="black"/>
        </w:rPr>
        <w:t xml:space="preserve">- El Secretario de Gobierno Departamental y los demαs secretarios que designe el Gobernador segϊn las circunstancias.</w:t>
      </w:r>
    </w:p>
    <w:p>
      <w:pPr>
        <w:jc w:val="both"/>
      </w:pPr>
      <w:rPr>
        <w:sz w:val="24"/>
        <w:color w:val="black"/>
      </w:rPr>
    </w:p>
    <w:p>
      <w:pPr>
        <w:jc w:val="both"/>
      </w:pPr>
      <w:r>
        <w:rPr>
          <w:rFonts w:hAnsi="Arial"/>
          <w:rFonts w:ascii="Arial"/>
          <w:sz w:val="24"/>
          <w:color w:val="black"/>
        </w:rPr>
        <w:t xml:space="preserve">- El Comandante del Departamento de Policνa.</w:t>
      </w:r>
    </w:p>
    <w:p>
      <w:pPr>
        <w:jc w:val="both"/>
      </w:pPr>
      <w:rPr>
        <w:sz w:val="24"/>
        <w:color w:val="black"/>
      </w:rPr>
    </w:p>
    <w:p>
      <w:pPr>
        <w:jc w:val="both"/>
      </w:pPr>
      <w:r>
        <w:rPr>
          <w:rFonts w:hAnsi="Arial"/>
          <w:rFonts w:ascii="Arial"/>
          <w:sz w:val="24"/>
          <w:color w:val="black"/>
        </w:rPr>
        <w:t xml:space="preserve">- El representante del Defensor del Pueblo donde lo hubiere.</w:t>
      </w:r>
    </w:p>
    <w:p>
      <w:pPr>
        <w:jc w:val="both"/>
      </w:pPr>
      <w:rPr>
        <w:sz w:val="24"/>
        <w:color w:val="black"/>
      </w:rPr>
    </w:p>
    <w:p>
      <w:pPr>
        <w:jc w:val="both"/>
      </w:pPr>
      <w:r>
        <w:rPr>
          <w:rFonts w:hAnsi="Arial"/>
          <w:rFonts w:ascii="Arial"/>
          <w:sz w:val="24"/>
          <w:color w:val="black"/>
        </w:rPr>
        <w:t xml:space="preserve">- Un diputado designado por la Mesa Directiva de la Asamblea Departamental.</w:t>
      </w:r>
    </w:p>
    <w:p>
      <w:pPr>
        <w:jc w:val="both"/>
      </w:pPr>
      <w:rPr>
        <w:sz w:val="24"/>
        <w:color w:val="black"/>
      </w:rPr>
    </w:p>
    <w:p>
      <w:pPr>
        <w:jc w:val="both"/>
      </w:pPr>
      <w:r>
        <w:rPr>
          <w:rFonts w:hAnsi="Arial"/>
          <w:rFonts w:ascii="Arial"/>
          <w:sz w:val="24"/>
          <w:color w:val="black"/>
        </w:rPr>
        <w:t xml:space="preserve">- Un Alcalde delegado por la Junta de Alcaldes del Departamento.</w:t>
      </w:r>
    </w:p>
    <w:p>
      <w:pPr>
        <w:jc w:val="both"/>
      </w:pPr>
      <w:rPr>
        <w:sz w:val="24"/>
        <w:color w:val="black"/>
      </w:rPr>
    </w:p>
    <w:p>
      <w:pPr>
        <w:jc w:val="both"/>
      </w:pPr>
      <w:r>
        <w:rPr>
          <w:rFonts w:hAnsi="Arial"/>
          <w:rFonts w:ascii="Arial"/>
          <w:sz w:val="24"/>
          <w:color w:val="black"/>
        </w:rPr>
        <w:t xml:space="preserve">- Los representantes gremiales, de organizaciones no gubernamentales y de la comunidad y demαs sectores representativos del Departamento que determine el Gobernador. Cada una de tales organizaciones designarα a su representante.</w:t>
      </w:r>
    </w:p>
    <w:p>
      <w:pPr>
        <w:jc w:val="both"/>
      </w:pPr>
      <w:rPr>
        <w:sz w:val="24"/>
        <w:color w:val="black"/>
      </w:rPr>
    </w:p>
    <w:p>
      <w:pPr>
        <w:jc w:val="both"/>
      </w:pPr>
      <w:r>
        <w:rPr>
          <w:rFonts w:hAnsi="Arial"/>
          <w:rFonts w:ascii="Arial"/>
          <w:sz w:val="24"/>
          <w:color w:val="black"/>
        </w:rPr>
        <w:t xml:space="preserve">- El Comandante Operativo de Seguridad Ciudadana del Departamento de Policνa, quien harα las veces de secretario ejecutivo.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Gobernadores velarαn porque la composiciσn de las Comisiones Departamentales en lo que respecta a los representantes gremiales, de organizaciones no gubernamentales y de la comunidad y demαs sectores representativos de los Departamentos sea similar a la de la Comisiσn Nacional, dependiendo de las circunstancias de sus respectivas jurisdicciones.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Gobernadores podrαn invitar a las reuniones de las Comisiones Departamentales a representantes de otros sectores de la comunidad, profesionales, asesores y otros funcionarios pϊblicos cuya intervenciσn sea ϊtil para el cumplimiento de las funciones que le corresponden a las Comisiones.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60" w:name="2.5.4.2.2"/>
      <w:r>
        <w:rPr>
          <w:rFonts w:hAnsi="Arial"/>
          <w:rFonts w:ascii="Arial"/>
          <w:sz w:val="24"/>
          <w:color w:val="navy"/>
        </w:rPr>
        <w:t xml:space="preserve">ARTΝCULO 2.5.4.2.2. </w:t>
      </w:r>
      <w:r>
        <w:rPr>
          <w:rFonts w:hAnsi="Arial"/>
          <w:rFonts w:ascii="Arial"/>
          <w:sz w:val="24"/>
          <w:i/>
          <w:color w:val="navy"/>
        </w:rPr>
        <w:t>FUNCIONES.</w:t>
      </w:r>
      <w:bookmarkEnd w:id="61760"/>
      <w:r>
        <w:rPr>
          <w:rFonts w:hAnsi="Arial"/>
          <w:rFonts w:ascii="Arial"/>
          <w:sz w:val="24"/>
          <w:b/>
          <w:i/>
          <w:color w:val="black"/>
        </w:rPr>
        <w:t xml:space="preserve"> </w:t>
      </w:r>
      <w:r>
        <w:rPr>
          <w:rFonts w:hAnsi="Arial"/>
          <w:rFonts w:ascii="Arial"/>
          <w:sz w:val="24"/>
          <w:color w:val="black"/>
        </w:rPr>
        <w:t xml:space="preserve">Son funciones de las Comisiones Departamentales de Policνa y Participaciσn Ciudadana:</w:t>
      </w:r>
    </w:p>
    <w:p>
      <w:pPr>
        <w:jc w:val="both"/>
      </w:pPr>
      <w:rPr>
        <w:sz w:val="24"/>
        <w:color w:val="black"/>
      </w:rPr>
    </w:p>
    <w:p>
      <w:pPr>
        <w:jc w:val="both"/>
      </w:pPr>
      <w:r>
        <w:rPr>
          <w:rFonts w:hAnsi="Arial"/>
          <w:rFonts w:ascii="Arial"/>
          <w:sz w:val="24"/>
          <w:color w:val="black"/>
        </w:rPr>
        <w:t xml:space="preserve">1. Proponer polνticas para fortalecer la acciσn preventiva de la Policνa a nivel departamental, asν como prevenir la comisiσn de faltas y delitos por parte de miembros de la Instituciσn.</w:t>
      </w:r>
    </w:p>
    <w:p>
      <w:pPr>
        <w:jc w:val="both"/>
      </w:pPr>
      <w:rPr>
        <w:sz w:val="24"/>
        <w:color w:val="black"/>
      </w:rPr>
    </w:p>
    <w:p>
      <w:pPr>
        <w:jc w:val="both"/>
      </w:pPr>
      <w:r>
        <w:rPr>
          <w:rFonts w:hAnsi="Arial"/>
          <w:rFonts w:ascii="Arial"/>
          <w:sz w:val="24"/>
          <w:color w:val="black"/>
        </w:rPr>
        <w:t xml:space="preserve">2. Proponer polνticas y mecanismos tendientes a determinar en forma prioritaria una orientaciσn ιtica, civilista, democrαtica, educativa y social en la relaciσn Comunidad-Policνa.</w:t>
      </w:r>
    </w:p>
    <w:p>
      <w:pPr>
        <w:jc w:val="both"/>
      </w:pPr>
      <w:rPr>
        <w:sz w:val="24"/>
        <w:color w:val="black"/>
      </w:rPr>
    </w:p>
    <w:p>
      <w:pPr>
        <w:jc w:val="both"/>
      </w:pPr>
      <w:r>
        <w:rPr>
          <w:rFonts w:hAnsi="Arial"/>
          <w:rFonts w:ascii="Arial"/>
          <w:sz w:val="24"/>
          <w:color w:val="black"/>
        </w:rPr>
        <w:t xml:space="preserve">3. Supervisar la conformaciσn y actividad de las Comisiones de Ciudades Capitales, Municipales y Locales, a que se refiere este Tνtulo.</w:t>
      </w:r>
    </w:p>
    <w:p>
      <w:pPr>
        <w:jc w:val="both"/>
      </w:pPr>
      <w:rPr>
        <w:sz w:val="24"/>
        <w:color w:val="black"/>
      </w:rPr>
    </w:p>
    <w:p>
      <w:pPr>
        <w:jc w:val="both"/>
      </w:pPr>
      <w:r>
        <w:rPr>
          <w:rFonts w:hAnsi="Arial"/>
          <w:rFonts w:ascii="Arial"/>
          <w:sz w:val="24"/>
          <w:color w:val="black"/>
        </w:rPr>
        <w:t xml:space="preserve">4. Promover la participaciσn ciudadana en los asuntos de Policνa en los niveles Departamental y Municipal.</w:t>
      </w:r>
    </w:p>
    <w:p>
      <w:pPr>
        <w:jc w:val="both"/>
      </w:pPr>
      <w:rPr>
        <w:sz w:val="24"/>
        <w:color w:val="black"/>
      </w:rPr>
    </w:p>
    <w:p>
      <w:pPr>
        <w:jc w:val="both"/>
      </w:pPr>
      <w:r>
        <w:rPr>
          <w:rFonts w:hAnsi="Arial"/>
          <w:rFonts w:ascii="Arial"/>
          <w:sz w:val="24"/>
          <w:color w:val="black"/>
        </w:rPr>
        <w:t xml:space="preserve">5. Recomendar el diseρo de mecanismos, planes y programas para asegurar el compromiso de la comunidad con la Policνa.</w:t>
      </w:r>
    </w:p>
    <w:p>
      <w:pPr>
        <w:jc w:val="both"/>
      </w:pPr>
      <w:rPr>
        <w:sz w:val="24"/>
        <w:color w:val="black"/>
      </w:rPr>
    </w:p>
    <w:p>
      <w:pPr>
        <w:jc w:val="both"/>
      </w:pPr>
      <w:r>
        <w:rPr>
          <w:rFonts w:hAnsi="Arial"/>
          <w:rFonts w:ascii="Arial"/>
          <w:sz w:val="24"/>
          <w:color w:val="black"/>
        </w:rPr>
        <w:t xml:space="preserve">6. Canalizar las quejas y reclamos de personas naturales y jurνdicas y de las autoridades polνtico-administrativas ante el Inspector General de la Policνa Nacional o su delegado donde lo hubiere.</w:t>
      </w:r>
    </w:p>
    <w:p>
      <w:pPr>
        <w:jc w:val="both"/>
      </w:pPr>
      <w:rPr>
        <w:sz w:val="24"/>
        <w:color w:val="black"/>
      </w:rPr>
    </w:p>
    <w:p>
      <w:pPr>
        <w:jc w:val="both"/>
      </w:pPr>
      <w:r>
        <w:rPr>
          <w:rFonts w:hAnsi="Arial"/>
          <w:rFonts w:ascii="Arial"/>
          <w:sz w:val="24"/>
          <w:color w:val="black"/>
        </w:rPr>
        <w:t xml:space="preserve">7. Proponer y coordinar con la Defensorνa del Pueblo el desarrollo de programas educativos en la Policνa y la comunidad sobre Derechos Humanos.</w:t>
      </w:r>
    </w:p>
    <w:p>
      <w:pPr>
        <w:jc w:val="both"/>
      </w:pPr>
      <w:rPr>
        <w:sz w:val="24"/>
        <w:color w:val="black"/>
      </w:rPr>
    </w:p>
    <w:p>
      <w:pPr>
        <w:jc w:val="both"/>
      </w:pPr>
      <w:r>
        <w:rPr>
          <w:rFonts w:hAnsi="Arial"/>
          <w:rFonts w:ascii="Arial"/>
          <w:sz w:val="24"/>
          <w:color w:val="black"/>
        </w:rPr>
        <w:t xml:space="preserve">8. Recomendar programas de desarrollo, salud, vivienda, educaciσn y bienestar del personal de la Instituciσn.</w:t>
      </w:r>
    </w:p>
    <w:p>
      <w:pPr>
        <w:jc w:val="both"/>
      </w:pPr>
      <w:rPr>
        <w:sz w:val="24"/>
        <w:color w:val="black"/>
      </w:rPr>
    </w:p>
    <w:p>
      <w:pPr>
        <w:jc w:val="both"/>
      </w:pPr>
      <w:r>
        <w:rPr>
          <w:rFonts w:hAnsi="Arial"/>
          <w:rFonts w:ascii="Arial"/>
          <w:sz w:val="24"/>
          <w:color w:val="black"/>
        </w:rPr>
        <w:t xml:space="preserve">9. Propender porque el personal de agentes de la Policνa Nacional preste el servicio en sus regiones de origen.</w:t>
      </w:r>
    </w:p>
    <w:p>
      <w:pPr>
        <w:jc w:val="both"/>
      </w:pPr>
      <w:rPr>
        <w:sz w:val="24"/>
        <w:color w:val="black"/>
      </w:rPr>
    </w:p>
    <w:p>
      <w:pPr>
        <w:jc w:val="both"/>
      </w:pPr>
      <w:r>
        <w:rPr>
          <w:rFonts w:hAnsi="Arial"/>
          <w:rFonts w:ascii="Arial"/>
          <w:sz w:val="24"/>
          <w:color w:val="black"/>
        </w:rPr>
        <w:t xml:space="preserve">10. Recomendar polνticas que garanticen el manejo transparente, eficiente y oportuno de la informaciσn que recopila y maneja la Policνa en αreas de interιs pϊblico.</w:t>
      </w:r>
    </w:p>
    <w:p>
      <w:pPr>
        <w:jc w:val="both"/>
      </w:pPr>
      <w:rPr>
        <w:sz w:val="24"/>
        <w:color w:val="black"/>
      </w:rPr>
    </w:p>
    <w:p>
      <w:pPr>
        <w:jc w:val="both"/>
      </w:pPr>
      <w:r>
        <w:rPr>
          <w:rFonts w:hAnsi="Arial"/>
          <w:rFonts w:ascii="Arial"/>
          <w:sz w:val="24"/>
          <w:color w:val="black"/>
        </w:rPr>
        <w:t xml:space="preserve">11. Estimular la organizaciσn, solidaridad y participaciσn de la comunidad en la prevenciσn de delitos y contravenciones.</w:t>
      </w:r>
    </w:p>
    <w:p>
      <w:pPr>
        <w:jc w:val="both"/>
      </w:pPr>
      <w:rPr>
        <w:sz w:val="24"/>
        <w:color w:val="black"/>
      </w:rPr>
    </w:p>
    <w:p>
      <w:pPr>
        <w:jc w:val="both"/>
      </w:pPr>
      <w:r>
        <w:rPr>
          <w:rFonts w:hAnsi="Arial"/>
          <w:rFonts w:ascii="Arial"/>
          <w:sz w:val="24"/>
          <w:color w:val="black"/>
        </w:rPr>
        <w:t xml:space="preserve">12. Recomendar los mecanismos necesarios para promover el cumplimiento de deberes ciudadanos seρalados en el artνculo </w:t>
      </w:r>
      <w:r>
        <w:fldChar w:fldCharType="begin"/>
      </w:r>
      <w:r>
        <w:instrText>HYPERLINK "http://www.redjurista.com/document.aspx?ajcode=cons_p91&amp;arts=95"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Constituciσn Polνtica.</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61" w:name="2.5.4.2.3"/>
      <w:r>
        <w:rPr>
          <w:rFonts w:hAnsi="Arial"/>
          <w:rFonts w:ascii="Arial"/>
          <w:sz w:val="24"/>
          <w:color w:val="navy"/>
        </w:rPr>
        <w:t xml:space="preserve">ARTΝCULO 2.5.4.2.3. </w:t>
      </w:r>
      <w:r>
        <w:rPr>
          <w:rFonts w:hAnsi="Arial"/>
          <w:rFonts w:ascii="Arial"/>
          <w:sz w:val="24"/>
          <w:i/>
          <w:color w:val="navy"/>
        </w:rPr>
        <w:t>REPRESENTANTES.</w:t>
      </w:r>
      <w:bookmarkEnd w:id="61761"/>
      <w:r>
        <w:rPr>
          <w:rFonts w:hAnsi="Arial"/>
          <w:rFonts w:ascii="Arial"/>
          <w:sz w:val="24"/>
          <w:b/>
          <w:i/>
          <w:color w:val="black"/>
        </w:rPr>
        <w:t xml:space="preserve"> </w:t>
      </w:r>
      <w:r>
        <w:rPr>
          <w:rFonts w:hAnsi="Arial"/>
          <w:rFonts w:ascii="Arial"/>
          <w:sz w:val="24"/>
          <w:color w:val="black"/>
        </w:rPr>
        <w:t xml:space="preserve">Para la designaciσn a las Comisiones Departamentales de Policνa y Participaciσn Ciudadana, cada una de las organizaciones, sectores o gremios seρalados por el Gobernador elegirα su representante, por el tιrmino de dos (2) aρos.</w:t>
      </w:r>
    </w:p>
    <w:p>
      <w:pPr>
        <w:jc w:val="both"/>
      </w:pPr>
      <w:rPr>
        <w:sz w:val="24"/>
        <w:color w:val="black"/>
      </w:rPr>
    </w:p>
    <w:p>
      <w:pPr>
        <w:jc w:val="both"/>
      </w:pPr>
      <w:r>
        <w:rPr>
          <w:rFonts w:hAnsi="Arial"/>
          <w:rFonts w:ascii="Arial"/>
          <w:sz w:val="24"/>
          <w:color w:val="black"/>
        </w:rPr>
        <w:t xml:space="preserve">Los representantes elegidos deberαn acreditar su calidad ante la Secretarνa Ejecutiva de la respectiva Comisiσn Departamental, con la presentaciσn del acta de la asamblea o reuniσn en que fueron designados, certificada por el Presidente o Secretario de la misma o quienes hagan sus veces. La lista de los representantes debidamente acreditados serα oficializada por el Gobierno Departamental.</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62" w:name="2.5.4.2.4"/>
      <w:r>
        <w:rPr>
          <w:rFonts w:hAnsi="Arial"/>
          <w:rFonts w:ascii="Arial"/>
          <w:sz w:val="24"/>
          <w:color w:val="navy"/>
        </w:rPr>
        <w:t xml:space="preserve">ARTΝCULO 2.5.4.2.4. </w:t>
      </w:r>
      <w:r>
        <w:rPr>
          <w:rFonts w:hAnsi="Arial"/>
          <w:rFonts w:ascii="Arial"/>
          <w:sz w:val="24"/>
          <w:i/>
          <w:color w:val="navy"/>
        </w:rPr>
        <w:t>ASISTENCIA.</w:t>
      </w:r>
      <w:bookmarkEnd w:id="61762"/>
      <w:r>
        <w:rPr>
          <w:rFonts w:hAnsi="Arial"/>
          <w:rFonts w:ascii="Arial"/>
          <w:sz w:val="24"/>
          <w:b/>
          <w:i/>
          <w:color w:val="black"/>
        </w:rPr>
        <w:t xml:space="preserve"> </w:t>
      </w:r>
      <w:r>
        <w:rPr>
          <w:rFonts w:hAnsi="Arial"/>
          <w:rFonts w:ascii="Arial"/>
          <w:sz w:val="24"/>
          <w:color w:val="black"/>
        </w:rPr>
        <w:t xml:space="preserve">La asistencia de los miembros a las sesiones de las Comisiones Departamentales de Policνa y Participaciσn Ciudadana es de carαcter personal e indelegable.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63" w:name="2.5.4.2.5"/>
      <w:r>
        <w:rPr>
          <w:rFonts w:hAnsi="Arial"/>
          <w:rFonts w:ascii="Arial"/>
          <w:sz w:val="24"/>
          <w:color w:val="navy"/>
        </w:rPr>
        <w:t xml:space="preserve">ARTΝCULO 2.5.4.2.5. </w:t>
      </w:r>
      <w:r>
        <w:rPr>
          <w:rFonts w:hAnsi="Arial"/>
          <w:rFonts w:ascii="Arial"/>
          <w:sz w:val="24"/>
          <w:i/>
          <w:color w:val="navy"/>
        </w:rPr>
        <w:t>REUNIONES.</w:t>
      </w:r>
      <w:bookmarkEnd w:id="61763"/>
      <w:r>
        <w:rPr>
          <w:rFonts w:hAnsi="Arial"/>
          <w:rFonts w:ascii="Arial"/>
          <w:sz w:val="24"/>
          <w:b/>
          <w:i/>
          <w:color w:val="black"/>
        </w:rPr>
        <w:t xml:space="preserve"> </w:t>
      </w:r>
      <w:r>
        <w:rPr>
          <w:rFonts w:hAnsi="Arial"/>
          <w:rFonts w:ascii="Arial"/>
          <w:sz w:val="24"/>
          <w:color w:val="black"/>
        </w:rPr>
        <w:t xml:space="preserve">Las Comisiones Departamentales de Policνa y Participaciσn Ciudadana se reunirαn ordinariamente dos (2) veces al aρo y extraordinariamente cuando las convoquen los Gobernadores.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764" w:name="CAPÍTULO 2.5.4.3"/>
      <w:r>
        <w:rPr>
          <w:rFonts w:hAnsi="Arial"/>
          <w:rFonts w:ascii="Arial"/>
          <w:sz w:val="24"/>
          <w:color w:val="navy"/>
        </w:rPr>
        <w:t xml:space="preserve">CAPΝTULO 3. </w:t>
      </w:r>
    </w:p>
    <w:p>
      <w:pPr>
        <w:jc w:val="center"/>
      </w:pPr>
      <w:r>
        <w:rPr>
          <w:rFonts w:hAnsi="Arial"/>
          <w:rFonts w:ascii="Arial"/>
          <w:sz w:val="24"/>
          <w:color w:val="navy"/>
        </w:rPr>
        <w:t xml:space="preserve">DE LAS COMISIONES DE POLICΝA Y PARTICIPACIΣN CIUDADANA DEL DISTRITO CAPITAL Y DE LAS CIUDADES CAPITALES.</w:t>
      </w:r>
      <w:bookmarkEnd w:id="6176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65" w:name="2.5.4.3.1"/>
      <w:r>
        <w:rPr>
          <w:rFonts w:hAnsi="Arial"/>
          <w:rFonts w:ascii="Arial"/>
          <w:sz w:val="24"/>
          <w:color w:val="navy"/>
        </w:rPr>
        <w:t xml:space="preserve">ARTΝCULO 2.5.4.3.1. </w:t>
      </w:r>
      <w:r>
        <w:rPr>
          <w:rFonts w:hAnsi="Arial"/>
          <w:rFonts w:ascii="Arial"/>
          <w:sz w:val="24"/>
          <w:i/>
          <w:color w:val="navy"/>
        </w:rPr>
        <w:t>MIEMBROS.</w:t>
      </w:r>
      <w:bookmarkEnd w:id="61765"/>
      <w:r>
        <w:rPr>
          <w:rFonts w:hAnsi="Arial"/>
          <w:rFonts w:ascii="Arial"/>
          <w:sz w:val="24"/>
          <w:b/>
          <w:i/>
          <w:color w:val="black"/>
        </w:rPr>
        <w:t xml:space="preserve"> </w:t>
      </w:r>
      <w:r>
        <w:rPr>
          <w:rFonts w:hAnsi="Arial"/>
          <w:rFonts w:ascii="Arial"/>
          <w:sz w:val="24"/>
          <w:color w:val="black"/>
        </w:rPr>
        <w:t xml:space="preserve">En el Distrito Capital y en cada Ciudad Capital funcionarα una Comisiσn de Policνa y Participaciσn Ciudadana integrada por los siguientes miembros:</w:t>
      </w:r>
    </w:p>
    <w:p>
      <w:pPr>
        <w:jc w:val="both"/>
      </w:pPr>
      <w:rPr>
        <w:sz w:val="24"/>
        <w:color w:val="black"/>
      </w:rPr>
    </w:p>
    <w:p>
      <w:pPr>
        <w:jc w:val="both"/>
      </w:pPr>
      <w:r>
        <w:rPr>
          <w:rFonts w:hAnsi="Arial"/>
          <w:rFonts w:ascii="Arial"/>
          <w:sz w:val="24"/>
          <w:color w:val="black"/>
        </w:rPr>
        <w:t xml:space="preserve">- El Alcalde, quien la presidirα.</w:t>
      </w:r>
    </w:p>
    <w:p>
      <w:pPr>
        <w:jc w:val="both"/>
      </w:pPr>
      <w:rPr>
        <w:sz w:val="24"/>
        <w:color w:val="black"/>
      </w:rPr>
    </w:p>
    <w:p>
      <w:pPr>
        <w:jc w:val="both"/>
      </w:pPr>
      <w:r>
        <w:rPr>
          <w:rFonts w:hAnsi="Arial"/>
          <w:rFonts w:ascii="Arial"/>
          <w:sz w:val="24"/>
          <w:color w:val="black"/>
        </w:rPr>
        <w:t xml:space="preserve">- El Secretario de Gobierno Distrital o Municipal y los demαs secretarios que designe el Alcalde segϊn las circunstancias.</w:t>
      </w:r>
    </w:p>
    <w:p>
      <w:pPr>
        <w:jc w:val="both"/>
      </w:pPr>
      <w:rPr>
        <w:sz w:val="24"/>
        <w:color w:val="black"/>
      </w:rPr>
    </w:p>
    <w:p>
      <w:pPr>
        <w:jc w:val="both"/>
      </w:pPr>
      <w:r>
        <w:rPr>
          <w:rFonts w:hAnsi="Arial"/>
          <w:rFonts w:ascii="Arial"/>
          <w:sz w:val="24"/>
          <w:color w:val="black"/>
        </w:rPr>
        <w:t xml:space="preserve">- El Comandante del Departamento o Metropolitana de Policνa.</w:t>
      </w:r>
    </w:p>
    <w:p>
      <w:pPr>
        <w:jc w:val="both"/>
      </w:pPr>
      <w:rPr>
        <w:sz w:val="24"/>
        <w:color w:val="black"/>
      </w:rPr>
    </w:p>
    <w:p>
      <w:pPr>
        <w:jc w:val="both"/>
      </w:pPr>
      <w:r>
        <w:rPr>
          <w:rFonts w:hAnsi="Arial"/>
          <w:rFonts w:ascii="Arial"/>
          <w:sz w:val="24"/>
          <w:color w:val="black"/>
        </w:rPr>
        <w:t xml:space="preserve">- El representante del Defensor del Pueblo donde lo hubiere.</w:t>
      </w:r>
    </w:p>
    <w:p>
      <w:pPr>
        <w:jc w:val="both"/>
      </w:pPr>
      <w:rPr>
        <w:sz w:val="24"/>
        <w:color w:val="black"/>
      </w:rPr>
    </w:p>
    <w:p>
      <w:pPr>
        <w:jc w:val="both"/>
      </w:pPr>
      <w:r>
        <w:rPr>
          <w:rFonts w:hAnsi="Arial"/>
          <w:rFonts w:ascii="Arial"/>
          <w:sz w:val="24"/>
          <w:color w:val="black"/>
        </w:rPr>
        <w:t xml:space="preserve">- El Personero Distrital o Municipal.</w:t>
      </w:r>
    </w:p>
    <w:p>
      <w:pPr>
        <w:jc w:val="both"/>
      </w:pPr>
      <w:rPr>
        <w:sz w:val="24"/>
        <w:color w:val="black"/>
      </w:rPr>
    </w:p>
    <w:p>
      <w:pPr>
        <w:jc w:val="both"/>
      </w:pPr>
      <w:r>
        <w:rPr>
          <w:rFonts w:hAnsi="Arial"/>
          <w:rFonts w:ascii="Arial"/>
          <w:sz w:val="24"/>
          <w:color w:val="black"/>
        </w:rPr>
        <w:t xml:space="preserve">- Un Concejal designado por la mesa directiva del Concejo Municipal.</w:t>
      </w:r>
    </w:p>
    <w:p>
      <w:pPr>
        <w:jc w:val="both"/>
      </w:pPr>
      <w:rPr>
        <w:sz w:val="24"/>
        <w:color w:val="black"/>
      </w:rPr>
    </w:p>
    <w:p>
      <w:pPr>
        <w:jc w:val="both"/>
      </w:pPr>
      <w:r>
        <w:rPr>
          <w:rFonts w:hAnsi="Arial"/>
          <w:rFonts w:ascii="Arial"/>
          <w:sz w:val="24"/>
          <w:color w:val="black"/>
        </w:rPr>
        <w:t xml:space="preserve">- Un Alcalde Local designado por la Junta de Alcaldes de las localidades de Santafι de Bogotα o quien haga sus veces en las Ciudades Capitales que serα designado por el respectivo Alcalde.</w:t>
      </w:r>
    </w:p>
    <w:p>
      <w:pPr>
        <w:jc w:val="both"/>
      </w:pPr>
      <w:rPr>
        <w:sz w:val="24"/>
        <w:color w:val="black"/>
      </w:rPr>
    </w:p>
    <w:p>
      <w:pPr>
        <w:jc w:val="both"/>
      </w:pPr>
      <w:r>
        <w:rPr>
          <w:rFonts w:hAnsi="Arial"/>
          <w:rFonts w:ascii="Arial"/>
          <w:sz w:val="24"/>
          <w:color w:val="black"/>
        </w:rPr>
        <w:t xml:space="preserve">- Un Presidente de Junta Administradora Local, donde las haya, que serα designado por los Presidentes de las Juntas Administradoras Locales.</w:t>
      </w:r>
    </w:p>
    <w:p>
      <w:pPr>
        <w:jc w:val="both"/>
      </w:pPr>
      <w:rPr>
        <w:sz w:val="24"/>
        <w:color w:val="black"/>
      </w:rPr>
    </w:p>
    <w:p>
      <w:pPr>
        <w:jc w:val="both"/>
      </w:pPr>
      <w:r>
        <w:rPr>
          <w:rFonts w:hAnsi="Arial"/>
          <w:rFonts w:ascii="Arial"/>
          <w:sz w:val="24"/>
          <w:color w:val="black"/>
        </w:rPr>
        <w:t xml:space="preserve">- Los representantes gremiales, de organizaciones no gubernamentales y de la comunidad y demαs sectores representativos del Distrito o de las Ciudades</w:t>
      </w:r>
    </w:p>
    <w:p>
      <w:pPr>
        <w:jc w:val="both"/>
      </w:pPr>
      <w:rPr>
        <w:sz w:val="24"/>
        <w:color w:val="black"/>
      </w:rPr>
    </w:p>
    <w:p>
      <w:pPr>
        <w:jc w:val="both"/>
      </w:pPr>
      <w:r>
        <w:rPr>
          <w:rFonts w:hAnsi="Arial"/>
          <w:rFonts w:ascii="Arial"/>
          <w:sz w:val="24"/>
          <w:color w:val="black"/>
        </w:rPr>
        <w:t xml:space="preserve">Capitales que determine el respectivo Alcalde. Cada una de tales organizaciones designarα a su representante.</w:t>
      </w:r>
    </w:p>
    <w:p>
      <w:pPr>
        <w:jc w:val="both"/>
      </w:pPr>
      <w:rPr>
        <w:sz w:val="24"/>
        <w:color w:val="black"/>
      </w:rPr>
    </w:p>
    <w:p>
      <w:pPr>
        <w:jc w:val="both"/>
      </w:pPr>
      <w:r>
        <w:rPr>
          <w:rFonts w:hAnsi="Arial"/>
          <w:rFonts w:ascii="Arial"/>
          <w:sz w:val="24"/>
          <w:color w:val="black"/>
        </w:rPr>
        <w:t xml:space="preserve">- El Comandante Operativo de Seguridad Ciudadana del Departamento de Policνa, quien harα las veces de Secretario Ejecutivo.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Alcaldes velarαn porque la composiciσn de las Comisiones del Distrito Capital y de las Ciudades Capitales en lo que respecta a los representantes gremiales, de organizaciones no gubernamentales y de la comunidad y demαs sectores representativos de estas jurisdicciones sea similar a la de la Comisiσn Nacional dependiendo de las respectivas circunstancias.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Alcaldes podrαn invitar a las reuniones de las Comisiones del Distrito Capital y de las Ciudades Capitales a representantes de otros sectores de la comunidad, profesionales, asesores y otros funcionarios pϊblicos cuya intervenciσn sea ϊtil para el cumplimiento de las funciones que le corresponden a las Comisiones.</w:t>
      </w:r>
    </w:p>
    <w:p>
      <w:pPr>
        <w:jc w:val="both"/>
      </w:pPr>
      <w:rPr>
        <w:sz w:val="24"/>
        <w:color w:val="black"/>
      </w:rPr>
    </w:p>
    <w:p>
      <w:pPr>
        <w:jc w:val="both"/>
      </w:pPr>
      <w:r>
        <w:rPr>
          <w:rFonts w:hAnsi="Arial"/>
          <w:rFonts w:ascii="Arial"/>
          <w:sz w:val="24"/>
          <w:i/>
          <w:color w:val="black"/>
        </w:rPr>
        <w:t xml:space="preserve"> (Decreto 1028 de 1994 artνculo </w:t>
      </w:r>
      <w:r>
        <w:fldChar w:fldCharType="begin"/>
      </w:r>
      <w:r>
        <w:instrText>HYPERLINK "http://www.redjurista.com/document.aspx?ajcode=d1028_94&amp;arts=12"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66" w:name="2.5.4.3.2"/>
      <w:r>
        <w:rPr>
          <w:rFonts w:hAnsi="Arial"/>
          <w:rFonts w:ascii="Arial"/>
          <w:sz w:val="24"/>
          <w:color w:val="navy"/>
        </w:rPr>
        <w:t xml:space="preserve">ARTΝCULO 2.5.4.3.2. </w:t>
      </w:r>
      <w:r>
        <w:rPr>
          <w:rFonts w:hAnsi="Arial"/>
          <w:rFonts w:ascii="Arial"/>
          <w:sz w:val="24"/>
          <w:i/>
          <w:color w:val="navy"/>
        </w:rPr>
        <w:t>FUNCIONES.</w:t>
      </w:r>
      <w:bookmarkEnd w:id="61766"/>
      <w:r>
        <w:rPr>
          <w:rFonts w:hAnsi="Arial"/>
          <w:rFonts w:ascii="Arial"/>
          <w:sz w:val="24"/>
          <w:b/>
          <w:i/>
          <w:color w:val="black"/>
        </w:rPr>
        <w:t xml:space="preserve"> </w:t>
      </w:r>
      <w:r>
        <w:rPr>
          <w:rFonts w:hAnsi="Arial"/>
          <w:rFonts w:ascii="Arial"/>
          <w:sz w:val="24"/>
          <w:color w:val="black"/>
        </w:rPr>
        <w:t xml:space="preserve">Son funciones de las Comisiones de Policνa y Participaciσn Ciudadana del Distrito Capital y de las Ciudades Capitales:</w:t>
      </w:r>
    </w:p>
    <w:p>
      <w:pPr>
        <w:jc w:val="both"/>
      </w:pPr>
      <w:rPr>
        <w:sz w:val="24"/>
        <w:color w:val="black"/>
      </w:rPr>
    </w:p>
    <w:p>
      <w:pPr>
        <w:jc w:val="both"/>
      </w:pPr>
      <w:r>
        <w:rPr>
          <w:rFonts w:hAnsi="Arial"/>
          <w:rFonts w:ascii="Arial"/>
          <w:sz w:val="24"/>
          <w:color w:val="black"/>
        </w:rPr>
        <w:t xml:space="preserve">1. Proponer polνticas para fortalecer la acciσn preventiva de la Policνa en el Distrito Capital y las Ciudades Capitales, asν como prevenir la comisiσn de faltas y delitos por parte de miembros de la Instituciσn.</w:t>
      </w:r>
    </w:p>
    <w:p>
      <w:pPr>
        <w:jc w:val="both"/>
      </w:pPr>
      <w:rPr>
        <w:sz w:val="24"/>
        <w:color w:val="black"/>
      </w:rPr>
    </w:p>
    <w:p>
      <w:pPr>
        <w:jc w:val="both"/>
      </w:pPr>
      <w:r>
        <w:rPr>
          <w:rFonts w:hAnsi="Arial"/>
          <w:rFonts w:ascii="Arial"/>
          <w:sz w:val="24"/>
          <w:color w:val="black"/>
        </w:rPr>
        <w:t xml:space="preserve">2. Proponer polνticas y mecanismos tendientes a determinar en forma prioritaria una orientaciσn ιtica, civilista, democrαtica, educativa y social en la relaciσn Comunidad- Policνa.</w:t>
      </w:r>
    </w:p>
    <w:p>
      <w:pPr>
        <w:jc w:val="both"/>
      </w:pPr>
      <w:rPr>
        <w:sz w:val="24"/>
        <w:color w:val="black"/>
      </w:rPr>
    </w:p>
    <w:p>
      <w:pPr>
        <w:jc w:val="both"/>
      </w:pPr>
      <w:r>
        <w:rPr>
          <w:rFonts w:hAnsi="Arial"/>
          <w:rFonts w:ascii="Arial"/>
          <w:sz w:val="24"/>
          <w:color w:val="black"/>
        </w:rPr>
        <w:t xml:space="preserve">3. Supervisar la conformaciσn y actividad de las Comisiones Locales a que se refiere este Tνtulo.</w:t>
      </w:r>
    </w:p>
    <w:p>
      <w:pPr>
        <w:jc w:val="both"/>
      </w:pPr>
      <w:rPr>
        <w:sz w:val="24"/>
        <w:color w:val="black"/>
      </w:rPr>
    </w:p>
    <w:p>
      <w:pPr>
        <w:jc w:val="both"/>
      </w:pPr>
      <w:r>
        <w:rPr>
          <w:rFonts w:hAnsi="Arial"/>
          <w:rFonts w:ascii="Arial"/>
          <w:sz w:val="24"/>
          <w:color w:val="black"/>
        </w:rPr>
        <w:t xml:space="preserve">4. Promover la Participaciσn Ciudadana en los asuntos de Policνa a nivel municipal.</w:t>
      </w:r>
    </w:p>
    <w:p>
      <w:pPr>
        <w:jc w:val="both"/>
      </w:pPr>
      <w:rPr>
        <w:sz w:val="24"/>
        <w:color w:val="black"/>
      </w:rPr>
    </w:p>
    <w:p>
      <w:pPr>
        <w:jc w:val="both"/>
      </w:pPr>
      <w:r>
        <w:rPr>
          <w:rFonts w:hAnsi="Arial"/>
          <w:rFonts w:ascii="Arial"/>
          <w:sz w:val="24"/>
          <w:color w:val="black"/>
        </w:rPr>
        <w:t xml:space="preserve">5. Recomendar el diseρo de mecanismos, planes y programas para asegurar el Compromiso de la comunidad con la Policνa.</w:t>
      </w:r>
    </w:p>
    <w:p>
      <w:pPr>
        <w:jc w:val="both"/>
      </w:pPr>
      <w:rPr>
        <w:sz w:val="24"/>
        <w:color w:val="black"/>
      </w:rPr>
    </w:p>
    <w:p>
      <w:pPr>
        <w:jc w:val="both"/>
      </w:pPr>
      <w:r>
        <w:rPr>
          <w:rFonts w:hAnsi="Arial"/>
          <w:rFonts w:ascii="Arial"/>
          <w:sz w:val="24"/>
          <w:color w:val="black"/>
        </w:rPr>
        <w:t xml:space="preserve">6. Canalizar las quejas y reclamos de personas naturales y jurνdicas y de las autoridades polνtico-administrativas ante el Inspector General de la Policνa Nacional o su delegado donde lo hubiere.</w:t>
      </w:r>
    </w:p>
    <w:p>
      <w:pPr>
        <w:jc w:val="both"/>
      </w:pPr>
      <w:rPr>
        <w:sz w:val="24"/>
        <w:color w:val="black"/>
      </w:rPr>
    </w:p>
    <w:p>
      <w:pPr>
        <w:jc w:val="both"/>
      </w:pPr>
      <w:r>
        <w:rPr>
          <w:rFonts w:hAnsi="Arial"/>
          <w:rFonts w:ascii="Arial"/>
          <w:sz w:val="24"/>
          <w:color w:val="black"/>
        </w:rPr>
        <w:t xml:space="preserve">7. Proponer y coordinar con la Defensorνa del Pueblo el desarrollo de programas educativos en la Policνa y la comunidad sobre derechos humanos.</w:t>
      </w:r>
    </w:p>
    <w:p>
      <w:pPr>
        <w:jc w:val="both"/>
      </w:pPr>
      <w:rPr>
        <w:sz w:val="24"/>
        <w:color w:val="black"/>
      </w:rPr>
    </w:p>
    <w:p>
      <w:pPr>
        <w:jc w:val="both"/>
      </w:pPr>
      <w:r>
        <w:rPr>
          <w:rFonts w:hAnsi="Arial"/>
          <w:rFonts w:ascii="Arial"/>
          <w:sz w:val="24"/>
          <w:color w:val="black"/>
        </w:rPr>
        <w:t xml:space="preserve">8. Recomendar programas de desarrollo, salud, vivienda, educaciσn y bienestar del personal de la Instituciσn.</w:t>
      </w:r>
    </w:p>
    <w:p>
      <w:pPr>
        <w:jc w:val="both"/>
      </w:pPr>
      <w:rPr>
        <w:sz w:val="24"/>
        <w:color w:val="black"/>
      </w:rPr>
    </w:p>
    <w:p>
      <w:pPr>
        <w:jc w:val="both"/>
      </w:pPr>
      <w:r>
        <w:rPr>
          <w:rFonts w:hAnsi="Arial"/>
          <w:rFonts w:ascii="Arial"/>
          <w:sz w:val="24"/>
          <w:color w:val="black"/>
        </w:rPr>
        <w:t xml:space="preserve">9. Propender porque el personal de agentes de la Policνa Nacional preste el servicio en sus regiones de origen.</w:t>
      </w:r>
    </w:p>
    <w:p>
      <w:pPr>
        <w:jc w:val="both"/>
      </w:pPr>
      <w:rPr>
        <w:sz w:val="24"/>
        <w:color w:val="black"/>
      </w:rPr>
    </w:p>
    <w:p>
      <w:pPr>
        <w:jc w:val="both"/>
      </w:pPr>
      <w:r>
        <w:rPr>
          <w:rFonts w:hAnsi="Arial"/>
          <w:rFonts w:ascii="Arial"/>
          <w:sz w:val="24"/>
          <w:color w:val="black"/>
        </w:rPr>
        <w:t xml:space="preserve">10. Recomendar polνticas que garanticen el manejo transparente, eficiente y oportuno de la informaciσn que recopila y maneja la Policνa en αreas de interιs pϊblico.</w:t>
      </w:r>
    </w:p>
    <w:p>
      <w:pPr>
        <w:jc w:val="both"/>
      </w:pPr>
      <w:rPr>
        <w:sz w:val="24"/>
        <w:color w:val="black"/>
      </w:rPr>
    </w:p>
    <w:p>
      <w:pPr>
        <w:jc w:val="both"/>
      </w:pPr>
      <w:r>
        <w:rPr>
          <w:rFonts w:hAnsi="Arial"/>
          <w:rFonts w:ascii="Arial"/>
          <w:sz w:val="24"/>
          <w:color w:val="black"/>
        </w:rPr>
        <w:t xml:space="preserve">11. Estimular la organizaciσn, solidaridad y participaciσn de la comunidad en la prevenciσn de delitos y contravenciones.</w:t>
      </w:r>
    </w:p>
    <w:p>
      <w:pPr>
        <w:jc w:val="both"/>
      </w:pPr>
      <w:rPr>
        <w:sz w:val="24"/>
        <w:color w:val="black"/>
      </w:rPr>
    </w:p>
    <w:p>
      <w:pPr>
        <w:jc w:val="both"/>
      </w:pPr>
      <w:r>
        <w:rPr>
          <w:rFonts w:hAnsi="Arial"/>
          <w:rFonts w:ascii="Arial"/>
          <w:sz w:val="24"/>
          <w:color w:val="black"/>
        </w:rPr>
        <w:t xml:space="preserve">12. Recomendar los mecanismos necesarios para promover el cumplimiento de deberes ciudadanos seρalados en el artνculo </w:t>
      </w:r>
      <w:r>
        <w:fldChar w:fldCharType="begin"/>
      </w:r>
      <w:r>
        <w:instrText>HYPERLINK "http://www.redjurista.com/document.aspx?ajcode=cons_p91&amp;arts=95"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Constituciσn Polνtica.</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67" w:name="2.5.4.3.3"/>
      <w:r>
        <w:rPr>
          <w:rFonts w:hAnsi="Arial"/>
          <w:rFonts w:ascii="Arial"/>
          <w:sz w:val="24"/>
          <w:color w:val="navy"/>
        </w:rPr>
        <w:t xml:space="preserve">ARTΝCULO 2.5.4.3.3. </w:t>
      </w:r>
      <w:r>
        <w:rPr>
          <w:rFonts w:hAnsi="Arial"/>
          <w:rFonts w:ascii="Arial"/>
          <w:sz w:val="24"/>
          <w:i/>
          <w:color w:val="navy"/>
        </w:rPr>
        <w:t>REPRESENTANTES.</w:t>
      </w:r>
      <w:bookmarkEnd w:id="61767"/>
      <w:r>
        <w:rPr>
          <w:rFonts w:hAnsi="Arial"/>
          <w:rFonts w:ascii="Arial"/>
          <w:sz w:val="24"/>
          <w:b/>
          <w:i/>
          <w:color w:val="black"/>
        </w:rPr>
        <w:t xml:space="preserve"> </w:t>
      </w:r>
      <w:r>
        <w:rPr>
          <w:rFonts w:hAnsi="Arial"/>
          <w:rFonts w:ascii="Arial"/>
          <w:sz w:val="24"/>
          <w:color w:val="black"/>
        </w:rPr>
        <w:t xml:space="preserve">Para la designaciσn a las Comisiones de Policνa y Participaciσn Ciudadana del Distrito Capital y Ciudades Capitales, cada una de las organizaciones, sectores o gremios seρalados por el respectivo Alcalde elegirα su representante, por el tιrmino de dos (2) aρos.</w:t>
      </w:r>
    </w:p>
    <w:p>
      <w:pPr>
        <w:jc w:val="both"/>
      </w:pPr>
      <w:rPr>
        <w:sz w:val="24"/>
        <w:color w:val="black"/>
      </w:rPr>
    </w:p>
    <w:p>
      <w:pPr>
        <w:jc w:val="both"/>
      </w:pPr>
      <w:r>
        <w:rPr>
          <w:rFonts w:hAnsi="Arial"/>
          <w:rFonts w:ascii="Arial"/>
          <w:sz w:val="24"/>
          <w:color w:val="black"/>
        </w:rPr>
        <w:t xml:space="preserve">Los representantes elegidos deberαn acreditar su calidad ante la Secretarνa Ejecutiva de la respectiva Comisiσn con la presentaciσn del acta de la asamblea o reuniσn en que fueron designados, certificada por el Presidente o Secretario de la misma o quienes hagan sus veces. La lista de los representantes debidamente acreditados serα oficializada por el respectivo Alcalde.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68" w:name="2.5.4.3.4"/>
      <w:r>
        <w:rPr>
          <w:rFonts w:hAnsi="Arial"/>
          <w:rFonts w:ascii="Arial"/>
          <w:sz w:val="24"/>
          <w:color w:val="navy"/>
        </w:rPr>
        <w:t xml:space="preserve">ARTΝCULO 2.5.4.3.4. </w:t>
      </w:r>
      <w:r>
        <w:rPr>
          <w:rFonts w:hAnsi="Arial"/>
          <w:rFonts w:ascii="Arial"/>
          <w:sz w:val="24"/>
          <w:i/>
          <w:color w:val="navy"/>
        </w:rPr>
        <w:t>ASISTENCIA.</w:t>
      </w:r>
      <w:bookmarkEnd w:id="61768"/>
      <w:r>
        <w:rPr>
          <w:rFonts w:hAnsi="Arial"/>
          <w:rFonts w:ascii="Arial"/>
          <w:sz w:val="24"/>
          <w:b/>
          <w:i/>
          <w:color w:val="black"/>
        </w:rPr>
        <w:t xml:space="preserve"> </w:t>
      </w:r>
      <w:r>
        <w:rPr>
          <w:rFonts w:hAnsi="Arial"/>
          <w:rFonts w:ascii="Arial"/>
          <w:sz w:val="24"/>
          <w:color w:val="black"/>
        </w:rPr>
        <w:t xml:space="preserve">La asistencia de los miembros a las sesiones de las Comisiones de Policνa y Participaciσn Ciudadana del Distrito Capital y de Ciudades Capitales es de carαcter personal e indelegable.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69" w:name="2.5.4.3.5"/>
      <w:r>
        <w:rPr>
          <w:rFonts w:hAnsi="Arial"/>
          <w:rFonts w:ascii="Arial"/>
          <w:sz w:val="24"/>
          <w:color w:val="navy"/>
        </w:rPr>
        <w:t xml:space="preserve">ARTΝCULO 2.5.4.3.5. </w:t>
      </w:r>
      <w:r>
        <w:rPr>
          <w:rFonts w:hAnsi="Arial"/>
          <w:rFonts w:ascii="Arial"/>
          <w:sz w:val="24"/>
          <w:i/>
          <w:color w:val="navy"/>
        </w:rPr>
        <w:t>REUNIONES.</w:t>
      </w:r>
      <w:bookmarkEnd w:id="61769"/>
      <w:r>
        <w:rPr>
          <w:rFonts w:hAnsi="Arial"/>
          <w:rFonts w:ascii="Arial"/>
          <w:sz w:val="24"/>
          <w:b/>
          <w:i/>
          <w:color w:val="black"/>
        </w:rPr>
        <w:t xml:space="preserve"> </w:t>
      </w:r>
      <w:r>
        <w:rPr>
          <w:rFonts w:hAnsi="Arial"/>
          <w:rFonts w:ascii="Arial"/>
          <w:sz w:val="24"/>
          <w:color w:val="black"/>
        </w:rPr>
        <w:t xml:space="preserve">Las Comisiones de Policνa y Participaciσn Ciudadana del Distrito Capital y de Ciudades Capitales se reunirαn ordinariamente una (1) vez al mes y extraordinariamente cuando las convoquen los respectivos alcaldes.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770" w:name="CAPÍTULO 2.5.4.4"/>
      <w:r>
        <w:rPr>
          <w:rFonts w:hAnsi="Arial"/>
          <w:rFonts w:ascii="Arial"/>
          <w:sz w:val="24"/>
          <w:color w:val="navy"/>
        </w:rPr>
        <w:t xml:space="preserve">CAPΝTULO 4. </w:t>
      </w:r>
    </w:p>
    <w:p>
      <w:pPr>
        <w:jc w:val="center"/>
      </w:pPr>
      <w:r>
        <w:rPr>
          <w:rFonts w:hAnsi="Arial"/>
          <w:rFonts w:ascii="Arial"/>
          <w:sz w:val="24"/>
          <w:color w:val="navy"/>
        </w:rPr>
        <w:t xml:space="preserve">DE LAS COMISIONES MUNICIPALES DE POLICΝA Y PARTICIPACIΣN CIUDADANA.</w:t>
      </w:r>
      <w:bookmarkEnd w:id="6177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71" w:name="2.5.4.4.1"/>
      <w:r>
        <w:rPr>
          <w:rFonts w:hAnsi="Arial"/>
          <w:rFonts w:ascii="Arial"/>
          <w:sz w:val="24"/>
          <w:color w:val="navy"/>
        </w:rPr>
        <w:t xml:space="preserve">ARTΝCULO 2.5.4.4.1. </w:t>
      </w:r>
      <w:r>
        <w:rPr>
          <w:rFonts w:hAnsi="Arial"/>
          <w:rFonts w:ascii="Arial"/>
          <w:sz w:val="24"/>
          <w:i/>
          <w:color w:val="navy"/>
        </w:rPr>
        <w:t>MIEMBROS.</w:t>
      </w:r>
      <w:bookmarkEnd w:id="61771"/>
      <w:r>
        <w:rPr>
          <w:rFonts w:hAnsi="Arial"/>
          <w:rFonts w:ascii="Arial"/>
          <w:sz w:val="24"/>
          <w:b/>
          <w:i/>
          <w:color w:val="black"/>
        </w:rPr>
        <w:t xml:space="preserve"> </w:t>
      </w:r>
      <w:r>
        <w:rPr>
          <w:rFonts w:hAnsi="Arial"/>
          <w:rFonts w:ascii="Arial"/>
          <w:sz w:val="24"/>
          <w:color w:val="black"/>
        </w:rPr>
        <w:t xml:space="preserve">En cada uno de los Municipios funcionarα una Comisiσn Municipal de Policνa y Participaciσn Ciudadana integrada por los siguientes miembros:</w:t>
      </w:r>
    </w:p>
    <w:p>
      <w:pPr>
        <w:jc w:val="both"/>
      </w:pPr>
      <w:rPr>
        <w:sz w:val="24"/>
        <w:color w:val="black"/>
      </w:rPr>
    </w:p>
    <w:p>
      <w:pPr>
        <w:jc w:val="both"/>
      </w:pPr>
      <w:r>
        <w:rPr>
          <w:rFonts w:hAnsi="Arial"/>
          <w:rFonts w:ascii="Arial"/>
          <w:sz w:val="24"/>
          <w:color w:val="black"/>
        </w:rPr>
        <w:t xml:space="preserve">- El Alcalde, quien la presidirα.</w:t>
      </w:r>
    </w:p>
    <w:p>
      <w:pPr>
        <w:jc w:val="both"/>
      </w:pPr>
      <w:rPr>
        <w:sz w:val="24"/>
        <w:color w:val="black"/>
      </w:rPr>
    </w:p>
    <w:p>
      <w:pPr>
        <w:jc w:val="both"/>
      </w:pPr>
      <w:r>
        <w:rPr>
          <w:rFonts w:hAnsi="Arial"/>
          <w:rFonts w:ascii="Arial"/>
          <w:sz w:val="24"/>
          <w:color w:val="black"/>
        </w:rPr>
        <w:t xml:space="preserve">- El Secretario de Gobierno Municipal y los demαs secretarios que designe el Alcalde segϊn las circunstancias.</w:t>
      </w:r>
    </w:p>
    <w:p>
      <w:pPr>
        <w:jc w:val="both"/>
      </w:pPr>
      <w:rPr>
        <w:sz w:val="24"/>
        <w:color w:val="black"/>
      </w:rPr>
    </w:p>
    <w:p>
      <w:pPr>
        <w:jc w:val="both"/>
      </w:pPr>
      <w:r>
        <w:rPr>
          <w:rFonts w:hAnsi="Arial"/>
          <w:rFonts w:ascii="Arial"/>
          <w:sz w:val="24"/>
          <w:color w:val="black"/>
        </w:rPr>
        <w:t xml:space="preserve">- El Comandante de Estaciσn de Policνa.</w:t>
      </w:r>
    </w:p>
    <w:p>
      <w:pPr>
        <w:jc w:val="both"/>
      </w:pPr>
      <w:rPr>
        <w:sz w:val="24"/>
        <w:color w:val="black"/>
      </w:rPr>
    </w:p>
    <w:p>
      <w:pPr>
        <w:jc w:val="both"/>
      </w:pPr>
      <w:r>
        <w:rPr>
          <w:rFonts w:hAnsi="Arial"/>
          <w:rFonts w:ascii="Arial"/>
          <w:sz w:val="24"/>
          <w:color w:val="black"/>
        </w:rPr>
        <w:t xml:space="preserve">- El Personero Municipal.</w:t>
      </w:r>
    </w:p>
    <w:p>
      <w:pPr>
        <w:jc w:val="both"/>
      </w:pPr>
      <w:rPr>
        <w:sz w:val="24"/>
        <w:color w:val="black"/>
      </w:rPr>
    </w:p>
    <w:p>
      <w:pPr>
        <w:jc w:val="both"/>
      </w:pPr>
      <w:r>
        <w:rPr>
          <w:rFonts w:hAnsi="Arial"/>
          <w:rFonts w:ascii="Arial"/>
          <w:sz w:val="24"/>
          <w:color w:val="black"/>
        </w:rPr>
        <w:t xml:space="preserve">- Un Concejal designado por la mesa directiva del Concejo Municipal.</w:t>
      </w:r>
    </w:p>
    <w:p>
      <w:pPr>
        <w:jc w:val="both"/>
      </w:pPr>
      <w:rPr>
        <w:sz w:val="24"/>
        <w:color w:val="black"/>
      </w:rPr>
    </w:p>
    <w:p>
      <w:pPr>
        <w:jc w:val="both"/>
      </w:pPr>
      <w:r>
        <w:rPr>
          <w:rFonts w:hAnsi="Arial"/>
          <w:rFonts w:ascii="Arial"/>
          <w:sz w:val="24"/>
          <w:color w:val="black"/>
        </w:rPr>
        <w:t xml:space="preserve">- Los representantes gremiales, de organizaciones no gubernamentales y de la comunidad y demαs sectores representativos del Municipio que determine el Alcalde. Cada una de tales organizaciones designarα a su representante.</w:t>
      </w:r>
    </w:p>
    <w:p>
      <w:pPr>
        <w:jc w:val="both"/>
      </w:pPr>
      <w:rPr>
        <w:sz w:val="24"/>
        <w:color w:val="black"/>
      </w:rPr>
    </w:p>
    <w:p>
      <w:pPr>
        <w:jc w:val="both"/>
      </w:pPr>
      <w:r>
        <w:rPr>
          <w:rFonts w:hAnsi="Arial"/>
          <w:rFonts w:ascii="Arial"/>
          <w:sz w:val="24"/>
          <w:color w:val="black"/>
        </w:rPr>
        <w:t xml:space="preserve">- El Subcomandante de la Estaciσn de Policνa, quien harα las veces de secretario ejecutivo.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los Municipios donde haya mαs de una Estaciσn de Policνa, asistirα a las reuniones de las Comisiones el Comandante de Estaciσn que designe el respectivo Comandante de Departamento de Policνa.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Alcaldes velarαn porque la composiciσn de las Comisiones Municipales en lo que respecta a los representantes gremiales, de organizaciones no gubernamentales y de la comunidad y demαs sectores representativos de los municipios sea similar a la de la Comisiσn Nacional dependiendo de las respectivas circunstancias.</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Los Alcaldes podrαn invitar a las reuniones de las Comisiones Municipales a representantes de otros sectores de la comunidad, profesionales, asesores y otros funcionarios pϊblicos cuya intervenciσn sea ϊtil para el cumplimiento de las funciones que le corresponden a las Comisiones.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72" w:name="2.5.4.4.2"/>
      <w:r>
        <w:rPr>
          <w:rFonts w:hAnsi="Arial"/>
          <w:rFonts w:ascii="Arial"/>
          <w:sz w:val="24"/>
          <w:color w:val="navy"/>
        </w:rPr>
        <w:t xml:space="preserve">ARTΝCULO 2.5.4.4.2. </w:t>
      </w:r>
      <w:r>
        <w:rPr>
          <w:rFonts w:hAnsi="Arial"/>
          <w:rFonts w:ascii="Arial"/>
          <w:sz w:val="24"/>
          <w:i/>
          <w:color w:val="navy"/>
        </w:rPr>
        <w:t>FUNCIONES.</w:t>
      </w:r>
      <w:bookmarkEnd w:id="61772"/>
      <w:r>
        <w:rPr>
          <w:rFonts w:hAnsi="Arial"/>
          <w:rFonts w:ascii="Arial"/>
          <w:sz w:val="24"/>
          <w:b/>
          <w:i/>
          <w:color w:val="black"/>
        </w:rPr>
        <w:t xml:space="preserve"> </w:t>
      </w:r>
      <w:r>
        <w:rPr>
          <w:rFonts w:hAnsi="Arial"/>
          <w:rFonts w:ascii="Arial"/>
          <w:sz w:val="24"/>
          <w:color w:val="black"/>
        </w:rPr>
        <w:t xml:space="preserve">Son funciones de las Comisiones Municipales de Policνa y Participaciσn Ciudadana:</w:t>
      </w:r>
    </w:p>
    <w:p>
      <w:pPr>
        <w:jc w:val="both"/>
      </w:pPr>
      <w:rPr>
        <w:sz w:val="24"/>
        <w:color w:val="black"/>
      </w:rPr>
    </w:p>
    <w:p>
      <w:pPr>
        <w:jc w:val="both"/>
      </w:pPr>
      <w:r>
        <w:rPr>
          <w:rFonts w:hAnsi="Arial"/>
          <w:rFonts w:ascii="Arial"/>
          <w:sz w:val="24"/>
          <w:color w:val="black"/>
        </w:rPr>
        <w:t xml:space="preserve">1. Proponer polνticas para fortalecer la acciσn preventiva de la Policνa a nivel municipal, asν como prevenir la comisiσn de faltas y delitos por parte de miembros de la Instituciσn.</w:t>
      </w:r>
    </w:p>
    <w:p>
      <w:pPr>
        <w:jc w:val="both"/>
      </w:pPr>
      <w:rPr>
        <w:sz w:val="24"/>
        <w:color w:val="black"/>
      </w:rPr>
    </w:p>
    <w:p>
      <w:pPr>
        <w:jc w:val="both"/>
      </w:pPr>
      <w:r>
        <w:rPr>
          <w:rFonts w:hAnsi="Arial"/>
          <w:rFonts w:ascii="Arial"/>
          <w:sz w:val="24"/>
          <w:color w:val="black"/>
        </w:rPr>
        <w:t xml:space="preserve">2. Proponer polνticas y mecanismos tendientes a determinar en forma prioritaria una orientaciσn ιtica, civilista, democrαtica, educativa y social en la relaciσn Comunidad- Policνa.</w:t>
      </w:r>
    </w:p>
    <w:p>
      <w:pPr>
        <w:jc w:val="both"/>
      </w:pPr>
      <w:rPr>
        <w:sz w:val="24"/>
        <w:color w:val="black"/>
      </w:rPr>
    </w:p>
    <w:p>
      <w:pPr>
        <w:jc w:val="both"/>
      </w:pPr>
      <w:r>
        <w:rPr>
          <w:rFonts w:hAnsi="Arial"/>
          <w:rFonts w:ascii="Arial"/>
          <w:sz w:val="24"/>
          <w:color w:val="black"/>
        </w:rPr>
        <w:t xml:space="preserve">3. Promover la participaciσn ciudadana en los asuntos de Policνa a nivel municipal.</w:t>
      </w:r>
    </w:p>
    <w:p>
      <w:pPr>
        <w:jc w:val="both"/>
      </w:pPr>
      <w:rPr>
        <w:sz w:val="24"/>
        <w:color w:val="black"/>
      </w:rPr>
    </w:p>
    <w:p>
      <w:pPr>
        <w:jc w:val="both"/>
      </w:pPr>
      <w:r>
        <w:rPr>
          <w:rFonts w:hAnsi="Arial"/>
          <w:rFonts w:ascii="Arial"/>
          <w:sz w:val="24"/>
          <w:color w:val="black"/>
        </w:rPr>
        <w:t xml:space="preserve">4. Recomendar el diseρo de mecanismos, planes y programas para asegurar el compromiso de la comunidad con la Policνa.</w:t>
      </w:r>
    </w:p>
    <w:p>
      <w:pPr>
        <w:jc w:val="both"/>
      </w:pPr>
      <w:rPr>
        <w:sz w:val="24"/>
        <w:color w:val="black"/>
      </w:rPr>
    </w:p>
    <w:p>
      <w:pPr>
        <w:jc w:val="both"/>
      </w:pPr>
      <w:r>
        <w:rPr>
          <w:rFonts w:hAnsi="Arial"/>
          <w:rFonts w:ascii="Arial"/>
          <w:sz w:val="24"/>
          <w:color w:val="black"/>
        </w:rPr>
        <w:t xml:space="preserve">5. Canalizar las quejas y reclamos de personas naturales y jurνdicas y de las autoridades polνtico-administrativas ante el Inspector General de la Policνa Nacional o su delegado donde lo hubiere.</w:t>
      </w:r>
    </w:p>
    <w:p>
      <w:pPr>
        <w:jc w:val="both"/>
      </w:pPr>
      <w:rPr>
        <w:sz w:val="24"/>
        <w:color w:val="black"/>
      </w:rPr>
    </w:p>
    <w:p>
      <w:pPr>
        <w:jc w:val="both"/>
      </w:pPr>
      <w:r>
        <w:rPr>
          <w:rFonts w:hAnsi="Arial"/>
          <w:rFonts w:ascii="Arial"/>
          <w:sz w:val="24"/>
          <w:color w:val="black"/>
        </w:rPr>
        <w:t xml:space="preserve">6. Proponer y coordinar con la Defensorνa del Pueblo el desarrollo de programas educativos en la Policνa y la comunidad sobre Derechos Humanos.</w:t>
      </w:r>
    </w:p>
    <w:p>
      <w:pPr>
        <w:jc w:val="both"/>
      </w:pPr>
      <w:rPr>
        <w:sz w:val="24"/>
        <w:color w:val="black"/>
      </w:rPr>
    </w:p>
    <w:p>
      <w:pPr>
        <w:jc w:val="both"/>
      </w:pPr>
      <w:r>
        <w:rPr>
          <w:rFonts w:hAnsi="Arial"/>
          <w:rFonts w:ascii="Arial"/>
          <w:sz w:val="24"/>
          <w:color w:val="black"/>
        </w:rPr>
        <w:t xml:space="preserve">7. Recomendar programas de desarrollo, salud, vivienda, educaciσn y bienestar del personal de la Instituciσn.</w:t>
      </w:r>
    </w:p>
    <w:p>
      <w:pPr>
        <w:jc w:val="both"/>
      </w:pPr>
      <w:rPr>
        <w:sz w:val="24"/>
        <w:color w:val="black"/>
      </w:rPr>
    </w:p>
    <w:p>
      <w:pPr>
        <w:jc w:val="both"/>
      </w:pPr>
      <w:r>
        <w:rPr>
          <w:rFonts w:hAnsi="Arial"/>
          <w:rFonts w:ascii="Arial"/>
          <w:sz w:val="24"/>
          <w:color w:val="black"/>
        </w:rPr>
        <w:t xml:space="preserve">8. Propender porque el personal de agentes de la Policνa Nacional preste el servicio en sus regiones de origen.</w:t>
      </w:r>
    </w:p>
    <w:p>
      <w:pPr>
        <w:jc w:val="both"/>
      </w:pPr>
      <w:rPr>
        <w:sz w:val="24"/>
        <w:color w:val="black"/>
      </w:rPr>
    </w:p>
    <w:p>
      <w:pPr>
        <w:jc w:val="both"/>
      </w:pPr>
      <w:r>
        <w:rPr>
          <w:rFonts w:hAnsi="Arial"/>
          <w:rFonts w:ascii="Arial"/>
          <w:sz w:val="24"/>
          <w:color w:val="black"/>
        </w:rPr>
        <w:t xml:space="preserve">9. Recomendar polνticas que garanticen el manejo transparente, eficiente y oportuno de la informaciσn que recopila y maneja la Policνa en αreas de interιs pϊblico.</w:t>
      </w:r>
    </w:p>
    <w:p>
      <w:pPr>
        <w:jc w:val="both"/>
      </w:pPr>
      <w:rPr>
        <w:sz w:val="24"/>
        <w:color w:val="black"/>
      </w:rPr>
    </w:p>
    <w:p>
      <w:pPr>
        <w:jc w:val="both"/>
      </w:pPr>
      <w:r>
        <w:rPr>
          <w:rFonts w:hAnsi="Arial"/>
          <w:rFonts w:ascii="Arial"/>
          <w:sz w:val="24"/>
          <w:color w:val="black"/>
        </w:rPr>
        <w:t xml:space="preserve">10. Estimular la organizaciσn, solidaridad y participaciσn de la comunidad en la prevenciσn de delitos y contravenciones.</w:t>
      </w:r>
    </w:p>
    <w:p>
      <w:pPr>
        <w:jc w:val="both"/>
      </w:pPr>
      <w:rPr>
        <w:sz w:val="24"/>
        <w:color w:val="black"/>
      </w:rPr>
    </w:p>
    <w:p>
      <w:pPr>
        <w:jc w:val="both"/>
      </w:pPr>
      <w:r>
        <w:rPr>
          <w:rFonts w:hAnsi="Arial"/>
          <w:rFonts w:ascii="Arial"/>
          <w:sz w:val="24"/>
          <w:color w:val="black"/>
        </w:rPr>
        <w:t xml:space="preserve">11. Recomendar los mecanismos necesarios para promover el cumplimiento de deberes ciudadanos seρalados en el artνculo </w:t>
      </w:r>
      <w:r>
        <w:fldChar w:fldCharType="begin"/>
      </w:r>
      <w:r>
        <w:instrText>HYPERLINK "http://www.redjurista.com/document.aspx?ajcode=cons_p91&amp;arts=95"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Constituciσn Polνtica.</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73" w:name="2.5.4.4.3"/>
      <w:r>
        <w:rPr>
          <w:rFonts w:hAnsi="Arial"/>
          <w:rFonts w:ascii="Arial"/>
          <w:sz w:val="24"/>
          <w:color w:val="navy"/>
        </w:rPr>
        <w:t xml:space="preserve">ARTΝCULO 2.5.4.4.3. </w:t>
      </w:r>
      <w:r>
        <w:rPr>
          <w:rFonts w:hAnsi="Arial"/>
          <w:rFonts w:ascii="Arial"/>
          <w:sz w:val="24"/>
          <w:i/>
          <w:color w:val="navy"/>
        </w:rPr>
        <w:t>SUSPENSIΣN.</w:t>
      </w:r>
      <w:bookmarkEnd w:id="61773"/>
      <w:r>
        <w:rPr>
          <w:rFonts w:hAnsi="Arial"/>
          <w:rFonts w:ascii="Arial"/>
          <w:sz w:val="24"/>
          <w:b/>
          <w:i/>
          <w:color w:val="black"/>
        </w:rPr>
        <w:t xml:space="preserve"> </w:t>
      </w:r>
      <w:r>
        <w:rPr>
          <w:rFonts w:hAnsi="Arial"/>
          <w:rFonts w:ascii="Arial"/>
          <w:sz w:val="24"/>
          <w:color w:val="black"/>
        </w:rPr>
        <w:t xml:space="preserve">Los Alcaldes Municipales podrαn suspender o disolver en cualquier momento las respectivas Comisiones por razones de orden pϊblico o cuando circunstancias especiales asν lo ameriten.</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74" w:name="2.5.4.4.4"/>
      <w:r>
        <w:rPr>
          <w:rFonts w:hAnsi="Arial"/>
          <w:rFonts w:ascii="Arial"/>
          <w:sz w:val="24"/>
          <w:color w:val="navy"/>
        </w:rPr>
        <w:t xml:space="preserve">ARTΝCULO 2.5.4.4.4. </w:t>
      </w:r>
      <w:r>
        <w:rPr>
          <w:rFonts w:hAnsi="Arial"/>
          <w:rFonts w:ascii="Arial"/>
          <w:sz w:val="24"/>
          <w:i/>
          <w:color w:val="navy"/>
        </w:rPr>
        <w:t>REPRESENTANTES.</w:t>
      </w:r>
      <w:bookmarkEnd w:id="61774"/>
      <w:r>
        <w:rPr>
          <w:rFonts w:hAnsi="Arial"/>
          <w:rFonts w:ascii="Arial"/>
          <w:sz w:val="24"/>
          <w:b/>
          <w:i/>
          <w:color w:val="black"/>
        </w:rPr>
        <w:t xml:space="preserve"> </w:t>
      </w:r>
      <w:r>
        <w:rPr>
          <w:rFonts w:hAnsi="Arial"/>
          <w:rFonts w:ascii="Arial"/>
          <w:sz w:val="24"/>
          <w:color w:val="black"/>
        </w:rPr>
        <w:t xml:space="preserve">Para la designaciσn a las Comisiones Municipales de Policνa y Participaciσn Ciudadana, cada una de las organizaciones, sectores o gremios seρalados por el Alcalde elegirα su representante, por el tιrmino de dos (2) aρos.</w:t>
      </w:r>
    </w:p>
    <w:p>
      <w:pPr>
        <w:jc w:val="both"/>
      </w:pPr>
      <w:rPr>
        <w:sz w:val="24"/>
        <w:color w:val="black"/>
      </w:rPr>
    </w:p>
    <w:p>
      <w:pPr>
        <w:jc w:val="both"/>
      </w:pPr>
      <w:r>
        <w:rPr>
          <w:rFonts w:hAnsi="Arial"/>
          <w:rFonts w:ascii="Arial"/>
          <w:sz w:val="24"/>
          <w:color w:val="black"/>
        </w:rPr>
        <w:t xml:space="preserve">Los representantes elegidos deberαn acreditar su calidad ante la Secretarνa Ejecutiva de la respectiva Comisiσn Municipal con la presentaciσn del acta de la asamblea o reuniσn en que fueron designados, certificada por el Presidente o Secretario de la misma o quienes hagan sus veces. La lista de los representantes debidamente acreditados serα oficializada por el respectivo Alcalde.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75" w:name="2.5.4.4.5"/>
      <w:r>
        <w:rPr>
          <w:rFonts w:hAnsi="Arial"/>
          <w:rFonts w:ascii="Arial"/>
          <w:sz w:val="24"/>
          <w:color w:val="navy"/>
        </w:rPr>
        <w:t xml:space="preserve">ARTΝCULO 2.5.4.4.5. ASISTENCIA.</w:t>
      </w:r>
      <w:bookmarkEnd w:id="61775"/>
      <w:r>
        <w:rPr>
          <w:rFonts w:hAnsi="Arial"/>
          <w:rFonts w:ascii="Arial"/>
          <w:sz w:val="24"/>
          <w:b/>
          <w:color w:val="black"/>
        </w:rPr>
        <w:t xml:space="preserve"> </w:t>
      </w:r>
      <w:r>
        <w:rPr>
          <w:rFonts w:hAnsi="Arial"/>
          <w:rFonts w:ascii="Arial"/>
          <w:sz w:val="24"/>
          <w:color w:val="black"/>
        </w:rPr>
        <w:t xml:space="preserve">La asistencia de los miembros a las sesiones de las Comisiones Municipales de Policνa y Participaciσn Ciudadana es de carαcter personal e indelegable.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76" w:name="2.5.4.4.6"/>
      <w:r>
        <w:rPr>
          <w:rFonts w:hAnsi="Arial"/>
          <w:rFonts w:ascii="Arial"/>
          <w:sz w:val="24"/>
          <w:color w:val="navy"/>
        </w:rPr>
        <w:t xml:space="preserve">ARTΝCULO 2.5.4.4.6. </w:t>
      </w:r>
      <w:r>
        <w:rPr>
          <w:rFonts w:hAnsi="Arial"/>
          <w:rFonts w:ascii="Arial"/>
          <w:sz w:val="24"/>
          <w:i/>
          <w:color w:val="navy"/>
        </w:rPr>
        <w:t>REUNIONES.</w:t>
      </w:r>
      <w:bookmarkEnd w:id="61776"/>
      <w:r>
        <w:rPr>
          <w:rFonts w:hAnsi="Arial"/>
          <w:rFonts w:ascii="Arial"/>
          <w:sz w:val="24"/>
          <w:b/>
          <w:i/>
          <w:color w:val="black"/>
        </w:rPr>
        <w:t xml:space="preserve"> </w:t>
      </w:r>
      <w:r>
        <w:rPr>
          <w:rFonts w:hAnsi="Arial"/>
          <w:rFonts w:ascii="Arial"/>
          <w:sz w:val="24"/>
          <w:color w:val="black"/>
        </w:rPr>
        <w:t xml:space="preserve">Las Comisiones Municipales de Policνa y Participaciσn Ciudadana se reunirαn ordinariamente una (1) vez al mes y extraordinariamente cuando las convoquen los respectivos Alcaldes.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777" w:name="CAPÍTULO 2.5.4.5"/>
      <w:r>
        <w:rPr>
          <w:rFonts w:hAnsi="Arial"/>
          <w:rFonts w:ascii="Arial"/>
          <w:sz w:val="24"/>
          <w:color w:val="navy"/>
        </w:rPr>
        <w:t xml:space="preserve">CAPΝTULO 5. </w:t>
      </w:r>
    </w:p>
    <w:p>
      <w:pPr>
        <w:jc w:val="center"/>
      </w:pPr>
      <w:r>
        <w:rPr>
          <w:rFonts w:hAnsi="Arial"/>
          <w:rFonts w:ascii="Arial"/>
          <w:sz w:val="24"/>
          <w:color w:val="navy"/>
        </w:rPr>
        <w:t xml:space="preserve">DE LAS COMISIONES LOCALES DE POLICΝA Y PARTICIPACIΣN CIUDADANA.</w:t>
      </w:r>
      <w:bookmarkEnd w:id="6177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78" w:name="2.5.4.5.1"/>
      <w:r>
        <w:rPr>
          <w:rFonts w:hAnsi="Arial"/>
          <w:rFonts w:ascii="Arial"/>
          <w:sz w:val="24"/>
          <w:color w:val="navy"/>
        </w:rPr>
        <w:t xml:space="preserve">ARTΝCULO 2.5.4.5.1. </w:t>
      </w:r>
      <w:r>
        <w:rPr>
          <w:rFonts w:hAnsi="Arial"/>
          <w:rFonts w:ascii="Arial"/>
          <w:sz w:val="24"/>
          <w:i/>
          <w:color w:val="navy"/>
        </w:rPr>
        <w:t>MIEMBROS.</w:t>
      </w:r>
      <w:bookmarkEnd w:id="61778"/>
      <w:r>
        <w:rPr>
          <w:rFonts w:hAnsi="Arial"/>
          <w:rFonts w:ascii="Arial"/>
          <w:sz w:val="24"/>
          <w:b/>
          <w:i/>
          <w:color w:val="black"/>
        </w:rPr>
        <w:t xml:space="preserve"> </w:t>
      </w:r>
      <w:r>
        <w:rPr>
          <w:rFonts w:hAnsi="Arial"/>
          <w:rFonts w:ascii="Arial"/>
          <w:sz w:val="24"/>
          <w:color w:val="black"/>
        </w:rPr>
        <w:t xml:space="preserve">En el Distrito Capital y las Ciudades Capitales los Alcaldes podrαn autorizar en las localidades que lo requieran y soliciten la conformaciσn de Comisiones Locales que estarαn integradas por:</w:t>
      </w:r>
    </w:p>
    <w:p>
      <w:pPr>
        <w:jc w:val="both"/>
      </w:pPr>
      <w:rPr>
        <w:sz w:val="24"/>
        <w:color w:val="black"/>
      </w:rPr>
    </w:p>
    <w:p>
      <w:pPr>
        <w:jc w:val="both"/>
      </w:pPr>
      <w:r>
        <w:rPr>
          <w:rFonts w:hAnsi="Arial"/>
          <w:rFonts w:ascii="Arial"/>
          <w:sz w:val="24"/>
          <w:color w:val="black"/>
        </w:rPr>
        <w:t xml:space="preserve">- El Alcalde Local o la autoridad que haga sus veces en las Ciudades Capitales, quien la presidirα.</w:t>
      </w:r>
    </w:p>
    <w:p>
      <w:pPr>
        <w:jc w:val="both"/>
      </w:pPr>
      <w:rPr>
        <w:sz w:val="24"/>
        <w:color w:val="black"/>
      </w:rPr>
    </w:p>
    <w:p>
      <w:pPr>
        <w:jc w:val="both"/>
      </w:pPr>
      <w:r>
        <w:rPr>
          <w:rFonts w:hAnsi="Arial"/>
          <w:rFonts w:ascii="Arial"/>
          <w:sz w:val="24"/>
          <w:color w:val="black"/>
        </w:rPr>
        <w:t xml:space="preserve">- El Comandante de la Estaciσn de Policνa correspondiente.</w:t>
      </w:r>
    </w:p>
    <w:p>
      <w:pPr>
        <w:jc w:val="both"/>
      </w:pPr>
      <w:rPr>
        <w:sz w:val="24"/>
        <w:color w:val="black"/>
      </w:rPr>
    </w:p>
    <w:p>
      <w:pPr>
        <w:jc w:val="both"/>
      </w:pPr>
      <w:r>
        <w:rPr>
          <w:rFonts w:hAnsi="Arial"/>
          <w:rFonts w:ascii="Arial"/>
          <w:sz w:val="24"/>
          <w:color w:val="black"/>
        </w:rPr>
        <w:t xml:space="preserve">- Los representantes gremiales, de organizaciones no gubernamentales y de la comunidad y demαs sectores representativos de la localidad que determine el Alcalde Local o la autoridad que haga sus veces en las ciudades capitales. Cada una de tales organizaciones designarα a su representante.</w:t>
      </w:r>
    </w:p>
    <w:p>
      <w:pPr>
        <w:jc w:val="both"/>
      </w:pPr>
      <w:rPr>
        <w:sz w:val="24"/>
        <w:color w:val="black"/>
      </w:rPr>
    </w:p>
    <w:p>
      <w:pPr>
        <w:jc w:val="both"/>
      </w:pPr>
      <w:r>
        <w:rPr>
          <w:rFonts w:hAnsi="Arial"/>
          <w:rFonts w:ascii="Arial"/>
          <w:sz w:val="24"/>
          <w:color w:val="black"/>
        </w:rPr>
        <w:t xml:space="preserve">- El Subcomandante de la Estaciσn de Policνa correspondiente o quien haga sus veces, quien estarα a cargo de la Secretarνa Ejecutiva.</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"http://www.redjurista.com/document.aspx?ajcode=d1028_94&amp;arts=23"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 xml:space="preserve"> del Decreto 1028 de 1994)</w:t>
      </w:r>
    </w:p>
    <w:p>
      <w:pPr>
        <w:jc w:val="both"/>
      </w:pPr>
      <w:rPr>
        <w:sz w:val="24"/>
        <w:color w:val="black"/>
      </w:rPr>
    </w:p>
    <w:p>
      <w:pPr>
        <w:jc w:val="both"/>
      </w:pPr>
      <w:r>
        <w:rPr>
          <w:rFonts w:hAnsi="Arial"/>
          <w:rFonts w:ascii="Arial"/>
          <w:sz w:val="24"/>
          <w:vanish/>
          <w:color w:val="black"/>
        </w:rPr>
        <w:t>&amp;$</w:t>
      </w:r>
      <w:bookmarkStart w:id="61779" w:name="2.5.4.5.2"/>
      <w:r>
        <w:rPr>
          <w:rFonts w:hAnsi="Arial"/>
          <w:rFonts w:ascii="Arial"/>
          <w:sz w:val="24"/>
          <w:color w:val="navy"/>
        </w:rPr>
        <w:t xml:space="preserve">ARTΝCULO 2.5.4.5.2. </w:t>
      </w:r>
      <w:r>
        <w:rPr>
          <w:rFonts w:hAnsi="Arial"/>
          <w:rFonts w:ascii="Arial"/>
          <w:sz w:val="24"/>
          <w:i/>
          <w:color w:val="navy"/>
        </w:rPr>
        <w:t>FUNCIONES.</w:t>
      </w:r>
      <w:bookmarkEnd w:id="61779"/>
      <w:r>
        <w:rPr>
          <w:rFonts w:hAnsi="Arial"/>
          <w:rFonts w:ascii="Arial"/>
          <w:sz w:val="24"/>
          <w:b/>
          <w:i/>
          <w:color w:val="black"/>
        </w:rPr>
        <w:t xml:space="preserve"> </w:t>
      </w:r>
      <w:r>
        <w:rPr>
          <w:rFonts w:hAnsi="Arial"/>
          <w:rFonts w:ascii="Arial"/>
          <w:sz w:val="24"/>
          <w:color w:val="black"/>
        </w:rPr>
        <w:t xml:space="preserve">Las Comisiones Locales tendrαn por funciσn recomendar medidas de policνa tendientes a la prevenciσn de las perturbaciones que atenten contra la seguridad y tranquilidad ciudadana en la respectiva localidad, asν como la identificaciσn de los factores irregulares que impidan el eficaz servicio de policνa.</w:t>
      </w:r>
    </w:p>
    <w:p>
      <w:pPr>
        <w:jc w:val="both"/>
      </w:pPr>
      <w:rPr>
        <w:sz w:val="24"/>
        <w:color w:val="black"/>
      </w:rPr>
    </w:p>
    <w:p>
      <w:pPr>
        <w:jc w:val="both"/>
      </w:pPr>
      <w:r>
        <w:rPr>
          <w:rFonts w:hAnsi="Arial"/>
          <w:rFonts w:ascii="Arial"/>
          <w:sz w:val="24"/>
          <w:i/>
          <w:color w:val="black"/>
        </w:rPr>
        <w:t xml:space="preserve"> (Decreto 1028 de 1994 artνculo </w:t>
      </w:r>
      <w:r>
        <w:fldChar w:fldCharType="begin"/>
      </w:r>
      <w:r>
        <w:instrText>HYPERLINK "http://www.redjurista.com/document.aspx?ajcode=d1028_94&amp;arts=24"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80" w:name="2.5.4.5.3"/>
      <w:r>
        <w:rPr>
          <w:rFonts w:hAnsi="Arial"/>
          <w:rFonts w:ascii="Arial"/>
          <w:sz w:val="24"/>
          <w:color w:val="navy"/>
        </w:rPr>
        <w:t xml:space="preserve">ARTΝCULO 2.5.4.5.3. </w:t>
      </w:r>
      <w:r>
        <w:rPr>
          <w:rFonts w:hAnsi="Arial"/>
          <w:rFonts w:ascii="Arial"/>
          <w:sz w:val="24"/>
          <w:i/>
          <w:color w:val="navy"/>
        </w:rPr>
        <w:t>REPRESENTANTES.</w:t>
      </w:r>
      <w:bookmarkEnd w:id="61780"/>
      <w:r>
        <w:rPr>
          <w:rFonts w:hAnsi="Arial"/>
          <w:rFonts w:ascii="Arial"/>
          <w:sz w:val="24"/>
          <w:b/>
          <w:i/>
          <w:color w:val="black"/>
        </w:rPr>
        <w:t xml:space="preserve"> </w:t>
      </w:r>
      <w:r>
        <w:rPr>
          <w:rFonts w:hAnsi="Arial"/>
          <w:rFonts w:ascii="Arial"/>
          <w:sz w:val="24"/>
          <w:color w:val="black"/>
        </w:rPr>
        <w:t xml:space="preserve">Para la designaciσn a las Comisiones Locales de Policνa y Participaciσn Ciudadana, cada una de las organizaciones, sectores o gremios seρalados por el Alcalde Local o autoridad correspondiente elegirα su representante, por el tιrmino de dos (2) aρos.</w:t>
      </w:r>
    </w:p>
    <w:p>
      <w:pPr>
        <w:jc w:val="both"/>
      </w:pPr>
      <w:rPr>
        <w:sz w:val="24"/>
        <w:color w:val="black"/>
      </w:rPr>
    </w:p>
    <w:p>
      <w:pPr>
        <w:jc w:val="both"/>
      </w:pPr>
      <w:r>
        <w:rPr>
          <w:rFonts w:hAnsi="Arial"/>
          <w:rFonts w:ascii="Arial"/>
          <w:sz w:val="24"/>
          <w:color w:val="black"/>
        </w:rPr>
        <w:t xml:space="preserve">Los representantes elegidos deberαn acreditar su calidad ante la Secretarνa Ejecutiva de la respectiva Comisiσn con la presentaciσn del acta de la asamblea o reuniσn en que fueron designados, certificada por el presidente, o secretario de la misma o quienes hagan sus veces. La lista de los representantes debidamente acreditados serα oficializada por el respectivo Alcalde Local o la autoridad que haga sus veces en las Ciudades Capitales.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81" w:name="2.5.4.5.4"/>
      <w:r>
        <w:rPr>
          <w:rFonts w:hAnsi="Arial"/>
          <w:rFonts w:ascii="Arial"/>
          <w:sz w:val="24"/>
          <w:color w:val="navy"/>
        </w:rPr>
        <w:t xml:space="preserve">ARTΝCULO 2.5.4.5.4. </w:t>
      </w:r>
      <w:r>
        <w:rPr>
          <w:rFonts w:hAnsi="Arial"/>
          <w:rFonts w:ascii="Arial"/>
          <w:sz w:val="24"/>
          <w:i/>
          <w:color w:val="navy"/>
        </w:rPr>
        <w:t>ASISTENCIA.</w:t>
      </w:r>
      <w:bookmarkEnd w:id="61781"/>
      <w:r>
        <w:rPr>
          <w:rFonts w:hAnsi="Arial"/>
          <w:rFonts w:ascii="Arial"/>
          <w:sz w:val="24"/>
          <w:b/>
          <w:i/>
          <w:color w:val="black"/>
        </w:rPr>
        <w:t xml:space="preserve"> </w:t>
      </w:r>
      <w:r>
        <w:rPr>
          <w:rFonts w:hAnsi="Arial"/>
          <w:rFonts w:ascii="Arial"/>
          <w:sz w:val="24"/>
          <w:color w:val="black"/>
        </w:rPr>
        <w:t xml:space="preserve">La asistencia de los miembros a las sesiones de las Comisiones Locales de Policνa y Participaciσn Ciudadana es de carαcter personal e indelegable.</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82" w:name="2.5.4.5.5"/>
      <w:r>
        <w:rPr>
          <w:rFonts w:hAnsi="Arial"/>
          <w:rFonts w:ascii="Arial"/>
          <w:sz w:val="24"/>
          <w:color w:val="navy"/>
        </w:rPr>
        <w:t xml:space="preserve">ARTΝCULO 2.5.4.5.5. </w:t>
      </w:r>
      <w:r>
        <w:rPr>
          <w:rFonts w:hAnsi="Arial"/>
          <w:rFonts w:ascii="Arial"/>
          <w:sz w:val="24"/>
          <w:i/>
          <w:color w:val="navy"/>
        </w:rPr>
        <w:t>REUNIONES.</w:t>
      </w:r>
      <w:bookmarkEnd w:id="61782"/>
      <w:r>
        <w:rPr>
          <w:rFonts w:hAnsi="Arial"/>
          <w:rFonts w:ascii="Arial"/>
          <w:sz w:val="24"/>
          <w:b/>
          <w:i/>
          <w:color w:val="black"/>
        </w:rPr>
        <w:t xml:space="preserve"> </w:t>
      </w:r>
      <w:r>
        <w:rPr>
          <w:rFonts w:hAnsi="Arial"/>
          <w:rFonts w:ascii="Arial"/>
          <w:sz w:val="24"/>
          <w:color w:val="black"/>
        </w:rPr>
        <w:t xml:space="preserve">Las Comisiones Locales de Policνa y Participaciσn Ciudadana se reunirαn ordinariamente una (1) vez al mes y extraordinariamente cuando las convoquen los respectivos alcaldes.</w:t>
      </w:r>
    </w:p>
    <w:p>
      <w:pPr>
        <w:jc w:val="both"/>
      </w:pPr>
      <w:rPr>
        <w:sz w:val="24"/>
        <w:color w:val="black"/>
      </w:rPr>
    </w:p>
    <w:p>
      <w:pPr>
        <w:jc w:val="both"/>
      </w:pPr>
      <w:r>
        <w:rPr>
          <w:rFonts w:hAnsi="Arial"/>
          <w:rFonts w:ascii="Arial"/>
          <w:sz w:val="24"/>
          <w:i/>
          <w:color w:val="black"/>
        </w:rPr>
        <w:t xml:space="preserve">(Decreto 1028 de 1994 artνculo </w:t>
      </w:r>
      <w:r>
        <w:fldChar w:fldCharType="begin"/>
      </w:r>
      <w:r>
        <w:instrText>HYPERLINK "http://www.redjurista.com/document.aspx?ajcode=d1028_94&amp;arts=27"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783" w:name="TÍTULO 2.5.5"/>
      <w:r>
        <w:rPr>
          <w:rFonts w:hAnsi="Arial"/>
          <w:rFonts w:ascii="Arial"/>
          <w:sz w:val="24"/>
          <w:color w:val="navy"/>
        </w:rPr>
        <w:t xml:space="preserve">TΝTULO 5. </w:t>
      </w:r>
    </w:p>
    <w:p>
      <w:pPr>
        <w:jc w:val="center"/>
      </w:pPr>
      <w:r>
        <w:rPr>
          <w:rFonts w:hAnsi="Arial"/>
          <w:rFonts w:ascii="Arial"/>
          <w:sz w:val="24"/>
          <w:color w:val="navy"/>
        </w:rPr>
        <w:t xml:space="preserve">POLICΝA CΝVICA EN LA MODALIDAD DE VOLUNTARIOS.</w:t>
      </w:r>
      <w:bookmarkEnd w:id="6178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784" w:name="CAPÍTULO 2.5.5.1"/>
      <w:r>
        <w:rPr>
          <w:rFonts w:hAnsi="Arial"/>
          <w:rFonts w:ascii="Arial"/>
          <w:sz w:val="24"/>
          <w:color w:val="navy"/>
        </w:rPr>
        <w:t xml:space="preserve">CAPΝTULO 1. </w:t>
      </w:r>
    </w:p>
    <w:p>
      <w:pPr>
        <w:jc w:val="center"/>
      </w:pPr>
      <w:r>
        <w:rPr>
          <w:rFonts w:hAnsi="Arial"/>
          <w:rFonts w:ascii="Arial"/>
          <w:sz w:val="24"/>
          <w:color w:val="navy"/>
        </w:rPr>
        <w:t>GENERALIDADES.</w:t>
      </w:r>
      <w:bookmarkEnd w:id="6178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785" w:name="2.5.5.1.1"/>
      <w:r>
        <w:rPr>
          <w:rFonts w:hAnsi="Arial"/>
          <w:rFonts w:ascii="Arial"/>
          <w:sz w:val="24"/>
          <w:color w:val="navy"/>
        </w:rPr>
        <w:t xml:space="preserve">ARTΝCULO 2.5.5.1.1. </w:t>
      </w:r>
      <w:r>
        <w:rPr>
          <w:rFonts w:hAnsi="Arial"/>
          <w:rFonts w:ascii="Arial"/>
          <w:sz w:val="24"/>
          <w:i/>
          <w:color w:val="navy"/>
        </w:rPr>
        <w:t>DEFINICIΣN.</w:t>
      </w:r>
      <w:bookmarkEnd w:id="61785"/>
      <w:r>
        <w:rPr>
          <w:rFonts w:hAnsi="Arial"/>
          <w:rFonts w:ascii="Arial"/>
          <w:sz w:val="24"/>
          <w:b/>
          <w:i/>
          <w:color w:val="black"/>
        </w:rPr>
        <w:t xml:space="preserve"> </w:t>
      </w:r>
      <w:r>
        <w:rPr>
          <w:rFonts w:hAnsi="Arial"/>
          <w:rFonts w:ascii="Arial"/>
          <w:sz w:val="24"/>
          <w:color w:val="black"/>
        </w:rPr>
        <w:t xml:space="preserve">La Policνa Cνvica en la modalidad de Voluntarios, es un cuerpo no armado de carαcter civil, sin αnimo de lucro constituido con el objeto de prestar servicio de apoyo para el cumplimiento de las misiones especνficas de la Policνa Nacional y con el propσsito de fortalecer las relaciones policνa-comunidad.</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86" w:name="2.5.5.1.2"/>
      <w:r>
        <w:rPr>
          <w:rFonts w:hAnsi="Arial"/>
          <w:rFonts w:ascii="Arial"/>
          <w:sz w:val="24"/>
          <w:color w:val="navy"/>
        </w:rPr>
        <w:t xml:space="preserve">ARTΝCULO 2.5.5.1.2. </w:t>
      </w:r>
      <w:r>
        <w:rPr>
          <w:rFonts w:hAnsi="Arial"/>
          <w:rFonts w:ascii="Arial"/>
          <w:sz w:val="24"/>
          <w:i/>
          <w:color w:val="navy"/>
        </w:rPr>
        <w:t>CLASIFICACIΣN.</w:t>
      </w:r>
      <w:bookmarkEnd w:id="61786"/>
      <w:r>
        <w:rPr>
          <w:rFonts w:hAnsi="Arial"/>
          <w:rFonts w:ascii="Arial"/>
          <w:sz w:val="24"/>
          <w:b/>
          <w:i/>
          <w:color w:val="black"/>
        </w:rPr>
        <w:t xml:space="preserve"> </w:t>
      </w:r>
      <w:r>
        <w:rPr>
          <w:rFonts w:hAnsi="Arial"/>
          <w:rFonts w:ascii="Arial"/>
          <w:sz w:val="24"/>
          <w:color w:val="black"/>
        </w:rPr>
        <w:t xml:space="preserve">La Policνa Cνvica en la modalidad de Voluntarios se clasifica en:</w:t>
      </w:r>
    </w:p>
    <w:p>
      <w:pPr>
        <w:jc w:val="both"/>
      </w:pPr>
      <w:rPr>
        <w:sz w:val="24"/>
        <w:color w:val="black"/>
      </w:rPr>
    </w:p>
    <w:p>
      <w:pPr>
        <w:jc w:val="both"/>
      </w:pPr>
      <w:r>
        <w:rPr>
          <w:rFonts w:hAnsi="Arial"/>
          <w:rFonts w:ascii="Arial"/>
          <w:sz w:val="24"/>
          <w:color w:val="black"/>
        </w:rPr>
        <w:t xml:space="preserve">1. Policνa Cνvica de Mayores.</w:t>
      </w:r>
    </w:p>
    <w:p>
      <w:pPr>
        <w:jc w:val="both"/>
      </w:pPr>
      <w:rPr>
        <w:sz w:val="24"/>
        <w:color w:val="black"/>
      </w:rPr>
    </w:p>
    <w:p>
      <w:pPr>
        <w:jc w:val="both"/>
      </w:pPr>
      <w:r>
        <w:rPr>
          <w:rFonts w:hAnsi="Arial"/>
          <w:rFonts w:ascii="Arial"/>
          <w:sz w:val="24"/>
          <w:color w:val="black"/>
        </w:rPr>
        <w:t xml:space="preserve">2. Policνa Cνvica Juvenil.</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87" w:name="2.5.5.1.3"/>
      <w:r>
        <w:rPr>
          <w:rFonts w:hAnsi="Arial"/>
          <w:rFonts w:ascii="Arial"/>
          <w:sz w:val="24"/>
          <w:color w:val="navy"/>
        </w:rPr>
        <w:t xml:space="preserve">ARTΝCULO 2.5.5.1.3. </w:t>
      </w:r>
      <w:r>
        <w:rPr>
          <w:rFonts w:hAnsi="Arial"/>
          <w:rFonts w:ascii="Arial"/>
          <w:sz w:val="24"/>
          <w:i/>
          <w:color w:val="navy"/>
        </w:rPr>
        <w:t xml:space="preserve">FUNCIONES DE LA POLICΝA CΝVICA DE MAYORES.</w:t>
      </w:r>
      <w:bookmarkEnd w:id="61787"/>
      <w:r>
        <w:rPr>
          <w:rFonts w:hAnsi="Arial"/>
          <w:rFonts w:ascii="Arial"/>
          <w:sz w:val="24"/>
          <w:b/>
          <w:i/>
          <w:color w:val="black"/>
        </w:rPr>
        <w:t xml:space="preserve"> </w:t>
      </w:r>
      <w:r>
        <w:rPr>
          <w:rFonts w:hAnsi="Arial"/>
          <w:rFonts w:ascii="Arial"/>
          <w:sz w:val="24"/>
          <w:color w:val="black"/>
        </w:rPr>
        <w:t xml:space="preserve">Son funciones de la Policνa Cνvica de Mayores, las establecidas en el artνculo </w:t>
      </w:r>
      <w:r>
        <w:fldChar w:fldCharType="begin"/>
      </w:r>
      <w:r>
        <w:instrText>HYPERLINK "http://www.redjurista.com/document.aspx?ajcode=d0355_94&amp;arts=3"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355 de 1994, y las demαs que tengan relaciσn con los objetivos trazados y con sujeciσn al presente Tνtulo.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88" w:name="2.5.5.1.4"/>
      <w:r>
        <w:rPr>
          <w:rFonts w:hAnsi="Arial"/>
          <w:rFonts w:ascii="Arial"/>
          <w:sz w:val="24"/>
          <w:color w:val="navy"/>
        </w:rPr>
        <w:t xml:space="preserve">ARTΝCULO 2.5.5.1.4. </w:t>
      </w:r>
      <w:r>
        <w:rPr>
          <w:rFonts w:hAnsi="Arial"/>
          <w:rFonts w:ascii="Arial"/>
          <w:sz w:val="24"/>
          <w:i/>
          <w:color w:val="navy"/>
        </w:rPr>
        <w:t xml:space="preserve">FUNCIONES DE LA POLICΝA CΝVICA JUVENIL.</w:t>
      </w:r>
      <w:bookmarkEnd w:id="61788"/>
      <w:r>
        <w:rPr>
          <w:rFonts w:hAnsi="Arial"/>
          <w:rFonts w:ascii="Arial"/>
          <w:sz w:val="24"/>
          <w:b/>
          <w:i/>
          <w:color w:val="black"/>
        </w:rPr>
        <w:t xml:space="preserve"> </w:t>
      </w:r>
      <w:r>
        <w:rPr>
          <w:rFonts w:hAnsi="Arial"/>
          <w:rFonts w:ascii="Arial"/>
          <w:sz w:val="24"/>
          <w:color w:val="black"/>
        </w:rPr>
        <w:t xml:space="preserve">Son funciones de la Policνa Cνvica Juvenil, las establecidas en el artνculo </w:t>
      </w:r>
      <w:r>
        <w:fldChar w:fldCharType="begin"/>
      </w:r>
      <w:r>
        <w:instrText>HYPERLINK "http://www.redjurista.com/document.aspx?ajcode=d0355_94&amp;arts=3"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355 de 1994, y las demαs que tengan relaciσn con los objetivos trazados y con sujeciσn al presente Tνtulo.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89" w:name="2.5.5.1.5"/>
      <w:r>
        <w:rPr>
          <w:rFonts w:hAnsi="Arial"/>
          <w:rFonts w:ascii="Arial"/>
          <w:sz w:val="24"/>
          <w:color w:val="navy"/>
        </w:rPr>
        <w:t xml:space="preserve">ARTΝCULO 2.5.5.1.5. </w:t>
      </w:r>
      <w:r>
        <w:rPr>
          <w:rFonts w:hAnsi="Arial"/>
          <w:rFonts w:ascii="Arial"/>
          <w:sz w:val="24"/>
          <w:i/>
          <w:color w:val="navy"/>
        </w:rPr>
        <w:t>DOMICILIO.</w:t>
      </w:r>
      <w:bookmarkEnd w:id="61789"/>
      <w:r>
        <w:rPr>
          <w:rFonts w:hAnsi="Arial"/>
          <w:rFonts w:ascii="Arial"/>
          <w:sz w:val="24"/>
          <w:b/>
          <w:i/>
          <w:color w:val="black"/>
        </w:rPr>
        <w:t xml:space="preserve"> </w:t>
      </w:r>
      <w:r>
        <w:rPr>
          <w:rFonts w:hAnsi="Arial"/>
          <w:rFonts w:ascii="Arial"/>
          <w:sz w:val="24"/>
          <w:color w:val="black"/>
        </w:rPr>
        <w:t xml:space="preserve">Para efectos de funcionamiento, el domicilio de la Policνa Cνvica serα el de la Unidad de Policνa a la cual estι adscrita.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790" w:name="CAPÍTULO 2.5.5.2"/>
      <w:r>
        <w:rPr>
          <w:rFonts w:hAnsi="Arial"/>
          <w:rFonts w:ascii="Arial"/>
          <w:sz w:val="24"/>
          <w:color w:val="navy"/>
        </w:rPr>
        <w:t xml:space="preserve">CAPΝTULO 2. </w:t>
      </w:r>
    </w:p>
    <w:p>
      <w:pPr>
        <w:jc w:val="center"/>
      </w:pPr>
      <w:r>
        <w:rPr>
          <w:rFonts w:hAnsi="Arial"/>
          <w:rFonts w:ascii="Arial"/>
          <w:sz w:val="24"/>
          <w:color w:val="navy"/>
        </w:rPr>
        <w:t xml:space="preserve">DEPENDENCIA, ORGANIZACIΣN Y FUNCIONES.</w:t>
      </w:r>
      <w:bookmarkEnd w:id="6179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791" w:name="2.5.5.2.1"/>
      <w:r>
        <w:rPr>
          <w:rFonts w:hAnsi="Arial"/>
          <w:rFonts w:ascii="Arial"/>
          <w:sz w:val="24"/>
          <w:color w:val="navy"/>
        </w:rPr>
        <w:t xml:space="preserve">ARTΝCULO 2.5.5.2.1. </w:t>
      </w:r>
      <w:r>
        <w:rPr>
          <w:rFonts w:hAnsi="Arial"/>
          <w:rFonts w:ascii="Arial"/>
          <w:sz w:val="24"/>
          <w:i/>
          <w:color w:val="navy"/>
        </w:rPr>
        <w:t>DEPENDENCIA.</w:t>
      </w:r>
      <w:bookmarkEnd w:id="61791"/>
      <w:r>
        <w:rPr>
          <w:rFonts w:hAnsi="Arial"/>
          <w:rFonts w:ascii="Arial"/>
          <w:sz w:val="24"/>
          <w:b/>
          <w:i/>
          <w:color w:val="black"/>
        </w:rPr>
        <w:t xml:space="preserve"> </w:t>
      </w:r>
      <w:r>
        <w:rPr>
          <w:rFonts w:hAnsi="Arial"/>
          <w:rFonts w:ascii="Arial"/>
          <w:sz w:val="24"/>
          <w:color w:val="black"/>
        </w:rPr>
        <w:t xml:space="preserve">La Policνa Cνvica en la modalidad de voluntarios dependerα de la Direcciσn de Seguridad Ciudadana de la Policνa Nacional, a travιs del Αrea que conforme a la estructura orgαnica interna que se designe para el efecto, la cual cumplirα las funciones establecidas en el Decreto </w:t>
      </w:r>
      <w:r>
        <w:fldChar w:fldCharType="begin"/>
      </w:r>
      <w:r>
        <w:instrText>HYPERLINK "http://www.redjurista.com/document.aspx?ajcode=d4222006&amp;arts=INICIO"</w:instrText>
      </w:r>
      <w:r>
        <w:fldChar w:fldCharType="separate"/>
      </w:r>
      <w:r>
        <w:rPr>
          <w:rFonts w:hAnsi="Arial"/>
          <w:rFonts w:ascii="Arial"/>
          <w:sz w:val="24"/>
          <w:u w:val="single"/>
          <w:color w:val="black"/>
        </w:rPr>
        <w:t>4222</w:t>
      </w:r>
      <w:r>
        <w:fldChar w:fldCharType="end"/>
      </w:r>
      <w:r>
        <w:rPr>
          <w:rFonts w:hAnsi="Arial"/>
          <w:rFonts w:ascii="Arial"/>
          <w:sz w:val="24"/>
          <w:u w:val="none"/>
          <w:color w:val="black"/>
        </w:rPr>
        <w:t xml:space="preserve"> de 2006, o normas que lo modifiquen o adicionen.</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92" w:name="2.5.5.2.2"/>
      <w:r>
        <w:rPr>
          <w:rFonts w:hAnsi="Arial"/>
          <w:rFonts w:ascii="Arial"/>
          <w:sz w:val="24"/>
          <w:color w:val="navy"/>
        </w:rPr>
        <w:t xml:space="preserve">ARTΝCULO 2.5.5.2.2. </w:t>
      </w:r>
      <w:r>
        <w:rPr>
          <w:rFonts w:hAnsi="Arial"/>
          <w:rFonts w:ascii="Arial"/>
          <w:sz w:val="24"/>
          <w:i/>
          <w:color w:val="navy"/>
        </w:rPr>
        <w:t>ORGANIZACIΣN.</w:t>
      </w:r>
      <w:bookmarkEnd w:id="61792"/>
      <w:r>
        <w:rPr>
          <w:rFonts w:hAnsi="Arial"/>
          <w:rFonts w:ascii="Arial"/>
          <w:sz w:val="24"/>
          <w:b/>
          <w:i/>
          <w:color w:val="black"/>
        </w:rPr>
        <w:t xml:space="preserve"> </w:t>
      </w:r>
      <w:r>
        <w:rPr>
          <w:rFonts w:hAnsi="Arial"/>
          <w:rFonts w:ascii="Arial"/>
          <w:sz w:val="24"/>
          <w:color w:val="black"/>
        </w:rPr>
        <w:t xml:space="preserve">Para su organizaciσn y funcionamiento la Policνa Cνvica tendrα la siguiente estructura:</w:t>
      </w:r>
    </w:p>
    <w:p>
      <w:pPr>
        <w:jc w:val="both"/>
      </w:pPr>
      <w:rPr>
        <w:sz w:val="24"/>
        <w:color w:val="black"/>
      </w:rPr>
    </w:p>
    <w:p>
      <w:pPr>
        <w:jc w:val="both"/>
      </w:pPr>
      <w:r>
        <w:rPr>
          <w:rFonts w:hAnsi="Arial"/>
          <w:rFonts w:ascii="Arial"/>
          <w:sz w:val="24"/>
          <w:color w:val="black"/>
        </w:rPr>
        <w:t xml:space="preserve">1. Direcciσn de Seguridad Ciudadana.</w:t>
      </w:r>
    </w:p>
    <w:p>
      <w:pPr>
        <w:jc w:val="both"/>
      </w:pPr>
      <w:rPr>
        <w:sz w:val="24"/>
        <w:color w:val="black"/>
      </w:rPr>
    </w:p>
    <w:p>
      <w:pPr>
        <w:jc w:val="both"/>
      </w:pPr>
      <w:r>
        <w:rPr>
          <w:rFonts w:hAnsi="Arial"/>
          <w:rFonts w:ascii="Arial"/>
          <w:sz w:val="24"/>
          <w:color w:val="black"/>
        </w:rPr>
        <w:t xml:space="preserve">1.1 Αrea de Participaciσn Comunitaria.</w:t>
      </w:r>
    </w:p>
    <w:p>
      <w:pPr>
        <w:jc w:val="both"/>
      </w:pPr>
      <w:rPr>
        <w:sz w:val="24"/>
        <w:color w:val="black"/>
      </w:rPr>
    </w:p>
    <w:p>
      <w:pPr>
        <w:jc w:val="both"/>
      </w:pPr>
      <w:r>
        <w:rPr>
          <w:rFonts w:hAnsi="Arial"/>
          <w:rFonts w:ascii="Arial"/>
          <w:sz w:val="24"/>
          <w:color w:val="black"/>
        </w:rPr>
        <w:t xml:space="preserve">2. Comandos de Departamentos de Policνa y Policνas Metropolitanas.</w:t>
      </w:r>
    </w:p>
    <w:p>
      <w:pPr>
        <w:jc w:val="both"/>
      </w:pPr>
      <w:rPr>
        <w:sz w:val="24"/>
        <w:color w:val="black"/>
      </w:rPr>
    </w:p>
    <w:p>
      <w:pPr>
        <w:jc w:val="both"/>
      </w:pPr>
      <w:r>
        <w:rPr>
          <w:rFonts w:hAnsi="Arial"/>
          <w:rFonts w:ascii="Arial"/>
          <w:sz w:val="24"/>
          <w:color w:val="black"/>
        </w:rPr>
        <w:t xml:space="preserve">2.1 Coordinaciσn Departamental de Policνa Cνvica.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93" w:name="2.5.5.2.3"/>
      <w:r>
        <w:rPr>
          <w:rFonts w:hAnsi="Arial"/>
          <w:rFonts w:ascii="Arial"/>
          <w:sz w:val="24"/>
          <w:color w:val="navy"/>
        </w:rPr>
        <w:t xml:space="preserve">ARTΝCULO 2.5.5.2.3. </w:t>
      </w:r>
      <w:r>
        <w:rPr>
          <w:rFonts w:hAnsi="Arial"/>
          <w:rFonts w:ascii="Arial"/>
          <w:sz w:val="24"/>
          <w:i/>
          <w:color w:val="navy"/>
        </w:rPr>
        <w:t>RESPONSABILIDAD.</w:t>
      </w:r>
      <w:bookmarkEnd w:id="61793"/>
      <w:r>
        <w:rPr>
          <w:rFonts w:hAnsi="Arial"/>
          <w:rFonts w:ascii="Arial"/>
          <w:sz w:val="24"/>
          <w:b/>
          <w:i/>
          <w:color w:val="black"/>
        </w:rPr>
        <w:t xml:space="preserve"> </w:t>
      </w:r>
      <w:r>
        <w:rPr>
          <w:rFonts w:hAnsi="Arial"/>
          <w:rFonts w:ascii="Arial"/>
          <w:sz w:val="24"/>
          <w:color w:val="black"/>
        </w:rPr>
        <w:t xml:space="preserve">Los Comandantes de Departamentos de Policνa y Policνas Metropolitanas, serαn los responsables ante la de la Direcciσn de Seguridad Ciudadana, de la direcciσn, funcionamiento y disciplina de la Policνa Cνvica de Mayores y Juvenil en sus respectivas jurisdicciones.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94" w:name="2.5.5.2.4"/>
      <w:r>
        <w:rPr>
          <w:rFonts w:hAnsi="Arial"/>
          <w:rFonts w:ascii="Arial"/>
          <w:sz w:val="24"/>
          <w:color w:val="navy"/>
        </w:rPr>
        <w:t xml:space="preserve">ARTΝCULO 2.5.5.2.4. </w:t>
      </w:r>
      <w:r>
        <w:rPr>
          <w:rFonts w:hAnsi="Arial"/>
          <w:rFonts w:ascii="Arial"/>
          <w:sz w:val="24"/>
          <w:i/>
          <w:color w:val="navy"/>
        </w:rPr>
        <w:t xml:space="preserve">HOJAS DE VIDA.</w:t>
      </w:r>
      <w:bookmarkEnd w:id="61794"/>
      <w:r>
        <w:rPr>
          <w:rFonts w:hAnsi="Arial"/>
          <w:rFonts w:ascii="Arial"/>
          <w:sz w:val="24"/>
          <w:b/>
          <w:i/>
          <w:color w:val="black"/>
        </w:rPr>
        <w:t xml:space="preserve"> </w:t>
      </w:r>
      <w:r>
        <w:rPr>
          <w:rFonts w:hAnsi="Arial"/>
          <w:rFonts w:ascii="Arial"/>
          <w:sz w:val="24"/>
          <w:color w:val="black"/>
        </w:rPr>
        <w:t xml:space="preserve">En los Departamentos de Policνa y Policνas Metropolitanas, el Subcomandante serα el coordinador de las actividades de Policνa Cνvica de Mayores y Juvenil, quien tendrα la misiσn de llevar las hojas de vida de los integrantes de estas.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795" w:name="2.5.5.2.5"/>
      <w:r>
        <w:rPr>
          <w:rFonts w:hAnsi="Arial"/>
          <w:rFonts w:ascii="Arial"/>
          <w:sz w:val="24"/>
          <w:color w:val="navy"/>
        </w:rPr>
        <w:t xml:space="preserve">ARTΝCULO 2.5.5.2.5. </w:t>
      </w:r>
      <w:r>
        <w:rPr>
          <w:rFonts w:hAnsi="Arial"/>
          <w:rFonts w:ascii="Arial"/>
          <w:sz w:val="24"/>
          <w:i/>
          <w:color w:val="navy"/>
        </w:rPr>
        <w:t xml:space="preserve">CONTROL Y FUNCIONAMIENTO.</w:t>
      </w:r>
      <w:bookmarkEnd w:id="61795"/>
      <w:r>
        <w:rPr>
          <w:rFonts w:hAnsi="Arial"/>
          <w:rFonts w:ascii="Arial"/>
          <w:sz w:val="24"/>
          <w:b/>
          <w:i/>
          <w:color w:val="black"/>
        </w:rPr>
        <w:t xml:space="preserve"> </w:t>
      </w:r>
      <w:r>
        <w:rPr>
          <w:rFonts w:hAnsi="Arial"/>
          <w:rFonts w:ascii="Arial"/>
          <w:sz w:val="24"/>
          <w:color w:val="black"/>
        </w:rPr>
        <w:t xml:space="preserve">La Policνa Cνvica de Mayores para efectos de control y direcciσn funcionarα preferencialmente en las capitales de los departamentos de Policνa y Policνas Metropolitanas y en aquellas ciudades donde las circunstancias lo permitan, previo, concepto del Jefe del Grupo Prevenciσn y Educaciσn Ciudadana, a solicitud de los respectivos Comandantes.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96" w:name="2.5.5.2.6"/>
      <w:r>
        <w:rPr>
          <w:rFonts w:hAnsi="Arial"/>
          <w:rFonts w:ascii="Arial"/>
          <w:sz w:val="24"/>
          <w:color w:val="navy"/>
        </w:rPr>
        <w:t xml:space="preserve">ARTΝCULO 2.5.5.2.6. </w:t>
      </w:r>
      <w:r>
        <w:rPr>
          <w:rFonts w:hAnsi="Arial"/>
          <w:rFonts w:ascii="Arial"/>
          <w:sz w:val="24"/>
          <w:i/>
          <w:color w:val="navy"/>
        </w:rPr>
        <w:t xml:space="preserve">COORDINACIΣN DEPARTAMENTAL DE POLICΝA CΝVICA.</w:t>
      </w:r>
      <w:bookmarkEnd w:id="61796"/>
      <w:r>
        <w:rPr>
          <w:rFonts w:hAnsi="Arial"/>
          <w:rFonts w:ascii="Arial"/>
          <w:sz w:val="24"/>
          <w:b/>
          <w:i/>
          <w:color w:val="black"/>
        </w:rPr>
        <w:t xml:space="preserve"> </w:t>
      </w:r>
      <w:r>
        <w:rPr>
          <w:rFonts w:hAnsi="Arial"/>
          <w:rFonts w:ascii="Arial"/>
          <w:sz w:val="24"/>
          <w:color w:val="black"/>
        </w:rPr>
        <w:t xml:space="preserve">Para efectos de funcionamiento en los Departamentos de Policνa y Policνas Metropolitanas, se organizarα una coordinaciσn integrada por:</w:t>
      </w:r>
    </w:p>
    <w:p>
      <w:pPr>
        <w:jc w:val="both"/>
      </w:pPr>
      <w:rPr>
        <w:sz w:val="24"/>
        <w:color w:val="black"/>
      </w:rPr>
    </w:p>
    <w:p>
      <w:pPr>
        <w:jc w:val="both"/>
      </w:pPr>
      <w:r>
        <w:rPr>
          <w:rFonts w:hAnsi="Arial"/>
          <w:rFonts w:ascii="Arial"/>
          <w:sz w:val="24"/>
          <w:color w:val="black"/>
        </w:rPr>
        <w:t xml:space="preserve">1. El Comandante de Departamento de Policνa o Policνa Metropolitana, quien la preside.</w:t>
      </w:r>
    </w:p>
    <w:p>
      <w:pPr>
        <w:jc w:val="both"/>
      </w:pPr>
      <w:rPr>
        <w:sz w:val="24"/>
        <w:color w:val="black"/>
      </w:rPr>
    </w:p>
    <w:p>
      <w:pPr>
        <w:jc w:val="both"/>
      </w:pPr>
      <w:r>
        <w:rPr>
          <w:rFonts w:hAnsi="Arial"/>
          <w:rFonts w:ascii="Arial"/>
          <w:sz w:val="24"/>
          <w:color w:val="black"/>
        </w:rPr>
        <w:t xml:space="preserve">2. El Subcomandante del Departamento.</w:t>
      </w:r>
    </w:p>
    <w:p>
      <w:pPr>
        <w:jc w:val="both"/>
      </w:pPr>
      <w:rPr>
        <w:sz w:val="24"/>
        <w:color w:val="black"/>
      </w:rPr>
    </w:p>
    <w:p>
      <w:pPr>
        <w:jc w:val="both"/>
      </w:pPr>
      <w:r>
        <w:rPr>
          <w:rFonts w:hAnsi="Arial"/>
          <w:rFonts w:ascii="Arial"/>
          <w:sz w:val="24"/>
          <w:color w:val="black"/>
        </w:rPr>
        <w:t xml:space="preserve">3. El Coordinador Departamental o de Metropolitana de Policνa Cνvica.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797" w:name="2.5.5.2.7"/>
      <w:r>
        <w:rPr>
          <w:rFonts w:hAnsi="Arial"/>
          <w:rFonts w:ascii="Arial"/>
          <w:sz w:val="24"/>
          <w:color w:val="navy"/>
        </w:rPr>
        <w:t xml:space="preserve">ARTΝCULO 2.5.5.2.7. </w:t>
      </w:r>
      <w:r>
        <w:rPr>
          <w:rFonts w:hAnsi="Arial"/>
          <w:rFonts w:ascii="Arial"/>
          <w:sz w:val="24"/>
          <w:i/>
          <w:color w:val="navy"/>
        </w:rPr>
        <w:t xml:space="preserve">FUNCIONES DE LA COORDINACIΣN DEPARTAMENTAL DE POLICΝA CΝVICA.</w:t>
      </w:r>
      <w:bookmarkEnd w:id="61797"/>
      <w:r>
        <w:rPr>
          <w:rFonts w:hAnsi="Arial"/>
          <w:rFonts w:ascii="Arial"/>
          <w:sz w:val="24"/>
          <w:b/>
          <w:i/>
          <w:color w:val="black"/>
        </w:rPr>
        <w:t xml:space="preserve"> </w:t>
      </w:r>
      <w:r>
        <w:rPr>
          <w:rFonts w:hAnsi="Arial"/>
          <w:rFonts w:ascii="Arial"/>
          <w:sz w:val="24"/>
          <w:color w:val="black"/>
        </w:rPr>
        <w:t xml:space="preserve">Son funciones de la Coordinaciσn Departamental de Policνa Cνvica:</w:t>
      </w:r>
    </w:p>
    <w:p>
      <w:pPr>
        <w:jc w:val="both"/>
      </w:pPr>
      <w:rPr>
        <w:sz w:val="24"/>
        <w:color w:val="black"/>
      </w:rPr>
    </w:p>
    <w:p>
      <w:pPr>
        <w:jc w:val="both"/>
      </w:pPr>
      <w:r>
        <w:rPr>
          <w:rFonts w:hAnsi="Arial"/>
          <w:rFonts w:ascii="Arial"/>
          <w:sz w:val="24"/>
          <w:color w:val="black"/>
        </w:rPr>
        <w:t xml:space="preserve">1. Dirigir y controlar el funcionamiento de la Policνa Cνvica en su jurisdicciσn, de acuerdo con los lineamientos de la Direcciσn de Seguridad Ciudadana.</w:t>
      </w:r>
    </w:p>
    <w:p>
      <w:pPr>
        <w:jc w:val="both"/>
      </w:pPr>
      <w:rPr>
        <w:sz w:val="24"/>
        <w:color w:val="black"/>
      </w:rPr>
    </w:p>
    <w:p>
      <w:pPr>
        <w:jc w:val="both"/>
      </w:pPr>
      <w:r>
        <w:rPr>
          <w:rFonts w:hAnsi="Arial"/>
          <w:rFonts w:ascii="Arial"/>
          <w:sz w:val="24"/>
          <w:color w:val="black"/>
        </w:rPr>
        <w:t xml:space="preserve">2. Evaluar el cumplimiento de la misiσn y objetivos de la Policνa Cνvica.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98" w:name="2.5.5.2.8"/>
      <w:r>
        <w:rPr>
          <w:rFonts w:hAnsi="Arial"/>
          <w:rFonts w:ascii="Arial"/>
          <w:sz w:val="24"/>
          <w:color w:val="navy"/>
        </w:rPr>
        <w:t xml:space="preserve">ARTΝCULO 2.5.5.2.8. </w:t>
      </w:r>
      <w:r>
        <w:rPr>
          <w:rFonts w:hAnsi="Arial"/>
          <w:rFonts w:ascii="Arial"/>
          <w:sz w:val="24"/>
          <w:i/>
          <w:color w:val="navy"/>
        </w:rPr>
        <w:t xml:space="preserve">FUNCIONES DEL COORDINADOR DEPARTAMENTAL DE POLICΝA CΝVICA.</w:t>
      </w:r>
      <w:bookmarkEnd w:id="61798"/>
      <w:r>
        <w:rPr>
          <w:rFonts w:hAnsi="Arial"/>
          <w:rFonts w:ascii="Arial"/>
          <w:sz w:val="24"/>
          <w:b/>
          <w:i/>
          <w:color w:val="black"/>
        </w:rPr>
        <w:t xml:space="preserve"> </w:t>
      </w:r>
      <w:r>
        <w:rPr>
          <w:rFonts w:hAnsi="Arial"/>
          <w:rFonts w:ascii="Arial"/>
          <w:sz w:val="24"/>
          <w:color w:val="black"/>
        </w:rPr>
        <w:t xml:space="preserve">Son funciones propias del cargo de Coordinador Departamental de Policνa Cνvica:</w:t>
      </w:r>
    </w:p>
    <w:p>
      <w:pPr>
        <w:jc w:val="both"/>
      </w:pPr>
      <w:rPr>
        <w:sz w:val="24"/>
        <w:color w:val="black"/>
      </w:rPr>
    </w:p>
    <w:p>
      <w:pPr>
        <w:jc w:val="both"/>
      </w:pPr>
      <w:r>
        <w:rPr>
          <w:rFonts w:hAnsi="Arial"/>
          <w:rFonts w:ascii="Arial"/>
          <w:sz w:val="24"/>
          <w:color w:val="black"/>
        </w:rPr>
        <w:t xml:space="preserve">1. Representar protocolariamente a la Policνa Cνvica en todos los actos pϊblicos y privados.</w:t>
      </w:r>
    </w:p>
    <w:p>
      <w:pPr>
        <w:jc w:val="both"/>
      </w:pPr>
      <w:rPr>
        <w:sz w:val="24"/>
        <w:color w:val="black"/>
      </w:rPr>
    </w:p>
    <w:p>
      <w:pPr>
        <w:jc w:val="both"/>
      </w:pPr>
      <w:r>
        <w:rPr>
          <w:rFonts w:hAnsi="Arial"/>
          <w:rFonts w:ascii="Arial"/>
          <w:sz w:val="24"/>
          <w:color w:val="black"/>
        </w:rPr>
        <w:t xml:space="preserve">2. Velar por la eficiente coordinaciσn y el cumplimiento de las disposiciones e instrucciones de la Direcciσn de Seguridad Ciudadana y los Comandantes de Departamento o Policνas Metropolitanas.</w:t>
      </w:r>
    </w:p>
    <w:p>
      <w:pPr>
        <w:jc w:val="both"/>
      </w:pPr>
      <w:rPr>
        <w:sz w:val="24"/>
        <w:color w:val="black"/>
      </w:rPr>
    </w:p>
    <w:p>
      <w:pPr>
        <w:jc w:val="both"/>
      </w:pPr>
      <w:r>
        <w:rPr>
          <w:rFonts w:hAnsi="Arial"/>
          <w:rFonts w:ascii="Arial"/>
          <w:sz w:val="24"/>
          <w:color w:val="black"/>
        </w:rPr>
        <w:t xml:space="preserve">3. Las demαs que le sean asignadas.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799" w:name="2.5.5.2.9"/>
      <w:r>
        <w:rPr>
          <w:rFonts w:hAnsi="Arial"/>
          <w:rFonts w:ascii="Arial"/>
          <w:sz w:val="24"/>
          <w:color w:val="navy"/>
        </w:rPr>
        <w:t xml:space="preserve">ARTΝCULO 2.5.5.2.9. </w:t>
      </w:r>
      <w:r>
        <w:rPr>
          <w:rFonts w:hAnsi="Arial"/>
          <w:rFonts w:ascii="Arial"/>
          <w:sz w:val="24"/>
          <w:i/>
          <w:color w:val="navy"/>
        </w:rPr>
        <w:t>CONVOCATORIA.</w:t>
      </w:r>
      <w:bookmarkEnd w:id="61799"/>
      <w:r>
        <w:rPr>
          <w:rFonts w:hAnsi="Arial"/>
          <w:rFonts w:ascii="Arial"/>
          <w:sz w:val="24"/>
          <w:b/>
          <w:i/>
          <w:color w:val="black"/>
        </w:rPr>
        <w:t xml:space="preserve"> </w:t>
      </w:r>
      <w:r>
        <w:rPr>
          <w:rFonts w:hAnsi="Arial"/>
          <w:rFonts w:ascii="Arial"/>
          <w:sz w:val="24"/>
          <w:color w:val="black"/>
        </w:rPr>
        <w:t xml:space="preserve">El Director de Seguridad Ciudadana podrα convocar a los Coordinadores Departamentales o de Metropolitana de Policνa Cνvica, para tratar asuntos relacionados con la buena marcha de la Policνa Cνvica o cuando las circunstancias lo ameriten.</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center"/>
      </w:pPr>
      <w:r>
        <w:rPr>
          <w:rFonts w:hAnsi="Arial"/>
          <w:rFonts w:ascii="Arial"/>
          <w:sz w:val="24"/>
          <w:vanish/>
          <w:color w:val="black"/>
        </w:rPr>
        <w:t>&amp;$</w:t>
      </w:r>
      <w:bookmarkStart w:id="61800" w:name="CAPÍTULO 2.5.5.3"/>
      <w:r>
        <w:rPr>
          <w:rFonts w:hAnsi="Arial"/>
          <w:rFonts w:ascii="Arial"/>
          <w:sz w:val="24"/>
          <w:color w:val="navy"/>
        </w:rPr>
        <w:t xml:space="preserve">CAPΝTULO 3. </w:t>
      </w:r>
    </w:p>
    <w:p>
      <w:pPr>
        <w:jc w:val="center"/>
      </w:pPr>
      <w:r>
        <w:rPr>
          <w:rFonts w:hAnsi="Arial"/>
          <w:rFonts w:ascii="Arial"/>
          <w:sz w:val="24"/>
          <w:color w:val="navy"/>
        </w:rPr>
        <w:t xml:space="preserve">POLICΝA CΝVICA DE MAYORES.</w:t>
      </w:r>
      <w:bookmarkEnd w:id="6180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01" w:name="2.5.5.3.1"/>
      <w:r>
        <w:rPr>
          <w:rFonts w:hAnsi="Arial"/>
          <w:rFonts w:ascii="Arial"/>
          <w:sz w:val="24"/>
          <w:color w:val="navy"/>
        </w:rPr>
        <w:t xml:space="preserve">ARTΝCULO 2.5.5.3.1. </w:t>
      </w:r>
      <w:r>
        <w:rPr>
          <w:rFonts w:hAnsi="Arial"/>
          <w:rFonts w:ascii="Arial"/>
          <w:sz w:val="24"/>
          <w:i/>
          <w:color w:val="navy"/>
        </w:rPr>
        <w:t>DEFINICIΣN.</w:t>
      </w:r>
      <w:bookmarkEnd w:id="61801"/>
      <w:r>
        <w:rPr>
          <w:rFonts w:hAnsi="Arial"/>
          <w:rFonts w:ascii="Arial"/>
          <w:sz w:val="24"/>
          <w:b/>
          <w:i/>
          <w:color w:val="black"/>
        </w:rPr>
        <w:t xml:space="preserve"> </w:t>
      </w:r>
      <w:r>
        <w:rPr>
          <w:rFonts w:hAnsi="Arial"/>
          <w:rFonts w:ascii="Arial"/>
          <w:sz w:val="24"/>
          <w:color w:val="black"/>
        </w:rPr>
        <w:t xml:space="preserve">La Policνa Cνvica de Mayores estα constituida por personas muy representativas de la sociedad, con gran solvencia moral, iniciativa, solidaridad, espνritu cνvico, compromiso y especial afecto por la Policνa Nacional y que deseen apoyarla en las misiones especνficas establecidas en este Tνtulo.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2" w:name="2.5.5.3.2"/>
      <w:r>
        <w:rPr>
          <w:rFonts w:hAnsi="Arial"/>
          <w:rFonts w:ascii="Arial"/>
          <w:sz w:val="24"/>
          <w:color w:val="navy"/>
        </w:rPr>
        <w:t xml:space="preserve">ARTΝCULO 2.5.5.3.2. </w:t>
      </w:r>
      <w:r>
        <w:rPr>
          <w:rFonts w:hAnsi="Arial"/>
          <w:rFonts w:ascii="Arial"/>
          <w:sz w:val="24"/>
          <w:i/>
          <w:color w:val="navy"/>
        </w:rPr>
        <w:t>MIEMBROS.</w:t>
      </w:r>
      <w:bookmarkEnd w:id="61802"/>
      <w:r>
        <w:rPr>
          <w:rFonts w:hAnsi="Arial"/>
          <w:rFonts w:ascii="Arial"/>
          <w:sz w:val="24"/>
          <w:b/>
          <w:i/>
          <w:color w:val="black"/>
        </w:rPr>
        <w:t xml:space="preserve"> </w:t>
      </w:r>
      <w:r>
        <w:rPr>
          <w:rFonts w:hAnsi="Arial"/>
          <w:rFonts w:ascii="Arial"/>
          <w:sz w:val="24"/>
          <w:color w:val="black"/>
        </w:rPr>
        <w:t xml:space="preserve">Podrαn ser miembros de la Policνa Cνvica de Mayores, las personas residentes en el paνs con amplia solvencia moral, motivadas por un alto sentido cνvico y afecto por la Policνa Nacional, que en forma voluntaria soliciten pertenecer a ella, previo cumplimiento de los requisitos exigidos.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3" w:name="2.5.5.3.3"/>
      <w:r>
        <w:rPr>
          <w:rFonts w:hAnsi="Arial"/>
          <w:rFonts w:ascii="Arial"/>
          <w:sz w:val="24"/>
          <w:color w:val="navy"/>
        </w:rPr>
        <w:t xml:space="preserve">ARTΝCULO 2.5.5.3.3. </w:t>
      </w:r>
      <w:r>
        <w:rPr>
          <w:rFonts w:hAnsi="Arial"/>
          <w:rFonts w:ascii="Arial"/>
          <w:sz w:val="24"/>
          <w:i/>
          <w:color w:val="navy"/>
        </w:rPr>
        <w:t>REQUISITOS.</w:t>
      </w:r>
      <w:bookmarkEnd w:id="61803"/>
      <w:r>
        <w:rPr>
          <w:rFonts w:hAnsi="Arial"/>
          <w:rFonts w:ascii="Arial"/>
          <w:sz w:val="24"/>
          <w:b/>
          <w:i/>
          <w:color w:val="black"/>
        </w:rPr>
        <w:t xml:space="preserve"> </w:t>
      </w:r>
      <w:r>
        <w:rPr>
          <w:rFonts w:hAnsi="Arial"/>
          <w:rFonts w:ascii="Arial"/>
          <w:sz w:val="24"/>
          <w:color w:val="black"/>
        </w:rPr>
        <w:t xml:space="preserve">El aspirante a ingresar a la Policνa Cνvica de Mayores deberα cumplir los siguientes requisitos:</w:t>
      </w:r>
    </w:p>
    <w:p>
      <w:pPr>
        <w:jc w:val="both"/>
      </w:pPr>
      <w:rPr>
        <w:sz w:val="24"/>
        <w:color w:val="black"/>
      </w:rPr>
    </w:p>
    <w:p>
      <w:pPr>
        <w:jc w:val="both"/>
      </w:pPr>
      <w:r>
        <w:rPr>
          <w:rFonts w:hAnsi="Arial"/>
          <w:rFonts w:ascii="Arial"/>
          <w:sz w:val="24"/>
          <w:color w:val="black"/>
        </w:rPr>
        <w:t xml:space="preserve">1. Ser colombiano.</w:t>
      </w:r>
    </w:p>
    <w:p>
      <w:pPr>
        <w:jc w:val="both"/>
      </w:pPr>
      <w:rPr>
        <w:sz w:val="24"/>
        <w:color w:val="black"/>
      </w:rPr>
    </w:p>
    <w:p>
      <w:pPr>
        <w:jc w:val="both"/>
      </w:pPr>
      <w:r>
        <w:rPr>
          <w:rFonts w:hAnsi="Arial"/>
          <w:rFonts w:ascii="Arial"/>
          <w:sz w:val="24"/>
          <w:color w:val="black"/>
        </w:rPr>
        <w:t xml:space="preserve">2. Ser ciudadano.</w:t>
      </w:r>
    </w:p>
    <w:p>
      <w:pPr>
        <w:jc w:val="both"/>
      </w:pPr>
      <w:rPr>
        <w:sz w:val="24"/>
        <w:color w:val="black"/>
      </w:rPr>
    </w:p>
    <w:p>
      <w:pPr>
        <w:jc w:val="both"/>
      </w:pPr>
      <w:r>
        <w:rPr>
          <w:rFonts w:hAnsi="Arial"/>
          <w:rFonts w:ascii="Arial"/>
          <w:sz w:val="24"/>
          <w:color w:val="black"/>
        </w:rPr>
        <w:t xml:space="preserve">3. No registrar antecedentes penales, de policνa, o disciplinarios.</w:t>
      </w:r>
    </w:p>
    <w:p>
      <w:pPr>
        <w:jc w:val="both"/>
      </w:pPr>
      <w:rPr>
        <w:sz w:val="24"/>
        <w:color w:val="black"/>
      </w:rPr>
    </w:p>
    <w:p>
      <w:pPr>
        <w:jc w:val="both"/>
      </w:pPr>
      <w:r>
        <w:rPr>
          <w:rFonts w:hAnsi="Arial"/>
          <w:rFonts w:ascii="Arial"/>
          <w:sz w:val="24"/>
          <w:color w:val="black"/>
        </w:rPr>
        <w:t xml:space="preserve">4. Aprobar el estudio de seguridad.</w:t>
      </w:r>
    </w:p>
    <w:p>
      <w:pPr>
        <w:jc w:val="both"/>
      </w:pPr>
      <w:rPr>
        <w:sz w:val="24"/>
        <w:color w:val="black"/>
      </w:rPr>
    </w:p>
    <w:p>
      <w:pPr>
        <w:jc w:val="both"/>
      </w:pPr>
      <w:r>
        <w:rPr>
          <w:rFonts w:hAnsi="Arial"/>
          <w:rFonts w:ascii="Arial"/>
          <w:sz w:val="24"/>
          <w:color w:val="black"/>
        </w:rPr>
        <w:t xml:space="preserve">5. Entrevista personal con el Comandante de Departamento de Policνa o Policνa Metropolitana.</w:t>
      </w:r>
    </w:p>
    <w:p>
      <w:pPr>
        <w:jc w:val="both"/>
      </w:pPr>
      <w:rPr>
        <w:sz w:val="24"/>
        <w:color w:val="black"/>
      </w:rPr>
    </w:p>
    <w:p>
      <w:pPr>
        <w:jc w:val="both"/>
      </w:pPr>
      <w:r>
        <w:rPr>
          <w:rFonts w:hAnsi="Arial"/>
          <w:rFonts w:ascii="Arial"/>
          <w:sz w:val="24"/>
          <w:color w:val="black"/>
        </w:rPr>
        <w:t xml:space="preserve">6. Tener definida la situaciσn militar.</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Cumplidos los requisitos anteriores, la solicitud serα estudiada por el Comandante de Departamento de Policνa o Policνa Metropolitana. Una vez aceptada, deberα enviarse para su visto bueno a la Direcciσn de Seguridad Ciudadana, con la documentaciσn correspondiente.</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804" w:name="2.5.5.3.4"/>
      <w:r>
        <w:rPr>
          <w:rFonts w:hAnsi="Arial"/>
          <w:rFonts w:ascii="Arial"/>
          <w:sz w:val="24"/>
          <w:color w:val="navy"/>
        </w:rPr>
        <w:t xml:space="preserve">ARTΝCULO 2.5.5.3.4. </w:t>
      </w:r>
      <w:r>
        <w:rPr>
          <w:rFonts w:hAnsi="Arial"/>
          <w:rFonts w:ascii="Arial"/>
          <w:sz w:val="24"/>
          <w:i/>
          <w:color w:val="navy"/>
        </w:rPr>
        <w:t>VINCULACIΣN.</w:t>
      </w:r>
      <w:bookmarkEnd w:id="61804"/>
      <w:r>
        <w:rPr>
          <w:rFonts w:hAnsi="Arial"/>
          <w:rFonts w:ascii="Arial"/>
          <w:sz w:val="24"/>
          <w:b/>
          <w:i/>
          <w:color w:val="black"/>
        </w:rPr>
        <w:t xml:space="preserve"> </w:t>
      </w:r>
      <w:r>
        <w:rPr>
          <w:rFonts w:hAnsi="Arial"/>
          <w:rFonts w:ascii="Arial"/>
          <w:sz w:val="24"/>
          <w:color w:val="black"/>
        </w:rPr>
        <w:t xml:space="preserve">El ingreso a la Policνa Cνvica es voluntario y la Direcciσn de Seguridad Ciudadana tiene la facultad discrecional de vincular sus miembros entre aquellos que reϊnan los requisitos exigidos en este Tνtulo.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805" w:name="2.5.5.3.5"/>
      <w:r>
        <w:rPr>
          <w:rFonts w:hAnsi="Arial"/>
          <w:rFonts w:ascii="Arial"/>
          <w:sz w:val="24"/>
          <w:color w:val="navy"/>
        </w:rPr>
        <w:t xml:space="preserve">ARTΝCULO 2.5.5.3.5. RESPONSABILIDADES.</w:t>
      </w:r>
      <w:bookmarkEnd w:id="61805"/>
      <w:r>
        <w:rPr>
          <w:rFonts w:hAnsi="Arial"/>
          <w:rFonts w:ascii="Arial"/>
          <w:sz w:val="24"/>
          <w:b/>
          <w:color w:val="black"/>
        </w:rPr>
        <w:t xml:space="preserve"> </w:t>
      </w:r>
      <w:r>
        <w:rPr>
          <w:rFonts w:hAnsi="Arial"/>
          <w:rFonts w:ascii="Arial"/>
          <w:sz w:val="24"/>
          <w:color w:val="black"/>
        </w:rPr>
        <w:t xml:space="preserve">Los miembros de la Policνa Cνvica tendrαn las siguientes responsabilidades:</w:t>
      </w:r>
    </w:p>
    <w:p>
      <w:pPr>
        <w:jc w:val="both"/>
      </w:pPr>
      <w:rPr>
        <w:sz w:val="24"/>
        <w:color w:val="black"/>
      </w:rPr>
    </w:p>
    <w:p>
      <w:pPr>
        <w:jc w:val="both"/>
      </w:pPr>
      <w:r>
        <w:rPr>
          <w:rFonts w:hAnsi="Arial"/>
          <w:rFonts w:ascii="Arial"/>
          <w:sz w:val="24"/>
          <w:color w:val="black"/>
        </w:rPr>
        <w:t xml:space="preserve">1. Participar en las actividades propias de la Policνa Cνvica.</w:t>
      </w:r>
    </w:p>
    <w:p>
      <w:pPr>
        <w:jc w:val="both"/>
      </w:pPr>
      <w:rPr>
        <w:sz w:val="24"/>
        <w:color w:val="black"/>
      </w:rPr>
    </w:p>
    <w:p>
      <w:pPr>
        <w:jc w:val="both"/>
      </w:pPr>
      <w:r>
        <w:rPr>
          <w:rFonts w:hAnsi="Arial"/>
          <w:rFonts w:ascii="Arial"/>
          <w:sz w:val="24"/>
          <w:color w:val="black"/>
        </w:rPr>
        <w:t xml:space="preserve">2. Cumplir y hacer cumplir lo ordenado en el presente Tνtulo.</w:t>
      </w:r>
    </w:p>
    <w:p>
      <w:pPr>
        <w:jc w:val="both"/>
      </w:pPr>
      <w:rPr>
        <w:sz w:val="24"/>
        <w:color w:val="black"/>
      </w:rPr>
    </w:p>
    <w:p>
      <w:pPr>
        <w:jc w:val="both"/>
      </w:pPr>
      <w:r>
        <w:rPr>
          <w:rFonts w:hAnsi="Arial"/>
          <w:rFonts w:ascii="Arial"/>
          <w:sz w:val="24"/>
          <w:color w:val="black"/>
        </w:rPr>
        <w:t xml:space="preserve">3. Utilizar los elementos de comunicaciones ϊnica y exclusivamente para el apoyo al servicio o la funciσn policial.</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6" w:name="2.5.5.3.6"/>
      <w:r>
        <w:rPr>
          <w:rFonts w:hAnsi="Arial"/>
          <w:rFonts w:ascii="Arial"/>
          <w:sz w:val="24"/>
          <w:color w:val="navy"/>
        </w:rPr>
        <w:t xml:space="preserve">ARTΝCULO 2.5.5.3.6. </w:t>
      </w:r>
      <w:r>
        <w:rPr>
          <w:rFonts w:hAnsi="Arial"/>
          <w:rFonts w:ascii="Arial"/>
          <w:sz w:val="24"/>
          <w:i/>
          <w:color w:val="navy"/>
        </w:rPr>
        <w:t>DESVINCULACIΣN.</w:t>
      </w:r>
      <w:bookmarkEnd w:id="61806"/>
      <w:r>
        <w:rPr>
          <w:rFonts w:hAnsi="Arial"/>
          <w:rFonts w:ascii="Arial"/>
          <w:sz w:val="24"/>
          <w:b/>
          <w:i/>
          <w:color w:val="black"/>
        </w:rPr>
        <w:t xml:space="preserve"> </w:t>
      </w:r>
      <w:r>
        <w:rPr>
          <w:rFonts w:hAnsi="Arial"/>
          <w:rFonts w:ascii="Arial"/>
          <w:sz w:val="24"/>
          <w:color w:val="black"/>
        </w:rPr>
        <w:t xml:space="preserve">La desvinculaciσn de un miembro de la Policνa Cνvica es competencia de la Direcciσn Operativa, en forma discrecional.</w:t>
      </w:r>
    </w:p>
    <w:p>
      <w:pPr>
        <w:jc w:val="both"/>
      </w:pPr>
      <w:rPr>
        <w:sz w:val="24"/>
        <w:color w:val="black"/>
      </w:rPr>
    </w:p>
    <w:p>
      <w:pPr>
        <w:jc w:val="both"/>
      </w:pPr>
      <w:r>
        <w:rPr>
          <w:rFonts w:hAnsi="Arial"/>
          <w:rFonts w:ascii="Arial"/>
          <w:sz w:val="24"/>
          <w:i/>
          <w:color w:val="black"/>
        </w:rPr>
        <w:t xml:space="preserve"> (Decreto 1503 de 1998 artνculo </w:t>
      </w:r>
      <w:r>
        <w:fldChar w:fldCharType="begin"/>
      </w:r>
      <w:r>
        <w:instrText>HYPERLINK "http://www.redjurista.com/document.aspx?ajcode=d1503_98&amp;arts=20"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7" w:name="2.5.5.3.7"/>
      <w:r>
        <w:rPr>
          <w:rFonts w:hAnsi="Arial"/>
          <w:rFonts w:ascii="Arial"/>
          <w:sz w:val="24"/>
          <w:color w:val="navy"/>
        </w:rPr>
        <w:t xml:space="preserve">ARTΝCULO 2.5.5.3.7. </w:t>
      </w:r>
      <w:r>
        <w:rPr>
          <w:rFonts w:hAnsi="Arial"/>
          <w:rFonts w:ascii="Arial"/>
          <w:sz w:val="24"/>
          <w:i/>
          <w:color w:val="navy"/>
        </w:rPr>
        <w:t xml:space="preserve">CAUSALES DE DESVINCULACIΣN.</w:t>
      </w:r>
      <w:bookmarkEnd w:id="61807"/>
      <w:r>
        <w:rPr>
          <w:rFonts w:hAnsi="Arial"/>
          <w:rFonts w:ascii="Arial"/>
          <w:sz w:val="24"/>
          <w:b/>
          <w:i/>
          <w:color w:val="black"/>
        </w:rPr>
        <w:t xml:space="preserve"> </w:t>
      </w:r>
      <w:r>
        <w:rPr>
          <w:rFonts w:hAnsi="Arial"/>
          <w:rFonts w:ascii="Arial"/>
          <w:sz w:val="24"/>
          <w:color w:val="black"/>
        </w:rPr>
        <w:t xml:space="preserve">Darαn lugar a desvinculaciσn de la Policνa Cνvica las siguientes causales:</w:t>
      </w:r>
    </w:p>
    <w:p>
      <w:pPr>
        <w:jc w:val="both"/>
      </w:pPr>
      <w:rPr>
        <w:sz w:val="24"/>
        <w:color w:val="black"/>
      </w:rPr>
    </w:p>
    <w:p>
      <w:pPr>
        <w:jc w:val="both"/>
      </w:pPr>
      <w:r>
        <w:rPr>
          <w:rFonts w:hAnsi="Arial"/>
          <w:rFonts w:ascii="Arial"/>
          <w:sz w:val="24"/>
          <w:color w:val="black"/>
        </w:rPr>
        <w:t xml:space="preserve">1. Violaciσn del presente Tνtulo.</w:t>
      </w:r>
    </w:p>
    <w:p>
      <w:pPr>
        <w:jc w:val="both"/>
      </w:pPr>
      <w:rPr>
        <w:sz w:val="24"/>
        <w:color w:val="black"/>
      </w:rPr>
    </w:p>
    <w:p>
      <w:pPr>
        <w:jc w:val="both"/>
      </w:pPr>
      <w:r>
        <w:rPr>
          <w:rFonts w:hAnsi="Arial"/>
          <w:rFonts w:ascii="Arial"/>
          <w:sz w:val="24"/>
          <w:color w:val="black"/>
        </w:rPr>
        <w:t xml:space="preserve">2. Violaciσn de toda norma de carαcter general o especial, incluidas las que rigen el decoro, la solidaridad, la ιtica profesional y las buenas costumbres.</w:t>
      </w:r>
    </w:p>
    <w:p>
      <w:pPr>
        <w:jc w:val="both"/>
      </w:pPr>
      <w:rPr>
        <w:sz w:val="24"/>
        <w:color w:val="black"/>
      </w:rPr>
    </w:p>
    <w:p>
      <w:pPr>
        <w:jc w:val="both"/>
      </w:pPr>
      <w:r>
        <w:rPr>
          <w:rFonts w:hAnsi="Arial"/>
          <w:rFonts w:ascii="Arial"/>
          <w:sz w:val="24"/>
          <w:color w:val="black"/>
        </w:rPr>
        <w:t xml:space="preserve">3. Violar la reserva profesional cuando se trate de asuntos que asν lo exijan y que lleguen al conocimiento del Policνa Cνvico.</w:t>
      </w:r>
    </w:p>
    <w:p>
      <w:pPr>
        <w:jc w:val="both"/>
      </w:pPr>
      <w:rPr>
        <w:sz w:val="24"/>
        <w:color w:val="black"/>
      </w:rPr>
    </w:p>
    <w:p>
      <w:pPr>
        <w:jc w:val="both"/>
      </w:pPr>
      <w:r>
        <w:rPr>
          <w:rFonts w:hAnsi="Arial"/>
          <w:rFonts w:ascii="Arial"/>
          <w:sz w:val="24"/>
          <w:color w:val="black"/>
        </w:rPr>
        <w:t xml:space="preserve">4. Ocasionar injustificadamente perjuicios de cualquier νndole a personas naturales o jurνdicas.</w:t>
      </w:r>
    </w:p>
    <w:p>
      <w:pPr>
        <w:jc w:val="both"/>
      </w:pPr>
      <w:rPr>
        <w:sz w:val="24"/>
        <w:color w:val="black"/>
      </w:rPr>
    </w:p>
    <w:p>
      <w:pPr>
        <w:jc w:val="both"/>
      </w:pPr>
      <w:r>
        <w:rPr>
          <w:rFonts w:hAnsi="Arial"/>
          <w:rFonts w:ascii="Arial"/>
          <w:sz w:val="24"/>
          <w:color w:val="black"/>
        </w:rPr>
        <w:t xml:space="preserve">5. Realizar actos que lesionen la unidad o la solidaridad que debe imperar en la entidad.</w:t>
      </w:r>
    </w:p>
    <w:p>
      <w:pPr>
        <w:jc w:val="both"/>
      </w:pPr>
      <w:rPr>
        <w:sz w:val="24"/>
        <w:color w:val="black"/>
      </w:rPr>
    </w:p>
    <w:p>
      <w:pPr>
        <w:jc w:val="both"/>
      </w:pPr>
      <w:r>
        <w:rPr>
          <w:rFonts w:hAnsi="Arial"/>
          <w:rFonts w:ascii="Arial"/>
          <w:sz w:val="24"/>
          <w:color w:val="black"/>
        </w:rPr>
        <w:t xml:space="preserve">6. Proferir ofensas a la dignidad que implica el ejercicio de Policνa Cνvico.</w:t>
      </w:r>
    </w:p>
    <w:p>
      <w:pPr>
        <w:jc w:val="both"/>
      </w:pPr>
      <w:rPr>
        <w:sz w:val="24"/>
        <w:color w:val="black"/>
      </w:rPr>
    </w:p>
    <w:p>
      <w:pPr>
        <w:jc w:val="both"/>
      </w:pPr>
      <w:r>
        <w:rPr>
          <w:rFonts w:hAnsi="Arial"/>
          <w:rFonts w:ascii="Arial"/>
          <w:sz w:val="24"/>
          <w:color w:val="black"/>
        </w:rPr>
        <w:t xml:space="preserve">7. Perturbar el orden pϊblico.</w:t>
      </w:r>
    </w:p>
    <w:p>
      <w:pPr>
        <w:jc w:val="both"/>
      </w:pPr>
      <w:rPr>
        <w:sz w:val="24"/>
        <w:color w:val="black"/>
      </w:rPr>
    </w:p>
    <w:p>
      <w:pPr>
        <w:jc w:val="both"/>
      </w:pPr>
      <w:r>
        <w:rPr>
          <w:rFonts w:hAnsi="Arial"/>
          <w:rFonts w:ascii="Arial"/>
          <w:sz w:val="24"/>
          <w:color w:val="black"/>
        </w:rPr>
        <w:t xml:space="preserve">8. Asumir vocerνa o representaciσn de la Policνa Cνvica sin estar expresamente autorizado para ello por las directivas de la misma.</w:t>
      </w:r>
    </w:p>
    <w:p>
      <w:pPr>
        <w:jc w:val="both"/>
      </w:pPr>
      <w:rPr>
        <w:sz w:val="24"/>
        <w:color w:val="black"/>
      </w:rPr>
    </w:p>
    <w:p>
      <w:pPr>
        <w:jc w:val="both"/>
      </w:pPr>
      <w:r>
        <w:rPr>
          <w:rFonts w:hAnsi="Arial"/>
          <w:rFonts w:ascii="Arial"/>
          <w:sz w:val="24"/>
          <w:color w:val="black"/>
        </w:rPr>
        <w:t xml:space="preserve">9. Cobrar o recibir dineros o especies por concepto de servicios prestados en ejercicio de funciones como Policνa Cνvico o derivadas de ella.</w:t>
      </w:r>
    </w:p>
    <w:p>
      <w:pPr>
        <w:jc w:val="both"/>
      </w:pPr>
      <w:rPr>
        <w:sz w:val="24"/>
        <w:color w:val="black"/>
      </w:rPr>
    </w:p>
    <w:p>
      <w:pPr>
        <w:jc w:val="both"/>
      </w:pPr>
      <w:r>
        <w:rPr>
          <w:rFonts w:hAnsi="Arial"/>
          <w:rFonts w:ascii="Arial"/>
          <w:sz w:val="24"/>
          <w:color w:val="black"/>
        </w:rPr>
        <w:t xml:space="preserve">10. Utilizar el carnι y demαs elementos del servicio para fines lucrativos en favor personal o de terceros.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8" w:name="2.5.5.3.8"/>
      <w:r>
        <w:rPr>
          <w:rFonts w:hAnsi="Arial"/>
          <w:rFonts w:ascii="Arial"/>
          <w:sz w:val="24"/>
          <w:color w:val="navy"/>
        </w:rPr>
        <w:t xml:space="preserve">ARTΝCULO 2.5.5.3.8. </w:t>
      </w:r>
      <w:r>
        <w:rPr>
          <w:rFonts w:hAnsi="Arial"/>
          <w:rFonts w:ascii="Arial"/>
          <w:sz w:val="24"/>
          <w:i/>
          <w:color w:val="navy"/>
        </w:rPr>
        <w:t>COMPETENCIA.</w:t>
      </w:r>
      <w:bookmarkEnd w:id="61808"/>
      <w:r>
        <w:rPr>
          <w:rFonts w:hAnsi="Arial"/>
          <w:rFonts w:ascii="Arial"/>
          <w:sz w:val="24"/>
          <w:b/>
          <w:i/>
          <w:color w:val="black"/>
        </w:rPr>
        <w:t xml:space="preserve"> </w:t>
      </w:r>
      <w:r>
        <w:rPr>
          <w:rFonts w:hAnsi="Arial"/>
          <w:rFonts w:ascii="Arial"/>
          <w:sz w:val="24"/>
          <w:color w:val="black"/>
        </w:rPr>
        <w:t xml:space="preserve">La vinculaciσn y desvinculaciσn de los miembros de la Policνa Cνvica la realiza la Direcciσn Operativa, una vez haya recibido del respectivo Comandante de Departamento o Policνa Metropolitana, la documentaciσn y el concepto correspondiente.</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09" w:name="2.5.5.3.9"/>
      <w:r>
        <w:rPr>
          <w:rFonts w:hAnsi="Arial"/>
          <w:rFonts w:ascii="Arial"/>
          <w:sz w:val="24"/>
          <w:color w:val="navy"/>
        </w:rPr>
        <w:t xml:space="preserve">ARTΝCULO 2.5.5.3.9. </w:t>
      </w:r>
      <w:r>
        <w:rPr>
          <w:rFonts w:hAnsi="Arial"/>
          <w:rFonts w:ascii="Arial"/>
          <w:sz w:val="24"/>
          <w:i/>
          <w:color w:val="navy"/>
        </w:rPr>
        <w:t xml:space="preserve">RETIRO VOLUNTARIO.</w:t>
      </w:r>
      <w:bookmarkEnd w:id="61809"/>
      <w:r>
        <w:rPr>
          <w:rFonts w:hAnsi="Arial"/>
          <w:rFonts w:ascii="Arial"/>
          <w:sz w:val="24"/>
          <w:b/>
          <w:i/>
          <w:color w:val="black"/>
        </w:rPr>
        <w:t xml:space="preserve"> </w:t>
      </w:r>
      <w:r>
        <w:rPr>
          <w:rFonts w:hAnsi="Arial"/>
          <w:rFonts w:ascii="Arial"/>
          <w:sz w:val="24"/>
          <w:color w:val="black"/>
        </w:rPr>
        <w:t xml:space="preserve">El Policνa Cνvico que decida voluntariamente retirarse de la entidad, lo harα mediante oficio dirigido al Comandante de Departamento de Policνa o Policνa Metropolitana.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Director Operativo, estudiarα las condiciones de reingreso de los miembros que se hayan retirado por su propia voluntad.</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0" w:name="2.5.5.3.10"/>
      <w:r>
        <w:rPr>
          <w:rFonts w:hAnsi="Arial"/>
          <w:rFonts w:ascii="Arial"/>
          <w:sz w:val="24"/>
          <w:color w:val="navy"/>
        </w:rPr>
        <w:t xml:space="preserve">ARTΝCULO 2.5.5.3.10. </w:t>
      </w:r>
      <w:r>
        <w:rPr>
          <w:rFonts w:hAnsi="Arial"/>
          <w:rFonts w:ascii="Arial"/>
          <w:sz w:val="24"/>
          <w:i/>
          <w:color w:val="navy"/>
        </w:rPr>
        <w:t xml:space="preserve">DEVOLUCIΣN DE ELEMENTOS.</w:t>
      </w:r>
      <w:bookmarkEnd w:id="61810"/>
      <w:r>
        <w:rPr>
          <w:rFonts w:hAnsi="Arial"/>
          <w:rFonts w:ascii="Arial"/>
          <w:sz w:val="24"/>
          <w:b/>
          <w:i/>
          <w:color w:val="black"/>
        </w:rPr>
        <w:t xml:space="preserve"> </w:t>
      </w:r>
      <w:r>
        <w:rPr>
          <w:rFonts w:hAnsi="Arial"/>
          <w:rFonts w:ascii="Arial"/>
          <w:sz w:val="24"/>
          <w:color w:val="black"/>
        </w:rPr>
        <w:t xml:space="preserve">El miembro de la Policνa Cνvica desvinculado o retirado voluntariamente de la instituciσn, harα entrega de los elementos que se le hayan asignado dentro de los ocho (8) dνas siguientes a la notificaciσn de la novedad, para ello se evaluarα y se le reintegrarα el valor correspondiente.</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1" w:name="2.5.5.3.11"/>
      <w:r>
        <w:rPr>
          <w:rFonts w:hAnsi="Arial"/>
          <w:rFonts w:ascii="Arial"/>
          <w:sz w:val="24"/>
          <w:color w:val="navy"/>
        </w:rPr>
        <w:t xml:space="preserve">ARTΝCULO 2.5.5.3.11. </w:t>
      </w:r>
      <w:r>
        <w:rPr>
          <w:rFonts w:hAnsi="Arial"/>
          <w:rFonts w:ascii="Arial"/>
          <w:sz w:val="24"/>
          <w:i/>
          <w:color w:val="navy"/>
        </w:rPr>
        <w:t>CLASIFICACIΣN.</w:t>
      </w:r>
      <w:bookmarkEnd w:id="61811"/>
      <w:r>
        <w:rPr>
          <w:rFonts w:hAnsi="Arial"/>
          <w:rFonts w:ascii="Arial"/>
          <w:sz w:val="24"/>
          <w:b/>
          <w:i/>
          <w:color w:val="black"/>
        </w:rPr>
        <w:t xml:space="preserve"> </w:t>
      </w:r>
      <w:r>
        <w:rPr>
          <w:rFonts w:hAnsi="Arial"/>
          <w:rFonts w:ascii="Arial"/>
          <w:sz w:val="24"/>
          <w:color w:val="black"/>
        </w:rPr>
        <w:t xml:space="preserve">Los miembros de la Policνa Cνvica de Mayores se clasifican en: Policνas Cνvicos Honorarios, Policνas Cνvicos Activos y Policνas Cνvicos Especiales.</w:t>
      </w:r>
    </w:p>
    <w:p>
      <w:pPr>
        <w:jc w:val="both"/>
      </w:pPr>
      <w:rPr>
        <w:sz w:val="24"/>
        <w:color w:val="black"/>
      </w:rPr>
    </w:p>
    <w:p>
      <w:pPr>
        <w:jc w:val="both"/>
      </w:pPr>
      <w:r>
        <w:rPr>
          <w:rFonts w:hAnsi="Arial"/>
          <w:rFonts w:ascii="Arial"/>
          <w:sz w:val="24"/>
          <w:color w:val="black"/>
        </w:rPr>
        <w:t xml:space="preserve">1. Policνas Cνvicos Honorarios. Podrαn acceder a tal distinciσn las personas que desempeρan los cargos de Gobernador, Alcalde, Presidente del Tribunal Superior, Procurador Regional, Miembros de los Gabinetes Departamental, Municipal o Distrital e igualmente aquellas que se destaquen por su participaciσn y su afecto a la Policνa Nacional.</w:t>
      </w:r>
    </w:p>
    <w:p>
      <w:pPr>
        <w:jc w:val="both"/>
      </w:pPr>
      <w:rPr>
        <w:sz w:val="24"/>
        <w:color w:val="black"/>
      </w:rPr>
    </w:p>
    <w:p>
      <w:pPr>
        <w:jc w:val="both"/>
      </w:pPr>
      <w:r>
        <w:rPr>
          <w:rFonts w:hAnsi="Arial"/>
          <w:rFonts w:ascii="Arial"/>
          <w:sz w:val="24"/>
          <w:color w:val="black"/>
        </w:rPr>
        <w:t xml:space="preserve">2. Policνas Cνvicos Activos. Personas nacionales o extranjeras residentes legalmente en el territorio nacional, vinculadas a la entidad de acuerdo con lo establecido en el presente Capνtulo.</w:t>
      </w:r>
    </w:p>
    <w:p>
      <w:pPr>
        <w:jc w:val="both"/>
      </w:pPr>
      <w:rPr>
        <w:sz w:val="24"/>
        <w:color w:val="black"/>
      </w:rPr>
    </w:p>
    <w:p>
      <w:pPr>
        <w:jc w:val="both"/>
      </w:pPr>
      <w:r>
        <w:rPr>
          <w:rFonts w:hAnsi="Arial"/>
          <w:rFonts w:ascii="Arial"/>
          <w:sz w:val="24"/>
          <w:color w:val="black"/>
        </w:rPr>
        <w:t xml:space="preserve">3. Policνas Cνvicos Especiales. Aquellas personas que por sus actividades no pueden cumplir funciones de miembro activo, pero que prestan eminentes servicios a la comunidad o colaboran de manera especial con el desarrollo de la Policνa Cνvica.</w:t>
      </w:r>
    </w:p>
    <w:p>
      <w:pPr>
        <w:jc w:val="both"/>
      </w:pPr>
      <w:rPr>
        <w:sz w:val="24"/>
        <w:color w:val="black"/>
      </w:rPr>
    </w:p>
    <w:p>
      <w:pPr>
        <w:jc w:val="both"/>
      </w:pPr>
      <w:r>
        <w:rPr>
          <w:rFonts w:hAnsi="Arial"/>
          <w:rFonts w:ascii="Arial"/>
          <w:sz w:val="24"/>
          <w:i/>
          <w:color w:val="black"/>
        </w:rPr>
        <w:t xml:space="preserve">(Decreto 0431 de 1995 artνculo </w:t>
      </w:r>
      <w:r>
        <w:fldChar w:fldCharType="begin"/>
      </w:r>
      <w:r>
        <w:instrText>HYPERLINK "http://www.redjurista.com/document.aspx?ajcode=d0431_95&amp;arts=22"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812" w:name="CAPÍTULO 2.5.5.4"/>
      <w:r>
        <w:rPr>
          <w:rFonts w:hAnsi="Arial"/>
          <w:rFonts w:ascii="Arial"/>
          <w:sz w:val="24"/>
          <w:color w:val="navy"/>
        </w:rPr>
        <w:t xml:space="preserve">CAPΝTULO 4. </w:t>
      </w:r>
    </w:p>
    <w:p>
      <w:pPr>
        <w:jc w:val="center"/>
      </w:pPr>
      <w:r>
        <w:rPr>
          <w:rFonts w:hAnsi="Arial"/>
          <w:rFonts w:ascii="Arial"/>
          <w:sz w:val="24"/>
          <w:color w:val="navy"/>
        </w:rPr>
        <w:t xml:space="preserve">POLICΝA CΝVICA JUVENIL.</w:t>
      </w:r>
      <w:bookmarkEnd w:id="6181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13" w:name="2.5.5.4.1"/>
      <w:r>
        <w:rPr>
          <w:rFonts w:hAnsi="Arial"/>
          <w:rFonts w:ascii="Arial"/>
          <w:sz w:val="24"/>
          <w:color w:val="navy"/>
        </w:rPr>
        <w:t xml:space="preserve">ARTΝCULO 2.5.5.4.1. </w:t>
      </w:r>
      <w:r>
        <w:rPr>
          <w:rFonts w:hAnsi="Arial"/>
          <w:rFonts w:ascii="Arial"/>
          <w:sz w:val="24"/>
          <w:i/>
          <w:color w:val="navy"/>
        </w:rPr>
        <w:t>DEFINICIΣN.</w:t>
      </w:r>
      <w:bookmarkEnd w:id="61813"/>
      <w:r>
        <w:rPr>
          <w:rFonts w:hAnsi="Arial"/>
          <w:rFonts w:ascii="Arial"/>
          <w:sz w:val="24"/>
          <w:b/>
          <w:i/>
          <w:color w:val="black"/>
        </w:rPr>
        <w:t xml:space="preserve"> </w:t>
      </w:r>
      <w:r>
        <w:rPr>
          <w:rFonts w:hAnsi="Arial"/>
          <w:rFonts w:ascii="Arial"/>
          <w:sz w:val="24"/>
          <w:color w:val="black"/>
        </w:rPr>
        <w:t xml:space="preserve">La Policνa Cνvica Juvenil hace parte de la Policνa Cνvica, se encarga de apoyar las funciones preventiva, educativa y social que cumple la Policνa Nacional relacionadas con la poblaciσn infantil y juvenil residente en el territorio nacional.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objeto fundamental de la Policνa Cνvica Juvenil es crear en la conciencia del futuro ciudadano la nociσn de respeto por los derechos ajenos, la defensa de los suyos, acrecentar el espνritu cνvico y consolidar sentimientos de solidaridad.</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4" w:name="2.5.5.4.2"/>
      <w:r>
        <w:rPr>
          <w:rFonts w:hAnsi="Arial"/>
          <w:rFonts w:ascii="Arial"/>
          <w:sz w:val="24"/>
          <w:color w:val="navy"/>
        </w:rPr>
        <w:t xml:space="preserve">ARTΝCULO 2.5.5.4.2. </w:t>
      </w:r>
      <w:r>
        <w:rPr>
          <w:rFonts w:hAnsi="Arial"/>
          <w:rFonts w:ascii="Arial"/>
          <w:sz w:val="24"/>
          <w:i/>
          <w:color w:val="navy"/>
        </w:rPr>
        <w:t>MIEMBROS.</w:t>
      </w:r>
      <w:bookmarkEnd w:id="61814"/>
      <w:r>
        <w:rPr>
          <w:rFonts w:hAnsi="Arial"/>
          <w:rFonts w:ascii="Arial"/>
          <w:sz w:val="24"/>
          <w:b/>
          <w:i/>
          <w:color w:val="black"/>
        </w:rPr>
        <w:t xml:space="preserve"> </w:t>
      </w:r>
      <w:r>
        <w:rPr>
          <w:rFonts w:hAnsi="Arial"/>
          <w:rFonts w:ascii="Arial"/>
          <w:sz w:val="24"/>
          <w:color w:val="black"/>
        </w:rPr>
        <w:t xml:space="preserve">La Policνa Cνvica Juvenil estarα constituida por jσvenes colombianos, de excelentes condiciones morales y sociales y deseo de servir a la comunidad, cuyo ingreso serα voluntario y su nombramiento se harα a travιs del Comando de Departamento de Policνa o Policνa Metropolitana.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5" w:name="2.5.5.4.3"/>
      <w:r>
        <w:rPr>
          <w:rFonts w:hAnsi="Arial"/>
          <w:rFonts w:ascii="Arial"/>
          <w:sz w:val="24"/>
          <w:color w:val="navy"/>
        </w:rPr>
        <w:t xml:space="preserve">ARTΝCULO 2.5.5.4.3. </w:t>
      </w:r>
      <w:r>
        <w:rPr>
          <w:rFonts w:hAnsi="Arial"/>
          <w:rFonts w:ascii="Arial"/>
          <w:sz w:val="24"/>
          <w:i/>
          <w:color w:val="navy"/>
        </w:rPr>
        <w:t xml:space="preserve">ADMINISTRACIΣN Y FUNCIONAMIENTO.</w:t>
      </w:r>
      <w:bookmarkEnd w:id="61815"/>
      <w:r>
        <w:rPr>
          <w:rFonts w:hAnsi="Arial"/>
          <w:rFonts w:ascii="Arial"/>
          <w:sz w:val="24"/>
          <w:b/>
          <w:i/>
          <w:color w:val="black"/>
        </w:rPr>
        <w:t xml:space="preserve"> </w:t>
      </w:r>
      <w:r>
        <w:rPr>
          <w:rFonts w:hAnsi="Arial"/>
          <w:rFonts w:ascii="Arial"/>
          <w:sz w:val="24"/>
          <w:color w:val="black"/>
        </w:rPr>
        <w:t xml:space="preserve">Para efectos de administraciσn y funcionamiento la Policνa Cνvica Juvenil dependerα del Comando de Departamento de Policνa, Policνa Metropolitana y/o Estaciσn de Policνa a la cual pertenezca.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6" w:name="2.5.5.4.4"/>
      <w:r>
        <w:rPr>
          <w:rFonts w:hAnsi="Arial"/>
          <w:rFonts w:ascii="Arial"/>
          <w:sz w:val="24"/>
          <w:color w:val="navy"/>
        </w:rPr>
        <w:t xml:space="preserve">ARTΝCULO 2.5.5.4.4. </w:t>
      </w:r>
      <w:r>
        <w:rPr>
          <w:rFonts w:hAnsi="Arial"/>
          <w:rFonts w:ascii="Arial"/>
          <w:sz w:val="24"/>
          <w:i/>
          <w:color w:val="navy"/>
        </w:rPr>
        <w:t>REQUISITOS.</w:t>
      </w:r>
      <w:bookmarkEnd w:id="61816"/>
      <w:r>
        <w:rPr>
          <w:rFonts w:hAnsi="Arial"/>
          <w:rFonts w:ascii="Arial"/>
          <w:sz w:val="24"/>
          <w:b/>
          <w:i/>
          <w:color w:val="black"/>
        </w:rPr>
        <w:t xml:space="preserve"> </w:t>
      </w:r>
      <w:r>
        <w:rPr>
          <w:rFonts w:hAnsi="Arial"/>
          <w:rFonts w:ascii="Arial"/>
          <w:sz w:val="24"/>
          <w:color w:val="black"/>
        </w:rPr>
        <w:t xml:space="preserve">Son requisitos para ingreso a la Policνa Cνvica Juvenil los siguientes:</w:t>
      </w:r>
    </w:p>
    <w:p>
      <w:pPr>
        <w:jc w:val="both"/>
      </w:pPr>
      <w:rPr>
        <w:sz w:val="24"/>
        <w:color w:val="black"/>
      </w:rPr>
    </w:p>
    <w:p>
      <w:pPr>
        <w:jc w:val="both"/>
      </w:pPr>
      <w:r>
        <w:rPr>
          <w:rFonts w:hAnsi="Arial"/>
          <w:rFonts w:ascii="Arial"/>
          <w:sz w:val="24"/>
          <w:color w:val="black"/>
        </w:rPr>
        <w:t xml:space="preserve">1. Ser colombiano de nacimiento.</w:t>
      </w:r>
    </w:p>
    <w:p>
      <w:pPr>
        <w:jc w:val="both"/>
      </w:pPr>
      <w:rPr>
        <w:sz w:val="24"/>
        <w:color w:val="black"/>
      </w:rPr>
    </w:p>
    <w:p>
      <w:pPr>
        <w:jc w:val="both"/>
      </w:pPr>
      <w:r>
        <w:rPr>
          <w:rFonts w:hAnsi="Arial"/>
          <w:rFonts w:ascii="Arial"/>
          <w:sz w:val="24"/>
          <w:color w:val="black"/>
        </w:rPr>
        <w:t xml:space="preserve">2. Ser mayor de 7 y menor de 14 aρos.</w:t>
      </w:r>
    </w:p>
    <w:p>
      <w:pPr>
        <w:jc w:val="both"/>
      </w:pPr>
      <w:rPr>
        <w:sz w:val="24"/>
        <w:color w:val="black"/>
      </w:rPr>
    </w:p>
    <w:p>
      <w:pPr>
        <w:jc w:val="both"/>
      </w:pPr>
      <w:r>
        <w:rPr>
          <w:rFonts w:hAnsi="Arial"/>
          <w:rFonts w:ascii="Arial"/>
          <w:sz w:val="24"/>
          <w:color w:val="black"/>
        </w:rPr>
        <w:t xml:space="preserve">3. Ser estudiante con matrνcula vigente en plantel educativo.</w:t>
      </w:r>
    </w:p>
    <w:p>
      <w:pPr>
        <w:jc w:val="both"/>
      </w:pPr>
      <w:rPr>
        <w:sz w:val="24"/>
        <w:color w:val="black"/>
      </w:rPr>
    </w:p>
    <w:p>
      <w:pPr>
        <w:jc w:val="both"/>
      </w:pPr>
      <w:r>
        <w:rPr>
          <w:rFonts w:hAnsi="Arial"/>
          <w:rFonts w:ascii="Arial"/>
          <w:sz w:val="24"/>
          <w:color w:val="black"/>
        </w:rPr>
        <w:t xml:space="preserve">4. Acreditar excelentes cualidades morales.</w:t>
      </w:r>
    </w:p>
    <w:p>
      <w:pPr>
        <w:jc w:val="both"/>
      </w:pPr>
      <w:rPr>
        <w:sz w:val="24"/>
        <w:color w:val="black"/>
      </w:rPr>
    </w:p>
    <w:p>
      <w:pPr>
        <w:jc w:val="both"/>
      </w:pPr>
      <w:r>
        <w:rPr>
          <w:rFonts w:hAnsi="Arial"/>
          <w:rFonts w:ascii="Arial"/>
          <w:sz w:val="24"/>
          <w:color w:val="black"/>
        </w:rPr>
        <w:t xml:space="preserve">5. autorizaciσn escrita de los padres o tutores.</w:t>
      </w:r>
    </w:p>
    <w:p>
      <w:pPr>
        <w:jc w:val="both"/>
      </w:pPr>
      <w:rPr>
        <w:sz w:val="24"/>
        <w:color w:val="black"/>
      </w:rPr>
    </w:p>
    <w:p>
      <w:pPr>
        <w:jc w:val="both"/>
      </w:pPr>
      <w:r>
        <w:rPr>
          <w:rFonts w:hAnsi="Arial"/>
          <w:rFonts w:ascii="Arial"/>
          <w:sz w:val="24"/>
          <w:color w:val="black"/>
        </w:rPr>
        <w:t xml:space="preserve">6. Fotocopia del ϊltimo boletνn de estudios.</w:t>
      </w:r>
    </w:p>
    <w:p>
      <w:pPr>
        <w:jc w:val="both"/>
      </w:pPr>
      <w:rPr>
        <w:sz w:val="24"/>
        <w:color w:val="black"/>
      </w:rPr>
    </w:p>
    <w:p>
      <w:pPr>
        <w:jc w:val="both"/>
      </w:pPr>
      <w:r>
        <w:rPr>
          <w:rFonts w:hAnsi="Arial"/>
          <w:rFonts w:ascii="Arial"/>
          <w:sz w:val="24"/>
          <w:color w:val="black"/>
        </w:rPr>
        <w:t xml:space="preserve">7. Adelantar y aprobar el curso correspondiente.</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817" w:name="CAPÍTULO 2.5.5.5"/>
      <w:r>
        <w:rPr>
          <w:rFonts w:hAnsi="Arial"/>
          <w:rFonts w:ascii="Arial"/>
          <w:sz w:val="24"/>
          <w:color w:val="navy"/>
        </w:rPr>
        <w:t xml:space="preserve">CAPΝTULO 5. </w:t>
      </w:r>
    </w:p>
    <w:p>
      <w:pPr>
        <w:jc w:val="center"/>
      </w:pPr>
      <w:r>
        <w:rPr>
          <w:rFonts w:hAnsi="Arial"/>
          <w:rFonts w:ascii="Arial"/>
          <w:sz w:val="24"/>
          <w:color w:val="navy"/>
        </w:rPr>
        <w:t xml:space="preserve">DISPOSICIONES COMPLEMENTARIAS.</w:t>
      </w:r>
      <w:bookmarkEnd w:id="6181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18" w:name="2.5.5.5.1"/>
      <w:r>
        <w:rPr>
          <w:rFonts w:hAnsi="Arial"/>
          <w:rFonts w:ascii="Arial"/>
          <w:sz w:val="24"/>
          <w:color w:val="navy"/>
        </w:rPr>
        <w:t xml:space="preserve">ARTΝCULO 2.5.5.5.1. </w:t>
      </w:r>
      <w:r>
        <w:rPr>
          <w:rFonts w:hAnsi="Arial"/>
          <w:rFonts w:ascii="Arial"/>
          <w:sz w:val="24"/>
          <w:i/>
          <w:color w:val="navy"/>
        </w:rPr>
        <w:t xml:space="preserve">CONDICIΣN O CARΑCTER.</w:t>
      </w:r>
      <w:bookmarkEnd w:id="61818"/>
      <w:r>
        <w:rPr>
          <w:rFonts w:hAnsi="Arial"/>
          <w:rFonts w:ascii="Arial"/>
          <w:sz w:val="24"/>
          <w:b/>
          <w:i/>
          <w:color w:val="black"/>
        </w:rPr>
        <w:t xml:space="preserve"> </w:t>
      </w:r>
      <w:r>
        <w:rPr>
          <w:rFonts w:hAnsi="Arial"/>
          <w:rFonts w:ascii="Arial"/>
          <w:sz w:val="24"/>
          <w:color w:val="black"/>
        </w:rPr>
        <w:t xml:space="preserve">Los miembros de la Policνa Cνvica de Mayores y Policνa Cνvica Juvenil, no estαn investidos de autoridad ni tienen carαcter de servidores pϊblicos y sus actuaciones se limitan al apoyo de los miembros de la Policνa Nacional, no pueden utilizar prendas ni elementos de uso privativo de la Fuerza Pϊblica y responden personal e individualmente de sus actos.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nombre de la Policνa Cνvica y el carαcter que esta impone a sus miembros no servirα para amparar actividades distintas a las contempladas en este Tνtulo.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19" w:name="2.5.5.5.2"/>
      <w:r>
        <w:rPr>
          <w:rFonts w:hAnsi="Arial"/>
          <w:rFonts w:ascii="Arial"/>
          <w:sz w:val="24"/>
          <w:color w:val="navy"/>
        </w:rPr>
        <w:t xml:space="preserve">ARTΝCULO 2.5.5.5.2. </w:t>
      </w:r>
      <w:r>
        <w:rPr>
          <w:rFonts w:hAnsi="Arial"/>
          <w:rFonts w:ascii="Arial"/>
          <w:sz w:val="24"/>
          <w:i/>
          <w:color w:val="navy"/>
        </w:rPr>
        <w:t xml:space="preserve">SERVICIO VOLUNTARIO.</w:t>
      </w:r>
      <w:bookmarkEnd w:id="61819"/>
      <w:r>
        <w:rPr>
          <w:rFonts w:hAnsi="Arial"/>
          <w:rFonts w:ascii="Arial"/>
          <w:sz w:val="24"/>
          <w:b/>
          <w:i/>
          <w:color w:val="black"/>
        </w:rPr>
        <w:t xml:space="preserve"> </w:t>
      </w:r>
      <w:r>
        <w:rPr>
          <w:rFonts w:hAnsi="Arial"/>
          <w:rFonts w:ascii="Arial"/>
          <w:sz w:val="24"/>
          <w:color w:val="black"/>
        </w:rPr>
        <w:t xml:space="preserve">No existirα ningϊn tipo de remuneraciσn salarial ni prestacional para los miembros de la Policνa Cνvica, por tratarse de un servicio voluntario a la comunidad.</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0" w:name="2.5.5.5.3"/>
      <w:r>
        <w:rPr>
          <w:rFonts w:hAnsi="Arial"/>
          <w:rFonts w:ascii="Arial"/>
          <w:sz w:val="24"/>
          <w:color w:val="navy"/>
        </w:rPr>
        <w:t xml:space="preserve">ARTΝCULO 2.5.5.5.3. </w:t>
      </w:r>
      <w:r>
        <w:rPr>
          <w:rFonts w:hAnsi="Arial"/>
          <w:rFonts w:ascii="Arial"/>
          <w:sz w:val="24"/>
          <w:i/>
          <w:color w:val="navy"/>
        </w:rPr>
        <w:t>CARNΙ.</w:t>
      </w:r>
      <w:bookmarkEnd w:id="61820"/>
      <w:r>
        <w:rPr>
          <w:rFonts w:hAnsi="Arial"/>
          <w:rFonts w:ascii="Arial"/>
          <w:sz w:val="24"/>
          <w:b/>
          <w:i/>
          <w:color w:val="black"/>
        </w:rPr>
        <w:t xml:space="preserve"> </w:t>
      </w:r>
      <w:r>
        <w:rPr>
          <w:rFonts w:hAnsi="Arial"/>
          <w:rFonts w:ascii="Arial"/>
          <w:sz w:val="24"/>
          <w:color w:val="black"/>
        </w:rPr>
        <w:t xml:space="preserve">La elaboraciσn y distribuciσn del carnι de Policνa Cνvico estarα a cargo de la Direcciσn de Seguridad Ciudadana, y tendrα vigencia durante su permanencia como Policνa Cνvico.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1" w:name="2.5.5.5.4"/>
      <w:r>
        <w:rPr>
          <w:rFonts w:hAnsi="Arial"/>
          <w:rFonts w:ascii="Arial"/>
          <w:sz w:val="24"/>
          <w:color w:val="navy"/>
        </w:rPr>
        <w:t xml:space="preserve">ARTΝCULO 2.5.5.5.4. </w:t>
      </w:r>
      <w:r>
        <w:rPr>
          <w:rFonts w:hAnsi="Arial"/>
          <w:rFonts w:ascii="Arial"/>
          <w:sz w:val="24"/>
          <w:i/>
          <w:color w:val="navy"/>
        </w:rPr>
        <w:t xml:space="preserve">SUPERVISIΣN Y EVALUACIΣN.</w:t>
      </w:r>
      <w:bookmarkEnd w:id="61821"/>
      <w:r>
        <w:rPr>
          <w:rFonts w:hAnsi="Arial"/>
          <w:rFonts w:ascii="Arial"/>
          <w:sz w:val="24"/>
          <w:b/>
          <w:i/>
          <w:color w:val="black"/>
        </w:rPr>
        <w:t xml:space="preserve"> </w:t>
      </w:r>
      <w:r>
        <w:rPr>
          <w:rFonts w:hAnsi="Arial"/>
          <w:rFonts w:ascii="Arial"/>
          <w:sz w:val="24"/>
          <w:color w:val="black"/>
        </w:rPr>
        <w:t xml:space="preserve">La Direcciσn de Seguridad Ciudadana, serα la encargada de supervisar y evaluar el funcionamiento de la Policνa Cνvica a nivel nacional, a travιs del Αrea que conforme a la estructura orgαnica interna se designe para el efecto.</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 xml:space="preserve">, modificado por el Decreto </w:t>
      </w:r>
      <w:r>
        <w:fldChar w:fldCharType="begin"/>
      </w:r>
      <w:r>
        <w:instrText>HYPERLINK "http://www.redjurista.com/document.aspx?ajcode=d4222006&amp;arts=INICIO"</w:instrText>
      </w:r>
      <w:r>
        <w:fldChar w:fldCharType="separate"/>
      </w:r>
      <w:r>
        <w:rPr>
          <w:rFonts w:hAnsi="Arial"/>
          <w:rFonts w:ascii="Arial"/>
          <w:sz w:val="24"/>
          <w:i/>
          <w:u w:val="single"/>
          <w:color w:val="black"/>
        </w:rPr>
        <w:t>4222</w:t>
      </w:r>
      <w:r>
        <w:fldChar w:fldCharType="end"/>
      </w:r>
      <w:r>
        <w:rPr>
          <w:rFonts w:hAnsi="Arial"/>
          <w:rFonts w:ascii="Arial"/>
          <w:sz w:val="24"/>
          <w:i/>
          <w:u w:val="none"/>
          <w:color w:val="black"/>
        </w:rPr>
        <w:t xml:space="preserve"> de 2006)</w:t>
      </w:r>
    </w:p>
    <w:p>
      <w:pPr>
        <w:jc w:val="both"/>
      </w:pPr>
      <w:rPr>
        <w:sz w:val="24"/>
        <w:color w:val="black"/>
      </w:rPr>
    </w:p>
    <w:p>
      <w:pPr>
        <w:jc w:val="both"/>
      </w:pPr>
      <w:r>
        <w:rPr>
          <w:rFonts w:hAnsi="Arial"/>
          <w:rFonts w:ascii="Arial"/>
          <w:sz w:val="24"/>
          <w:vanish/>
          <w:color w:val="black"/>
        </w:rPr>
        <w:t>&amp;$</w:t>
      </w:r>
      <w:bookmarkStart w:id="61822" w:name="2.5.5.5.5"/>
      <w:r>
        <w:rPr>
          <w:rFonts w:hAnsi="Arial"/>
          <w:rFonts w:ascii="Arial"/>
          <w:sz w:val="24"/>
          <w:color w:val="navy"/>
        </w:rPr>
        <w:t xml:space="preserve">ARTΝCULO 2.5.5.5.5. </w:t>
      </w:r>
      <w:r>
        <w:rPr>
          <w:rFonts w:hAnsi="Arial"/>
          <w:rFonts w:ascii="Arial"/>
          <w:sz w:val="24"/>
          <w:i/>
          <w:color w:val="navy"/>
        </w:rPr>
        <w:t>PROHIBICIΣN.</w:t>
      </w:r>
      <w:bookmarkEnd w:id="61822"/>
      <w:r>
        <w:rPr>
          <w:rFonts w:hAnsi="Arial"/>
          <w:rFonts w:ascii="Arial"/>
          <w:sz w:val="24"/>
          <w:b/>
          <w:i/>
          <w:color w:val="black"/>
        </w:rPr>
        <w:t xml:space="preserve"> </w:t>
      </w:r>
      <w:r>
        <w:rPr>
          <w:rFonts w:hAnsi="Arial"/>
          <w:rFonts w:ascii="Arial"/>
          <w:sz w:val="24"/>
          <w:color w:val="black"/>
        </w:rPr>
        <w:t xml:space="preserve">La Policνa Cνvica no podrα desarrollar operaciones policiales ni utilizar armas u objetos de uso privativo de la Fuerza Pϊblica o particulares.</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3" w:name="2.5.5.5.6"/>
      <w:r>
        <w:rPr>
          <w:rFonts w:hAnsi="Arial"/>
          <w:rFonts w:ascii="Arial"/>
          <w:sz w:val="24"/>
          <w:color w:val="navy"/>
        </w:rPr>
        <w:t xml:space="preserve">ARTΝCULO 2.5.5.5.6. </w:t>
      </w:r>
      <w:r>
        <w:rPr>
          <w:rFonts w:hAnsi="Arial"/>
          <w:rFonts w:ascii="Arial"/>
          <w:sz w:val="24"/>
          <w:i/>
          <w:color w:val="navy"/>
        </w:rPr>
        <w:t>AUTORIZACIΣN.</w:t>
      </w:r>
      <w:bookmarkEnd w:id="61823"/>
      <w:r>
        <w:rPr>
          <w:rFonts w:hAnsi="Arial"/>
          <w:rFonts w:ascii="Arial"/>
          <w:sz w:val="24"/>
          <w:b/>
          <w:i/>
          <w:color w:val="black"/>
        </w:rPr>
        <w:t xml:space="preserve"> </w:t>
      </w:r>
      <w:r>
        <w:rPr>
          <w:rFonts w:hAnsi="Arial"/>
          <w:rFonts w:ascii="Arial"/>
          <w:sz w:val="24"/>
          <w:color w:val="black"/>
        </w:rPr>
        <w:t xml:space="preserve">Autorνzase al Director General de la Policνa Nacional para suspender transitoriamente el funcionamiento de la Policνa Cνvica cuando las circunstancias lo ameriten.</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4" w:name="2.5.5.5.7"/>
      <w:r>
        <w:rPr>
          <w:rFonts w:hAnsi="Arial"/>
          <w:rFonts w:ascii="Arial"/>
          <w:sz w:val="24"/>
          <w:color w:val="navy"/>
        </w:rPr>
        <w:t xml:space="preserve">ARTΝCULO 2.5.5.5.7. </w:t>
      </w:r>
      <w:r>
        <w:rPr>
          <w:rFonts w:hAnsi="Arial"/>
          <w:rFonts w:ascii="Arial"/>
          <w:sz w:val="24"/>
          <w:i/>
          <w:color w:val="navy"/>
        </w:rPr>
        <w:t>FACULTAD.</w:t>
      </w:r>
      <w:bookmarkEnd w:id="61824"/>
      <w:r>
        <w:rPr>
          <w:rFonts w:hAnsi="Arial"/>
          <w:rFonts w:ascii="Arial"/>
          <w:sz w:val="24"/>
          <w:b/>
          <w:i/>
          <w:color w:val="black"/>
        </w:rPr>
        <w:t xml:space="preserve"> </w:t>
      </w:r>
      <w:r>
        <w:rPr>
          <w:rFonts w:hAnsi="Arial"/>
          <w:rFonts w:ascii="Arial"/>
          <w:sz w:val="24"/>
          <w:color w:val="black"/>
        </w:rPr>
        <w:t xml:space="preserve">Facϊltase al Director General de la Policνa Nacional para reglamentar aspectos que contribuyan a la buena marcha de la Policνa Cνvica.</w:t>
      </w:r>
    </w:p>
    <w:p>
      <w:pPr>
        <w:jc w:val="both"/>
      </w:pPr>
      <w:rPr>
        <w:sz w:val="24"/>
        <w:color w:val="black"/>
      </w:rPr>
    </w:p>
    <w:p>
      <w:pPr>
        <w:jc w:val="both"/>
      </w:pPr>
      <w:r>
        <w:rPr>
          <w:rFonts w:hAnsi="Arial"/>
          <w:rFonts w:ascii="Arial"/>
          <w:sz w:val="24"/>
          <w:i/>
          <w:color w:val="black"/>
        </w:rPr>
        <w:t xml:space="preserve">(Decreto 1503 de 1998 artνculo </w:t>
      </w:r>
      <w:r>
        <w:fldChar w:fldCharType="begin"/>
      </w:r>
      <w:r>
        <w:instrText>HYPERLINK "http://www.redjurista.com/document.aspx?ajcode=d1503_98&amp;arts=35"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5" w:name="2.5.5.5.8"/>
      <w:r>
        <w:rPr>
          <w:rFonts w:hAnsi="Arial"/>
          <w:rFonts w:ascii="Arial"/>
          <w:sz w:val="24"/>
          <w:color w:val="navy"/>
        </w:rPr>
        <w:t xml:space="preserve">ARTΝCULO 2.5.5.5.8. </w:t>
      </w:r>
      <w:r>
        <w:rPr>
          <w:rFonts w:hAnsi="Arial"/>
          <w:rFonts w:ascii="Arial"/>
          <w:sz w:val="24"/>
          <w:i/>
          <w:color w:val="navy"/>
        </w:rPr>
        <w:t xml:space="preserve">EQUIPO DE COMUNICACIONES.</w:t>
      </w:r>
      <w:bookmarkEnd w:id="61825"/>
      <w:r>
        <w:rPr>
          <w:rFonts w:hAnsi="Arial"/>
          <w:rFonts w:ascii="Arial"/>
          <w:sz w:val="24"/>
          <w:b/>
          <w:i/>
          <w:color w:val="black"/>
        </w:rPr>
        <w:t xml:space="preserve"> </w:t>
      </w:r>
      <w:r>
        <w:rPr>
          <w:rFonts w:hAnsi="Arial"/>
          <w:rFonts w:ascii="Arial"/>
          <w:sz w:val="24"/>
          <w:color w:val="black"/>
        </w:rPr>
        <w:t xml:space="preserve">Al ingreso a la Policνa Cνvica y una vez aportado el equipo de comunicaciones, el nuevo miembro suscribirα un acta en la cual se comprometerα a devolverlo dentro de los ocho (8) dνas siguientes a su desvinculaciσn o retiro.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A partir del 9 de marzo de 1995 (entrada en vigencia del Decreto </w:t>
      </w:r>
      <w:r>
        <w:fldChar w:fldCharType="begin"/>
      </w:r>
      <w:r>
        <w:instrText>HYPERLINK "http://www.redjurista.com/document.aspx?ajcode=d0431_95&amp;arts=INICIO"</w:instrText>
      </w:r>
      <w:r>
        <w:fldChar w:fldCharType="separate"/>
      </w:r>
      <w:r>
        <w:rPr>
          <w:rFonts w:hAnsi="Arial"/>
          <w:rFonts w:ascii="Arial"/>
          <w:sz w:val="24"/>
          <w:u w:val="single"/>
          <w:color w:val="black"/>
        </w:rPr>
        <w:t>0431</w:t>
      </w:r>
      <w:r>
        <w:fldChar w:fldCharType="end"/>
      </w:r>
      <w:r>
        <w:rPr>
          <w:rFonts w:hAnsi="Arial"/>
          <w:rFonts w:ascii="Arial"/>
          <w:sz w:val="24"/>
          <w:u w:val="none"/>
          <w:color w:val="black"/>
        </w:rPr>
        <w:t xml:space="preserve"> de 1995), todo miembro de la Policνa Cνvica deberα proveerse del correspondiente permiso para portar y utilizar el radio de acuerdo con la reglamentaciσn del Ministerio de Comunicaciones.</w:t>
      </w:r>
    </w:p>
    <w:p>
      <w:pPr>
        <w:jc w:val="both"/>
      </w:pPr>
      <w:rPr>
        <w:sz w:val="24"/>
        <w:color w:val="black"/>
      </w:rPr>
    </w:p>
    <w:p>
      <w:pPr>
        <w:jc w:val="both"/>
      </w:pPr>
      <w:r>
        <w:rPr>
          <w:rFonts w:hAnsi="Arial"/>
          <w:rFonts w:ascii="Arial"/>
          <w:sz w:val="24"/>
          <w:i/>
          <w:color w:val="black"/>
        </w:rPr>
        <w:t xml:space="preserve">(Decreto 0431 de 1995 artνculo </w:t>
      </w:r>
      <w:r>
        <w:fldChar w:fldCharType="begin"/>
      </w:r>
      <w:r>
        <w:instrText>HYPERLINK "http://www.redjurista.com/document.aspx?ajcode=d0431_95&amp;arts=36"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826" w:name="2.5.5.5.9"/>
      <w:r>
        <w:rPr>
          <w:rFonts w:hAnsi="Arial"/>
          <w:rFonts w:ascii="Arial"/>
          <w:sz w:val="24"/>
          <w:color w:val="navy"/>
        </w:rPr>
        <w:t xml:space="preserve">ARTΝCULO 2.5.5.5.9. </w:t>
      </w:r>
      <w:r>
        <w:rPr>
          <w:rFonts w:hAnsi="Arial"/>
          <w:rFonts w:ascii="Arial"/>
          <w:sz w:val="24"/>
          <w:i/>
          <w:color w:val="navy"/>
        </w:rPr>
        <w:t xml:space="preserve">CONGRESO NACIONAL DE POLICΝA CΝVICA.</w:t>
      </w:r>
      <w:bookmarkEnd w:id="61826"/>
      <w:r>
        <w:rPr>
          <w:rFonts w:hAnsi="Arial"/>
          <w:rFonts w:ascii="Arial"/>
          <w:sz w:val="24"/>
          <w:b/>
          <w:i/>
          <w:color w:val="black"/>
        </w:rPr>
        <w:t xml:space="preserve"> </w:t>
      </w:r>
      <w:r>
        <w:rPr>
          <w:rFonts w:hAnsi="Arial"/>
          <w:rFonts w:ascii="Arial"/>
          <w:sz w:val="24"/>
          <w:color w:val="black"/>
        </w:rPr>
        <w:t xml:space="preserve">El Director General de la Policνa Nacional fijarα la fecha para realizar el Congreso Nacional de Policνa Cνvica, en la ciudad que para el efecto se haya escogido como sede. Este evento serα programado y coordinado por el Comandante de Departamento de Policνa o Policνa Metropolitana y por la Policνa Cνvica del respectivo departamento.</w:t>
      </w:r>
    </w:p>
    <w:p>
      <w:pPr>
        <w:jc w:val="both"/>
      </w:pPr>
      <w:rPr>
        <w:sz w:val="24"/>
        <w:color w:val="black"/>
      </w:rPr>
    </w:p>
    <w:p>
      <w:pPr>
        <w:jc w:val="both"/>
      </w:pPr>
      <w:r>
        <w:rPr>
          <w:rFonts w:hAnsi="Arial"/>
          <w:rFonts w:ascii="Arial"/>
          <w:sz w:val="24"/>
          <w:i/>
          <w:color w:val="black"/>
        </w:rPr>
        <w:t xml:space="preserve">(Decreto 0431 de 1995 artνculo </w:t>
      </w:r>
      <w:r>
        <w:fldChar w:fldCharType="begin"/>
      </w:r>
      <w:r>
        <w:instrText>HYPERLINK "http://www.redjurista.com/document.aspx?ajcode=d0431_95&amp;arts=41"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827" w:name="TÍTULO 2.5.6"/>
      <w:r>
        <w:rPr>
          <w:rFonts w:hAnsi="Arial"/>
          <w:rFonts w:ascii="Arial"/>
          <w:sz w:val="24"/>
          <w:color w:val="navy"/>
        </w:rPr>
        <w:t xml:space="preserve">TΝTULO 6. </w:t>
      </w:r>
    </w:p>
    <w:p>
      <w:pPr>
        <w:jc w:val="center"/>
      </w:pPr>
      <w:r>
        <w:rPr>
          <w:rFonts w:hAnsi="Arial"/>
          <w:rFonts w:ascii="Arial"/>
          <w:sz w:val="24"/>
          <w:color w:val="navy"/>
        </w:rPr>
        <w:t xml:space="preserve">SERVICIO MILITAR OBLIGATORIO EN LA POLICΝA NACIONAL.</w:t>
      </w:r>
      <w:bookmarkEnd w:id="6182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828" w:name="CAPÍTULO 2.5.6.1"/>
      <w:r>
        <w:rPr>
          <w:rFonts w:hAnsi="Arial"/>
          <w:rFonts w:ascii="Arial"/>
          <w:sz w:val="24"/>
          <w:color w:val="navy"/>
        </w:rPr>
        <w:t xml:space="preserve">CAPΝTULO 1. </w:t>
      </w:r>
    </w:p>
    <w:p>
      <w:pPr>
        <w:jc w:val="center"/>
      </w:pPr>
      <w:r>
        <w:rPr>
          <w:rFonts w:hAnsi="Arial"/>
          <w:rFonts w:ascii="Arial"/>
          <w:sz w:val="24"/>
          <w:color w:val="navy"/>
        </w:rPr>
        <w:t xml:space="preserve">AUXILIAR DE POLICΝA.</w:t>
      </w:r>
      <w:bookmarkEnd w:id="61828"/>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829" w:name="SECCIÓN 2.5.6.1.1"/>
      <w:r>
        <w:rPr>
          <w:rFonts w:hAnsi="Arial"/>
          <w:rFonts w:ascii="Arial"/>
          <w:sz w:val="24"/>
          <w:color w:val="navy"/>
        </w:rPr>
        <w:t xml:space="preserve">SECCIΣN 1. </w:t>
      </w:r>
    </w:p>
    <w:p>
      <w:pPr>
        <w:jc w:val="center"/>
      </w:pPr>
      <w:r>
        <w:rPr>
          <w:rFonts w:hAnsi="Arial"/>
          <w:rFonts w:ascii="Arial"/>
          <w:sz w:val="24"/>
          <w:color w:val="navy"/>
        </w:rPr>
        <w:t xml:space="preserve">DEFINICIΣN Y OBJETIVO DEL SERVICIO AUXILIAR.</w:t>
      </w:r>
      <w:bookmarkEnd w:id="6182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30" w:name="2.5.6.1.1.1"/>
      <w:r>
        <w:rPr>
          <w:rFonts w:hAnsi="Arial"/>
          <w:rFonts w:ascii="Arial"/>
          <w:sz w:val="24"/>
          <w:color w:val="navy"/>
        </w:rPr>
        <w:t xml:space="preserve">ARTΝCULO 2.5.6.1.1.1. </w:t>
      </w:r>
      <w:r>
        <w:rPr>
          <w:rFonts w:hAnsi="Arial"/>
          <w:rFonts w:ascii="Arial"/>
          <w:sz w:val="24"/>
          <w:i/>
          <w:color w:val="navy"/>
        </w:rPr>
        <w:t xml:space="preserve">SERVICIO AUXILIAR.</w:t>
      </w:r>
      <w:bookmarkEnd w:id="61830"/>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1" w:name="2.5.6.1.1.2"/>
      <w:r>
        <w:rPr>
          <w:rFonts w:hAnsi="Arial"/>
          <w:rFonts w:ascii="Arial"/>
          <w:sz w:val="24"/>
          <w:color w:val="navy"/>
        </w:rPr>
        <w:t xml:space="preserve">ARTΝCULO 2.5.6.1.1.2. </w:t>
      </w:r>
      <w:r>
        <w:rPr>
          <w:rFonts w:hAnsi="Arial"/>
          <w:rFonts w:ascii="Arial"/>
          <w:sz w:val="24"/>
          <w:i/>
          <w:color w:val="navy"/>
        </w:rPr>
        <w:t xml:space="preserve">ESPECIALIDAD DE POLICΝA.</w:t>
      </w:r>
      <w:bookmarkEnd w:id="61831"/>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2" w:name="2.5.6.1.1.3"/>
      <w:r>
        <w:rPr>
          <w:rFonts w:hAnsi="Arial"/>
          <w:rFonts w:ascii="Arial"/>
          <w:sz w:val="24"/>
          <w:color w:val="navy"/>
        </w:rPr>
        <w:t xml:space="preserve">ARTΝCULO 2.5.6.1.1.3. </w:t>
      </w:r>
      <w:r>
        <w:rPr>
          <w:rFonts w:hAnsi="Arial"/>
          <w:rFonts w:ascii="Arial"/>
          <w:sz w:val="24"/>
          <w:i/>
          <w:color w:val="navy"/>
        </w:rPr>
        <w:t xml:space="preserve">PRESTACIΣN DEL SERVICIO AUXILIAR.</w:t>
      </w:r>
      <w:bookmarkEnd w:id="61832"/>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33" w:name="SECCIÓN 2.5.6.1.2"/>
      <w:r>
        <w:rPr>
          <w:rFonts w:hAnsi="Arial"/>
          <w:rFonts w:ascii="Arial"/>
          <w:sz w:val="24"/>
          <w:color w:val="navy"/>
        </w:rPr>
        <w:t xml:space="preserve">SECCIΣN 2. </w:t>
      </w:r>
    </w:p>
    <w:p>
      <w:pPr>
        <w:jc w:val="center"/>
      </w:pPr>
      <w:r>
        <w:rPr>
          <w:rFonts w:hAnsi="Arial"/>
          <w:rFonts w:ascii="Arial"/>
          <w:sz w:val="24"/>
          <w:color w:val="navy"/>
        </w:rPr>
        <w:t xml:space="preserve">DE LA ORGANIZACIΣN.</w:t>
      </w:r>
      <w:bookmarkEnd w:id="6183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34" w:name="2.5.6.1.2.1"/>
      <w:r>
        <w:rPr>
          <w:rFonts w:hAnsi="Arial"/>
          <w:rFonts w:ascii="Arial"/>
          <w:sz w:val="24"/>
          <w:color w:val="navy"/>
        </w:rPr>
        <w:t xml:space="preserve">ARTΝCULO 2.5.6.1.2.1. </w:t>
      </w:r>
      <w:r>
        <w:rPr>
          <w:rFonts w:hAnsi="Arial"/>
          <w:rFonts w:ascii="Arial"/>
          <w:sz w:val="24"/>
          <w:i/>
          <w:color w:val="navy"/>
        </w:rPr>
        <w:t>ORGANIZACIΣN.</w:t>
      </w:r>
      <w:bookmarkEnd w:id="61834"/>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5" w:name="2.5.6.1.2.2"/>
      <w:r>
        <w:rPr>
          <w:rFonts w:hAnsi="Arial"/>
          <w:rFonts w:ascii="Arial"/>
          <w:sz w:val="24"/>
          <w:color w:val="navy"/>
        </w:rPr>
        <w:t xml:space="preserve">ARTΝCULO 2.5.6.1.2.2. </w:t>
      </w:r>
      <w:r>
        <w:rPr>
          <w:rFonts w:hAnsi="Arial"/>
          <w:rFonts w:ascii="Arial"/>
          <w:sz w:val="24"/>
          <w:i/>
          <w:color w:val="navy"/>
        </w:rPr>
        <w:t xml:space="preserve">JURISDICCIΣN Y MANDO.</w:t>
      </w:r>
      <w:bookmarkEnd w:id="61835"/>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6" w:name="2.5.6.1.2.3"/>
      <w:r>
        <w:rPr>
          <w:rFonts w:hAnsi="Arial"/>
          <w:rFonts w:ascii="Arial"/>
          <w:sz w:val="24"/>
          <w:color w:val="navy"/>
        </w:rPr>
        <w:t xml:space="preserve">ARTΝCULO 2.5.6.1.2.3. </w:t>
      </w:r>
      <w:r>
        <w:rPr>
          <w:rFonts w:hAnsi="Arial"/>
          <w:rFonts w:ascii="Arial"/>
          <w:sz w:val="24"/>
          <w:i/>
          <w:color w:val="navy"/>
        </w:rPr>
        <w:t xml:space="preserve">DISCIPLINA, MANDO Y ADMINISTRACIΣN.</w:t>
      </w:r>
      <w:bookmarkEnd w:id="61836"/>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7" w:name="2.5.6.1.2.4"/>
      <w:r>
        <w:rPr>
          <w:rFonts w:hAnsi="Arial"/>
          <w:rFonts w:ascii="Arial"/>
          <w:sz w:val="24"/>
          <w:color w:val="navy"/>
        </w:rPr>
        <w:t xml:space="preserve">ARTΝCULO 2.5.6.1.2.4. </w:t>
      </w:r>
      <w:r>
        <w:rPr>
          <w:rFonts w:hAnsi="Arial"/>
          <w:rFonts w:ascii="Arial"/>
          <w:sz w:val="24"/>
          <w:i/>
          <w:color w:val="navy"/>
        </w:rPr>
        <w:t xml:space="preserve">NORMAS APLICABLES.</w:t>
      </w:r>
      <w:bookmarkEnd w:id="61837"/>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38" w:name="2.5.6.1.2.5"/>
      <w:r>
        <w:rPr>
          <w:rFonts w:hAnsi="Arial"/>
          <w:rFonts w:ascii="Arial"/>
          <w:sz w:val="24"/>
          <w:color w:val="navy"/>
        </w:rPr>
        <w:t xml:space="preserve">ARTΝCULO 2.5.6.1.2.5. </w:t>
      </w:r>
      <w:r>
        <w:rPr>
          <w:rFonts w:hAnsi="Arial"/>
          <w:rFonts w:ascii="Arial"/>
          <w:sz w:val="24"/>
          <w:i/>
          <w:color w:val="navy"/>
        </w:rPr>
        <w:t xml:space="preserve">MANDO Y DISCIPLINA.</w:t>
      </w:r>
      <w:bookmarkEnd w:id="61838"/>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839" w:name="SECCIÓN 2.5.6.1.3"/>
      <w:r>
        <w:rPr>
          <w:rFonts w:hAnsi="Arial"/>
          <w:rFonts w:ascii="Arial"/>
          <w:sz w:val="24"/>
          <w:color w:val="navy"/>
        </w:rPr>
        <w:t xml:space="preserve">SECCIΣN 3. </w:t>
      </w:r>
    </w:p>
    <w:p>
      <w:pPr>
        <w:jc w:val="center"/>
      </w:pPr>
      <w:r>
        <w:rPr>
          <w:rFonts w:hAnsi="Arial"/>
          <w:rFonts w:ascii="Arial"/>
          <w:sz w:val="24"/>
          <w:color w:val="navy"/>
        </w:rPr>
        <w:t xml:space="preserve">ATRIBUCIONES DEL JEFE DEL CUERPO AUXILIAR.</w:t>
      </w:r>
      <w:bookmarkEnd w:id="6183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40" w:name="2.5.6.1.3.1"/>
      <w:r>
        <w:rPr>
          <w:rFonts w:hAnsi="Arial"/>
          <w:rFonts w:ascii="Arial"/>
          <w:sz w:val="24"/>
          <w:color w:val="navy"/>
        </w:rPr>
        <w:t xml:space="preserve">ARTΝCULO 2.5.6.1.3.1. </w:t>
      </w:r>
      <w:r>
        <w:rPr>
          <w:rFonts w:hAnsi="Arial"/>
          <w:rFonts w:ascii="Arial"/>
          <w:sz w:val="24"/>
          <w:i/>
          <w:color w:val="navy"/>
        </w:rPr>
        <w:t>ATRIBUCIONES.</w:t>
      </w:r>
      <w:bookmarkEnd w:id="61840"/>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41" w:name="SECCIÓN 2.5.6.1.4"/>
      <w:r>
        <w:rPr>
          <w:rFonts w:hAnsi="Arial"/>
          <w:rFonts w:ascii="Arial"/>
          <w:sz w:val="24"/>
          <w:color w:val="navy"/>
        </w:rPr>
        <w:t xml:space="preserve">SECCIΣN 4. </w:t>
      </w:r>
    </w:p>
    <w:p>
      <w:pPr>
        <w:jc w:val="center"/>
      </w:pPr>
      <w:r>
        <w:rPr>
          <w:rFonts w:hAnsi="Arial"/>
          <w:rFonts w:ascii="Arial"/>
          <w:sz w:val="24"/>
          <w:color w:val="navy"/>
        </w:rPr>
        <w:t xml:space="preserve">DE LAS INCORPORACIONES EN EL CUERPO AUXILIAR.</w:t>
      </w:r>
      <w:bookmarkEnd w:id="6184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42" w:name="2.5.6.1.4.1"/>
      <w:r>
        <w:rPr>
          <w:rFonts w:hAnsi="Arial"/>
          <w:rFonts w:ascii="Arial"/>
          <w:sz w:val="24"/>
          <w:color w:val="navy"/>
        </w:rPr>
        <w:t xml:space="preserve">ARTΝCULO 2.5.6.1.4.1. </w:t>
      </w:r>
      <w:r>
        <w:rPr>
          <w:rFonts w:hAnsi="Arial"/>
          <w:rFonts w:ascii="Arial"/>
          <w:sz w:val="24"/>
          <w:i/>
          <w:color w:val="navy"/>
        </w:rPr>
        <w:t>INCORPORACIONES.</w:t>
      </w:r>
      <w:bookmarkEnd w:id="61842"/>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43" w:name="2.5.6.1.4.2"/>
      <w:r>
        <w:rPr>
          <w:rFonts w:hAnsi="Arial"/>
          <w:rFonts w:ascii="Arial"/>
          <w:sz w:val="24"/>
          <w:color w:val="navy"/>
        </w:rPr>
        <w:t xml:space="preserve">ARTΝCULO 2.5.6.1.4.2. </w:t>
      </w:r>
      <w:r>
        <w:rPr>
          <w:rFonts w:hAnsi="Arial"/>
          <w:rFonts w:ascii="Arial"/>
          <w:sz w:val="24"/>
          <w:i/>
          <w:color w:val="navy"/>
        </w:rPr>
        <w:t xml:space="preserve">PLANTAS DE PERSONAL.</w:t>
      </w:r>
      <w:bookmarkEnd w:id="61843"/>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44" w:name="2.5.6.1.4.3"/>
      <w:r>
        <w:rPr>
          <w:rFonts w:hAnsi="Arial"/>
          <w:rFonts w:ascii="Arial"/>
          <w:sz w:val="24"/>
          <w:color w:val="navy"/>
        </w:rPr>
        <w:t xml:space="preserve">ARTΝCULO 2.5.6.1.4.3. </w:t>
      </w:r>
      <w:r>
        <w:rPr>
          <w:rFonts w:hAnsi="Arial"/>
          <w:rFonts w:ascii="Arial"/>
          <w:sz w:val="24"/>
          <w:i/>
          <w:color w:val="navy"/>
        </w:rPr>
        <w:t xml:space="preserve">PORCENTAJE DE EFECTIVOS.</w:t>
      </w:r>
      <w:bookmarkEnd w:id="61844"/>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45" w:name="2.5.6.1.4.4"/>
      <w:r>
        <w:rPr>
          <w:rFonts w:hAnsi="Arial"/>
          <w:rFonts w:ascii="Arial"/>
          <w:sz w:val="24"/>
          <w:color w:val="navy"/>
        </w:rPr>
        <w:t xml:space="preserve">ARTΝCULO 2.5.6.1.4.4. </w:t>
      </w:r>
      <w:r>
        <w:rPr>
          <w:rFonts w:hAnsi="Arial"/>
          <w:rFonts w:ascii="Arial"/>
          <w:sz w:val="24"/>
          <w:i/>
          <w:color w:val="navy"/>
        </w:rPr>
        <w:t xml:space="preserve">ORGANISMO DE MOVILIZACIΣN Y RECLUTAMIENTO.</w:t>
      </w:r>
      <w:bookmarkEnd w:id="61845"/>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46" w:name="2.5.6.1.4.5"/>
      <w:r>
        <w:rPr>
          <w:rFonts w:hAnsi="Arial"/>
          <w:rFonts w:ascii="Arial"/>
          <w:sz w:val="24"/>
          <w:color w:val="navy"/>
        </w:rPr>
        <w:t xml:space="preserve">ARTΝCULO 2.5.6.1.4.5. </w:t>
      </w:r>
      <w:r>
        <w:rPr>
          <w:rFonts w:hAnsi="Arial"/>
          <w:rFonts w:ascii="Arial"/>
          <w:sz w:val="24"/>
          <w:i/>
          <w:color w:val="navy"/>
        </w:rPr>
        <w:t xml:space="preserve">COORDINACIONES AUTORIDADES MILITARES.</w:t>
      </w:r>
      <w:bookmarkEnd w:id="61846"/>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47" w:name="2.5.6.1.4.6"/>
      <w:r>
        <w:rPr>
          <w:rFonts w:hAnsi="Arial"/>
          <w:rFonts w:ascii="Arial"/>
          <w:sz w:val="24"/>
          <w:color w:val="navy"/>
        </w:rPr>
        <w:t xml:space="preserve">ARTΝCULO 2.5.6.1.4.6. </w:t>
      </w:r>
      <w:r>
        <w:rPr>
          <w:rFonts w:hAnsi="Arial"/>
          <w:rFonts w:ascii="Arial"/>
          <w:sz w:val="24"/>
          <w:i/>
          <w:color w:val="navy"/>
        </w:rPr>
        <w:t xml:space="preserve">DURACIΣN DEL SERVICIO.</w:t>
      </w:r>
      <w:bookmarkEnd w:id="61847"/>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48" w:name="SECCIÓN 2.5.6.1.5"/>
      <w:r>
        <w:rPr>
          <w:rFonts w:hAnsi="Arial"/>
          <w:rFonts w:ascii="Arial"/>
          <w:sz w:val="24"/>
          <w:color w:val="navy"/>
        </w:rPr>
        <w:t xml:space="preserve">SECCIΣN 5. </w:t>
      </w:r>
    </w:p>
    <w:p>
      <w:pPr>
        <w:jc w:val="center"/>
      </w:pPr>
      <w:r>
        <w:rPr>
          <w:rFonts w:hAnsi="Arial"/>
          <w:rFonts w:ascii="Arial"/>
          <w:sz w:val="24"/>
          <w:color w:val="navy"/>
        </w:rPr>
        <w:t xml:space="preserve">DE LA CAPACITACIΣN DE AUXILIARES.</w:t>
      </w:r>
      <w:bookmarkEnd w:id="6184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49" w:name="2.5.6.1.5.1"/>
      <w:r>
        <w:rPr>
          <w:rFonts w:hAnsi="Arial"/>
          <w:rFonts w:ascii="Arial"/>
          <w:sz w:val="24"/>
          <w:color w:val="navy"/>
        </w:rPr>
        <w:t xml:space="preserve">ARTΝCULO 2.5.6.1.5.1. </w:t>
      </w:r>
      <w:r>
        <w:rPr>
          <w:rFonts w:hAnsi="Arial"/>
          <w:rFonts w:ascii="Arial"/>
          <w:sz w:val="24"/>
          <w:i/>
          <w:color w:val="navy"/>
        </w:rPr>
        <w:t>CAPACITACIΣN.</w:t>
      </w:r>
      <w:bookmarkEnd w:id="61849"/>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0" w:name="2.5.6.1.5.2"/>
      <w:r>
        <w:rPr>
          <w:rFonts w:hAnsi="Arial"/>
          <w:rFonts w:ascii="Arial"/>
          <w:sz w:val="24"/>
          <w:color w:val="navy"/>
        </w:rPr>
        <w:t xml:space="preserve">ARTΝCULO 2.5.6.1.5.2. </w:t>
      </w:r>
      <w:r>
        <w:rPr>
          <w:rFonts w:hAnsi="Arial"/>
          <w:rFonts w:ascii="Arial"/>
          <w:sz w:val="24"/>
          <w:i/>
          <w:color w:val="navy"/>
        </w:rPr>
        <w:t>INSTRUCCIΣN.</w:t>
      </w:r>
      <w:bookmarkEnd w:id="61850"/>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1" w:name="2.5.6.1.5.3"/>
      <w:r>
        <w:rPr>
          <w:rFonts w:hAnsi="Arial"/>
          <w:rFonts w:ascii="Arial"/>
          <w:sz w:val="24"/>
          <w:color w:val="navy"/>
        </w:rPr>
        <w:t xml:space="preserve">ARTΝCULO 2.5.6.1.5.3. </w:t>
      </w:r>
      <w:r>
        <w:rPr>
          <w:rFonts w:hAnsi="Arial"/>
          <w:rFonts w:ascii="Arial"/>
          <w:sz w:val="24"/>
          <w:i/>
          <w:color w:val="navy"/>
        </w:rPr>
        <w:t>DESTINACIΣN.</w:t>
      </w:r>
      <w:bookmarkEnd w:id="61851"/>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52" w:name="SECCIÓN 2.5.6.1.6"/>
      <w:r>
        <w:rPr>
          <w:rFonts w:hAnsi="Arial"/>
          <w:rFonts w:ascii="Arial"/>
          <w:sz w:val="24"/>
          <w:color w:val="navy"/>
        </w:rPr>
        <w:t xml:space="preserve">SECCIΣN 6. </w:t>
      </w:r>
    </w:p>
    <w:p>
      <w:pPr>
        <w:jc w:val="center"/>
      </w:pPr>
      <w:r>
        <w:rPr>
          <w:rFonts w:hAnsi="Arial"/>
          <w:rFonts w:ascii="Arial"/>
          <w:sz w:val="24"/>
          <w:color w:val="navy"/>
        </w:rPr>
        <w:t xml:space="preserve">DE LAS PRESTACIONES.</w:t>
      </w:r>
      <w:bookmarkEnd w:id="6185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53" w:name="2.5.6.1.6.1"/>
      <w:r>
        <w:rPr>
          <w:rFonts w:hAnsi="Arial"/>
          <w:rFonts w:ascii="Arial"/>
          <w:sz w:val="24"/>
          <w:color w:val="navy"/>
        </w:rPr>
        <w:t xml:space="preserve">ARTΝCULO 2.5.6.1.6.1. </w:t>
      </w:r>
      <w:r>
        <w:rPr>
          <w:rFonts w:hAnsi="Arial"/>
          <w:rFonts w:ascii="Arial"/>
          <w:sz w:val="24"/>
          <w:i/>
          <w:color w:val="navy"/>
        </w:rPr>
        <w:t>BONIFICACIONES.</w:t>
      </w:r>
      <w:bookmarkEnd w:id="61853"/>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4" w:name="2.5.6.1.6.2"/>
      <w:r>
        <w:rPr>
          <w:rFonts w:hAnsi="Arial"/>
          <w:rFonts w:ascii="Arial"/>
          <w:sz w:val="24"/>
          <w:color w:val="navy"/>
        </w:rPr>
        <w:t xml:space="preserve">ARTΝCULO 2.5.6.1.6.2. </w:t>
      </w:r>
      <w:r>
        <w:rPr>
          <w:rFonts w:hAnsi="Arial"/>
          <w:rFonts w:ascii="Arial"/>
          <w:sz w:val="24"/>
          <w:i/>
          <w:color w:val="navy"/>
        </w:rPr>
        <w:t>DERECHOS.</w:t>
      </w:r>
      <w:bookmarkEnd w:id="61854"/>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5" w:name="2.5.6.1.6.3"/>
      <w:r>
        <w:rPr>
          <w:rFonts w:hAnsi="Arial"/>
          <w:rFonts w:ascii="Arial"/>
          <w:sz w:val="24"/>
          <w:color w:val="navy"/>
        </w:rPr>
        <w:t xml:space="preserve">ARTΝCULO 2.5.6.1.6.3. </w:t>
      </w:r>
      <w:r>
        <w:rPr>
          <w:rFonts w:hAnsi="Arial"/>
          <w:rFonts w:ascii="Arial"/>
          <w:sz w:val="24"/>
          <w:i/>
          <w:color w:val="navy"/>
        </w:rPr>
        <w:t>PARTIDAS.</w:t>
      </w:r>
      <w:bookmarkEnd w:id="61855"/>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6" w:name="2.5.6.1.6.4"/>
      <w:r>
        <w:rPr>
          <w:rFonts w:hAnsi="Arial"/>
          <w:rFonts w:ascii="Arial"/>
          <w:sz w:val="24"/>
          <w:color w:val="navy"/>
        </w:rPr>
        <w:t xml:space="preserve">ARTΝCULO 2.5.6.1.6.4. </w:t>
      </w:r>
      <w:r>
        <w:rPr>
          <w:rFonts w:hAnsi="Arial"/>
          <w:rFonts w:ascii="Arial"/>
          <w:sz w:val="24"/>
          <w:i/>
          <w:color w:val="navy"/>
        </w:rPr>
        <w:t>BENEFICIOS.</w:t>
      </w:r>
      <w:bookmarkEnd w:id="61856"/>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57" w:name="SECCIÓN 2.5.6.1.7"/>
      <w:r>
        <w:rPr>
          <w:rFonts w:hAnsi="Arial"/>
          <w:rFonts w:ascii="Arial"/>
          <w:sz w:val="24"/>
          <w:color w:val="navy"/>
        </w:rPr>
        <w:t xml:space="preserve">SECCIΣN 7. </w:t>
      </w:r>
    </w:p>
    <w:p>
      <w:pPr>
        <w:jc w:val="center"/>
      </w:pPr>
      <w:r>
        <w:rPr>
          <w:rFonts w:hAnsi="Arial"/>
          <w:rFonts w:ascii="Arial"/>
          <w:sz w:val="24"/>
          <w:color w:val="navy"/>
        </w:rPr>
        <w:t xml:space="preserve">DEL LICENCIAMIENTO.</w:t>
      </w:r>
      <w:bookmarkEnd w:id="6185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58" w:name="2.5.6.1.7.1"/>
      <w:r>
        <w:rPr>
          <w:rFonts w:hAnsi="Arial"/>
          <w:rFonts w:ascii="Arial"/>
          <w:sz w:val="24"/>
          <w:color w:val="navy"/>
        </w:rPr>
        <w:t xml:space="preserve">ARTΝCULO 2.5.6.1.7.1. </w:t>
      </w:r>
      <w:r>
        <w:rPr>
          <w:rFonts w:hAnsi="Arial"/>
          <w:rFonts w:ascii="Arial"/>
          <w:sz w:val="24"/>
          <w:i/>
          <w:color w:val="navy"/>
        </w:rPr>
        <w:t xml:space="preserve">INGRESO CUERPO PROFESIONAL DE LA POLICΝA NACIONAL.</w:t>
      </w:r>
      <w:bookmarkEnd w:id="61858"/>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59" w:name="2.5.6.1.7.2"/>
      <w:r>
        <w:rPr>
          <w:rFonts w:hAnsi="Arial"/>
          <w:rFonts w:ascii="Arial"/>
          <w:sz w:val="24"/>
          <w:color w:val="navy"/>
        </w:rPr>
        <w:t xml:space="preserve">ARTΝCULO 2.5.6.1.7.2. </w:t>
      </w:r>
      <w:r>
        <w:rPr>
          <w:rFonts w:hAnsi="Arial"/>
          <w:rFonts w:ascii="Arial"/>
          <w:sz w:val="24"/>
          <w:i/>
          <w:color w:val="navy"/>
        </w:rPr>
        <w:t xml:space="preserve">TARJETAS MILITARES.</w:t>
      </w:r>
      <w:bookmarkEnd w:id="61859"/>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60" w:name="2.5.6.1.7.3"/>
      <w:r>
        <w:rPr>
          <w:rFonts w:hAnsi="Arial"/>
          <w:rFonts w:ascii="Arial"/>
          <w:sz w:val="24"/>
          <w:color w:val="navy"/>
        </w:rPr>
        <w:t xml:space="preserve">ARTΝCULO 2.5.6.1.7.3. </w:t>
      </w:r>
      <w:r>
        <w:rPr>
          <w:rFonts w:hAnsi="Arial"/>
          <w:rFonts w:ascii="Arial"/>
          <w:sz w:val="24"/>
          <w:i/>
          <w:color w:val="navy"/>
        </w:rPr>
        <w:t>LICENCIAMIENTO.</w:t>
      </w:r>
      <w:bookmarkEnd w:id="61860"/>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61" w:name="SECCIÓN 2.5.6.1.8"/>
      <w:r>
        <w:rPr>
          <w:rFonts w:hAnsi="Arial"/>
          <w:rFonts w:ascii="Arial"/>
          <w:sz w:val="24"/>
          <w:color w:val="navy"/>
        </w:rPr>
        <w:t xml:space="preserve">SECCIΣN 8. </w:t>
      </w:r>
    </w:p>
    <w:p>
      <w:pPr>
        <w:jc w:val="center"/>
      </w:pPr>
      <w:r>
        <w:rPr>
          <w:rFonts w:hAnsi="Arial"/>
          <w:rFonts w:ascii="Arial"/>
          <w:sz w:val="24"/>
          <w:color w:val="navy"/>
        </w:rPr>
        <w:t xml:space="preserve">DISPOSICIONES VARIAS.</w:t>
      </w:r>
      <w:bookmarkEnd w:id="6186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62" w:name="2.5.6.1.8.1"/>
      <w:r>
        <w:rPr>
          <w:rFonts w:hAnsi="Arial"/>
          <w:rFonts w:ascii="Arial"/>
          <w:sz w:val="24"/>
          <w:color w:val="navy"/>
        </w:rPr>
        <w:t xml:space="preserve">ARTΝCULO 2.5.6.1.8.1. </w:t>
      </w:r>
      <w:r>
        <w:rPr>
          <w:rFonts w:hAnsi="Arial"/>
          <w:rFonts w:ascii="Arial"/>
          <w:sz w:val="24"/>
          <w:i/>
          <w:color w:val="navy"/>
        </w:rPr>
        <w:t>COSTOS.</w:t>
      </w:r>
      <w:bookmarkEnd w:id="61862"/>
      <w:r>
        <w:rPr>
          <w:rFonts w:hAnsi="Arial"/>
          <w:rFonts w:ascii="Arial"/>
          <w:sz w:val="24"/>
          <w:b/>
          <w:i/>
          <w:color w:val="black"/>
        </w:rPr>
        <w:t xml:space="preserve"> </w:t>
      </w:r>
      <w:r>
        <w:rPr>
          <w:rFonts w:hAnsi="Arial"/>
          <w:rFonts w:ascii="Arial"/>
          <w:sz w:val="24"/>
          <w:color w:val="black"/>
        </w:rPr>
        <w:t xml:space="preserve">&lt;Decreto 750 de 1977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63" w:name="CAPÍTULO 2.5.6.2"/>
      <w:r>
        <w:rPr>
          <w:rFonts w:hAnsi="Arial"/>
          <w:rFonts w:ascii="Arial"/>
          <w:sz w:val="24"/>
          <w:color w:val="navy"/>
        </w:rPr>
        <w:t xml:space="preserve">CAPΝTULO 2. </w:t>
      </w:r>
    </w:p>
    <w:p>
      <w:pPr>
        <w:jc w:val="center"/>
      </w:pPr>
      <w:r>
        <w:rPr>
          <w:rFonts w:hAnsi="Arial"/>
          <w:rFonts w:ascii="Arial"/>
          <w:sz w:val="24"/>
          <w:color w:val="navy"/>
        </w:rPr>
        <w:t xml:space="preserve">AUXILIAR DE POLICΝA BACHILLER.</w:t>
      </w:r>
      <w:bookmarkEnd w:id="61863"/>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864" w:name="SECCIÓN 2.5.6.2.1"/>
      <w:r>
        <w:rPr>
          <w:rFonts w:hAnsi="Arial"/>
          <w:rFonts w:ascii="Arial"/>
          <w:sz w:val="24"/>
          <w:color w:val="navy"/>
        </w:rPr>
        <w:t xml:space="preserve">SECCIΣN 1. </w:t>
      </w:r>
    </w:p>
    <w:p>
      <w:pPr>
        <w:jc w:val="center"/>
      </w:pPr>
      <w:r>
        <w:rPr>
          <w:rFonts w:hAnsi="Arial"/>
          <w:rFonts w:ascii="Arial"/>
          <w:sz w:val="24"/>
          <w:color w:val="navy"/>
        </w:rPr>
        <w:t xml:space="preserve">DENOMINACIΣN Y OBJETIVO.</w:t>
      </w:r>
      <w:bookmarkEnd w:id="6186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65" w:name="2.5.6.2.1.1"/>
      <w:r>
        <w:rPr>
          <w:rFonts w:hAnsi="Arial"/>
          <w:rFonts w:ascii="Arial"/>
          <w:sz w:val="24"/>
          <w:color w:val="navy"/>
        </w:rPr>
        <w:t xml:space="preserve">ARTΝCULO 2.5.6.2.1.1. </w:t>
      </w:r>
      <w:r>
        <w:rPr>
          <w:rFonts w:hAnsi="Arial"/>
          <w:rFonts w:ascii="Arial"/>
          <w:sz w:val="24"/>
          <w:i/>
          <w:color w:val="navy"/>
        </w:rPr>
        <w:t>DEFINICIΣN.</w:t>
      </w:r>
      <w:bookmarkEnd w:id="61865"/>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66" w:name="2.5.6.2.1.2"/>
      <w:r>
        <w:rPr>
          <w:rFonts w:hAnsi="Arial"/>
          <w:rFonts w:ascii="Arial"/>
          <w:sz w:val="24"/>
          <w:color w:val="navy"/>
        </w:rPr>
        <w:t xml:space="preserve">ARTΝCULO 2.5.6.2.1.2. </w:t>
      </w:r>
      <w:r>
        <w:rPr>
          <w:rFonts w:hAnsi="Arial"/>
          <w:rFonts w:ascii="Arial"/>
          <w:sz w:val="24"/>
          <w:i/>
          <w:color w:val="navy"/>
        </w:rPr>
        <w:t>DENOMINACIΣN.</w:t>
      </w:r>
      <w:bookmarkEnd w:id="61866"/>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67" w:name="2.5.6.2.1.3"/>
      <w:r>
        <w:rPr>
          <w:rFonts w:hAnsi="Arial"/>
          <w:rFonts w:ascii="Arial"/>
          <w:sz w:val="24"/>
          <w:color w:val="navy"/>
        </w:rPr>
        <w:t xml:space="preserve">ARTΝCULO 2.5.6.2.1.3. </w:t>
      </w:r>
      <w:r>
        <w:rPr>
          <w:rFonts w:hAnsi="Arial"/>
          <w:rFonts w:ascii="Arial"/>
          <w:sz w:val="24"/>
          <w:i/>
          <w:color w:val="navy"/>
        </w:rPr>
        <w:t>OBJETIVO.</w:t>
      </w:r>
      <w:bookmarkEnd w:id="61867"/>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868" w:name="SECCIÓN 2.5.6.2.2"/>
      <w:r>
        <w:rPr>
          <w:rFonts w:hAnsi="Arial"/>
          <w:rFonts w:ascii="Arial"/>
          <w:sz w:val="24"/>
          <w:color w:val="navy"/>
        </w:rPr>
        <w:t xml:space="preserve">SECCIΣN 2. </w:t>
      </w:r>
    </w:p>
    <w:p>
      <w:pPr>
        <w:jc w:val="center"/>
      </w:pPr>
      <w:r>
        <w:rPr>
          <w:rFonts w:hAnsi="Arial"/>
          <w:rFonts w:ascii="Arial"/>
          <w:sz w:val="24"/>
          <w:color w:val="navy"/>
        </w:rPr>
        <w:t xml:space="preserve">ORGANIZACIΣN Y ADMINISTRACIΣN.</w:t>
      </w:r>
      <w:bookmarkEnd w:id="6186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69" w:name="2.5.6.2.2.1"/>
      <w:r>
        <w:rPr>
          <w:rFonts w:hAnsi="Arial"/>
          <w:rFonts w:ascii="Arial"/>
          <w:sz w:val="24"/>
          <w:color w:val="navy"/>
        </w:rPr>
        <w:t xml:space="preserve">ARTΝCULO 2.5.6.2.2.1. </w:t>
      </w:r>
      <w:r>
        <w:rPr>
          <w:rFonts w:hAnsi="Arial"/>
          <w:rFonts w:ascii="Arial"/>
          <w:sz w:val="24"/>
          <w:i/>
          <w:color w:val="navy"/>
        </w:rPr>
        <w:t>ADMINISTRACIΣN.</w:t>
      </w:r>
      <w:bookmarkEnd w:id="61869"/>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0" w:name="2.5.6.2.2.2"/>
      <w:r>
        <w:rPr>
          <w:rFonts w:hAnsi="Arial"/>
          <w:rFonts w:ascii="Arial"/>
          <w:sz w:val="24"/>
          <w:color w:val="navy"/>
        </w:rPr>
        <w:t xml:space="preserve">ARTΝCULO 2.5.6.2.2.2. </w:t>
      </w:r>
      <w:r>
        <w:rPr>
          <w:rFonts w:hAnsi="Arial"/>
          <w:rFonts w:ascii="Arial"/>
          <w:sz w:val="24"/>
          <w:i/>
          <w:color w:val="navy"/>
        </w:rPr>
        <w:t xml:space="preserve">JURISDICCIΣN Y MANDO.</w:t>
      </w:r>
      <w:bookmarkEnd w:id="61870"/>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1" w:name="2.5.6.2.2.3"/>
      <w:r>
        <w:rPr>
          <w:rFonts w:hAnsi="Arial"/>
          <w:rFonts w:ascii="Arial"/>
          <w:sz w:val="24"/>
          <w:color w:val="navy"/>
        </w:rPr>
        <w:t xml:space="preserve">ARTΝCULO 2.5.6.2.2.3. </w:t>
      </w:r>
      <w:r>
        <w:rPr>
          <w:rFonts w:hAnsi="Arial"/>
          <w:rFonts w:ascii="Arial"/>
          <w:sz w:val="24"/>
          <w:i/>
          <w:color w:val="navy"/>
        </w:rPr>
        <w:t>NORMAS.</w:t>
      </w:r>
      <w:bookmarkEnd w:id="61871"/>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2" w:name="2.5.6.2.2.4"/>
      <w:r>
        <w:rPr>
          <w:rFonts w:hAnsi="Arial"/>
          <w:rFonts w:ascii="Arial"/>
          <w:sz w:val="24"/>
          <w:color w:val="navy"/>
        </w:rPr>
        <w:t xml:space="preserve">ARTΝCULO 2.5.6.2.2.4. </w:t>
      </w:r>
      <w:r>
        <w:rPr>
          <w:rFonts w:hAnsi="Arial"/>
          <w:rFonts w:ascii="Arial"/>
          <w:sz w:val="24"/>
          <w:i/>
          <w:color w:val="navy"/>
        </w:rPr>
        <w:t xml:space="preserve">LUGAR DE PRESTACIΣN DEL SERVICIO.</w:t>
      </w:r>
      <w:bookmarkEnd w:id="61872"/>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3" w:name="2.5.6.2.2.5"/>
      <w:r>
        <w:rPr>
          <w:rFonts w:hAnsi="Arial"/>
          <w:rFonts w:ascii="Arial"/>
          <w:sz w:val="24"/>
          <w:color w:val="navy"/>
        </w:rPr>
        <w:t xml:space="preserve">ARTΝCULO 2.5.6.2.2.5. </w:t>
      </w:r>
      <w:r>
        <w:rPr>
          <w:rFonts w:hAnsi="Arial"/>
          <w:rFonts w:ascii="Arial"/>
          <w:sz w:val="24"/>
          <w:i/>
          <w:color w:val="navy"/>
        </w:rPr>
        <w:t xml:space="preserve">ELEMENTOS DEL SERVICIO.</w:t>
      </w:r>
      <w:bookmarkEnd w:id="61873"/>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4" w:name="2.5.6.2.2.6"/>
      <w:r>
        <w:rPr>
          <w:rFonts w:hAnsi="Arial"/>
          <w:rFonts w:ascii="Arial"/>
          <w:sz w:val="24"/>
          <w:color w:val="navy"/>
        </w:rPr>
        <w:t xml:space="preserve">ARTΝCULO 2.5.6.2.2.6. </w:t>
      </w:r>
      <w:r>
        <w:rPr>
          <w:rFonts w:hAnsi="Arial"/>
          <w:rFonts w:ascii="Arial"/>
          <w:sz w:val="24"/>
          <w:i/>
          <w:color w:val="navy"/>
        </w:rPr>
        <w:t xml:space="preserve">ATRIBUCIONES DEL DIRECTOR GENERAL.</w:t>
      </w:r>
      <w:bookmarkEnd w:id="61874"/>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5" w:name="2.5.6.2.2.7"/>
      <w:r>
        <w:rPr>
          <w:rFonts w:hAnsi="Arial"/>
          <w:rFonts w:ascii="Arial"/>
          <w:sz w:val="24"/>
          <w:color w:val="navy"/>
        </w:rPr>
        <w:t xml:space="preserve">ARTΝCULO 2.5.6.2.2.7. </w:t>
      </w:r>
      <w:r>
        <w:rPr>
          <w:rFonts w:hAnsi="Arial"/>
          <w:rFonts w:ascii="Arial"/>
          <w:sz w:val="24"/>
          <w:i/>
          <w:color w:val="navy"/>
        </w:rPr>
        <w:t>DURACIΣN.</w:t>
      </w:r>
      <w:bookmarkEnd w:id="61875"/>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76" w:name="SECCIÓN 2.5.6.2.3"/>
      <w:r>
        <w:rPr>
          <w:rFonts w:hAnsi="Arial"/>
          <w:rFonts w:ascii="Arial"/>
          <w:sz w:val="24"/>
          <w:color w:val="navy"/>
        </w:rPr>
        <w:t xml:space="preserve">SECCIΣN 3. </w:t>
      </w:r>
    </w:p>
    <w:p>
      <w:pPr>
        <w:jc w:val="center"/>
      </w:pPr>
      <w:r>
        <w:rPr>
          <w:rFonts w:hAnsi="Arial"/>
          <w:rFonts w:ascii="Arial"/>
          <w:sz w:val="24"/>
          <w:color w:val="navy"/>
        </w:rPr>
        <w:t xml:space="preserve">DEL PERSONAL.</w:t>
      </w:r>
      <w:bookmarkEnd w:id="6187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77" w:name="2.5.6.2.3.1"/>
      <w:r>
        <w:rPr>
          <w:rFonts w:hAnsi="Arial"/>
          <w:rFonts w:ascii="Arial"/>
          <w:sz w:val="24"/>
          <w:color w:val="navy"/>
        </w:rPr>
        <w:t xml:space="preserve">ARTΝCULO 2.5.6.2.3.1. </w:t>
      </w:r>
      <w:r>
        <w:rPr>
          <w:rFonts w:hAnsi="Arial"/>
          <w:rFonts w:ascii="Arial"/>
          <w:sz w:val="24"/>
          <w:i/>
          <w:color w:val="navy"/>
        </w:rPr>
        <w:t xml:space="preserve">INSCRIPCIΣN Y RECLUTAMIENTO.</w:t>
      </w:r>
      <w:bookmarkEnd w:id="61877"/>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8" w:name="2.5.6.2.3.2"/>
      <w:r>
        <w:rPr>
          <w:rFonts w:hAnsi="Arial"/>
          <w:rFonts w:ascii="Arial"/>
          <w:sz w:val="24"/>
          <w:color w:val="navy"/>
        </w:rPr>
        <w:t xml:space="preserve">ARTΝCULO 2.5.6.2.3.2. </w:t>
      </w:r>
      <w:r>
        <w:rPr>
          <w:rFonts w:hAnsi="Arial"/>
          <w:rFonts w:ascii="Arial"/>
          <w:sz w:val="24"/>
          <w:i/>
          <w:color w:val="navy"/>
        </w:rPr>
        <w:t xml:space="preserve">SELECCIΣN E INCORPORACIΣN.</w:t>
      </w:r>
      <w:bookmarkEnd w:id="61878"/>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79" w:name="2.5.6.2.3.3"/>
      <w:r>
        <w:rPr>
          <w:rFonts w:hAnsi="Arial"/>
          <w:rFonts w:ascii="Arial"/>
          <w:sz w:val="24"/>
          <w:color w:val="navy"/>
        </w:rPr>
        <w:t xml:space="preserve">ARTΝCULO 2.5.6.2.3.3. </w:t>
      </w:r>
      <w:r>
        <w:rPr>
          <w:rFonts w:hAnsi="Arial"/>
          <w:rFonts w:ascii="Arial"/>
          <w:sz w:val="24"/>
          <w:i/>
          <w:color w:val="navy"/>
        </w:rPr>
        <w:t>REQUISITOS.</w:t>
      </w:r>
      <w:bookmarkEnd w:id="61879"/>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80" w:name="2.5.6.2.3.4"/>
      <w:r>
        <w:rPr>
          <w:rFonts w:hAnsi="Arial"/>
          <w:rFonts w:ascii="Arial"/>
          <w:sz w:val="24"/>
          <w:color w:val="navy"/>
        </w:rPr>
        <w:t xml:space="preserve">ARTΝCULO 2.5.6.2.3.4. </w:t>
      </w:r>
      <w:r>
        <w:rPr>
          <w:rFonts w:hAnsi="Arial"/>
          <w:rFonts w:ascii="Arial"/>
          <w:sz w:val="24"/>
          <w:i/>
          <w:color w:val="navy"/>
        </w:rPr>
        <w:t xml:space="preserve">INSTRUCCIΣN BΑSICA.</w:t>
      </w:r>
      <w:bookmarkEnd w:id="61880"/>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81" w:name="2.5.6.2.3.5"/>
      <w:r>
        <w:rPr>
          <w:rFonts w:hAnsi="Arial"/>
          <w:rFonts w:ascii="Arial"/>
          <w:sz w:val="24"/>
          <w:color w:val="navy"/>
        </w:rPr>
        <w:t xml:space="preserve">ARTΝCULO 2.5.6.2.3.5. </w:t>
      </w:r>
      <w:r>
        <w:rPr>
          <w:rFonts w:hAnsi="Arial"/>
          <w:rFonts w:ascii="Arial"/>
          <w:sz w:val="24"/>
          <w:i/>
          <w:color w:val="navy"/>
        </w:rPr>
        <w:t xml:space="preserve">MEJOR ALUMNO.</w:t>
      </w:r>
      <w:bookmarkEnd w:id="61881"/>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82" w:name="2.5.6.2.3.6"/>
      <w:r>
        <w:rPr>
          <w:rFonts w:hAnsi="Arial"/>
          <w:rFonts w:ascii="Arial"/>
          <w:sz w:val="24"/>
          <w:color w:val="navy"/>
        </w:rPr>
        <w:t xml:space="preserve">ARTΝCULO 2.5.6.2.3.6. </w:t>
      </w:r>
      <w:r>
        <w:rPr>
          <w:rFonts w:hAnsi="Arial"/>
          <w:rFonts w:ascii="Arial"/>
          <w:sz w:val="24"/>
          <w:i/>
          <w:color w:val="navy"/>
        </w:rPr>
        <w:t xml:space="preserve">CARNΙ DE IDENTIFICACIΣN.</w:t>
      </w:r>
      <w:bookmarkEnd w:id="61882"/>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83" w:name="2.5.6.2.3.7"/>
      <w:r>
        <w:rPr>
          <w:rFonts w:hAnsi="Arial"/>
          <w:rFonts w:ascii="Arial"/>
          <w:sz w:val="24"/>
          <w:color w:val="navy"/>
        </w:rPr>
        <w:t xml:space="preserve">ARTΝCULO 2.5.6.2.3.7. </w:t>
      </w:r>
      <w:r>
        <w:rPr>
          <w:rFonts w:hAnsi="Arial"/>
          <w:rFonts w:ascii="Arial"/>
          <w:sz w:val="24"/>
          <w:i/>
          <w:color w:val="navy"/>
        </w:rPr>
        <w:t>UNIFORMES.</w:t>
      </w:r>
      <w:bookmarkEnd w:id="61883"/>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884" w:name="SECCIÓN 2.5.6.2.4"/>
      <w:r>
        <w:rPr>
          <w:rFonts w:hAnsi="Arial"/>
          <w:rFonts w:ascii="Arial"/>
          <w:sz w:val="24"/>
          <w:color w:val="navy"/>
        </w:rPr>
        <w:t xml:space="preserve">SECCIΣN 4. </w:t>
      </w:r>
    </w:p>
    <w:p>
      <w:pPr>
        <w:jc w:val="center"/>
      </w:pPr>
      <w:r>
        <w:rPr>
          <w:rFonts w:hAnsi="Arial"/>
          <w:rFonts w:ascii="Arial"/>
          <w:sz w:val="24"/>
          <w:color w:val="navy"/>
        </w:rPr>
        <w:t>FUNCIONES.</w:t>
      </w:r>
      <w:bookmarkEnd w:id="6188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85" w:name="2.5.6.2.4.1"/>
      <w:r>
        <w:rPr>
          <w:rFonts w:hAnsi="Arial"/>
          <w:rFonts w:ascii="Arial"/>
          <w:sz w:val="24"/>
          <w:color w:val="navy"/>
        </w:rPr>
        <w:t xml:space="preserve">ARTΝCULO 2.5.6.2.4.1. </w:t>
      </w:r>
      <w:r>
        <w:rPr>
          <w:rFonts w:hAnsi="Arial"/>
          <w:rFonts w:ascii="Arial"/>
          <w:sz w:val="24"/>
          <w:i/>
          <w:color w:val="navy"/>
        </w:rPr>
        <w:t>FUNCIONES.</w:t>
      </w:r>
      <w:bookmarkEnd w:id="61885"/>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886" w:name="SECCIÓN 2.5.6.2.5"/>
      <w:r>
        <w:rPr>
          <w:rFonts w:hAnsi="Arial"/>
          <w:rFonts w:ascii="Arial"/>
          <w:sz w:val="24"/>
          <w:color w:val="navy"/>
        </w:rPr>
        <w:t xml:space="preserve">SECCIΣN 5. </w:t>
      </w:r>
    </w:p>
    <w:p>
      <w:pPr>
        <w:jc w:val="center"/>
      </w:pPr>
      <w:r>
        <w:rPr>
          <w:rFonts w:hAnsi="Arial"/>
          <w:rFonts w:ascii="Arial"/>
          <w:sz w:val="24"/>
          <w:color w:val="navy"/>
        </w:rPr>
        <w:t>PROCEDIMIENTOS.</w:t>
      </w:r>
      <w:bookmarkEnd w:id="6188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87" w:name="2.5.6.2.5.1"/>
      <w:r>
        <w:rPr>
          <w:rFonts w:hAnsi="Arial"/>
          <w:rFonts w:ascii="Arial"/>
          <w:sz w:val="24"/>
          <w:color w:val="navy"/>
        </w:rPr>
        <w:t xml:space="preserve">ARTΝCULO 2.5.6.2.5.1. </w:t>
      </w:r>
      <w:r>
        <w:rPr>
          <w:rFonts w:hAnsi="Arial"/>
          <w:rFonts w:ascii="Arial"/>
          <w:sz w:val="24"/>
          <w:i/>
          <w:color w:val="navy"/>
        </w:rPr>
        <w:t>PROCEDIMIENTOS.</w:t>
      </w:r>
      <w:bookmarkEnd w:id="61887"/>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88" w:name="2.5.6.2.5.2"/>
      <w:r>
        <w:rPr>
          <w:rFonts w:hAnsi="Arial"/>
          <w:rFonts w:ascii="Arial"/>
          <w:sz w:val="24"/>
          <w:color w:val="navy"/>
        </w:rPr>
        <w:t xml:space="preserve">ARTΝCULO 2.5.6.2.5.2. </w:t>
      </w:r>
      <w:r>
        <w:rPr>
          <w:rFonts w:hAnsi="Arial"/>
          <w:rFonts w:ascii="Arial"/>
          <w:sz w:val="24"/>
          <w:i/>
          <w:color w:val="navy"/>
        </w:rPr>
        <w:t>MEDIOS.</w:t>
      </w:r>
      <w:bookmarkEnd w:id="61888"/>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89" w:name="SECCIÓN 2.5.6.2.6"/>
      <w:r>
        <w:rPr>
          <w:rFonts w:hAnsi="Arial"/>
          <w:rFonts w:ascii="Arial"/>
          <w:sz w:val="24"/>
          <w:color w:val="navy"/>
        </w:rPr>
        <w:t xml:space="preserve">SECCIΣN 6. </w:t>
      </w:r>
    </w:p>
    <w:p>
      <w:pPr>
        <w:jc w:val="center"/>
      </w:pPr>
      <w:r>
        <w:rPr>
          <w:rFonts w:hAnsi="Arial"/>
          <w:rFonts w:ascii="Arial"/>
          <w:sz w:val="24"/>
          <w:color w:val="navy"/>
        </w:rPr>
        <w:t xml:space="preserve">RΙGIMEN INTERNO Y DISCIPLINARIO.</w:t>
      </w:r>
      <w:bookmarkEnd w:id="618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90" w:name="2.5.6.2.6.1"/>
      <w:r>
        <w:rPr>
          <w:rFonts w:hAnsi="Arial"/>
          <w:rFonts w:ascii="Arial"/>
          <w:sz w:val="24"/>
          <w:color w:val="navy"/>
        </w:rPr>
        <w:t xml:space="preserve">ARTΝCULO 2.5.6.2.6.1. </w:t>
      </w:r>
      <w:r>
        <w:rPr>
          <w:rFonts w:hAnsi="Arial"/>
          <w:rFonts w:ascii="Arial"/>
          <w:sz w:val="24"/>
          <w:i/>
          <w:color w:val="navy"/>
        </w:rPr>
        <w:t xml:space="preserve">RΙGIMEN INTERNO.</w:t>
      </w:r>
      <w:bookmarkEnd w:id="61890"/>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91" w:name="2.5.6.2.6.2"/>
      <w:r>
        <w:rPr>
          <w:rFonts w:hAnsi="Arial"/>
          <w:rFonts w:ascii="Arial"/>
          <w:sz w:val="24"/>
          <w:color w:val="navy"/>
        </w:rPr>
        <w:t xml:space="preserve">ARTΝCULO 2.5.6.2.6.2. </w:t>
      </w:r>
      <w:r>
        <w:rPr>
          <w:rFonts w:hAnsi="Arial"/>
          <w:rFonts w:ascii="Arial"/>
          <w:sz w:val="24"/>
          <w:i/>
          <w:color w:val="navy"/>
        </w:rPr>
        <w:t>COMPETENCIA.</w:t>
      </w:r>
      <w:bookmarkEnd w:id="61891"/>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892" w:name="SECCIÓN 2.5.6.2.7"/>
      <w:r>
        <w:rPr>
          <w:rFonts w:hAnsi="Arial"/>
          <w:rFonts w:ascii="Arial"/>
          <w:sz w:val="24"/>
          <w:color w:val="navy"/>
        </w:rPr>
        <w:t xml:space="preserve">SECCIΣN 7. </w:t>
      </w:r>
    </w:p>
    <w:p>
      <w:pPr>
        <w:jc w:val="center"/>
      </w:pPr>
      <w:r>
        <w:rPr>
          <w:rFonts w:hAnsi="Arial"/>
          <w:rFonts w:ascii="Arial"/>
          <w:sz w:val="24"/>
          <w:color w:val="navy"/>
        </w:rPr>
        <w:t>PRESTACIONES.</w:t>
      </w:r>
      <w:bookmarkEnd w:id="6189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93" w:name="2.5.6.2.7.1"/>
      <w:r>
        <w:rPr>
          <w:rFonts w:hAnsi="Arial"/>
          <w:rFonts w:ascii="Arial"/>
          <w:sz w:val="24"/>
          <w:color w:val="navy"/>
        </w:rPr>
        <w:t xml:space="preserve">ARTΝCULO 2.5.6.2.7.1. </w:t>
      </w:r>
      <w:r>
        <w:rPr>
          <w:rFonts w:hAnsi="Arial"/>
          <w:rFonts w:ascii="Arial"/>
          <w:sz w:val="24"/>
          <w:i/>
          <w:color w:val="navy"/>
        </w:rPr>
        <w:t>PRESTACIONES.</w:t>
      </w:r>
      <w:bookmarkEnd w:id="61893"/>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94" w:name="2.5.6.2.7.2"/>
      <w:r>
        <w:rPr>
          <w:rFonts w:hAnsi="Arial"/>
          <w:rFonts w:ascii="Arial"/>
          <w:sz w:val="24"/>
          <w:color w:val="navy"/>
        </w:rPr>
        <w:t xml:space="preserve">ARTΝCULO 2.5.6.2.7.2. </w:t>
      </w:r>
      <w:r>
        <w:rPr>
          <w:rFonts w:hAnsi="Arial"/>
          <w:rFonts w:ascii="Arial"/>
          <w:sz w:val="24"/>
          <w:i/>
          <w:color w:val="navy"/>
        </w:rPr>
        <w:t>DOTACIΣN.</w:t>
      </w:r>
      <w:bookmarkEnd w:id="61894"/>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95" w:name="2.5.6.2.7.3"/>
      <w:r>
        <w:rPr>
          <w:rFonts w:hAnsi="Arial"/>
          <w:rFonts w:ascii="Arial"/>
          <w:sz w:val="24"/>
          <w:color w:val="navy"/>
        </w:rPr>
        <w:t xml:space="preserve">ARTΝCULO 2.5.6.2.7.3. </w:t>
      </w:r>
      <w:r>
        <w:rPr>
          <w:rFonts w:hAnsi="Arial"/>
          <w:rFonts w:ascii="Arial"/>
          <w:sz w:val="24"/>
          <w:i/>
          <w:color w:val="navy"/>
        </w:rPr>
        <w:t xml:space="preserve">SERVICIOS MΙDICOS.</w:t>
      </w:r>
      <w:bookmarkEnd w:id="61895"/>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96" w:name="2.5.6.2.7.4"/>
      <w:r>
        <w:rPr>
          <w:rFonts w:hAnsi="Arial"/>
          <w:rFonts w:ascii="Arial"/>
          <w:sz w:val="24"/>
          <w:color w:val="navy"/>
        </w:rPr>
        <w:t xml:space="preserve">ARTΝCULO 2.5.6.2.7.4. </w:t>
      </w:r>
      <w:r>
        <w:rPr>
          <w:rFonts w:hAnsi="Arial"/>
          <w:rFonts w:ascii="Arial"/>
          <w:sz w:val="24"/>
          <w:i/>
          <w:color w:val="navy"/>
        </w:rPr>
        <w:t xml:space="preserve">INCAPACIDADES E INDEMNIZACIONES.</w:t>
      </w:r>
      <w:bookmarkEnd w:id="61896"/>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897" w:name="2.5.6.2.7.5"/>
      <w:r>
        <w:rPr>
          <w:rFonts w:hAnsi="Arial"/>
          <w:rFonts w:ascii="Arial"/>
          <w:sz w:val="24"/>
          <w:color w:val="navy"/>
        </w:rPr>
        <w:t xml:space="preserve">ARTΝCULO 2.5.6.2.7.5. </w:t>
      </w:r>
      <w:r>
        <w:rPr>
          <w:rFonts w:hAnsi="Arial"/>
          <w:rFonts w:ascii="Arial"/>
          <w:sz w:val="24"/>
          <w:i/>
          <w:color w:val="navy"/>
        </w:rPr>
        <w:t xml:space="preserve">PRESTACIONES POR MUERTE O DESAPARECIMIENTO.</w:t>
      </w:r>
      <w:bookmarkEnd w:id="61897"/>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898" w:name="SECCIÓN 2.5.6.2.8"/>
      <w:r>
        <w:rPr>
          <w:rFonts w:hAnsi="Arial"/>
          <w:rFonts w:ascii="Arial"/>
          <w:sz w:val="24"/>
          <w:color w:val="navy"/>
        </w:rPr>
        <w:t xml:space="preserve">SECCIΣN 8. </w:t>
      </w:r>
    </w:p>
    <w:p>
      <w:pPr>
        <w:jc w:val="center"/>
      </w:pPr>
      <w:r>
        <w:rPr>
          <w:rFonts w:hAnsi="Arial"/>
          <w:rFonts w:ascii="Arial"/>
          <w:sz w:val="24"/>
          <w:color w:val="navy"/>
        </w:rPr>
        <w:t xml:space="preserve">DEL LICENCIAMIENTO.</w:t>
      </w:r>
      <w:bookmarkEnd w:id="618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899" w:name="2.5.6.2.8.1"/>
      <w:r>
        <w:rPr>
          <w:rFonts w:hAnsi="Arial"/>
          <w:rFonts w:ascii="Arial"/>
          <w:sz w:val="24"/>
          <w:color w:val="navy"/>
        </w:rPr>
        <w:t xml:space="preserve">ARTΝCULO 2.5.6.2.8.1. </w:t>
      </w:r>
      <w:r>
        <w:rPr>
          <w:rFonts w:hAnsi="Arial"/>
          <w:rFonts w:ascii="Arial"/>
          <w:sz w:val="24"/>
          <w:i/>
          <w:color w:val="navy"/>
        </w:rPr>
        <w:t>LICENCIAMIENTO.</w:t>
      </w:r>
      <w:bookmarkEnd w:id="61899"/>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900" w:name="2.5.6.2.8.2"/>
      <w:r>
        <w:rPr>
          <w:rFonts w:hAnsi="Arial"/>
          <w:rFonts w:ascii="Arial"/>
          <w:sz w:val="24"/>
          <w:color w:val="navy"/>
        </w:rPr>
        <w:t xml:space="preserve">ARTΝCULO 2.5.6.2.8.2. </w:t>
      </w:r>
      <w:r>
        <w:rPr>
          <w:rFonts w:hAnsi="Arial"/>
          <w:rFonts w:ascii="Arial"/>
          <w:sz w:val="24"/>
          <w:i/>
          <w:color w:val="navy"/>
        </w:rPr>
        <w:t>OPORTUNIDAD.</w:t>
      </w:r>
      <w:bookmarkEnd w:id="61900"/>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61901" w:name="SECCIÓN 2.5.6.2.9"/>
      <w:r>
        <w:rPr>
          <w:rFonts w:hAnsi="Arial"/>
          <w:rFonts w:ascii="Arial"/>
          <w:sz w:val="24"/>
          <w:color w:val="navy"/>
        </w:rPr>
        <w:t xml:space="preserve">SECCIΣN 9. </w:t>
      </w:r>
    </w:p>
    <w:p>
      <w:pPr>
        <w:jc w:val="center"/>
      </w:pPr>
      <w:r>
        <w:rPr>
          <w:rFonts w:hAnsi="Arial"/>
          <w:rFonts w:ascii="Arial"/>
          <w:sz w:val="24"/>
          <w:color w:val="navy"/>
        </w:rPr>
        <w:t xml:space="preserve">DISPOSICIONES VARIAS.</w:t>
      </w:r>
      <w:bookmarkEnd w:id="619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02" w:name="2.5.6.2.9.1"/>
      <w:r>
        <w:rPr>
          <w:rFonts w:hAnsi="Arial"/>
          <w:rFonts w:ascii="Arial"/>
          <w:sz w:val="24"/>
          <w:color w:val="navy"/>
        </w:rPr>
        <w:t xml:space="preserve">ARTΝCULO 2.5.6.2.9.1. </w:t>
      </w:r>
      <w:r>
        <w:rPr>
          <w:rFonts w:hAnsi="Arial"/>
          <w:rFonts w:ascii="Arial"/>
          <w:sz w:val="24"/>
          <w:i/>
          <w:color w:val="navy"/>
        </w:rPr>
        <w:t>GASTOS.</w:t>
      </w:r>
      <w:bookmarkEnd w:id="61902"/>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903" w:name="2.5.6.2.9.2"/>
      <w:r>
        <w:rPr>
          <w:rFonts w:hAnsi="Arial"/>
          <w:rFonts w:ascii="Arial"/>
          <w:sz w:val="24"/>
          <w:color w:val="navy"/>
        </w:rPr>
        <w:t xml:space="preserve">ARTΝCULO 2.5.6.2.9.2. </w:t>
      </w:r>
      <w:r>
        <w:rPr>
          <w:rFonts w:hAnsi="Arial"/>
          <w:rFonts w:ascii="Arial"/>
          <w:sz w:val="24"/>
          <w:i/>
          <w:color w:val="navy"/>
        </w:rPr>
        <w:t>COSTOS.</w:t>
      </w:r>
      <w:bookmarkEnd w:id="61903"/>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both"/>
      </w:pPr>
      <w:r>
        <w:rPr>
          <w:rFonts w:hAnsi="Arial"/>
          <w:rFonts w:ascii="Arial"/>
          <w:sz w:val="24"/>
          <w:vanish/>
          <w:color w:val="black"/>
        </w:rPr>
        <w:t>&amp;$</w:t>
      </w:r>
      <w:bookmarkStart w:id="61904" w:name="2.5.6.2.9.3"/>
      <w:r>
        <w:rPr>
          <w:rFonts w:hAnsi="Arial"/>
          <w:rFonts w:ascii="Arial"/>
          <w:sz w:val="24"/>
          <w:color w:val="navy"/>
        </w:rPr>
        <w:t xml:space="preserve">ARTΝCULO 2.5.6.2.9.3. </w:t>
      </w:r>
      <w:r>
        <w:rPr>
          <w:rFonts w:hAnsi="Arial"/>
          <w:rFonts w:ascii="Arial"/>
          <w:sz w:val="24"/>
          <w:i/>
          <w:color w:val="navy"/>
        </w:rPr>
        <w:t>BENEFICIOS.</w:t>
      </w:r>
      <w:bookmarkEnd w:id="61904"/>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
        <w:rPr>
          <w:rFonts w:hAnsi="Arial"/>
          <w:rFonts w:ascii="Arial"/>
          <w:sz w:val="24"/>
          <w:color w:val="black"/>
        </w:rPr>
        <w:t xml:space="preserve">Los Bachilleres que hayan prestado el Servicio Militar en la Policνa Nacional, tendrαn prelaciσn para ingresar a la Instituciσn, previo el lleno de los requisitos establecidos en los respectivo Estatutos de Carrera.</w:t>
      </w:r>
    </w:p>
    <w:p>
      <w:pPr>
        <w:jc w:val="both"/>
      </w:pPr>
      <w:rPr>
        <w:sz w:val="24"/>
        <w:color w:val="black"/>
      </w:rPr>
    </w:p>
    <w:p>
      <w:pPr>
        <w:jc w:val="both"/>
      </w:pPr>
      <w:r>
        <w:rPr>
          <w:rFonts w:hAnsi="Arial"/>
          <w:rFonts w:ascii="Arial"/>
          <w:sz w:val="24"/>
          <w:i/>
          <w:color w:val="black"/>
        </w:rPr>
        <w:t xml:space="preserve">(Decreto 2853 de 1991 artνculo </w:t>
      </w:r>
      <w:r>
        <w:fldChar w:fldCharType="begin"/>
      </w:r>
      <w:r>
        <w:instrText>HYPERLINK "http://www.redjurista.com/document.aspx?ajcode=d2853_91&amp;arts=32"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05" w:name="2.5.6.2.9.4"/>
      <w:r>
        <w:rPr>
          <w:rFonts w:hAnsi="Arial"/>
          <w:rFonts w:ascii="Arial"/>
          <w:sz w:val="24"/>
          <w:color w:val="navy"/>
        </w:rPr>
        <w:t xml:space="preserve">ARTΝCULO 2.5.6.2.9.4. </w:t>
      </w:r>
      <w:r>
        <w:rPr>
          <w:rFonts w:hAnsi="Arial"/>
          <w:rFonts w:ascii="Arial"/>
          <w:sz w:val="24"/>
          <w:i/>
          <w:color w:val="navy"/>
        </w:rPr>
        <w:t>COORDINACIONES.</w:t>
      </w:r>
      <w:bookmarkEnd w:id="61905"/>
      <w:r>
        <w:rPr>
          <w:rFonts w:hAnsi="Arial"/>
          <w:rFonts w:ascii="Arial"/>
          <w:sz w:val="24"/>
          <w:b/>
          <w:i/>
          <w:color w:val="black"/>
        </w:rPr>
        <w:t xml:space="preserve"> </w:t>
      </w:r>
      <w:r>
        <w:rPr>
          <w:rFonts w:hAnsi="Arial"/>
          <w:rFonts w:ascii="Arial"/>
          <w:sz w:val="24"/>
          <w:color w:val="black"/>
        </w:rPr>
        <w:t xml:space="preserve">&lt;Decreto 2853 de 1991 derogado por el artνculo </w:t>
      </w:r>
      <w:r>
        <w:fldChar w:fldCharType="begin"/>
      </w:r>
      <w:r>
        <w:instrText>HYPERLINK "http://www.redjurista.com/document.aspx?ajcode=l1861017&amp;arts=81"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1861 de 2017&gt; </w:t>
      </w:r>
    </w:p>
    <w:p>
      <w:pPr>
        <w:jc w:val="both"/>
      </w:pPr>
      <w:rPr>
        <w:sz w:val="24"/>
        <w:color w:val="black"/>
      </w:rPr>
    </w:p>
    <w:p>
      <w:pPr>
        <w:jc w:val="center"/>
      </w:pPr>
      <w:r>
        <w:rPr>
          <w:rFonts w:hAnsi="Arial"/>
          <w:rFonts w:ascii="Arial"/>
          <w:sz w:val="24"/>
          <w:vanish/>
          <w:color w:val="black"/>
        </w:rPr>
        <w:t>&amp;$</w:t>
      </w:r>
      <w:bookmarkStart w:id="61906" w:name="TÍTULO 2.5.7"/>
      <w:r>
        <w:rPr>
          <w:rFonts w:hAnsi="Arial"/>
          <w:rFonts w:ascii="Arial"/>
          <w:sz w:val="24"/>
          <w:color w:val="navy"/>
        </w:rPr>
        <w:t xml:space="preserve">TΝTULO 7. </w:t>
      </w:r>
    </w:p>
    <w:p>
      <w:pPr>
        <w:jc w:val="center"/>
      </w:pPr>
      <w:r>
        <w:rPr>
          <w:rFonts w:hAnsi="Arial"/>
          <w:rFonts w:ascii="Arial"/>
          <w:sz w:val="24"/>
          <w:color w:val="navy"/>
        </w:rPr>
        <w:t xml:space="preserve">REGLAMENTARIO DEL ARTΝCULO 6o DE LA DECISIΣN NΪMERO 774 DEL 30 DE JULIO DE 2012 DE LA COMUNIDAD ANDINA DE NACIONES Y EL ARTΝCULO 106 DE LA LEY 1450 DE 2011 EN RELACIΣN CON EL USO DE MAQUINARIA PESADA Y SUS PARTES EN ACTIVIDADES MINERAS SIN LAS AUTORIZACIONES Y EXIGENCIAS PREVISTAS EN LA LEY.</w:t>
      </w:r>
      <w:bookmarkEnd w:id="61906"/>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61907" w:name="2.5.7.1"/>
      <w:r>
        <w:rPr>
          <w:rFonts w:hAnsi="Arial"/>
          <w:rFonts w:ascii="Arial"/>
          <w:sz w:val="24"/>
          <w:color w:val="navy"/>
        </w:rPr>
        <w:t xml:space="preserve">ARTΝCULO 2.5.7.1. </w:t>
      </w:r>
      <w:r>
        <w:rPr>
          <w:rFonts w:hAnsi="Arial"/>
          <w:rFonts w:ascii="Arial"/>
          <w:sz w:val="24"/>
          <w:i/>
          <w:color w:val="navy"/>
        </w:rPr>
        <w:t xml:space="preserve">DESTRUCCIΣN DE MAQUINARIA PESADA Y SUS PARTES UTILIZADA EN ACTIVIDADES DE EXPLORACIΣN O EXPLOTACIΣN DE MINERALES SIN LAS AUTORIZACIONES Y EXIGENCIAS PREVISTAS EN LA LEY.</w:t>
      </w:r>
      <w:bookmarkEnd w:id="61907"/>
      <w:r>
        <w:rPr>
          <w:rFonts w:hAnsi="Arial"/>
          <w:rFonts w:ascii="Arial"/>
          <w:sz w:val="24"/>
          <w:b/>
          <w:i/>
          <w:color w:val="black"/>
        </w:rPr>
        <w:t xml:space="preserve"> </w:t>
      </w:r>
      <w:r>
        <w:rPr>
          <w:rFonts w:hAnsi="Arial"/>
          <w:rFonts w:ascii="Arial"/>
          <w:sz w:val="24"/>
          <w:color w:val="black"/>
        </w:rPr>
        <w:t xml:space="preserve">Cuando se realice exploraciσn o explotaciσn de minerales por cualquier persona natural o jurνdica, sin contar con tνtulo minero inscrito en el Registro Minero Nacional y licencia ambiental o su equivalente, cuando esta ϊltima se requiera, procederα la medida de destrucciσn de maquinaria pesada y sus partes prevista en el artνculo </w:t>
      </w:r>
      <w:r>
        <w:fldChar w:fldCharType="begin"/>
      </w:r>
      <w:r>
        <w:instrText>HYPERLINK "http://www.redjurista.com/document.aspx?ajcode=dec774&amp;arts=6"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Decisiσn 774 de 2012 de la Comunidad Andina de Naciones, independientemente de quiιn los tenga en su poder o los haya adquirido.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los efectos del presente Tνtulo entiιndase como maquinaria pesada las dragas, retroexcavadoras, buldσceres u otro tipo de maquinaria para el arranque de minerales, con similares caracterνsticas tιcnicas.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medida de destrucciσn prevista en el artνculo </w:t>
      </w:r>
      <w:r>
        <w:fldChar w:fldCharType="begin"/>
      </w:r>
      <w:r>
        <w:instrText>HYPERLINK "http://www.redjurista.com/document.aspx?ajcode=dec774&amp;arts=6"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Decisiσn 774 de 2012 de la Comunidad Andina de Naciones es autσnoma y no afecta las acciones penales o administrativas en curso o susceptibles de ser iniciadas.</w:t>
      </w:r>
    </w:p>
    <w:p>
      <w:pPr>
        <w:jc w:val="both"/>
      </w:pPr>
      <w:rPr>
        <w:sz w:val="24"/>
        <w:color w:val="black"/>
      </w:rPr>
    </w:p>
    <w:p>
      <w:pPr>
        <w:jc w:val="both"/>
      </w:pPr>
      <w:r>
        <w:rPr>
          <w:rFonts w:hAnsi="Arial"/>
          <w:rFonts w:ascii="Arial"/>
          <w:sz w:val="24"/>
          <w:i/>
          <w:color w:val="black"/>
        </w:rPr>
        <w:t xml:space="preserve">(Decreto 2235 de 2012 artνculo </w:t>
      </w:r>
      <w:r>
        <w:fldChar w:fldCharType="begin"/>
      </w:r>
      <w:r>
        <w:instrText>HYPERLINK "http://www.redjurista.com/document.aspx?ajcode=d2235012&amp;arts=1"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1908" w:name="2.5.7.2"/>
      <w:r>
        <w:rPr>
          <w:rFonts w:hAnsi="Arial"/>
          <w:rFonts w:ascii="Arial"/>
          <w:sz w:val="24"/>
          <w:color w:val="navy"/>
        </w:rPr>
        <w:t xml:space="preserve">ARTΝCULO 2.5.7.2. </w:t>
      </w:r>
      <w:r>
        <w:rPr>
          <w:rFonts w:hAnsi="Arial"/>
          <w:rFonts w:ascii="Arial"/>
          <w:sz w:val="24"/>
          <w:i/>
          <w:color w:val="navy"/>
        </w:rPr>
        <w:t xml:space="preserve">EJECUCIΣN DE LA MEDIDA DE DESTRUCCIΣN.</w:t>
      </w:r>
      <w:bookmarkEnd w:id="6190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"http://www.redjurista.com/document.aspx?ajcode=d1035024&amp;arts=1"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1035 de 2024. El nuevo texto es el siguiente:&gt; La Policνa Nacional, el Ejιrcito Nacional y la Armada Nacional son las autoridades competentes para ejecutar la medida de destrucciσn, inhabilitaciσn o neutralizaciσn de la maquinaria pesada y sus partes, que estι siendo utilizada en actividades de exploraciσn o explotaciσn de minerales sin el correspondiente tνtulo minero inscrito en el Registro Minero Nacional y licencia ambiental, cuando esta ϊltima se requiera, sin perjuicio de la medida de incautaciσn o decomiso en caso de ser procedente.</w:t>
      </w:r>
    </w:p>
    <w:p>
      <w:pPr>
        <w:jc w:val="both"/>
        <w:outlineLvl w:val="1"/>
      </w:pPr>
      <w:rPr>
        <w:sz w:val="24"/>
        <w:color w:val="black"/>
      </w:rPr>
    </w:p>
    <w:p>
      <w:pPr>
        <w:jc w:val="both"/>
        <w:outlineLvl w:val="1"/>
      </w:pPr>
      <w:r>
        <w:rPr>
          <w:rFonts w:hAnsi="Arial"/>
          <w:rFonts w:ascii="Arial"/>
          <w:sz w:val="24"/>
          <w:color w:val="black"/>
        </w:rPr>
        <w:t xml:space="preserve">En caso de flagrancia, la Policνa Nacional, el Ejιrcito Nacional y la Armada Nacional procederαn con la medida de incautaciσn de la maquinaria pesada y sus partes que estι siendo utilizada en actividades de exploraciσn o explotaciσn de minerales, y, al corroborar que no se cuenta con el correspondiente tνtulo minero y licencia ambiental debidamente otorgado por la autoridad competente, se procederα a ejecutar la medida de destrucciσn en caso de ser procedente.</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informaciσn del tνtulo minero y la licencia ambiental, que deben ser verificados para los casos en flagrancia, deberα ser suministrada a la Policνa Nacional, el Ejιrcito Nacional o la Armada Nacional de forma inmediata por parte de las autoridades competentes, para facilitar los procedimientos de destrucciσn de la maquinaria en caso de ser necesario.</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Dentro de los diez (10) dνas hαbiles siguientes a la entrada en vigencia del presente decreto, las autoridades ambientales regionales y urbanas deberαn suministrar al Ministerio de Ambiente y Desarrollo Sostenible la informaciσn actualizada sobre las licencias ambientales vigentes o planes de manejo ambiental otorgados para la actividad minera dentro de su jurisdicciσn. Cada vez que la autoridad ambiental regional o urbana otorgue una nueva licencia ambiental para actividades mineras informarα inmediatamente al Ministerio de Ambiente y Desarrollo Sostenible.</w:t>
      </w:r>
    </w:p>
    <w:p>
      <w:pPr>
        <w:jc w:val="both"/>
      </w:pPr>
    </w:p>
    <w:p>
      <w:pPr>
        <w:jc w:val="both"/>
      </w:pPr>
      <w:r>
        <w:rPr>
          <w:rFonts w:hAnsi="Arial"/>
          <w:rFonts w:ascii="Arial"/>
          <w:sz w:val="24"/>
          <w:vanish/>
          <w:color w:val="black"/>
        </w:rPr>
        <w:t>&amp;$</w:t>
      </w:r>
      <w:bookmarkStart w:id="61909" w:name="2.5.7.3"/>
      <w:r>
        <w:rPr>
          <w:rFonts w:hAnsi="Arial"/>
          <w:rFonts w:ascii="Arial"/>
          <w:sz w:val="24"/>
          <w:color w:val="navy"/>
        </w:rPr>
        <w:t xml:space="preserve">ARTΝCULO 2.5.7.3. </w:t>
      </w:r>
      <w:r>
        <w:rPr>
          <w:rFonts w:hAnsi="Arial"/>
          <w:rFonts w:ascii="Arial"/>
          <w:sz w:val="24"/>
          <w:i/>
          <w:color w:val="navy"/>
        </w:rPr>
        <w:t>OPOSICIΣN.</w:t>
      </w:r>
      <w:bookmarkEnd w:id="6190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"http://www.redjurista.com/document.aspx?ajcode=d1035024&amp;arts=1"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1035 de 2024. El nuevo texto es el siguiente:&gt; Con el fin de salvaguardar los derechos de quienes ejerzan la exploraciσn o explotaciσn de minerales con cumplimiento de los requisitos legales, si, al momento de ejecutar la medida la Policνa Nacional, el Ejιrcito Nacional y la Armada Nacional reciben informaciσn del mero tenedor, poseedor o propietario de la maquinaria sobre la existencia del tνtulo minero y licencia ambiental, o su equivalente, cuando esta ϊltima se requiera, procederα la suspensiσn de la medida de destrucciσn solamente si el respectivo documento es exhibido por el interesado de manera inmediata, sin perjuicio de lo dispuesto en la Ley </w:t>
      </w:r>
      <w:r>
        <w:fldChar w:fldCharType="begin"/>
      </w:r>
      <w:r>
        <w:instrText>HYPERLINK "http://www.redjurista.com/document.aspx?ajcode=l1333009&amp;arts=0"</w:instrText>
      </w:r>
      <w:r>
        <w:fldChar w:fldCharType="separate"/>
      </w:r>
      <w:r>
        <w:rPr>
          <w:rFonts w:hAnsi="Arial"/>
          <w:rFonts w:ascii="Arial"/>
          <w:sz w:val="24"/>
          <w:u w:val="single"/>
          <w:color w:val="black"/>
        </w:rPr>
        <w:t>1333</w:t>
      </w:r>
      <w:r>
        <w:fldChar w:fldCharType="end"/>
      </w:r>
      <w:r>
        <w:rPr>
          <w:rFonts w:hAnsi="Arial"/>
          <w:rFonts w:ascii="Arial"/>
          <w:sz w:val="24"/>
          <w:u w:val="none"/>
          <w:color w:val="black"/>
        </w:rPr>
        <w:t xml:space="preserve"> de 2009. En este caso, procederαn, en el acto, a verificar la informaciσn suministrada con la autoridad competente. De no coincidir con la informaciσn oficial, se ejecutarα la medida.</w:t>
      </w:r>
    </w:p>
    <w:p>
      <w:pPr>
        <w:jc w:val="both"/>
      </w:pPr>
    </w:p>
    <w:p>
      <w:pPr>
        <w:jc w:val="both"/>
      </w:pPr>
      <w:r>
        <w:rPr>
          <w:rFonts w:hAnsi="Arial"/>
          <w:rFonts w:ascii="Arial"/>
          <w:sz w:val="24"/>
          <w:vanish/>
          <w:color w:val="black"/>
        </w:rPr>
        <w:t>&amp;$</w:t>
      </w:r>
      <w:bookmarkStart w:id="61910" w:name="2.5.7.4"/>
      <w:r>
        <w:rPr>
          <w:rFonts w:hAnsi="Arial"/>
          <w:rFonts w:ascii="Arial"/>
          <w:sz w:val="24"/>
          <w:color w:val="navy"/>
        </w:rPr>
        <w:t xml:space="preserve">ARTΝCULO 2.5.7.4. </w:t>
      </w:r>
      <w:r>
        <w:rPr>
          <w:rFonts w:hAnsi="Arial"/>
          <w:rFonts w:ascii="Arial"/>
          <w:sz w:val="24"/>
          <w:i/>
          <w:color w:val="navy"/>
        </w:rPr>
        <w:t xml:space="preserve">REGISTRO E INFORME.</w:t>
      </w:r>
      <w:bookmarkEnd w:id="61910"/>
      <w:r>
        <w:rPr>
          <w:rFonts w:hAnsi="Arial"/>
          <w:rFonts w:ascii="Arial"/>
          <w:sz w:val="24"/>
          <w:b/>
          <w:i/>
          <w:color w:val="black"/>
        </w:rPr>
        <w:t xml:space="preserve"> </w:t>
      </w:r>
      <w:r>
        <w:rPr>
          <w:rFonts w:hAnsi="Arial"/>
          <w:rFonts w:ascii="Arial"/>
          <w:sz w:val="24"/>
          <w:color w:val="black"/>
        </w:rPr>
        <w:t xml:space="preserve">En cada caso de ejecuciσn de la medida de destrucciσn se dejarα constancia mediante informe escrito que contemple, entre otros aspectos, un registro fνlmico y fotogrαfico, asν como la plena identificaciσn de los bienes objeto de destrucciσn.</w:t>
      </w:r>
    </w:p>
    <w:p>
      <w:pPr>
        <w:jc w:val="both"/>
      </w:pPr>
      <w:rPr>
        <w:sz w:val="24"/>
        <w:color w:val="black"/>
      </w:rPr>
    </w:p>
    <w:p>
      <w:pPr>
        <w:jc w:val="both"/>
      </w:pPr>
      <w:r>
        <w:rPr>
          <w:rFonts w:hAnsi="Arial"/>
          <w:rFonts w:ascii="Arial"/>
          <w:sz w:val="24"/>
          <w:i/>
          <w:color w:val="black"/>
        </w:rPr>
        <w:t xml:space="preserve">(Decreto 2235 de 2012 artνculo </w:t>
      </w:r>
      <w:r>
        <w:fldChar w:fldCharType="begin"/>
      </w:r>
      <w:r>
        <w:instrText>HYPERLINK "http://www.redjurista.com/document.aspx?ajcode=d2235012&amp;arts=4"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1911" w:name="TÍTULO 2.5.8"/>
      <w:r>
        <w:rPr>
          <w:rFonts w:hAnsi="Arial"/>
          <w:rFonts w:ascii="Arial"/>
          <w:sz w:val="24"/>
          <w:color w:val="navy"/>
        </w:rPr>
        <w:t xml:space="preserve">TΝTULO 8. </w:t>
      </w:r>
    </w:p>
    <w:p>
      <w:pPr>
        <w:jc w:val="center"/>
      </w:pPr>
      <w:r>
        <w:rPr>
          <w:rFonts w:hAnsi="Arial"/>
          <w:rFonts w:ascii="Arial"/>
          <w:sz w:val="24"/>
          <w:color w:val="navy"/>
        </w:rPr>
        <w:t xml:space="preserve">REGLAMENTACIΣN DE ALGUNAS DISPOSICIONES DEL DECRETO 1212 DE 1990, ESTATUTO DEL PERSONAL DE OFICIALES Y SUBOFICIALES DE LA POLICΝA NACIONAL.</w:t>
      </w:r>
      <w:bookmarkEnd w:id="6191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912" w:name="CAPÍTULO 2.5.8.1"/>
      <w:r>
        <w:rPr>
          <w:rFonts w:hAnsi="Arial"/>
          <w:rFonts w:ascii="Arial"/>
          <w:sz w:val="24"/>
          <w:color w:val="navy"/>
        </w:rPr>
        <w:t xml:space="preserve">CAPΝTULO 1. </w:t>
      </w:r>
    </w:p>
    <w:p>
      <w:pPr>
        <w:jc w:val="center"/>
      </w:pPr>
      <w:r>
        <w:rPr>
          <w:rFonts w:hAnsi="Arial"/>
          <w:rFonts w:ascii="Arial"/>
          <w:sz w:val="24"/>
          <w:color w:val="navy"/>
        </w:rPr>
        <w:t xml:space="preserve">DE LAS ASIGNACIONES, PRIMAS, SUBSIDIOS, PASAJES, Y VIΑTICOS, DESCUENTOS Y DOTACIONES.</w:t>
      </w:r>
      <w:bookmarkEnd w:id="6191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913" w:name="SECCIÓN 2.5.8.1.1"/>
      <w:r>
        <w:rPr>
          <w:rFonts w:hAnsi="Arial"/>
          <w:rFonts w:ascii="Arial"/>
          <w:sz w:val="24"/>
          <w:color w:val="navy"/>
        </w:rPr>
        <w:t xml:space="preserve">SECCIΣN 1. </w:t>
      </w:r>
    </w:p>
    <w:p>
      <w:pPr>
        <w:jc w:val="center"/>
      </w:pPr>
      <w:r>
        <w:rPr>
          <w:rFonts w:hAnsi="Arial"/>
          <w:rFonts w:ascii="Arial"/>
          <w:sz w:val="24"/>
          <w:color w:val="navy"/>
        </w:rPr>
        <w:t xml:space="preserve">ASIGNACIONES PRIMAS Y SUBSIDIOS.</w:t>
      </w:r>
      <w:bookmarkEnd w:id="6191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914" w:name="2.5.8.1.1.1"/>
      <w:r>
        <w:rPr>
          <w:rFonts w:hAnsi="Arial"/>
          <w:rFonts w:ascii="Arial"/>
          <w:sz w:val="24"/>
          <w:color w:val="navy"/>
        </w:rPr>
        <w:t xml:space="preserve">ARTΝCULO 2.5.8.1.1.1. </w:t>
      </w:r>
      <w:r>
        <w:rPr>
          <w:rFonts w:hAnsi="Arial"/>
          <w:rFonts w:ascii="Arial"/>
          <w:sz w:val="24"/>
          <w:i/>
          <w:color w:val="navy"/>
        </w:rPr>
        <w:t xml:space="preserve">PRIMA PARA OFICIALES DE LOS SERVICIOS.</w:t>
      </w:r>
      <w:bookmarkEnd w:id="61914"/>
      <w:r>
        <w:rPr>
          <w:rFonts w:hAnsi="Arial"/>
          <w:rFonts w:ascii="Arial"/>
          <w:sz w:val="24"/>
          <w:b/>
          <w:i/>
          <w:color w:val="black"/>
        </w:rPr>
        <w:t xml:space="preserve"> </w:t>
      </w:r>
      <w:r>
        <w:rPr>
          <w:rFonts w:hAnsi="Arial"/>
          <w:rFonts w:ascii="Arial"/>
          <w:sz w:val="24"/>
          <w:color w:val="black"/>
        </w:rPr>
        <w:t xml:space="preserve">Para el reconocimiento y pago de la prima para Oficiales de los Servicios, consagrada en el artνculo </w:t>
      </w:r>
      <w:r>
        <w:fldChar w:fldCharType="begin"/>
      </w:r>
      <w:r>
        <w:instrText>HYPERLINK "http://www.redjurista.com/document.aspx?ajcode=d1212_90&amp;arts=73"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del Decreto 1212 de 1990, se deberαn cumplir los siguientes requisitos:</w:t>
      </w:r>
    </w:p>
    <w:p>
      <w:pPr>
        <w:jc w:val="both"/>
      </w:pPr>
      <w:rPr>
        <w:sz w:val="24"/>
        <w:color w:val="black"/>
      </w:rPr>
    </w:p>
    <w:p>
      <w:pPr>
        <w:jc w:val="both"/>
      </w:pPr>
      <w:r>
        <w:rPr>
          <w:rFonts w:hAnsi="Arial"/>
          <w:rFonts w:ascii="Arial"/>
          <w:sz w:val="24"/>
          <w:color w:val="black"/>
        </w:rPr>
        <w:t xml:space="preserve">a) Solicitud al Director General de la Policνa Nacional;</w:t>
      </w:r>
    </w:p>
    <w:p>
      <w:pPr>
        <w:jc w:val="both"/>
      </w:pPr>
      <w:rPr>
        <w:sz w:val="24"/>
        <w:color w:val="black"/>
      </w:rPr>
    </w:p>
    <w:p>
      <w:pPr>
        <w:jc w:val="both"/>
      </w:pPr>
      <w:r>
        <w:rPr>
          <w:rFonts w:hAnsi="Arial"/>
          <w:rFonts w:ascii="Arial"/>
          <w:sz w:val="24"/>
          <w:color w:val="black"/>
        </w:rPr>
        <w:t xml:space="preserve">b) Certificaciσn del Director respectivo de la Direcciσn General, del Comandante de Departamento o Policνa Metropolitana o Director de Escuela, segϊn sea el caso, en que conste que el Oficial, labora en su especialidad profesional un tiempo mνnimo igual al que rige para los demαs Oficiales, segϊn el Reglamento de Rιgimen Interno de la respectiva Unidad.</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15" w:name="2.5.8.1.1.2"/>
      <w:r>
        <w:rPr>
          <w:rFonts w:hAnsi="Arial"/>
          <w:rFonts w:ascii="Arial"/>
          <w:sz w:val="24"/>
          <w:color w:val="navy"/>
        </w:rPr>
        <w:t xml:space="preserve">ARTΝCULO 2.5.8.1.1.2. </w:t>
      </w:r>
      <w:r>
        <w:rPr>
          <w:rFonts w:hAnsi="Arial"/>
          <w:rFonts w:ascii="Arial"/>
          <w:sz w:val="24"/>
          <w:i/>
          <w:color w:val="navy"/>
        </w:rPr>
        <w:t xml:space="preserve">SUSPENSIΣN DE LA PRIMA PARA OFICIALES DE LOS SERVICIOS.</w:t>
      </w:r>
      <w:bookmarkEnd w:id="61915"/>
      <w:r>
        <w:rPr>
          <w:rFonts w:hAnsi="Arial"/>
          <w:rFonts w:ascii="Arial"/>
          <w:sz w:val="24"/>
          <w:b/>
          <w:i/>
          <w:color w:val="black"/>
        </w:rPr>
        <w:t xml:space="preserve"> </w:t>
      </w:r>
      <w:r>
        <w:rPr>
          <w:rFonts w:hAnsi="Arial"/>
          <w:rFonts w:ascii="Arial"/>
          <w:sz w:val="24"/>
          <w:color w:val="black"/>
        </w:rPr>
        <w:t xml:space="preserve">Los Oficiales de los Servicios estarαn obligados a solicitar la suspensiσn de la prima de que trata el artνculo </w:t>
      </w:r>
      <w:r>
        <w:fldChar w:fldCharType="begin"/>
      </w:r>
      <w:r>
        <w:instrText>HYPERLINK "http://www.redjurista.com/document.aspx?ajcode=d1212_90&amp;arts=73"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del Decreto 1212 de 1990, cuando no reϊnan los requisitos establecidos para tal efecto en esa disposiciσn, o cuando ocurra cualquiera de los eventos seρalados en el parαgrafo del presente artνculo.</w:t>
      </w:r>
    </w:p>
    <w:p>
      <w:pPr>
        <w:jc w:val="both"/>
      </w:pPr>
      <w:rPr>
        <w:sz w:val="24"/>
        <w:color w:val="black"/>
      </w:rPr>
    </w:p>
    <w:p>
      <w:pPr>
        <w:jc w:val="both"/>
      </w:pPr>
      <w:r>
        <w:rPr>
          <w:rFonts w:hAnsi="Arial"/>
          <w:rFonts w:ascii="Arial"/>
          <w:sz w:val="24"/>
          <w:color w:val="black"/>
        </w:rPr>
        <w:t xml:space="preserve">Quienes no cumplieren esta obligaciσn, deberαn reintegrar con destino al presupuesto de la Policνa Nacional, una suma equivalente a los haberes liquidados en exceso, sin perjuicio de la acciσn disciplinaria que corresponda. Dicha suma serα descontable de los haberes o prestaciones sociales del Oficial mediante Resoluciσn de la Direcciσn General de la Policνa Nacional de conformidad con lo seρalado en el artνculo </w:t>
      </w:r>
      <w:r>
        <w:fldChar w:fldCharType="begin"/>
      </w:r>
      <w:r>
        <w:instrText>HYPERLINK "http://www.redjurista.com/document.aspx?ajcode=d1212_90&amp;arts=154"</w:instrText>
      </w:r>
      <w:r>
        <w:fldChar w:fldCharType="separate"/>
      </w:r>
      <w:r>
        <w:rPr>
          <w:rFonts w:hAnsi="Arial"/>
          <w:rFonts w:ascii="Arial"/>
          <w:sz w:val="24"/>
          <w:u w:val="single"/>
          <w:color w:val="black"/>
        </w:rPr>
        <w:t>154</w:t>
      </w:r>
      <w:r>
        <w:fldChar w:fldCharType="end"/>
      </w:r>
      <w:r>
        <w:rPr>
          <w:rFonts w:hAnsi="Arial"/>
          <w:rFonts w:ascii="Arial"/>
          <w:sz w:val="24"/>
          <w:u w:val="none"/>
          <w:color w:val="black"/>
        </w:rPr>
        <w:t xml:space="preserve"> del Decreto 1212 de 1990.</w:t>
      </w:r>
    </w:p>
    <w:p>
      <w:pPr>
        <w:jc w:val="both"/>
      </w:pPr>
      <w:rPr>
        <w:sz w:val="24"/>
        <w:color w:val="black"/>
      </w:rPr>
    </w:p>
    <w:p>
      <w:pPr>
        <w:jc w:val="both"/>
      </w:pPr>
      <w:r>
        <w:rPr>
          <w:rFonts w:hAnsi="Arial"/>
          <w:rFonts w:ascii="Arial"/>
          <w:sz w:val="24"/>
          <w:color w:val="black"/>
        </w:rPr>
        <w:t xml:space="preserve">Los Comandantes de los Oficiales que disfruten de esta prima deberαn velar por el cumplimiento de los requisitos establecidos. Comprobado su incumplimiento deberαn solicitar a la Direcciσn General de la Policνa Nacional la suspensiσn inmediata del pago de la del correctivo disciplinario a que haya lugar.</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Divisiσn de Sistemas suspenderα automαticamente la liquidaciσn de esta prima cuando el Oficial:</w:t>
      </w:r>
    </w:p>
    <w:p>
      <w:pPr>
        <w:jc w:val="both"/>
      </w:pPr>
      <w:rPr>
        <w:sz w:val="24"/>
        <w:color w:val="black"/>
      </w:rPr>
    </w:p>
    <w:p>
      <w:pPr>
        <w:jc w:val="both"/>
      </w:pPr>
      <w:r>
        <w:rPr>
          <w:rFonts w:hAnsi="Arial"/>
          <w:rFonts w:ascii="Arial"/>
          <w:sz w:val="24"/>
          <w:color w:val="black"/>
        </w:rPr>
        <w:t xml:space="preserve">a) Sea llamado a adelantar curso de capacitaciσn para ascenso;</w:t>
      </w:r>
    </w:p>
    <w:p>
      <w:pPr>
        <w:jc w:val="both"/>
      </w:pPr>
      <w:rPr>
        <w:sz w:val="24"/>
        <w:color w:val="black"/>
      </w:rPr>
    </w:p>
    <w:p>
      <w:pPr>
        <w:jc w:val="both"/>
      </w:pPr>
      <w:r>
        <w:rPr>
          <w:rFonts w:hAnsi="Arial"/>
          <w:rFonts w:ascii="Arial"/>
          <w:sz w:val="24"/>
          <w:color w:val="black"/>
        </w:rPr>
        <w:t xml:space="preserve">b) Cuando sea enviado en comisiσn de estudios en el paνs o en el exterior;</w:t>
      </w:r>
    </w:p>
    <w:p>
      <w:pPr>
        <w:jc w:val="both"/>
      </w:pPr>
      <w:rPr>
        <w:sz w:val="24"/>
        <w:color w:val="black"/>
      </w:rPr>
    </w:p>
    <w:p>
      <w:pPr>
        <w:jc w:val="both"/>
      </w:pPr>
      <w:r>
        <w:rPr>
          <w:rFonts w:hAnsi="Arial"/>
          <w:rFonts w:ascii="Arial"/>
          <w:sz w:val="24"/>
          <w:color w:val="black"/>
        </w:rPr>
        <w:t xml:space="preserve">c) Cuando sea enviado al exterior, por tratamiento mιdico.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16" w:name="2.5.8.1.1.3"/>
      <w:r>
        <w:rPr>
          <w:rFonts w:hAnsi="Arial"/>
          <w:rFonts w:ascii="Arial"/>
          <w:sz w:val="24"/>
          <w:color w:val="navy"/>
        </w:rPr>
        <w:t xml:space="preserve">ARTΝCULO 2.5.8.1.1.3. </w:t>
      </w:r>
      <w:r>
        <w:rPr>
          <w:rFonts w:hAnsi="Arial"/>
          <w:rFonts w:ascii="Arial"/>
          <w:sz w:val="24"/>
          <w:i/>
          <w:color w:val="navy"/>
        </w:rPr>
        <w:t xml:space="preserve">RECONOCIMIENTO DE LA PRIMA DE ESPECIALISTA.</w:t>
      </w:r>
      <w:bookmarkEnd w:id="61916"/>
      <w:r>
        <w:rPr>
          <w:rFonts w:hAnsi="Arial"/>
          <w:rFonts w:ascii="Arial"/>
          <w:sz w:val="24"/>
          <w:b/>
          <w:i/>
          <w:color w:val="black"/>
        </w:rPr>
        <w:t xml:space="preserve"> </w:t>
      </w:r>
      <w:r>
        <w:rPr>
          <w:rFonts w:hAnsi="Arial"/>
          <w:rFonts w:ascii="Arial"/>
          <w:sz w:val="24"/>
          <w:color w:val="black"/>
        </w:rPr>
        <w:t xml:space="preserve">Para el reconocimiento de la prima de especialista que consagra el artνculo </w:t>
      </w:r>
      <w:r>
        <w:fldChar w:fldCharType="begin"/>
      </w:r>
      <w:r>
        <w:instrText>HYPERLINK "http://www.redjurista.com/document.aspx?ajcode=d1212_90&amp;arts=74"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del Decreto 1212 de 1990, los Suboficiales deberαn llenar los siguientes requisitos:</w:t>
      </w:r>
    </w:p>
    <w:p>
      <w:pPr>
        <w:jc w:val="both"/>
      </w:pPr>
      <w:rPr>
        <w:sz w:val="24"/>
        <w:color w:val="black"/>
      </w:rPr>
    </w:p>
    <w:p>
      <w:pPr>
        <w:jc w:val="both"/>
      </w:pPr>
      <w:r>
        <w:rPr>
          <w:rFonts w:hAnsi="Arial"/>
          <w:rFonts w:ascii="Arial"/>
          <w:sz w:val="24"/>
          <w:color w:val="black"/>
        </w:rPr>
        <w:t xml:space="preserve">a) Solicitud al Director General de la Policνa Nacional;</w:t>
      </w:r>
    </w:p>
    <w:p>
      <w:pPr>
        <w:jc w:val="both"/>
      </w:pPr>
      <w:rPr>
        <w:sz w:val="24"/>
        <w:color w:val="black"/>
      </w:rPr>
    </w:p>
    <w:p>
      <w:pPr>
        <w:jc w:val="both"/>
      </w:pPr>
      <w:r>
        <w:rPr>
          <w:rFonts w:hAnsi="Arial"/>
          <w:rFonts w:ascii="Arial"/>
          <w:sz w:val="24"/>
          <w:color w:val="black"/>
        </w:rPr>
        <w:t xml:space="preserve">b) Certificados de estudio que acrediten su especialidad tιcnica;</w:t>
      </w:r>
    </w:p>
    <w:p>
      <w:pPr>
        <w:jc w:val="both"/>
      </w:pPr>
      <w:rPr>
        <w:sz w:val="24"/>
        <w:color w:val="black"/>
      </w:rPr>
    </w:p>
    <w:p>
      <w:pPr>
        <w:jc w:val="both"/>
      </w:pPr>
      <w:r>
        <w:rPr>
          <w:rFonts w:hAnsi="Arial"/>
          <w:rFonts w:ascii="Arial"/>
          <w:sz w:val="24"/>
          <w:color w:val="black"/>
        </w:rPr>
        <w:t xml:space="preserve">c) Constancia del Comandante, Director o Jefe inmediato en la que certifique que labora en su especialidad.</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liquidaciσn de la prima de especialista para los Suboficiales en el grado de Sargento Mayor, se efectuarα automαticamente por parte de la Divisiσn de Sistemas de la Policνa Nacional.</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17" w:name="2.5.8.1.1.4"/>
      <w:r>
        <w:rPr>
          <w:rFonts w:hAnsi="Arial"/>
          <w:rFonts w:ascii="Arial"/>
          <w:sz w:val="24"/>
          <w:color w:val="navy"/>
        </w:rPr>
        <w:t xml:space="preserve">ARTΝCULO 2.5.8.1.1.4. </w:t>
      </w:r>
      <w:r>
        <w:rPr>
          <w:rFonts w:hAnsi="Arial"/>
          <w:rFonts w:ascii="Arial"/>
          <w:sz w:val="24"/>
          <w:i/>
          <w:color w:val="navy"/>
        </w:rPr>
        <w:t xml:space="preserve">SUSPENSIΣN DE LA PRIMA DE ESPECIALISTA.</w:t>
      </w:r>
      <w:bookmarkEnd w:id="61917"/>
      <w:r>
        <w:rPr>
          <w:rFonts w:hAnsi="Arial"/>
          <w:rFonts w:ascii="Arial"/>
          <w:sz w:val="24"/>
          <w:b/>
          <w:i/>
          <w:color w:val="black"/>
        </w:rPr>
        <w:t xml:space="preserve"> </w:t>
      </w:r>
      <w:r>
        <w:rPr>
          <w:rFonts w:hAnsi="Arial"/>
          <w:rFonts w:ascii="Arial"/>
          <w:sz w:val="24"/>
          <w:color w:val="black"/>
        </w:rPr>
        <w:t xml:space="preserve">Cuando un Suboficial pase a desempeρar cargo o funciσn ajena a la especialidad tιcnica que dio lugar al reconocimiento de la prima de especialista, sea llamado a adelantar curso de capacitaciσn o sea enviado en comisiσn de estudios, se suspenderα el goce de dicho beneficio.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18" w:name="2.5.8.1.1.5"/>
      <w:r>
        <w:rPr>
          <w:rFonts w:hAnsi="Arial"/>
          <w:rFonts w:ascii="Arial"/>
          <w:sz w:val="24"/>
          <w:color w:val="navy"/>
        </w:rPr>
        <w:t xml:space="preserve">ARTΝCULO 2.5.8.1.1.5. </w:t>
      </w:r>
      <w:r>
        <w:rPr>
          <w:rFonts w:hAnsi="Arial"/>
          <w:rFonts w:ascii="Arial"/>
          <w:sz w:val="24"/>
          <w:i/>
          <w:color w:val="navy"/>
        </w:rPr>
        <w:t xml:space="preserve">PRIMA DE VUELO.</w:t>
      </w:r>
      <w:bookmarkEnd w:id="61918"/>
      <w:r>
        <w:rPr>
          <w:rFonts w:hAnsi="Arial"/>
          <w:rFonts w:ascii="Arial"/>
          <w:sz w:val="24"/>
          <w:b/>
          <w:i/>
          <w:color w:val="black"/>
        </w:rPr>
        <w:t xml:space="preserve"> </w:t>
      </w:r>
      <w:r>
        <w:rPr>
          <w:rFonts w:hAnsi="Arial"/>
          <w:rFonts w:ascii="Arial"/>
          <w:sz w:val="24"/>
          <w:color w:val="black"/>
        </w:rPr>
        <w:t xml:space="preserve">Para el reconocimiento y pago de la prima de vuelo de que trata el artνculo </w:t>
      </w:r>
      <w:r>
        <w:fldChar w:fldCharType="begin"/>
      </w:r>
      <w:r>
        <w:instrText>HYPERLINK "http://www.redjurista.com/document.aspx?ajcode=d1212_90&amp;arts=75"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del Decreto 1212 de 1990, deberα acreditarse el cumplimiento de los siguientes requisitos:</w:t>
      </w:r>
    </w:p>
    <w:p>
      <w:pPr>
        <w:jc w:val="both"/>
      </w:pPr>
      <w:rPr>
        <w:sz w:val="24"/>
        <w:color w:val="black"/>
      </w:rPr>
    </w:p>
    <w:p>
      <w:pPr>
        <w:jc w:val="both"/>
      </w:pPr>
      <w:r>
        <w:rPr>
          <w:rFonts w:hAnsi="Arial"/>
          <w:rFonts w:ascii="Arial"/>
          <w:sz w:val="24"/>
          <w:color w:val="black"/>
        </w:rPr>
        <w:t xml:space="preserve">a) Solicitud del interesado;</w:t>
      </w:r>
    </w:p>
    <w:p>
      <w:pPr>
        <w:jc w:val="both"/>
      </w:pPr>
      <w:rPr>
        <w:sz w:val="24"/>
        <w:color w:val="black"/>
      </w:rPr>
    </w:p>
    <w:p>
      <w:pPr>
        <w:jc w:val="both"/>
      </w:pPr>
      <w:r>
        <w:rPr>
          <w:rFonts w:hAnsi="Arial"/>
          <w:rFonts w:ascii="Arial"/>
          <w:sz w:val="24"/>
          <w:color w:val="black"/>
        </w:rPr>
        <w:t xml:space="preserve">b) Certificaciσn del Comando del Servicio Aιreo en que conste el nϊmero de horas voladas mensualmente.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el reconocimiento e incremento de la prima de vuelo, el Comando del Servicio Aιreo mensualmente reportarα a la Divisiσn de Sistemas, la relaciσn de Oficiales y Suboficiales que hayan adquirido este derecho.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19" w:name="2.5.8.1.1.6"/>
      <w:r>
        <w:rPr>
          <w:rFonts w:hAnsi="Arial"/>
          <w:rFonts w:ascii="Arial"/>
          <w:sz w:val="24"/>
          <w:color w:val="navy"/>
        </w:rPr>
        <w:t xml:space="preserve">ARTΝCULO 2.5.8.1.1.6. </w:t>
      </w:r>
      <w:r>
        <w:rPr>
          <w:rFonts w:hAnsi="Arial"/>
          <w:rFonts w:ascii="Arial"/>
          <w:sz w:val="24"/>
          <w:i/>
          <w:color w:val="navy"/>
        </w:rPr>
        <w:t xml:space="preserve">PRIMA DE RIESGO.</w:t>
      </w:r>
      <w:bookmarkEnd w:id="61919"/>
      <w:r>
        <w:rPr>
          <w:rFonts w:hAnsi="Arial"/>
          <w:rFonts w:ascii="Arial"/>
          <w:sz w:val="24"/>
          <w:b/>
          <w:i/>
          <w:color w:val="black"/>
        </w:rPr>
        <w:t xml:space="preserve"> </w:t>
      </w:r>
      <w:r>
        <w:rPr>
          <w:rFonts w:hAnsi="Arial"/>
          <w:rFonts w:ascii="Arial"/>
          <w:sz w:val="24"/>
          <w:color w:val="black"/>
        </w:rPr>
        <w:t xml:space="preserve">Para efectos del reconocimiento de prima de riesgo de que trata el artνculo </w:t>
      </w:r>
      <w:r>
        <w:fldChar w:fldCharType="begin"/>
      </w:r>
      <w:r>
        <w:instrText>HYPERLINK "http://www.redjurista.com/document.aspx?ajcode=d1212_90&amp;arts=77"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del Decreto 1212 de 1990, los Oficiales y Suboficiales que presten sus servicios en los grupos de operaciones especiales y antiexplosivos, deberαn llenar los siguientes requisitos:</w:t>
      </w:r>
    </w:p>
    <w:p>
      <w:pPr>
        <w:jc w:val="both"/>
      </w:pPr>
      <w:rPr>
        <w:sz w:val="24"/>
        <w:color w:val="black"/>
      </w:rPr>
    </w:p>
    <w:p>
      <w:pPr>
        <w:jc w:val="both"/>
      </w:pPr>
      <w:r>
        <w:rPr>
          <w:rFonts w:hAnsi="Arial"/>
          <w:rFonts w:ascii="Arial"/>
          <w:sz w:val="24"/>
          <w:color w:val="black"/>
        </w:rPr>
        <w:t xml:space="preserve">a) Adelantar el curso de operaciones especiales o antiexplosivos;</w:t>
      </w:r>
    </w:p>
    <w:p>
      <w:pPr>
        <w:jc w:val="both"/>
      </w:pPr>
      <w:rPr>
        <w:sz w:val="24"/>
        <w:color w:val="black"/>
      </w:rPr>
    </w:p>
    <w:p>
      <w:pPr>
        <w:jc w:val="both"/>
      </w:pPr>
      <w:r>
        <w:rPr>
          <w:rFonts w:hAnsi="Arial"/>
          <w:rFonts w:ascii="Arial"/>
          <w:sz w:val="24"/>
          <w:color w:val="black"/>
        </w:rPr>
        <w:t xml:space="preserve">b) Haber sido reconocida por la Direcciσn General la especialidad correspondiente;</w:t>
      </w:r>
    </w:p>
    <w:p>
      <w:pPr>
        <w:jc w:val="both"/>
      </w:pPr>
      <w:rPr>
        <w:sz w:val="24"/>
        <w:color w:val="black"/>
      </w:rPr>
    </w:p>
    <w:p>
      <w:pPr>
        <w:jc w:val="both"/>
      </w:pPr>
      <w:r>
        <w:rPr>
          <w:rFonts w:hAnsi="Arial"/>
          <w:rFonts w:ascii="Arial"/>
          <w:sz w:val="24"/>
          <w:color w:val="black"/>
        </w:rPr>
        <w:t xml:space="preserve">c) Desempeρarse en la especialidad.</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Directores y Comandantes respectivos reportarαn a la Divisiσn de Sistemas de la Policνa Nacional, la relaciσn mensual del personal que tenga derecho al reconocimiento y pago de la mencionada prima.</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0" w:name="2.5.8.1.1.7"/>
      <w:r>
        <w:rPr>
          <w:rFonts w:hAnsi="Arial"/>
          <w:rFonts w:ascii="Arial"/>
          <w:sz w:val="24"/>
          <w:color w:val="navy"/>
        </w:rPr>
        <w:t xml:space="preserve">ARTΝCULO 2.5.8.1.1.7. </w:t>
      </w:r>
      <w:r>
        <w:rPr>
          <w:rFonts w:hAnsi="Arial"/>
          <w:rFonts w:ascii="Arial"/>
          <w:sz w:val="24"/>
          <w:i/>
          <w:color w:val="navy"/>
        </w:rPr>
        <w:t xml:space="preserve">RECONOCIMIENTO DE LA PRIMA DE ALOJAMIENTO EN EL EXTERIOR.</w:t>
      </w:r>
      <w:bookmarkEnd w:id="61920"/>
      <w:r>
        <w:rPr>
          <w:rFonts w:hAnsi="Arial"/>
          <w:rFonts w:ascii="Arial"/>
          <w:sz w:val="24"/>
          <w:b/>
          <w:i/>
          <w:color w:val="black"/>
        </w:rPr>
        <w:t xml:space="preserve"> </w:t>
      </w:r>
      <w:r>
        <w:rPr>
          <w:rFonts w:hAnsi="Arial"/>
          <w:rFonts w:ascii="Arial"/>
          <w:sz w:val="24"/>
          <w:color w:val="black"/>
        </w:rPr>
        <w:t xml:space="preserve">Para el reconocimiento de la prima de alojamiento a que se refiere el inciso 1 del artνculo </w:t>
      </w:r>
      <w:r>
        <w:fldChar w:fldCharType="begin"/>
      </w:r>
      <w:r>
        <w:instrText>HYPERLINK "http://www.redjurista.com/document.aspx?ajcode=d1212_90&amp;arts=79"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del Decreto 1212 de 1990, el Oficial o Suboficial deberα elevar solicitud a la Direcciσn General de la Policνa Nacional, anexando constancia expedida por el Agente Consular colombiano, acreditado ante el respectivo paνs, sobre el traslado y alojamiento de su familia en la nueva sede.</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1" w:name="2.5.8.1.1.8"/>
      <w:r>
        <w:rPr>
          <w:rFonts w:hAnsi="Arial"/>
          <w:rFonts w:ascii="Arial"/>
          <w:sz w:val="24"/>
          <w:color w:val="navy"/>
        </w:rPr>
        <w:t xml:space="preserve">ARTΝCULO 2.5.8.1.1.8. </w:t>
      </w:r>
      <w:r>
        <w:rPr>
          <w:rFonts w:hAnsi="Arial"/>
          <w:rFonts w:ascii="Arial"/>
          <w:sz w:val="24"/>
          <w:i/>
          <w:color w:val="navy"/>
        </w:rPr>
        <w:t xml:space="preserve">REQUISITOS PARA EL RECONOCIMIENTO DE LA PRIMA DE INSTALACIΣN.</w:t>
      </w:r>
      <w:bookmarkEnd w:id="61921"/>
      <w:r>
        <w:rPr>
          <w:rFonts w:hAnsi="Arial"/>
          <w:rFonts w:ascii="Arial"/>
          <w:sz w:val="24"/>
          <w:b/>
          <w:i/>
          <w:color w:val="black"/>
        </w:rPr>
        <w:t xml:space="preserve"> </w:t>
      </w:r>
      <w:r>
        <w:rPr>
          <w:rFonts w:hAnsi="Arial"/>
          <w:rFonts w:ascii="Arial"/>
          <w:sz w:val="24"/>
          <w:color w:val="black"/>
        </w:rPr>
        <w:t xml:space="preserve">Para el reconocimiento de la prima de instalaciσn consagrada en el artνculo </w:t>
      </w:r>
      <w:r>
        <w:fldChar w:fldCharType="begin"/>
      </w:r>
      <w:r>
        <w:instrText>HYPERLINK "http://www.redjurista.com/document.aspx?ajcode=d1212_90&amp;arts=80"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 1212 de 1990, los Oficiales y Suboficiales de la Policνa Nacional, deberαn elevar solicitud al Director General de la Policνa Nacional, acompaρando constancia de instalaciσn de la familia, expedida por la Oficina de Personal de la reparticiσn de destino o traslado.</w:t>
      </w:r>
    </w:p>
    <w:p>
      <w:pPr>
        <w:jc w:val="both"/>
      </w:pPr>
      <w:rPr>
        <w:sz w:val="24"/>
        <w:color w:val="black"/>
      </w:rPr>
    </w:p>
    <w:p>
      <w:pPr>
        <w:jc w:val="both"/>
      </w:pPr>
      <w:r>
        <w:rPr>
          <w:rFonts w:hAnsi="Arial"/>
          <w:rFonts w:ascii="Arial"/>
          <w:sz w:val="24"/>
          <w:color w:val="black"/>
        </w:rPr>
        <w:t xml:space="preserve">Cuando por exigencias especiales del servicio, el Oficial o Suboficial no pueda llevar a su familia a la nueva guarniciσn, deberα comprobarlo a travιs de un certificado expedido por el respectivo comandante de Unidad o Guarniciσn.</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 por razones ajenas al servicio, el Oficial o Suboficial no traslada a su familia a la nueva sede o guarniciσn, la prima de instalaciσn sσlo se reconocerα en la cuantνa establecida para solteros.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Si el Oficial o Suboficial fuere soltero, la Divisiσn de Sistemas automαticamente reconocerα el derecho tomando la novedad de la Orden Administrativa de personal.</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La prima a que se refiere el presente artνculo se reconoce cuando el traslado se efectϊa:</w:t>
      </w:r>
    </w:p>
    <w:p>
      <w:pPr>
        <w:jc w:val="both"/>
      </w:pPr>
      <w:rPr>
        <w:sz w:val="24"/>
        <w:color w:val="black"/>
      </w:rPr>
    </w:p>
    <w:p>
      <w:pPr>
        <w:jc w:val="both"/>
      </w:pPr>
      <w:r>
        <w:rPr>
          <w:rFonts w:hAnsi="Arial"/>
          <w:rFonts w:ascii="Arial"/>
          <w:sz w:val="24"/>
          <w:color w:val="black"/>
        </w:rPr>
        <w:t xml:space="preserve">a) De un departamento a otro;</w:t>
      </w:r>
    </w:p>
    <w:p>
      <w:pPr>
        <w:jc w:val="both"/>
      </w:pPr>
      <w:rPr>
        <w:sz w:val="24"/>
        <w:color w:val="black"/>
      </w:rPr>
    </w:p>
    <w:p>
      <w:pPr>
        <w:jc w:val="both"/>
      </w:pPr>
      <w:r>
        <w:rPr>
          <w:rFonts w:hAnsi="Arial"/>
          <w:rFonts w:ascii="Arial"/>
          <w:sz w:val="24"/>
          <w:color w:val="black"/>
        </w:rPr>
        <w:t xml:space="preserve">b) Dentro de un departamento de un municipio a otro, en los casos establecidos por la Direcciσn General de la Policνa Nacional.</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Para el reconocimiento y pago de esta prima se tendrα en cuenta los haberes mensuales devengados en la fecha en que se produzca la respectiva novedad.</w:t>
      </w:r>
    </w:p>
    <w:p>
      <w:pPr>
        <w:jc w:val="both"/>
      </w:pPr>
      <w:rPr>
        <w:sz w:val="24"/>
        <w:color w:val="black"/>
      </w:rPr>
    </w:p>
    <w:p>
      <w:pPr>
        <w:jc w:val="both"/>
      </w:pPr>
      <w:r>
        <w:rPr>
          <w:rFonts w:hAnsi="Arial"/>
          <w:rFonts w:ascii="Arial"/>
          <w:sz w:val="24"/>
          <w:color w:val="navy"/>
        </w:rPr>
        <w:t xml:space="preserve">PARΑGRAFO 5o.</w:t>
      </w:r>
      <w:r>
        <w:rPr>
          <w:rFonts w:hAnsi="Arial"/>
          <w:rFonts w:ascii="Arial"/>
          <w:sz w:val="24"/>
          <w:b/>
          <w:color w:val="black"/>
        </w:rPr>
        <w:t xml:space="preserve"> </w:t>
      </w:r>
      <w:r>
        <w:rPr>
          <w:rFonts w:hAnsi="Arial"/>
          <w:rFonts w:ascii="Arial"/>
          <w:sz w:val="24"/>
          <w:color w:val="black"/>
        </w:rPr>
        <w:t xml:space="preserve">Si el traslado se produce del exterior al interior del paνs, la prima de instalaciσn se cancela con los haberes correspondientes al ϊltimo mes de comisiσn.</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2" w:name="2.5.8.1.1.9"/>
      <w:r>
        <w:rPr>
          <w:rFonts w:hAnsi="Arial"/>
          <w:rFonts w:ascii="Arial"/>
          <w:sz w:val="24"/>
          <w:color w:val="navy"/>
        </w:rPr>
        <w:t xml:space="preserve">ARTΝCULO 2.5.8.1.1.9. </w:t>
      </w:r>
      <w:r>
        <w:rPr>
          <w:rFonts w:hAnsi="Arial"/>
          <w:rFonts w:ascii="Arial"/>
          <w:sz w:val="24"/>
          <w:i/>
          <w:color w:val="navy"/>
        </w:rPr>
        <w:t xml:space="preserve">SUBSIDIO FAMILIAR.</w:t>
      </w:r>
      <w:bookmarkEnd w:id="61922"/>
      <w:r>
        <w:rPr>
          <w:rFonts w:hAnsi="Arial"/>
          <w:rFonts w:ascii="Arial"/>
          <w:sz w:val="24"/>
          <w:b/>
          <w:i/>
          <w:color w:val="black"/>
        </w:rPr>
        <w:t xml:space="preserve"> </w:t>
      </w:r>
      <w:r>
        <w:rPr>
          <w:rFonts w:hAnsi="Arial"/>
          <w:rFonts w:ascii="Arial"/>
          <w:sz w:val="24"/>
          <w:color w:val="black"/>
        </w:rPr>
        <w:t xml:space="preserve">Para efectos del reconocimiento del subsidio familiar de que trata el artνculo </w:t>
      </w:r>
      <w:r>
        <w:fldChar w:fldCharType="begin"/>
      </w:r>
      <w:r>
        <w:instrText>HYPERLINK "http://www.redjurista.com/document.aspx?ajcode=d1212_90&amp;arts=82"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Decreto 1212 de 1990, el Oficial o Suboficial formularα por escrito la solicitud a la Direcciσn General de la Policνa Nacional, acompaρada de las actas de registro civil en que conste su matrimonio o el nacimiento de cada una de sus hijos, respectivamente.</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"http://www.redjurista.com/document.aspx?ajcode=d0400_92&amp;arts=55"</w:instrText>
      </w:r>
      <w:r>
        <w:fldChar w:fldCharType="separate"/>
      </w:r>
      <w:r>
        <w:rPr>
          <w:rFonts w:hAnsi="Arial"/>
          <w:rFonts w:ascii="Arial"/>
          <w:sz w:val="24"/>
          <w:i/>
          <w:u w:val="single"/>
          <w:color w:val="black"/>
        </w:rPr>
        <w:t>55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3" w:name="2.5.8.1.1.10"/>
      <w:r>
        <w:rPr>
          <w:rFonts w:hAnsi="Arial"/>
          <w:rFonts w:ascii="Arial"/>
          <w:sz w:val="24"/>
          <w:color w:val="navy"/>
        </w:rPr>
        <w:t xml:space="preserve">ARTΝCULO 2.5.8.1.1.10. </w:t>
      </w:r>
      <w:r>
        <w:rPr>
          <w:rFonts w:hAnsi="Arial"/>
          <w:rFonts w:ascii="Arial"/>
          <w:sz w:val="24"/>
          <w:i/>
          <w:color w:val="navy"/>
        </w:rPr>
        <w:t xml:space="preserve">COMPROBACIΣN DE EXCEPCIONES.</w:t>
      </w:r>
      <w:bookmarkEnd w:id="61923"/>
      <w:r>
        <w:rPr>
          <w:rFonts w:hAnsi="Arial"/>
          <w:rFonts w:ascii="Arial"/>
          <w:sz w:val="24"/>
          <w:b/>
          <w:i/>
          <w:color w:val="black"/>
        </w:rPr>
        <w:t xml:space="preserve"> </w:t>
      </w:r>
      <w:r>
        <w:rPr>
          <w:rFonts w:hAnsi="Arial"/>
          <w:rFonts w:ascii="Arial"/>
          <w:sz w:val="24"/>
          <w:color w:val="black"/>
        </w:rPr>
        <w:t xml:space="preserve">Para comprobar las excepciones de que trata el parαgrafo del artνculo </w:t>
      </w:r>
      <w:r>
        <w:fldChar w:fldCharType="begin"/>
      </w:r>
      <w:r>
        <w:instrText>HYPERLINK "http://www.redjurista.com/document.aspx?ajcode=d1212_90&amp;arts=83"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del Decreto 1212 de 1990, el beneficiario deberα acreditar anualmente ante la Direcciσn de Personal, la condiciσn de estudiante o invαlido para continuar percibiendo el subsidio correspondiente, mediante la presentaciσn de la constancia del establecimiento educativo respectivo o de la Sanidad de la Policνa, segϊn el caso, expedidos con anterioridad no mayor de dos (2) meses.</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4" w:name="2.5.8.1.1.11"/>
      <w:r>
        <w:rPr>
          <w:rFonts w:hAnsi="Arial"/>
          <w:rFonts w:ascii="Arial"/>
          <w:sz w:val="24"/>
          <w:color w:val="navy"/>
        </w:rPr>
        <w:t xml:space="preserve">ARTΝCULO 2.5.8.1.1.11. </w:t>
      </w:r>
      <w:r>
        <w:rPr>
          <w:rFonts w:hAnsi="Arial"/>
          <w:rFonts w:ascii="Arial"/>
          <w:sz w:val="24"/>
          <w:i/>
          <w:color w:val="navy"/>
        </w:rPr>
        <w:t xml:space="preserve">DESCUENTO SUBSIDIO FAMILIAR.</w:t>
      </w:r>
      <w:bookmarkEnd w:id="61924"/>
      <w:r>
        <w:rPr>
          <w:rFonts w:hAnsi="Arial"/>
          <w:rFonts w:ascii="Arial"/>
          <w:sz w:val="24"/>
          <w:b/>
          <w:i/>
          <w:color w:val="black"/>
        </w:rPr>
        <w:t xml:space="preserve"> </w:t>
      </w:r>
      <w:r>
        <w:rPr>
          <w:rFonts w:hAnsi="Arial"/>
          <w:rFonts w:ascii="Arial"/>
          <w:sz w:val="24"/>
          <w:color w:val="black"/>
        </w:rPr>
        <w:t xml:space="preserve">Para aplicar el descuento previsto en el artνculo </w:t>
      </w:r>
      <w:r>
        <w:fldChar w:fldCharType="begin"/>
      </w:r>
      <w:r>
        <w:instrText>HYPERLINK "http://www.redjurista.com/document.aspx?ajcode=d1212_90&amp;arts=85"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del Decreto 1212 de 1990, se ordenarα previamente por el Superior inmediato que el interesado le rinda un informe sobre la causa o causas de su omisiσn, informe que una vez conocido y evaluado por este deberα remitirse a la Direcciσn General de la Policνa Nacional, en donde se elaborarαn las disposiciones de descuento correspondientes, si a ello hubiere lugar. Las sumas descontadas por este concepto ingresarαn al presupuesto de la Policνa Nacional.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Divisiσn de Sistemas suspenderα automαticamente en los porcentajes de ley, el subsidio familiar que se devengue por el hijo que cumpla veintiϊn (21) aρos de edad.</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5" w:name="2.5.8.1.1.12"/>
      <w:r>
        <w:rPr>
          <w:rFonts w:hAnsi="Arial"/>
          <w:rFonts w:ascii="Arial"/>
          <w:sz w:val="24"/>
          <w:color w:val="navy"/>
        </w:rPr>
        <w:t xml:space="preserve">ARTΝCULO 2.5.8.1.1.12. </w:t>
      </w:r>
      <w:r>
        <w:rPr>
          <w:rFonts w:hAnsi="Arial"/>
          <w:rFonts w:ascii="Arial"/>
          <w:sz w:val="24"/>
          <w:i/>
          <w:color w:val="navy"/>
        </w:rPr>
        <w:t xml:space="preserve">PAGO DOBLE DE SUBSIDIO FAMILIAR.</w:t>
      </w:r>
      <w:bookmarkEnd w:id="61925"/>
      <w:r>
        <w:rPr>
          <w:rFonts w:hAnsi="Arial"/>
          <w:rFonts w:ascii="Arial"/>
          <w:sz w:val="24"/>
          <w:b/>
          <w:i/>
          <w:color w:val="black"/>
        </w:rPr>
        <w:t xml:space="preserve"> </w:t>
      </w:r>
      <w:r>
        <w:rPr>
          <w:rFonts w:hAnsi="Arial"/>
          <w:rFonts w:ascii="Arial"/>
          <w:sz w:val="24"/>
          <w:color w:val="black"/>
        </w:rPr>
        <w:t xml:space="preserve">Para hacer efectivo el cumplimiento de lo dispuesto en el artνculo </w:t>
      </w:r>
      <w:r>
        <w:fldChar w:fldCharType="begin"/>
      </w:r>
      <w:r>
        <w:instrText>HYPERLINK "http://www.redjurista.com/document.aspx?ajcode=d1212_90&amp;arts=86"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Decreto 1212 de 1990, el Oficial o Suboficial de la Policνa Nacional deberα informar mediante declaraciσn jurada, rendida ante autoridad competente, si su cσnyuge tiene relaciσn laboral con el Ministerio de Defensa, la Policνa Nacional o alguna entidad oficial, caso en el cual deberα allegar constancia de que este no percibe subsidio familiar.</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"http://www.redjurista.com/document.aspx?ajcode=d0400_92&amp;arts=58"</w:instrText>
      </w:r>
      <w:r>
        <w:fldChar w:fldCharType="separate"/>
      </w:r>
      <w:r>
        <w:rPr>
          <w:rFonts w:hAnsi="Arial"/>
          <w:rFonts w:ascii="Arial"/>
          <w:sz w:val="24"/>
          <w:i/>
          <w:u w:val="single"/>
          <w:color w:val="black"/>
        </w:rPr>
        <w:t>58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6" w:name="2.5.8.1.1.13"/>
      <w:r>
        <w:rPr>
          <w:rFonts w:hAnsi="Arial"/>
          <w:rFonts w:ascii="Arial"/>
          <w:sz w:val="24"/>
          <w:color w:val="navy"/>
        </w:rPr>
        <w:t xml:space="preserve">ARTΝCULO 2.5.8.1.1.13. </w:t>
      </w:r>
      <w:r>
        <w:rPr>
          <w:rFonts w:hAnsi="Arial"/>
          <w:rFonts w:ascii="Arial"/>
          <w:sz w:val="24"/>
          <w:i/>
          <w:color w:val="navy"/>
        </w:rPr>
        <w:t xml:space="preserve">PARTIDA DE ALIMENTACIΣN.</w:t>
      </w:r>
      <w:bookmarkEnd w:id="61926"/>
      <w:r>
        <w:rPr>
          <w:rFonts w:hAnsi="Arial"/>
          <w:rFonts w:ascii="Arial"/>
          <w:sz w:val="24"/>
          <w:b/>
          <w:i/>
          <w:color w:val="black"/>
        </w:rPr>
        <w:t xml:space="preserve"> </w:t>
      </w:r>
      <w:r>
        <w:rPr>
          <w:rFonts w:hAnsi="Arial"/>
          <w:rFonts w:ascii="Arial"/>
          <w:sz w:val="24"/>
          <w:color w:val="black"/>
        </w:rPr>
        <w:t xml:space="preserve">Los Comandantes de Departamentos de Policνa reportarαn por intermedio de la Secciσn de Sistemas de la Unidad, mensualmente como novedad, la relaciσn del personal de Oficiales y Suboficiales que tengan derecho a la partida de alimentaciσn.</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"http://www.redjurista.com/document.aspx?ajcode=d0400_92&amp;arts=59"</w:instrText>
      </w:r>
      <w:r>
        <w:fldChar w:fldCharType="separate"/>
      </w:r>
      <w:r>
        <w:rPr>
          <w:rFonts w:hAnsi="Arial"/>
          <w:rFonts w:ascii="Arial"/>
          <w:sz w:val="24"/>
          <w:i/>
          <w:u w:val="single"/>
          <w:color w:val="black"/>
        </w:rPr>
        <w:t>59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27" w:name="SECCIÓN 2.5.8.1.2"/>
      <w:r>
        <w:rPr>
          <w:rFonts w:hAnsi="Arial"/>
          <w:rFonts w:ascii="Arial"/>
          <w:sz w:val="24"/>
          <w:color w:val="navy"/>
        </w:rPr>
        <w:t xml:space="preserve">SECCIΣN 2. </w:t>
      </w:r>
    </w:p>
    <w:p>
      <w:pPr>
        <w:jc w:val="center"/>
      </w:pPr>
      <w:r>
        <w:rPr>
          <w:rFonts w:hAnsi="Arial"/>
          <w:rFonts w:ascii="Arial"/>
          <w:sz w:val="24"/>
          <w:color w:val="navy"/>
        </w:rPr>
        <w:t>DOTACIONES.</w:t>
      </w:r>
      <w:bookmarkEnd w:id="6192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28" w:name="2.5.8.1.2.1"/>
      <w:r>
        <w:rPr>
          <w:rFonts w:hAnsi="Arial"/>
          <w:rFonts w:ascii="Arial"/>
          <w:sz w:val="24"/>
          <w:color w:val="navy"/>
        </w:rPr>
        <w:t xml:space="preserve">ARTΝCULO 2.5.8.1.2.1. </w:t>
      </w:r>
      <w:r>
        <w:rPr>
          <w:rFonts w:hAnsi="Arial"/>
          <w:rFonts w:ascii="Arial"/>
          <w:sz w:val="24"/>
          <w:i/>
          <w:color w:val="navy"/>
        </w:rPr>
        <w:t xml:space="preserve">DOTACIΣN ANUAL DE VESTUARIO Y EQUIPO.</w:t>
      </w:r>
      <w:bookmarkEnd w:id="61928"/>
      <w:r>
        <w:rPr>
          <w:rFonts w:hAnsi="Arial"/>
          <w:rFonts w:ascii="Arial"/>
          <w:sz w:val="24"/>
          <w:b/>
          <w:i/>
          <w:color w:val="black"/>
        </w:rPr>
        <w:t xml:space="preserve"> </w:t>
      </w:r>
      <w:r>
        <w:rPr>
          <w:rFonts w:hAnsi="Arial"/>
          <w:rFonts w:ascii="Arial"/>
          <w:sz w:val="24"/>
          <w:color w:val="black"/>
        </w:rPr>
        <w:t xml:space="preserve">El Ministerio de Defensa Nacional fijarα anualmente la dotaciσn de vestuario y equipo a que tienen derecho los Oficiales y Suboficiales en servicio activo.</w:t>
      </w:r>
    </w:p>
    <w:p>
      <w:pPr>
        <w:jc w:val="both"/>
      </w:pPr>
      <w:rPr>
        <w:sz w:val="24"/>
        <w:color w:val="black"/>
      </w:rPr>
    </w:p>
    <w:p>
      <w:pPr>
        <w:jc w:val="both"/>
      </w:pPr>
      <w:r>
        <w:rPr>
          <w:rFonts w:hAnsi="Arial"/>
          <w:rFonts w:ascii="Arial"/>
          <w:sz w:val="24"/>
          <w:color w:val="black"/>
        </w:rPr>
        <w:t xml:space="preserve">Esta partida serα acumulada de un aρo para otro, pero no serα compensada en dinero.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"http://www.redjurista.com/document.aspx?ajcode=d0400_92&amp;arts=60"</w:instrText>
      </w:r>
      <w:r>
        <w:fldChar w:fldCharType="separate"/>
      </w:r>
      <w:r>
        <w:rPr>
          <w:rFonts w:hAnsi="Arial"/>
          <w:rFonts w:ascii="Arial"/>
          <w:sz w:val="24"/>
          <w:i/>
          <w:u w:val="single"/>
          <w:color w:val="black"/>
        </w:rPr>
        <w:t>60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29" w:name="2.5.8.1.2.2"/>
      <w:r>
        <w:rPr>
          <w:rFonts w:hAnsi="Arial"/>
          <w:rFonts w:ascii="Arial"/>
          <w:sz w:val="24"/>
          <w:color w:val="navy"/>
        </w:rPr>
        <w:t xml:space="preserve">ARTΝCULO 2.5.8.1.2.2. </w:t>
      </w:r>
      <w:r>
        <w:rPr>
          <w:rFonts w:hAnsi="Arial"/>
          <w:rFonts w:ascii="Arial"/>
          <w:sz w:val="24"/>
          <w:i/>
          <w:color w:val="navy"/>
        </w:rPr>
        <w:t xml:space="preserve">DEVOLUCIΣN DE DOTACIONES.</w:t>
      </w:r>
      <w:bookmarkEnd w:id="61929"/>
      <w:r>
        <w:rPr>
          <w:rFonts w:hAnsi="Arial"/>
          <w:rFonts w:ascii="Arial"/>
          <w:sz w:val="24"/>
          <w:b/>
          <w:i/>
          <w:color w:val="black"/>
        </w:rPr>
        <w:t xml:space="preserve"> </w:t>
      </w:r>
      <w:r>
        <w:rPr>
          <w:rFonts w:hAnsi="Arial"/>
          <w:rFonts w:ascii="Arial"/>
          <w:sz w:val="24"/>
          <w:color w:val="black"/>
        </w:rPr>
        <w:t xml:space="preserve">Los Oficiales y Suboficiales que se retiren o sean retirados por cualquier causa de la Policνa Nacional, deberαn devolver al almacenista de la dependencia donde laboren las dotaciones iniciales, adicionales o especiales que tengan en su poder, cualquiera que sea el estado en que se encuentren.</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"http://www.redjurista.com/document.aspx?ajcode=d0400_92&amp;arts=61"</w:instrText>
      </w:r>
      <w:r>
        <w:fldChar w:fldCharType="separate"/>
      </w:r>
      <w:r>
        <w:rPr>
          <w:rFonts w:hAnsi="Arial"/>
          <w:rFonts w:ascii="Arial"/>
          <w:sz w:val="24"/>
          <w:i/>
          <w:u w:val="single"/>
          <w:color w:val="black"/>
        </w:rPr>
        <w:t>61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30" w:name="CAPÍTULO 2.5.8.2"/>
      <w:r>
        <w:rPr>
          <w:rFonts w:hAnsi="Arial"/>
          <w:rFonts w:ascii="Arial"/>
          <w:sz w:val="24"/>
          <w:color w:val="navy"/>
        </w:rPr>
        <w:t xml:space="preserve">CAPΝTULO 2. </w:t>
      </w:r>
    </w:p>
    <w:p>
      <w:pPr>
        <w:jc w:val="center"/>
      </w:pPr>
      <w:r>
        <w:rPr>
          <w:rFonts w:hAnsi="Arial"/>
          <w:rFonts w:ascii="Arial"/>
          <w:sz w:val="24"/>
          <w:color w:val="navy"/>
        </w:rPr>
        <w:t xml:space="preserve">DE LAS PRESTACIONES SOCIALES.</w:t>
      </w:r>
      <w:bookmarkEnd w:id="61930"/>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931" w:name="SECCIÓN 2.5.8.2.1"/>
      <w:r>
        <w:rPr>
          <w:rFonts w:hAnsi="Arial"/>
          <w:rFonts w:ascii="Arial"/>
          <w:sz w:val="24"/>
          <w:color w:val="navy"/>
        </w:rPr>
        <w:t xml:space="preserve">SECCIΣN 1. </w:t>
      </w:r>
    </w:p>
    <w:p>
      <w:pPr>
        <w:jc w:val="center"/>
      </w:pPr>
      <w:r>
        <w:rPr>
          <w:rFonts w:hAnsi="Arial"/>
          <w:rFonts w:ascii="Arial"/>
          <w:sz w:val="24"/>
          <w:color w:val="navy"/>
        </w:rPr>
        <w:t xml:space="preserve">PRESTACIONES EN ACTIVIDAD.</w:t>
      </w:r>
      <w:bookmarkEnd w:id="6193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32" w:name="2.5.8.2.1.1"/>
      <w:r>
        <w:rPr>
          <w:rFonts w:hAnsi="Arial"/>
          <w:rFonts w:ascii="Arial"/>
          <w:sz w:val="24"/>
          <w:color w:val="navy"/>
        </w:rPr>
        <w:t xml:space="preserve">ARTΝCULO 2.5.8.2.1.1. </w:t>
      </w:r>
      <w:r>
        <w:rPr>
          <w:rFonts w:hAnsi="Arial"/>
          <w:rFonts w:ascii="Arial"/>
          <w:sz w:val="24"/>
          <w:i/>
          <w:color w:val="navy"/>
        </w:rPr>
        <w:t xml:space="preserve">SERVICIOS MEDICO - ASISTENCIALES.</w:t>
      </w:r>
      <w:bookmarkEnd w:id="61932"/>
      <w:r>
        <w:rPr>
          <w:rFonts w:hAnsi="Arial"/>
          <w:rFonts w:ascii="Arial"/>
          <w:sz w:val="24"/>
          <w:b/>
          <w:i/>
          <w:color w:val="black"/>
        </w:rPr>
        <w:t xml:space="preserve"> </w:t>
      </w:r>
      <w:r>
        <w:rPr>
          <w:rFonts w:hAnsi="Arial"/>
          <w:rFonts w:ascii="Arial"/>
          <w:sz w:val="24"/>
          <w:color w:val="black"/>
        </w:rPr>
        <w:t xml:space="preserve">Para tener derecho a la prestaciσn de servicios mιdico - Asistenciales seρalados en el artνculo </w:t>
      </w:r>
      <w:r>
        <w:fldChar w:fldCharType="begin"/>
      </w:r>
      <w:r>
        <w:instrText>HYPERLINK "http://www.redjurista.com/document.aspx?ajcode=d1212_90&amp;arts=132"</w:instrText>
      </w:r>
      <w:r>
        <w:fldChar w:fldCharType="separate"/>
      </w:r>
      <w:r>
        <w:rPr>
          <w:rFonts w:hAnsi="Arial"/>
          <w:rFonts w:ascii="Arial"/>
          <w:sz w:val="24"/>
          <w:u w:val="single"/>
          <w:color w:val="black"/>
        </w:rPr>
        <w:t>132</w:t>
      </w:r>
      <w:r>
        <w:fldChar w:fldCharType="end"/>
      </w:r>
      <w:r>
        <w:rPr>
          <w:rFonts w:hAnsi="Arial"/>
          <w:rFonts w:ascii="Arial"/>
          <w:sz w:val="24"/>
          <w:u w:val="none"/>
          <w:color w:val="black"/>
        </w:rPr>
        <w:t xml:space="preserve"> del Decreto 1212 de 1990, se deberα presentar la respectiva tarjeta de identificaciσn policial o carnι de sanidad, segϊn el caso, las cuales serαn expedidas por la Secciσn de Identificaciσn de la Direcciσn de Personal al Oficial, Suboficial, su cσnyuge, e hijos con derecho a este servicio y sus padres si dependen econσmicamente de aquellos.</w:t>
      </w:r>
    </w:p>
    <w:p>
      <w:pPr>
        <w:jc w:val="both"/>
      </w:pPr>
      <w:rPr>
        <w:sz w:val="24"/>
        <w:color w:val="black"/>
      </w:rPr>
    </w:p>
    <w:p>
      <w:pPr>
        <w:jc w:val="both"/>
      </w:pPr>
      <w:r>
        <w:rPr>
          <w:rFonts w:hAnsi="Arial"/>
          <w:rFonts w:ascii="Arial"/>
          <w:sz w:val="24"/>
          <w:color w:val="black"/>
        </w:rPr>
        <w:t xml:space="preserve">Para la comprobaciσn de estado de invαlido o estudiante hasta la edad de veinticinco (25) aρos, el interesado deberα presentar los siguientes documentos, segϊn sea el caso:</w:t>
      </w:r>
    </w:p>
    <w:p>
      <w:pPr>
        <w:jc w:val="both"/>
      </w:pPr>
      <w:rPr>
        <w:sz w:val="24"/>
        <w:color w:val="black"/>
      </w:rPr>
    </w:p>
    <w:p>
      <w:pPr>
        <w:jc w:val="both"/>
      </w:pPr>
      <w:r>
        <w:rPr>
          <w:rFonts w:hAnsi="Arial"/>
          <w:rFonts w:ascii="Arial"/>
          <w:sz w:val="24"/>
          <w:color w:val="black"/>
        </w:rPr>
        <w:t xml:space="preserve">a) Registro civil de nacimiento o partida eclesiαstica de bautismo con la constancia de que no ha contraνdo matrimonio o declaraciσn jurada, en el mismo sentido;</w:t>
      </w:r>
    </w:p>
    <w:p>
      <w:pPr>
        <w:jc w:val="both"/>
      </w:pPr>
      <w:rPr>
        <w:sz w:val="24"/>
        <w:color w:val="black"/>
      </w:rPr>
    </w:p>
    <w:p>
      <w:pPr>
        <w:jc w:val="both"/>
      </w:pPr>
      <w:r>
        <w:rPr>
          <w:rFonts w:hAnsi="Arial"/>
          <w:rFonts w:ascii="Arial"/>
          <w:sz w:val="24"/>
          <w:color w:val="black"/>
        </w:rPr>
        <w:t xml:space="preserve">b) Constancia de Sanidad de la Policνa Nacional sobre la invalidez;</w:t>
      </w:r>
    </w:p>
    <w:p>
      <w:pPr>
        <w:jc w:val="both"/>
      </w:pPr>
      <w:rPr>
        <w:sz w:val="24"/>
        <w:color w:val="black"/>
      </w:rPr>
    </w:p>
    <w:p>
      <w:pPr>
        <w:jc w:val="both"/>
      </w:pPr>
      <w:r>
        <w:rPr>
          <w:rFonts w:hAnsi="Arial"/>
          <w:rFonts w:ascii="Arial"/>
          <w:sz w:val="24"/>
          <w:color w:val="black"/>
        </w:rPr>
        <w:t xml:space="preserve">c) Certificaciσn expedida por la Secretarνa del plantel educativo, indicando la condiciσn de alumno del beneficiario y la intensidad horaria no inferior a cuatro (4) horas diarias.</w:t>
      </w:r>
    </w:p>
    <w:p>
      <w:pPr>
        <w:jc w:val="both"/>
      </w:pPr>
      <w:rPr>
        <w:sz w:val="24"/>
        <w:color w:val="black"/>
      </w:rPr>
    </w:p>
    <w:p>
      <w:pPr>
        <w:jc w:val="both"/>
      </w:pPr>
      <w:r>
        <w:rPr>
          <w:rFonts w:hAnsi="Arial"/>
          <w:rFonts w:ascii="Arial"/>
          <w:sz w:val="24"/>
          <w:color w:val="black"/>
        </w:rPr>
        <w:t xml:space="preserve">Estas pruebas deberαn aportarse anualmente y la fecha de su expediciσn no podrα tener antelaciσn mayor a sesenta (60) dνas.</w:t>
      </w:r>
    </w:p>
    <w:p>
      <w:pPr>
        <w:jc w:val="both"/>
      </w:pPr>
      <w:rPr>
        <w:sz w:val="24"/>
        <w:color w:val="black"/>
      </w:rPr>
    </w:p>
    <w:p>
      <w:pPr>
        <w:jc w:val="both"/>
      </w:pPr>
      <w:r>
        <w:rPr>
          <w:rFonts w:hAnsi="Arial"/>
          <w:rFonts w:ascii="Arial"/>
          <w:sz w:val="24"/>
          <w:color w:val="black"/>
        </w:rPr>
        <w:t xml:space="preserve">Igualmente en todos los casos, deberα acompaρarse copia autιntica de la declaraciσn de renta del ϊltimo aρo o certificado de ingresos y retenciones en que conste la dependencia econσmica.</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"http://www.redjurista.com/document.aspx?ajcode=d0400_92&amp;arts=67"</w:instrText>
      </w:r>
      <w:r>
        <w:fldChar w:fldCharType="separate"/>
      </w:r>
      <w:r>
        <w:rPr>
          <w:rFonts w:hAnsi="Arial"/>
          <w:rFonts w:ascii="Arial"/>
          <w:sz w:val="24"/>
          <w:i/>
          <w:u w:val="single"/>
          <w:color w:val="black"/>
        </w:rPr>
        <w:t>67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3" w:name="2.5.8.2.1.2"/>
      <w:r>
        <w:rPr>
          <w:rFonts w:hAnsi="Arial"/>
          <w:rFonts w:ascii="Arial"/>
          <w:sz w:val="24"/>
          <w:color w:val="navy"/>
        </w:rPr>
        <w:t xml:space="preserve">ARTΝCULO 2.5.8.2.1.2. </w:t>
      </w:r>
      <w:r>
        <w:rPr>
          <w:rFonts w:hAnsi="Arial"/>
          <w:rFonts w:ascii="Arial"/>
          <w:sz w:val="24"/>
          <w:i/>
          <w:color w:val="navy"/>
        </w:rPr>
        <w:t xml:space="preserve">NO UTILIZACIΣN DE LOS SERVICIOS.</w:t>
      </w:r>
      <w:bookmarkEnd w:id="61933"/>
      <w:r>
        <w:rPr>
          <w:rFonts w:hAnsi="Arial"/>
          <w:rFonts w:ascii="Arial"/>
          <w:sz w:val="24"/>
          <w:b/>
          <w:i/>
          <w:color w:val="black"/>
        </w:rPr>
        <w:t xml:space="preserve"> </w:t>
      </w:r>
      <w:r>
        <w:rPr>
          <w:rFonts w:hAnsi="Arial"/>
          <w:rFonts w:ascii="Arial"/>
          <w:sz w:val="24"/>
          <w:color w:val="black"/>
        </w:rPr>
        <w:t xml:space="preserve">Cuando los Oficiales, Suboficiales o sus beneficiarios sin autorizaciσn dejen de utilizar los servicios mιdico Asistenciales de la Sanidad de la Policνa Nacional, esta quedarα exonerada de toda responsabilidad por tal concepto.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"http://www.redjurista.com/document.aspx?ajcode=d0400_92&amp;arts=68"</w:instrText>
      </w:r>
      <w:r>
        <w:fldChar w:fldCharType="separate"/>
      </w:r>
      <w:r>
        <w:rPr>
          <w:rFonts w:hAnsi="Arial"/>
          <w:rFonts w:ascii="Arial"/>
          <w:sz w:val="24"/>
          <w:i/>
          <w:u w:val="single"/>
          <w:color w:val="black"/>
        </w:rPr>
        <w:t>68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4" w:name="2.5.8.2.1.3"/>
      <w:r>
        <w:rPr>
          <w:rFonts w:hAnsi="Arial"/>
          <w:rFonts w:ascii="Arial"/>
          <w:sz w:val="24"/>
          <w:color w:val="navy"/>
        </w:rPr>
        <w:t xml:space="preserve">ARTΝCULO 2.5.8.2.1.3. </w:t>
      </w:r>
      <w:r>
        <w:rPr>
          <w:rFonts w:hAnsi="Arial"/>
          <w:rFonts w:ascii="Arial"/>
          <w:sz w:val="24"/>
          <w:i/>
          <w:color w:val="navy"/>
        </w:rPr>
        <w:t xml:space="preserve">INTERRUPCIΣN DE TRATAMIENTO.</w:t>
      </w:r>
      <w:bookmarkEnd w:id="61934"/>
      <w:r>
        <w:rPr>
          <w:rFonts w:hAnsi="Arial"/>
          <w:rFonts w:ascii="Arial"/>
          <w:sz w:val="24"/>
          <w:b/>
          <w:i/>
          <w:color w:val="black"/>
        </w:rPr>
        <w:t xml:space="preserve"> </w:t>
      </w:r>
      <w:r>
        <w:rPr>
          <w:rFonts w:hAnsi="Arial"/>
          <w:rFonts w:ascii="Arial"/>
          <w:sz w:val="24"/>
          <w:color w:val="black"/>
        </w:rPr>
        <w:t xml:space="preserve">Cuando el Oficial o Suboficial o sus beneficiarios sin causa justificada interrumpan el tratamiento mιdico Asistencial a que estαn sometidos, exonerarαn a la Policνa de toda responsabilidad pecuniaria y los gastos que por dicha interrupciσn se ocasionen son de cargo del Oficial o Suboficial en el evento de que sean atendidos por la sanidad de la Policνa Nacional.</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"http://www.redjurista.com/document.aspx?ajcode=d0400_92&amp;arts=69"</w:instrText>
      </w:r>
      <w:r>
        <w:fldChar w:fldCharType="separate"/>
      </w:r>
      <w:r>
        <w:rPr>
          <w:rFonts w:hAnsi="Arial"/>
          <w:rFonts w:ascii="Arial"/>
          <w:sz w:val="24"/>
          <w:i/>
          <w:u w:val="single"/>
          <w:color w:val="black"/>
        </w:rPr>
        <w:t>69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5" w:name="2.5.8.2.1.4"/>
      <w:r>
        <w:rPr>
          <w:rFonts w:hAnsi="Arial"/>
          <w:rFonts w:ascii="Arial"/>
          <w:sz w:val="24"/>
          <w:color w:val="navy"/>
        </w:rPr>
        <w:t xml:space="preserve">ARTΝCULO 2.5.8.2.1.4. </w:t>
      </w:r>
      <w:r>
        <w:rPr>
          <w:rFonts w:hAnsi="Arial"/>
          <w:rFonts w:ascii="Arial"/>
          <w:sz w:val="24"/>
          <w:i/>
          <w:color w:val="navy"/>
        </w:rPr>
        <w:t xml:space="preserve">SERVICIOS A PERSONAS SIN DERECHO.</w:t>
      </w:r>
      <w:bookmarkEnd w:id="61935"/>
      <w:r>
        <w:rPr>
          <w:rFonts w:hAnsi="Arial"/>
          <w:rFonts w:ascii="Arial"/>
          <w:sz w:val="24"/>
          <w:b/>
          <w:i/>
          <w:color w:val="black"/>
        </w:rPr>
        <w:t xml:space="preserve"> </w:t>
      </w:r>
      <w:r>
        <w:rPr>
          <w:rFonts w:hAnsi="Arial"/>
          <w:rFonts w:ascii="Arial"/>
          <w:sz w:val="24"/>
          <w:color w:val="black"/>
        </w:rPr>
        <w:t xml:space="preserve">El Oficial o Suboficial que obtenga la prestaciσn de servicios mιdico asistenciales a personas sin derecho a ellos, deberα pagar una suma equivalente al valor fijado para tales servicios en la escala de tarifas prevista por las normas correspondientes, sin perjuicio de las acciones disciplinarias y penales respectivas. Dicha suma serα destinada al presupuesto de sanidad de la Policνa y podrα descontarse de la asignaciσn mensual de actividad, de retiro o pensiσn del causante, de conformidad con lo previsto en el artνculo </w:t>
      </w:r>
      <w:r>
        <w:fldChar w:fldCharType="begin"/>
      </w:r>
      <w:r>
        <w:instrText>HYPERLINK "http://www.redjurista.com/document.aspx?ajcode=d1212_90&amp;arts=154"</w:instrText>
      </w:r>
      <w:r>
        <w:fldChar w:fldCharType="separate"/>
      </w:r>
      <w:r>
        <w:rPr>
          <w:rFonts w:hAnsi="Arial"/>
          <w:rFonts w:ascii="Arial"/>
          <w:sz w:val="24"/>
          <w:u w:val="single"/>
          <w:color w:val="black"/>
        </w:rPr>
        <w:t>154</w:t>
      </w:r>
      <w:r>
        <w:fldChar w:fldCharType="end"/>
      </w:r>
      <w:r>
        <w:rPr>
          <w:rFonts w:hAnsi="Arial"/>
          <w:rFonts w:ascii="Arial"/>
          <w:sz w:val="24"/>
          <w:u w:val="none"/>
          <w:color w:val="black"/>
        </w:rPr>
        <w:t xml:space="preserve"> del Decreto 1212 de 1990.</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"http://www.redjurista.com/document.aspx?ajcode=d0400_92&amp;arts=70"</w:instrText>
      </w:r>
      <w:r>
        <w:fldChar w:fldCharType="separate"/>
      </w:r>
      <w:r>
        <w:rPr>
          <w:rFonts w:hAnsi="Arial"/>
          <w:rFonts w:ascii="Arial"/>
          <w:sz w:val="24"/>
          <w:i/>
          <w:u w:val="single"/>
          <w:color w:val="black"/>
        </w:rPr>
        <w:t>70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6" w:name="2.5.8.2.1.5"/>
      <w:r>
        <w:rPr>
          <w:rFonts w:hAnsi="Arial"/>
          <w:rFonts w:ascii="Arial"/>
          <w:sz w:val="24"/>
          <w:color w:val="navy"/>
        </w:rPr>
        <w:t xml:space="preserve">ARTΝCULO 2.5.8.2.1.5. </w:t>
      </w:r>
      <w:r>
        <w:rPr>
          <w:rFonts w:hAnsi="Arial"/>
          <w:rFonts w:ascii="Arial"/>
          <w:sz w:val="24"/>
          <w:i/>
          <w:color w:val="navy"/>
        </w:rPr>
        <w:t xml:space="preserve">OBLIGATORIEDAD DE LAS VACACIONES.</w:t>
      </w:r>
      <w:bookmarkEnd w:id="61936"/>
      <w:r>
        <w:rPr>
          <w:rFonts w:hAnsi="Arial"/>
          <w:rFonts w:ascii="Arial"/>
          <w:sz w:val="24"/>
          <w:b/>
          <w:i/>
          <w:color w:val="black"/>
        </w:rPr>
        <w:t xml:space="preserve"> </w:t>
      </w:r>
      <w:r>
        <w:rPr>
          <w:rFonts w:hAnsi="Arial"/>
          <w:rFonts w:ascii="Arial"/>
          <w:sz w:val="24"/>
          <w:color w:val="black"/>
        </w:rPr>
        <w:t xml:space="preserve">Las vacaciones anuales tienen carαcter obligatorio para Oficiales y Suboficiales de la Policνa Nacional, quienes deberαn hacer uso de ellas dentro del aρo siguiente al de la fecha en que se cause el derecho. Por circunstancias especiales podrαn acumularse vacaciones hasta por sesenta (60) dνas.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efectos de este artνculo se computarαn los lapsos sin soluciσn de continuidad como empleado civil o uniformado en el ramo de defensa con anterioridad al escalafonamiento.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Se considera como tiempo no servido, la licencia sin derecho a sueldo superior a sesenta (60) dνas. La licencia especial, la separaciσn temporal y la suspensiσn del cargo, con excepciσn de los casos de absoluciσn o cesaciσn de procedimiento.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"http://www.redjurista.com/document.aspx?ajcode=d0400_92&amp;arts=71"</w:instrText>
      </w:r>
      <w:r>
        <w:fldChar w:fldCharType="separate"/>
      </w:r>
      <w:r>
        <w:rPr>
          <w:rFonts w:hAnsi="Arial"/>
          <w:rFonts w:ascii="Arial"/>
          <w:sz w:val="24"/>
          <w:i/>
          <w:u w:val="single"/>
          <w:color w:val="black"/>
        </w:rPr>
        <w:t>71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7" w:name="2.5.8.2.1.6"/>
      <w:r>
        <w:rPr>
          <w:rFonts w:hAnsi="Arial"/>
          <w:rFonts w:ascii="Arial"/>
          <w:sz w:val="24"/>
          <w:color w:val="navy"/>
        </w:rPr>
        <w:t xml:space="preserve">ARTΝCULO 2.5.8.2.1.6. </w:t>
      </w:r>
      <w:r>
        <w:rPr>
          <w:rFonts w:hAnsi="Arial"/>
          <w:rFonts w:ascii="Arial"/>
          <w:sz w:val="24"/>
          <w:i/>
          <w:color w:val="navy"/>
        </w:rPr>
        <w:t xml:space="preserve">VACACIONES DEL PERSONAL EN COMISIΣN EN OTRAS ENTIDADES.</w:t>
      </w:r>
      <w:bookmarkEnd w:id="61937"/>
      <w:r>
        <w:rPr>
          <w:rFonts w:hAnsi="Arial"/>
          <w:rFonts w:ascii="Arial"/>
          <w:sz w:val="24"/>
          <w:b/>
          <w:i/>
          <w:color w:val="black"/>
        </w:rPr>
        <w:t xml:space="preserve"> </w:t>
      </w:r>
      <w:r>
        <w:rPr>
          <w:rFonts w:hAnsi="Arial"/>
          <w:rFonts w:ascii="Arial"/>
          <w:sz w:val="24"/>
          <w:color w:val="black"/>
        </w:rPr>
        <w:t xml:space="preserve">Cuando los Oficiales y Suboficiales presten sus servicios en comisiσn en otras dependencias del Estado disfrutarαn de vacaciones anuales, de acuerdo con las necesidades de la respectiva dependencia, la cual deberα expedir con destino a la Direcciσn de Personal de la Policνa Nacional, una certificaciσn sobre dicho perνodo.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"http://www.redjurista.com/document.aspx?ajcode=d0400_92&amp;arts=72"</w:instrText>
      </w:r>
      <w:r>
        <w:fldChar w:fldCharType="separate"/>
      </w:r>
      <w:r>
        <w:rPr>
          <w:rFonts w:hAnsi="Arial"/>
          <w:rFonts w:ascii="Arial"/>
          <w:sz w:val="24"/>
          <w:i/>
          <w:u w:val="single"/>
          <w:color w:val="black"/>
        </w:rPr>
        <w:t>72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8" w:name="2.5.8.2.1.7"/>
      <w:r>
        <w:rPr>
          <w:rFonts w:hAnsi="Arial"/>
          <w:rFonts w:ascii="Arial"/>
          <w:sz w:val="24"/>
          <w:color w:val="navy"/>
        </w:rPr>
        <w:t xml:space="preserve">ARTΝCULO 2.5.8.2.1.7. </w:t>
      </w:r>
      <w:r>
        <w:rPr>
          <w:rFonts w:hAnsi="Arial"/>
          <w:rFonts w:ascii="Arial"/>
          <w:sz w:val="24"/>
          <w:i/>
          <w:color w:val="navy"/>
        </w:rPr>
        <w:t xml:space="preserve">ANTICIPO DE CESANTΝA.</w:t>
      </w:r>
      <w:bookmarkEnd w:id="61938"/>
      <w:r>
        <w:rPr>
          <w:rFonts w:hAnsi="Arial"/>
          <w:rFonts w:ascii="Arial"/>
          <w:sz w:val="24"/>
          <w:b/>
          <w:i/>
          <w:color w:val="black"/>
        </w:rPr>
        <w:t xml:space="preserve"> </w:t>
      </w:r>
      <w:r>
        <w:rPr>
          <w:rFonts w:hAnsi="Arial"/>
          <w:rFonts w:ascii="Arial"/>
          <w:sz w:val="24"/>
          <w:color w:val="black"/>
        </w:rPr>
        <w:t xml:space="preserve">El anticipo de cesantνa consagrado en el artνculo </w:t>
      </w:r>
      <w:r>
        <w:fldChar w:fldCharType="begin"/>
      </w:r>
      <w:r>
        <w:instrText>HYPERLINK "http://www.redjurista.com/document.aspx?ajcode=d1212_90&amp;arts=136"</w:instrText>
      </w:r>
      <w:r>
        <w:fldChar w:fldCharType="separate"/>
      </w:r>
      <w:r>
        <w:rPr>
          <w:rFonts w:hAnsi="Arial"/>
          <w:rFonts w:ascii="Arial"/>
          <w:sz w:val="24"/>
          <w:u w:val="single"/>
          <w:color w:val="black"/>
        </w:rPr>
        <w:t>136</w:t>
      </w:r>
      <w:r>
        <w:fldChar w:fldCharType="end"/>
      </w:r>
      <w:r>
        <w:rPr>
          <w:rFonts w:hAnsi="Arial"/>
          <w:rFonts w:ascii="Arial"/>
          <w:sz w:val="24"/>
          <w:u w:val="none"/>
          <w:color w:val="black"/>
        </w:rPr>
        <w:t xml:space="preserve"> del Decreto 1212 de 1990, sσlo se liquidarα y cancelarα al Oficial o Suboficial cuando el Director General de la Policνa lo autorice con base en las correspondientes disponibilidades presupuestales. La solicitud podrα ser formulada directamente por conducto de la Caja de Vivienda Militar o por la entidad que financie la vivienda.</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"http://www.redjurista.com/document.aspx?ajcode=d0400_92&amp;arts=73"</w:instrText>
      </w:r>
      <w:r>
        <w:fldChar w:fldCharType="separate"/>
      </w:r>
      <w:r>
        <w:rPr>
          <w:rFonts w:hAnsi="Arial"/>
          <w:rFonts w:ascii="Arial"/>
          <w:sz w:val="24"/>
          <w:i/>
          <w:u w:val="single"/>
          <w:color w:val="black"/>
        </w:rPr>
        <w:t>73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39" w:name="2.5.8.2.1.8"/>
      <w:r>
        <w:rPr>
          <w:rFonts w:hAnsi="Arial"/>
          <w:rFonts w:ascii="Arial"/>
          <w:sz w:val="24"/>
          <w:color w:val="navy"/>
        </w:rPr>
        <w:t xml:space="preserve">ARTΝCULO 2.5.8.2.1.8. </w:t>
      </w:r>
      <w:r>
        <w:rPr>
          <w:rFonts w:hAnsi="Arial"/>
          <w:rFonts w:ascii="Arial"/>
          <w:sz w:val="24"/>
          <w:i/>
          <w:color w:val="navy"/>
        </w:rPr>
        <w:t xml:space="preserve">COMPROBACIΣN DE CIRCUNSTANCIAS PARA FINES DE INDEMNIZACIΣN.</w:t>
      </w:r>
      <w:bookmarkEnd w:id="61939"/>
      <w:r>
        <w:rPr>
          <w:rFonts w:hAnsi="Arial"/>
          <w:rFonts w:ascii="Arial"/>
          <w:sz w:val="24"/>
          <w:b/>
          <w:i/>
          <w:color w:val="black"/>
        </w:rPr>
        <w:t xml:space="preserve"> </w:t>
      </w:r>
      <w:r>
        <w:rPr>
          <w:rFonts w:hAnsi="Arial"/>
          <w:rFonts w:ascii="Arial"/>
          <w:sz w:val="24"/>
          <w:color w:val="black"/>
        </w:rPr>
        <w:t xml:space="preserve">Para efecto del reconocimiento de los derechos establecidos en el artνculo </w:t>
      </w:r>
      <w:r>
        <w:fldChar w:fldCharType="begin"/>
      </w:r>
      <w:r>
        <w:instrText>HYPERLINK "http://www.redjurista.com/document.aspx?ajcode=d1212_90&amp;arts=137"</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del Decreto 1212 de 1990, deberα aplicarse lo dispuesto por el Decreto-ley 1796 de 2000 en sus artνculos </w:t>
      </w:r>
      <w:r>
        <w:fldChar w:fldCharType="begin"/>
      </w:r>
      <w:r>
        <w:instrText>HYPERLINK "http://www.redjurista.com/document.aspx?ajcode=d1796000&amp;arts=24"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w:t>
      </w:r>
      <w:r>
        <w:fldChar w:fldCharType="begin"/>
      </w:r>
      <w:r>
        <w:instrText>HYPERLINK "http://www.redjurista.com/document.aspx?ajcode=d1796000&amp;arts=25"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y </w:t>
      </w:r>
      <w:r>
        <w:fldChar w:fldCharType="begin"/>
      </w:r>
      <w:r>
        <w:instrText>HYPERLINK "http://www.redjurista.com/document.aspx?ajcode=d1796000&amp;arts=26"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y los demαs que sean compatibles con esta materia.</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"http://www.redjurista.com/document.aspx?ajcode=d0400_92&amp;arts=74"</w:instrText>
      </w:r>
      <w:r>
        <w:fldChar w:fldCharType="separate"/>
      </w:r>
      <w:r>
        <w:rPr>
          <w:rFonts w:hAnsi="Arial"/>
          <w:rFonts w:ascii="Arial"/>
          <w:sz w:val="24"/>
          <w:i/>
          <w:u w:val="single"/>
          <w:color w:val="black"/>
        </w:rPr>
        <w:t>74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40" w:name="SECCIÓN 2.5.8.2.2"/>
      <w:r>
        <w:rPr>
          <w:rFonts w:hAnsi="Arial"/>
          <w:rFonts w:ascii="Arial"/>
          <w:sz w:val="24"/>
          <w:color w:val="navy"/>
        </w:rPr>
        <w:t xml:space="preserve">SECCIΣN 2. </w:t>
      </w:r>
    </w:p>
    <w:p>
      <w:pPr>
        <w:jc w:val="center"/>
      </w:pPr>
      <w:r>
        <w:rPr>
          <w:rFonts w:hAnsi="Arial"/>
          <w:rFonts w:ascii="Arial"/>
          <w:sz w:val="24"/>
          <w:color w:val="navy"/>
        </w:rPr>
        <w:t xml:space="preserve">DE LAS PRESTACIONES EN RETIRO.</w:t>
      </w:r>
      <w:bookmarkEnd w:id="6194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41" w:name="2.5.8.2.2.1"/>
      <w:r>
        <w:rPr>
          <w:rFonts w:hAnsi="Arial"/>
          <w:rFonts w:ascii="Arial"/>
          <w:sz w:val="24"/>
          <w:color w:val="navy"/>
        </w:rPr>
        <w:t xml:space="preserve">ARTΝCULO 2.5.8.2.2.1. </w:t>
      </w:r>
      <w:r>
        <w:rPr>
          <w:rFonts w:hAnsi="Arial"/>
          <w:rFonts w:ascii="Arial"/>
          <w:sz w:val="24"/>
          <w:i/>
          <w:color w:val="navy"/>
        </w:rPr>
        <w:t xml:space="preserve">RECONOCIMIENTO PRIMA DE ACTIVIDAD.</w:t>
      </w:r>
      <w:bookmarkEnd w:id="61941"/>
      <w:r>
        <w:rPr>
          <w:rFonts w:hAnsi="Arial"/>
          <w:rFonts w:ascii="Arial"/>
          <w:sz w:val="24"/>
          <w:b/>
          <w:i/>
          <w:color w:val="black"/>
        </w:rPr>
        <w:t xml:space="preserve"> </w:t>
      </w:r>
      <w:r>
        <w:rPr>
          <w:rFonts w:hAnsi="Arial"/>
          <w:rFonts w:ascii="Arial"/>
          <w:sz w:val="24"/>
          <w:color w:val="black"/>
        </w:rPr>
        <w:t xml:space="preserve">Para los fines previstos en el artνculo </w:t>
      </w:r>
      <w:r>
        <w:fldChar w:fldCharType="begin"/>
      </w:r>
      <w:r>
        <w:instrText>HYPERLINK "http://www.redjurista.com/document.aspx?ajcode=d1212_90&amp;arts=142"</w:instrText>
      </w:r>
      <w:r>
        <w:fldChar w:fldCharType="separate"/>
      </w:r>
      <w:r>
        <w:rPr>
          <w:rFonts w:hAnsi="Arial"/>
          <w:rFonts w:ascii="Arial"/>
          <w:sz w:val="24"/>
          <w:u w:val="single"/>
          <w:color w:val="black"/>
        </w:rPr>
        <w:t>142</w:t>
      </w:r>
      <w:r>
        <w:fldChar w:fldCharType="end"/>
      </w:r>
      <w:r>
        <w:rPr>
          <w:rFonts w:hAnsi="Arial"/>
          <w:rFonts w:ascii="Arial"/>
          <w:sz w:val="24"/>
          <w:u w:val="none"/>
          <w:color w:val="black"/>
        </w:rPr>
        <w:t xml:space="preserve"> del Decreto 1212 de 1990, la Policνa Nacional y la Caja de Sueldos de Retiro de la Policνa Nacional procederαn de oficio a efectuar los reajustes correspondientes.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el reconocimiento de este derecho se tendrα en cuenta el tiempo liquidado en la correspondiente hoja de servicios policiales.</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"http://www.redjurista.com/document.aspx?ajcode=d0400_92&amp;arts=75"</w:instrText>
      </w:r>
      <w:r>
        <w:fldChar w:fldCharType="separate"/>
      </w:r>
      <w:r>
        <w:rPr>
          <w:rFonts w:hAnsi="Arial"/>
          <w:rFonts w:ascii="Arial"/>
          <w:sz w:val="24"/>
          <w:i/>
          <w:u w:val="single"/>
          <w:color w:val="black"/>
        </w:rPr>
        <w:t>75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42" w:name="2.5.8.2.2.2"/>
      <w:r>
        <w:rPr>
          <w:rFonts w:hAnsi="Arial"/>
          <w:rFonts w:ascii="Arial"/>
          <w:sz w:val="24"/>
          <w:color w:val="navy"/>
        </w:rPr>
        <w:t xml:space="preserve">ARTΝCULO 2.5.8.2.2.2. </w:t>
      </w:r>
      <w:r>
        <w:rPr>
          <w:rFonts w:hAnsi="Arial"/>
          <w:rFonts w:ascii="Arial"/>
          <w:sz w:val="24"/>
          <w:i/>
          <w:color w:val="navy"/>
        </w:rPr>
        <w:t xml:space="preserve">TIEMPO DOBLE.</w:t>
      </w:r>
      <w:bookmarkEnd w:id="61942"/>
      <w:r>
        <w:rPr>
          <w:rFonts w:hAnsi="Arial"/>
          <w:rFonts w:ascii="Arial"/>
          <w:sz w:val="24"/>
          <w:b/>
          <w:i/>
          <w:color w:val="black"/>
        </w:rPr>
        <w:t xml:space="preserve"> </w:t>
      </w:r>
      <w:r>
        <w:rPr>
          <w:rFonts w:hAnsi="Arial"/>
          <w:rFonts w:ascii="Arial"/>
          <w:sz w:val="24"/>
          <w:color w:val="black"/>
        </w:rPr>
        <w:t xml:space="preserve">Para efectos del parαgrafo 1o del artνculo </w:t>
      </w:r>
      <w:r>
        <w:fldChar w:fldCharType="begin"/>
      </w:r>
      <w:r>
        <w:instrText>HYPERLINK "http://www.redjurista.com/document.aspx?ajcode=d1212_90&amp;arts=152"</w:instrText>
      </w:r>
      <w:r>
        <w:fldChar w:fldCharType="separate"/>
      </w:r>
      <w:r>
        <w:rPr>
          <w:rFonts w:hAnsi="Arial"/>
          <w:rFonts w:ascii="Arial"/>
          <w:sz w:val="24"/>
          <w:u w:val="single"/>
          <w:color w:val="black"/>
        </w:rPr>
        <w:t>152</w:t>
      </w:r>
      <w:r>
        <w:fldChar w:fldCharType="end"/>
      </w:r>
      <w:r>
        <w:rPr>
          <w:rFonts w:hAnsi="Arial"/>
          <w:rFonts w:ascii="Arial"/>
          <w:sz w:val="24"/>
          <w:u w:val="none"/>
          <w:color w:val="black"/>
        </w:rPr>
        <w:t xml:space="preserve"> del Decreto 1212 de 1990 los tiempos dobles en ningϊn caso serαn computables para el reconocimiento de prestaciones por servicios al Estado en calidad de empleado civil.</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"http://www.redjurista.com/document.aspx?ajcode=d0400_92&amp;arts=76"</w:instrText>
      </w:r>
      <w:r>
        <w:fldChar w:fldCharType="separate"/>
      </w:r>
      <w:r>
        <w:rPr>
          <w:rFonts w:hAnsi="Arial"/>
          <w:rFonts w:ascii="Arial"/>
          <w:sz w:val="24"/>
          <w:i/>
          <w:u w:val="single"/>
          <w:color w:val="black"/>
        </w:rPr>
        <w:t>76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43" w:name="2.5.8.2.2.3"/>
      <w:r>
        <w:rPr>
          <w:rFonts w:hAnsi="Arial"/>
          <w:rFonts w:ascii="Arial"/>
          <w:sz w:val="24"/>
          <w:color w:val="navy"/>
        </w:rPr>
        <w:t xml:space="preserve">ARTΝCULO 2.5.8.2.2.3. </w:t>
      </w:r>
      <w:r>
        <w:rPr>
          <w:rFonts w:hAnsi="Arial"/>
          <w:rFonts w:ascii="Arial"/>
          <w:sz w:val="24"/>
          <w:i/>
          <w:color w:val="navy"/>
        </w:rPr>
        <w:t xml:space="preserve">SERVICIOS MΙDICO - ASISTENCIALES EN RETIRO.</w:t>
      </w:r>
      <w:bookmarkEnd w:id="61943"/>
      <w:r>
        <w:rPr>
          <w:rFonts w:hAnsi="Arial"/>
          <w:rFonts w:ascii="Arial"/>
          <w:sz w:val="24"/>
          <w:b/>
          <w:i/>
          <w:color w:val="black"/>
        </w:rPr>
        <w:t xml:space="preserve"> </w:t>
      </w:r>
      <w:r>
        <w:rPr>
          <w:rFonts w:hAnsi="Arial"/>
          <w:rFonts w:ascii="Arial"/>
          <w:sz w:val="24"/>
          <w:color w:val="black"/>
        </w:rPr>
        <w:t xml:space="preserve">Para la prestaciσn de los servicios mιdico asistenciales de que trata el artνculo </w:t>
      </w:r>
      <w:r>
        <w:fldChar w:fldCharType="begin"/>
      </w:r>
      <w:r>
        <w:instrText>HYPERLINK "http://www.redjurista.com/document.aspx?ajcode=d1212_90&amp;arts=157"</w:instrText>
      </w:r>
      <w:r>
        <w:fldChar w:fldCharType="separate"/>
      </w:r>
      <w:r>
        <w:rPr>
          <w:rFonts w:hAnsi="Arial"/>
          <w:rFonts w:ascii="Arial"/>
          <w:sz w:val="24"/>
          <w:u w:val="single"/>
          <w:color w:val="black"/>
        </w:rPr>
        <w:t>157</w:t>
      </w:r>
      <w:r>
        <w:fldChar w:fldCharType="end"/>
      </w:r>
      <w:r>
        <w:rPr>
          <w:rFonts w:hAnsi="Arial"/>
          <w:rFonts w:ascii="Arial"/>
          <w:sz w:val="24"/>
          <w:u w:val="none"/>
          <w:color w:val="black"/>
        </w:rPr>
        <w:t xml:space="preserve"> del Decreto 1212 de 1990, regirαn los principios y requisitos establecidos en los artνculos </w:t>
      </w:r>
      <w:r>
        <w:fldChar w:fldCharType="begin"/>
      </w:r>
      <w:r>
        <w:instrText>HYPERLINK "http://www.redjurista.com/document.aspx?ajcode=d1070015&amp;arts=2.5.8.2.1.1"</w:instrText>
      </w:r>
      <w:r>
        <w:fldChar w:fldCharType="separate"/>
      </w:r>
      <w:r>
        <w:rPr>
          <w:rFonts w:hAnsi="Arial"/>
          <w:rFonts w:ascii="Arial"/>
          <w:sz w:val="24"/>
          <w:u w:val="single"/>
          <w:color w:val="black"/>
        </w:rPr>
        <w:t>2.5.8.2.1.1</w:t>
      </w:r>
      <w:r>
        <w:fldChar w:fldCharType="end"/>
      </w:r>
      <w:r>
        <w:rPr>
          <w:rFonts w:hAnsi="Arial"/>
          <w:rFonts w:ascii="Arial"/>
          <w:sz w:val="24"/>
          <w:u w:val="none"/>
          <w:color w:val="black"/>
        </w:rPr>
        <w:t xml:space="preserve">., a </w:t>
      </w:r>
      <w:r>
        <w:fldChar w:fldCharType="begin"/>
      </w:r>
      <w:r>
        <w:instrText>HYPERLINK "http://www.redjurista.com/document.aspx?ajcode=d1070015&amp;arts=2.5.8.2.1.4"</w:instrText>
      </w:r>
      <w:r>
        <w:fldChar w:fldCharType="separate"/>
      </w:r>
      <w:r>
        <w:rPr>
          <w:rFonts w:hAnsi="Arial"/>
          <w:rFonts w:ascii="Arial"/>
          <w:sz w:val="24"/>
          <w:u w:val="single"/>
          <w:color w:val="black"/>
        </w:rPr>
        <w:t>2.5.8.2.1.4</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"http://www.redjurista.com/document.aspx?ajcode=d0400_92&amp;arts=77"</w:instrText>
      </w:r>
      <w:r>
        <w:fldChar w:fldCharType="separate"/>
      </w:r>
      <w:r>
        <w:rPr>
          <w:rFonts w:hAnsi="Arial"/>
          <w:rFonts w:ascii="Arial"/>
          <w:sz w:val="24"/>
          <w:i/>
          <w:u w:val="single"/>
          <w:color w:val="black"/>
        </w:rPr>
        <w:t>77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44" w:name="SECCIÓN 2.5.8.2.3"/>
      <w:r>
        <w:rPr>
          <w:rFonts w:hAnsi="Arial"/>
          <w:rFonts w:ascii="Arial"/>
          <w:sz w:val="24"/>
          <w:color w:val="navy"/>
        </w:rPr>
        <w:t xml:space="preserve">SECCIΣN 3. </w:t>
      </w:r>
    </w:p>
    <w:p>
      <w:pPr>
        <w:jc w:val="center"/>
      </w:pPr>
      <w:r>
        <w:rPr>
          <w:rFonts w:hAnsi="Arial"/>
          <w:rFonts w:ascii="Arial"/>
          <w:sz w:val="24"/>
          <w:color w:val="navy"/>
        </w:rPr>
        <w:t xml:space="preserve">PRESTACIONES POR INCAPACIDAD SICOFΝSICA.</w:t>
      </w:r>
      <w:bookmarkEnd w:id="6194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45" w:name="2.5.8.2.3.1"/>
      <w:r>
        <w:rPr>
          <w:rFonts w:hAnsi="Arial"/>
          <w:rFonts w:ascii="Arial"/>
          <w:sz w:val="24"/>
          <w:color w:val="navy"/>
        </w:rPr>
        <w:t xml:space="preserve">ARTΝCULO 2.5.8.2.3.1. </w:t>
      </w:r>
      <w:r>
        <w:rPr>
          <w:rFonts w:hAnsi="Arial"/>
          <w:rFonts w:ascii="Arial"/>
          <w:sz w:val="24"/>
          <w:i/>
          <w:color w:val="navy"/>
        </w:rPr>
        <w:t xml:space="preserve">COMPROBACIΣN DE CIRCUNSTANCIAS PARA FINES DE INDEMNIZACIΣN.</w:t>
      </w:r>
      <w:bookmarkEnd w:id="61945"/>
      <w:r>
        <w:rPr>
          <w:rFonts w:hAnsi="Arial"/>
          <w:rFonts w:ascii="Arial"/>
          <w:sz w:val="24"/>
          <w:b/>
          <w:i/>
          <w:color w:val="black"/>
        </w:rPr>
        <w:t xml:space="preserve"> </w:t>
      </w:r>
      <w:r>
        <w:rPr>
          <w:rFonts w:hAnsi="Arial"/>
          <w:rFonts w:ascii="Arial"/>
          <w:sz w:val="24"/>
          <w:color w:val="black"/>
        </w:rPr>
        <w:t xml:space="preserve">Para efectos del reconocimiento de indemnizaciσn por incapacidad sicofνsica, se aplicarα lo dispuesto por el Decreto 94 de 1989, en sus artνculos </w:t>
      </w:r>
      <w:r>
        <w:fldChar w:fldCharType="begin"/>
      </w:r>
      <w:r>
        <w:instrText>HYPERLINK "http://www.redjurista.com/document.aspx?ajcode=d0094_89&amp;arts=35"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w:t>
      </w:r>
      <w:r>
        <w:fldChar w:fldCharType="begin"/>
      </w:r>
      <w:r>
        <w:instrText>HYPERLINK "http://www.redjurista.com/document.aspx?ajcode=d0094_89&amp;arts=36"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y las demαs normas concordantes con esta materia.</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46" w:name="SECCIÓN 2.5.8.2.4"/>
      <w:r>
        <w:rPr>
          <w:rFonts w:hAnsi="Arial"/>
          <w:rFonts w:ascii="Arial"/>
          <w:sz w:val="24"/>
          <w:color w:val="navy"/>
        </w:rPr>
        <w:t xml:space="preserve">SECCIΣN 4. </w:t>
      </w:r>
    </w:p>
    <w:p>
      <w:pPr>
        <w:jc w:val="center"/>
      </w:pPr>
      <w:r>
        <w:rPr>
          <w:rFonts w:hAnsi="Arial"/>
          <w:rFonts w:ascii="Arial"/>
          <w:sz w:val="24"/>
          <w:color w:val="navy"/>
        </w:rPr>
        <w:t xml:space="preserve">PRESTACIONES POR MUERTE EN ACTIVIDAD.</w:t>
      </w:r>
      <w:bookmarkEnd w:id="6194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47" w:name="2.5.8.2.4.1"/>
      <w:r>
        <w:rPr>
          <w:rFonts w:hAnsi="Arial"/>
          <w:rFonts w:ascii="Arial"/>
          <w:sz w:val="24"/>
          <w:color w:val="navy"/>
        </w:rPr>
        <w:t xml:space="preserve">ARTΝCULO 2.5.8.2.4.1. </w:t>
      </w:r>
      <w:r>
        <w:rPr>
          <w:rFonts w:hAnsi="Arial"/>
          <w:rFonts w:ascii="Arial"/>
          <w:sz w:val="24"/>
          <w:i/>
          <w:color w:val="navy"/>
        </w:rPr>
        <w:t xml:space="preserve">INFORME ADMINISTRATIVO.</w:t>
      </w:r>
      <w:bookmarkEnd w:id="61947"/>
      <w:r>
        <w:rPr>
          <w:rFonts w:hAnsi="Arial"/>
          <w:rFonts w:ascii="Arial"/>
          <w:sz w:val="24"/>
          <w:b/>
          <w:i/>
          <w:color w:val="black"/>
        </w:rPr>
        <w:t xml:space="preserve"> </w:t>
      </w:r>
      <w:r>
        <w:rPr>
          <w:rFonts w:hAnsi="Arial"/>
          <w:rFonts w:ascii="Arial"/>
          <w:sz w:val="24"/>
          <w:color w:val="black"/>
        </w:rPr>
        <w:t xml:space="preserve">El informe administrativo a que se refiere el artνculo </w:t>
      </w:r>
      <w:r>
        <w:fldChar w:fldCharType="begin"/>
      </w:r>
      <w:r>
        <w:instrText>HYPERLINK "http://www.redjurista.com/document.aspx?ajcode=d1212_90&amp;arts=166"</w:instrText>
      </w:r>
      <w:r>
        <w:fldChar w:fldCharType="separate"/>
      </w:r>
      <w:r>
        <w:rPr>
          <w:rFonts w:hAnsi="Arial"/>
          <w:rFonts w:ascii="Arial"/>
          <w:sz w:val="24"/>
          <w:u w:val="single"/>
          <w:color w:val="black"/>
        </w:rPr>
        <w:t>166</w:t>
      </w:r>
      <w:r>
        <w:fldChar w:fldCharType="end"/>
      </w:r>
      <w:r>
        <w:rPr>
          <w:rFonts w:hAnsi="Arial"/>
          <w:rFonts w:ascii="Arial"/>
          <w:sz w:val="24"/>
          <w:u w:val="none"/>
          <w:color w:val="black"/>
        </w:rPr>
        <w:t xml:space="preserve"> del Decreto 1212 de 1990, serα breve y sumario, determinando con exactitud si la muerte ocurriσ en una de las siguientes circunstancias:</w:t>
      </w:r>
    </w:p>
    <w:p>
      <w:pPr>
        <w:jc w:val="both"/>
      </w:pPr>
      <w:rPr>
        <w:sz w:val="24"/>
        <w:color w:val="black"/>
      </w:rPr>
    </w:p>
    <w:p>
      <w:pPr>
        <w:jc w:val="both"/>
      </w:pPr>
      <w:r>
        <w:rPr>
          <w:rFonts w:hAnsi="Arial"/>
          <w:rFonts w:ascii="Arial"/>
          <w:sz w:val="24"/>
          <w:color w:val="black"/>
        </w:rPr>
        <w:t xml:space="preserve">a) Simplemente en actividad;</w:t>
      </w:r>
    </w:p>
    <w:p>
      <w:pPr>
        <w:jc w:val="both"/>
      </w:pPr>
      <w:rPr>
        <w:sz w:val="24"/>
        <w:color w:val="black"/>
      </w:rPr>
    </w:p>
    <w:p>
      <w:pPr>
        <w:jc w:val="both"/>
      </w:pPr>
      <w:r>
        <w:rPr>
          <w:rFonts w:hAnsi="Arial"/>
          <w:rFonts w:ascii="Arial"/>
          <w:sz w:val="24"/>
          <w:color w:val="black"/>
        </w:rPr>
        <w:t xml:space="preserve">b) En actos del servicio;</w:t>
      </w:r>
    </w:p>
    <w:p>
      <w:pPr>
        <w:jc w:val="both"/>
      </w:pPr>
      <w:rPr>
        <w:sz w:val="24"/>
        <w:color w:val="black"/>
      </w:rPr>
    </w:p>
    <w:p>
      <w:pPr>
        <w:jc w:val="both"/>
      </w:pPr>
      <w:r>
        <w:rPr>
          <w:rFonts w:hAnsi="Arial"/>
          <w:rFonts w:ascii="Arial"/>
          <w:sz w:val="24"/>
          <w:color w:val="black"/>
        </w:rPr>
        <w:t xml:space="preserve">c) En actos especiales del servicio.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Cuando la muerte sobrevenga en actos contra la ley o con violaciσn de los reglamentos u σrdenes superiores, y en el caso de suicidio, se calificarα simplemente en actividad para efectos de indemnizaciσn.</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"http://www.redjurista.com/document.aspx?ajcode=d0400_92&amp;arts=79"</w:instrText>
      </w:r>
      <w:r>
        <w:fldChar w:fldCharType="separate"/>
      </w:r>
      <w:r>
        <w:rPr>
          <w:rFonts w:hAnsi="Arial"/>
          <w:rFonts w:ascii="Arial"/>
          <w:sz w:val="24"/>
          <w:i/>
          <w:u w:val="single"/>
          <w:color w:val="black"/>
        </w:rPr>
        <w:t>79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48" w:name="2.5.8.2.4.2"/>
      <w:r>
        <w:rPr>
          <w:rFonts w:hAnsi="Arial"/>
          <w:rFonts w:ascii="Arial"/>
          <w:sz w:val="24"/>
          <w:color w:val="navy"/>
        </w:rPr>
        <w:t xml:space="preserve">ARTΝCULO 2.5.8.2.4.2. </w:t>
      </w:r>
      <w:r>
        <w:rPr>
          <w:rFonts w:hAnsi="Arial"/>
          <w:rFonts w:ascii="Arial"/>
          <w:sz w:val="24"/>
          <w:i/>
          <w:color w:val="navy"/>
        </w:rPr>
        <w:t xml:space="preserve">SERVICIOS MEDICO - ASISTENCIALES A FAMILIARES DE FALLECIDOS.</w:t>
      </w:r>
      <w:bookmarkEnd w:id="61948"/>
      <w:r>
        <w:rPr>
          <w:rFonts w:hAnsi="Arial"/>
          <w:rFonts w:ascii="Arial"/>
          <w:sz w:val="24"/>
          <w:b/>
          <w:i/>
          <w:color w:val="black"/>
        </w:rPr>
        <w:t xml:space="preserve"> </w:t>
      </w:r>
      <w:r>
        <w:rPr>
          <w:rFonts w:hAnsi="Arial"/>
          <w:rFonts w:ascii="Arial"/>
          <w:sz w:val="24"/>
          <w:color w:val="black"/>
        </w:rPr>
        <w:t xml:space="preserve">Para la prestaciσn de los servicios mιdico - Asistenciales a los beneficiarios de que trata el artνculo </w:t>
      </w:r>
      <w:r>
        <w:fldChar w:fldCharType="begin"/>
      </w:r>
      <w:r>
        <w:instrText>HYPERLINK "http://www.redjurista.com/document.aspx?ajcode=d1212_90&amp;arts=168"</w:instrText>
      </w:r>
      <w:r>
        <w:fldChar w:fldCharType="separate"/>
      </w:r>
      <w:r>
        <w:rPr>
          <w:rFonts w:hAnsi="Arial"/>
          <w:rFonts w:ascii="Arial"/>
          <w:sz w:val="24"/>
          <w:u w:val="single"/>
          <w:color w:val="black"/>
        </w:rPr>
        <w:t>168</w:t>
      </w:r>
      <w:r>
        <w:fldChar w:fldCharType="end"/>
      </w:r>
      <w:r>
        <w:rPr>
          <w:rFonts w:hAnsi="Arial"/>
          <w:rFonts w:ascii="Arial"/>
          <w:sz w:val="24"/>
          <w:u w:val="none"/>
          <w:color w:val="black"/>
        </w:rPr>
        <w:t xml:space="preserve"> del Decreto 1212 de 1990, regirαn las mismas normas consignadas en los artνculos </w:t>
      </w:r>
      <w:r>
        <w:fldChar w:fldCharType="begin"/>
      </w:r>
      <w:r>
        <w:instrText>HYPERLINK "http://www.redjurista.com/document.aspx?ajcode=d1070015&amp;arts=2.5.8.2.1.1"</w:instrText>
      </w:r>
      <w:r>
        <w:fldChar w:fldCharType="separate"/>
      </w:r>
      <w:r>
        <w:rPr>
          <w:rFonts w:hAnsi="Arial"/>
          <w:rFonts w:ascii="Arial"/>
          <w:sz w:val="24"/>
          <w:u w:val="single"/>
          <w:color w:val="black"/>
        </w:rPr>
        <w:t>2.5.8.2.1.1</w:t>
      </w:r>
      <w:r>
        <w:fldChar w:fldCharType="end"/>
      </w:r>
      <w:r>
        <w:rPr>
          <w:rFonts w:hAnsi="Arial"/>
          <w:rFonts w:ascii="Arial"/>
          <w:sz w:val="24"/>
          <w:u w:val="none"/>
          <w:color w:val="black"/>
        </w:rPr>
        <w:t xml:space="preserve">., a </w:t>
      </w:r>
      <w:r>
        <w:fldChar w:fldCharType="begin"/>
      </w:r>
      <w:r>
        <w:instrText>HYPERLINK "http://www.redjurista.com/document.aspx?ajcode=d1070015&amp;arts=2.5.8.2.1.4"</w:instrText>
      </w:r>
      <w:r>
        <w:fldChar w:fldCharType="separate"/>
      </w:r>
      <w:r>
        <w:rPr>
          <w:rFonts w:hAnsi="Arial"/>
          <w:rFonts w:ascii="Arial"/>
          <w:sz w:val="24"/>
          <w:u w:val="single"/>
          <w:color w:val="black"/>
        </w:rPr>
        <w:t>2.5.8.2.1.4</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"http://www.redjurista.com/document.aspx?ajcode=d0400_92&amp;arts=80"</w:instrText>
      </w:r>
      <w:r>
        <w:fldChar w:fldCharType="separate"/>
      </w:r>
      <w:r>
        <w:rPr>
          <w:rFonts w:hAnsi="Arial"/>
          <w:rFonts w:ascii="Arial"/>
          <w:sz w:val="24"/>
          <w:i/>
          <w:u w:val="single"/>
          <w:color w:val="black"/>
        </w:rPr>
        <w:t>80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49" w:name="2.5.8.2.4.3"/>
      <w:r>
        <w:rPr>
          <w:rFonts w:hAnsi="Arial"/>
          <w:rFonts w:ascii="Arial"/>
          <w:sz w:val="24"/>
          <w:color w:val="navy"/>
        </w:rPr>
        <w:t xml:space="preserve">ARTΝCULO 2.5.8.2.4.3. </w:t>
      </w:r>
      <w:r>
        <w:rPr>
          <w:rFonts w:hAnsi="Arial"/>
          <w:rFonts w:ascii="Arial"/>
          <w:sz w:val="24"/>
          <w:i/>
          <w:color w:val="navy"/>
        </w:rPr>
        <w:t xml:space="preserve">TRES MESES DE ALTA POR FALLECIMIENTO.</w:t>
      </w:r>
      <w:bookmarkEnd w:id="61949"/>
      <w:r>
        <w:rPr>
          <w:rFonts w:hAnsi="Arial"/>
          <w:rFonts w:ascii="Arial"/>
          <w:sz w:val="24"/>
          <w:b/>
          <w:i/>
          <w:color w:val="black"/>
        </w:rPr>
        <w:t xml:space="preserve"> </w:t>
      </w:r>
      <w:r>
        <w:rPr>
          <w:rFonts w:hAnsi="Arial"/>
          <w:rFonts w:ascii="Arial"/>
          <w:sz w:val="24"/>
          <w:color w:val="black"/>
        </w:rPr>
        <w:t xml:space="preserve">El pago de los haberes correspondientes a los tres (3) meses de alta consagrados en el artνculo </w:t>
      </w:r>
      <w:r>
        <w:fldChar w:fldCharType="begin"/>
      </w:r>
      <w:r>
        <w:instrText>HYPERLINK "http://www.redjurista.com/document.aspx?ajcode=d1212_90&amp;arts=170"</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del Decreto 1212 de 1990, asν como los haberes de actividad dejados de cobrar por el causante, serα autorizado por el Jefe de Prestaciones Sociales de la Policνa Nacional previa la presentaciσn por parte de los beneficiarios, en el orden preferencial establecido en el artνculo </w:t>
      </w:r>
      <w:r>
        <w:fldChar w:fldCharType="begin"/>
      </w:r>
      <w:r>
        <w:instrText>HYPERLINK "http://www.redjurista.com/document.aspx?ajcode=d1212_90&amp;arts=173"</w:instrText>
      </w:r>
      <w:r>
        <w:fldChar w:fldCharType="separate"/>
      </w:r>
      <w:r>
        <w:rPr>
          <w:rFonts w:hAnsi="Arial"/>
          <w:rFonts w:ascii="Arial"/>
          <w:sz w:val="24"/>
          <w:u w:val="single"/>
          <w:color w:val="black"/>
        </w:rPr>
        <w:t>173</w:t>
      </w:r>
      <w:r>
        <w:fldChar w:fldCharType="end"/>
      </w:r>
      <w:r>
        <w:rPr>
          <w:rFonts w:hAnsi="Arial"/>
          <w:rFonts w:ascii="Arial"/>
          <w:sz w:val="24"/>
          <w:u w:val="none"/>
          <w:color w:val="black"/>
        </w:rPr>
        <w:t xml:space="preserve"> del citado Decreto, de los documentos que acrediten su derecho.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"http://www.redjurista.com/document.aspx?ajcode=d0400_92&amp;arts=81"</w:instrText>
      </w:r>
      <w:r>
        <w:fldChar w:fldCharType="separate"/>
      </w:r>
      <w:r>
        <w:rPr>
          <w:rFonts w:hAnsi="Arial"/>
          <w:rFonts w:ascii="Arial"/>
          <w:sz w:val="24"/>
          <w:i/>
          <w:u w:val="single"/>
          <w:color w:val="black"/>
        </w:rPr>
        <w:t>81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50" w:name="SECCIÓN 2.5.8.2.5"/>
      <w:r>
        <w:rPr>
          <w:rFonts w:hAnsi="Arial"/>
          <w:rFonts w:ascii="Arial"/>
          <w:sz w:val="24"/>
          <w:color w:val="navy"/>
        </w:rPr>
        <w:t xml:space="preserve">SECCIΣN 5. </w:t>
      </w:r>
    </w:p>
    <w:p>
      <w:pPr>
        <w:jc w:val="center"/>
      </w:pPr>
      <w:r>
        <w:rPr>
          <w:rFonts w:hAnsi="Arial"/>
          <w:rFonts w:ascii="Arial"/>
          <w:sz w:val="24"/>
          <w:color w:val="navy"/>
        </w:rPr>
        <w:t xml:space="preserve">PRESTACIONES POR MUERTE EN RETIRO.</w:t>
      </w:r>
      <w:bookmarkEnd w:id="6195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51" w:name="2.5.8.2.5.1"/>
      <w:r>
        <w:rPr>
          <w:rFonts w:hAnsi="Arial"/>
          <w:rFonts w:ascii="Arial"/>
          <w:sz w:val="24"/>
          <w:color w:val="navy"/>
        </w:rPr>
        <w:t xml:space="preserve">ARTΝCULO 2.5.8.2.5.1. </w:t>
      </w:r>
      <w:r>
        <w:rPr>
          <w:rFonts w:hAnsi="Arial"/>
          <w:rFonts w:ascii="Arial"/>
          <w:sz w:val="24"/>
          <w:i/>
          <w:color w:val="navy"/>
        </w:rPr>
        <w:t xml:space="preserve">SERVICIO MΙDICO - ASISTENCIAL PARA FAMILIARES DE FALLECIDOS EN GOCE DE ASIGNACIΣN DE RETIRO O PENSIΣN.</w:t>
      </w:r>
      <w:bookmarkEnd w:id="61951"/>
      <w:r>
        <w:rPr>
          <w:rFonts w:hAnsi="Arial"/>
          <w:rFonts w:ascii="Arial"/>
          <w:sz w:val="24"/>
          <w:b/>
          <w:i/>
          <w:color w:val="black"/>
        </w:rPr>
        <w:t xml:space="preserve"> </w:t>
      </w:r>
      <w:r>
        <w:rPr>
          <w:rFonts w:hAnsi="Arial"/>
          <w:rFonts w:ascii="Arial"/>
          <w:sz w:val="24"/>
          <w:color w:val="black"/>
        </w:rPr>
        <w:t xml:space="preserve">Para la prestaciσn de los servicios mιdico-asistenciales a los beneficiarios de que trata el inciso 2o del artνculo </w:t>
      </w:r>
      <w:r>
        <w:fldChar w:fldCharType="begin"/>
      </w:r>
      <w:r>
        <w:instrText>HYPERLINK "http://www.redjurista.com/document.aspx?ajcode=d1212_90&amp;arts=172"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del Decreto 1212 de 1990, regirαn las mismas normas consagradas en los artνculos </w:t>
      </w:r>
      <w:r>
        <w:fldChar w:fldCharType="begin"/>
      </w:r>
      <w:r>
        <w:instrText>HYPERLINK "http://www.redjurista.com/document.aspx?ajcode=d1070015&amp;arts=2.5.8.2.1.1"</w:instrText>
      </w:r>
      <w:r>
        <w:fldChar w:fldCharType="separate"/>
      </w:r>
      <w:r>
        <w:rPr>
          <w:rFonts w:hAnsi="Arial"/>
          <w:rFonts w:ascii="Arial"/>
          <w:sz w:val="24"/>
          <w:u w:val="single"/>
          <w:color w:val="black"/>
        </w:rPr>
        <w:t>2.5.8.2.1.1</w:t>
      </w:r>
      <w:r>
        <w:fldChar w:fldCharType="end"/>
      </w:r>
      <w:r>
        <w:rPr>
          <w:rFonts w:hAnsi="Arial"/>
          <w:rFonts w:ascii="Arial"/>
          <w:sz w:val="24"/>
          <w:u w:val="none"/>
          <w:color w:val="black"/>
        </w:rPr>
        <w:t xml:space="preserve">., a </w:t>
      </w:r>
      <w:r>
        <w:fldChar w:fldCharType="begin"/>
      </w:r>
      <w:r>
        <w:instrText>HYPERLINK "http://www.redjurista.com/document.aspx?ajcode=d1070015&amp;arts=2.5.8.2.1.4"</w:instrText>
      </w:r>
      <w:r>
        <w:fldChar w:fldCharType="separate"/>
      </w:r>
      <w:r>
        <w:rPr>
          <w:rFonts w:hAnsi="Arial"/>
          <w:rFonts w:ascii="Arial"/>
          <w:sz w:val="24"/>
          <w:u w:val="single"/>
          <w:color w:val="black"/>
        </w:rPr>
        <w:t>2.5.8.2.1.4</w:t>
      </w:r>
      <w:r>
        <w:fldChar w:fldCharType="end"/>
      </w:r>
      <w:r>
        <w:rPr>
          <w:rFonts w:hAnsi="Arial"/>
          <w:rFonts w:ascii="Arial"/>
          <w:sz w:val="24"/>
          <w:u w:val="none"/>
          <w:color w:val="black"/>
        </w:rPr>
        <w:t xml:space="preserve">., del presente Capνtulo. La expediciσn de carnιs de identidad estarα a cargo de la Caja de Sueldos de Retiro de la Policνa Nacional o de la Direcciσn General de la Policνa, segϊn se trate de asignaciones o pensiones pagaderas por la citada Caja o por el Tesoro Pϊblico.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"http://www.redjurista.com/document.aspx?ajcode=d0400_92&amp;arts=82"</w:instrText>
      </w:r>
      <w:r>
        <w:fldChar w:fldCharType="separate"/>
      </w:r>
      <w:r>
        <w:rPr>
          <w:rFonts w:hAnsi="Arial"/>
          <w:rFonts w:ascii="Arial"/>
          <w:sz w:val="24"/>
          <w:i/>
          <w:u w:val="single"/>
          <w:color w:val="black"/>
        </w:rPr>
        <w:t>82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2" w:name="2.5.8.2.5.2"/>
      <w:r>
        <w:rPr>
          <w:rFonts w:hAnsi="Arial"/>
          <w:rFonts w:ascii="Arial"/>
          <w:sz w:val="24"/>
          <w:color w:val="navy"/>
        </w:rPr>
        <w:t xml:space="preserve">ARTΝCULO 2.5.8.2.5.2. </w:t>
      </w:r>
      <w:r>
        <w:rPr>
          <w:rFonts w:hAnsi="Arial"/>
          <w:rFonts w:ascii="Arial"/>
          <w:sz w:val="24"/>
          <w:i/>
          <w:color w:val="navy"/>
        </w:rPr>
        <w:t xml:space="preserve">ORDEN DE BENEFICIARIOS.</w:t>
      </w:r>
      <w:bookmarkEnd w:id="61952"/>
      <w:r>
        <w:rPr>
          <w:rFonts w:hAnsi="Arial"/>
          <w:rFonts w:ascii="Arial"/>
          <w:sz w:val="24"/>
          <w:b/>
          <w:i/>
          <w:color w:val="black"/>
        </w:rPr>
        <w:t xml:space="preserve"> </w:t>
      </w:r>
      <w:r>
        <w:rPr>
          <w:rFonts w:hAnsi="Arial"/>
          <w:rFonts w:ascii="Arial"/>
          <w:sz w:val="24"/>
          <w:color w:val="black"/>
        </w:rPr>
        <w:t xml:space="preserve">Para los efectos del literal c) del artνculo </w:t>
      </w:r>
      <w:r>
        <w:fldChar w:fldCharType="begin"/>
      </w:r>
      <w:r>
        <w:instrText>HYPERLINK "http://www.redjurista.com/document.aspx?ajcode=d1212_90&amp;arts=173"</w:instrText>
      </w:r>
      <w:r>
        <w:fldChar w:fldCharType="separate"/>
      </w:r>
      <w:r>
        <w:rPr>
          <w:rFonts w:hAnsi="Arial"/>
          <w:rFonts w:ascii="Arial"/>
          <w:sz w:val="24"/>
          <w:u w:val="single"/>
          <w:color w:val="black"/>
        </w:rPr>
        <w:t>173</w:t>
      </w:r>
      <w:r>
        <w:fldChar w:fldCharType="end"/>
      </w:r>
      <w:r>
        <w:rPr>
          <w:rFonts w:hAnsi="Arial"/>
          <w:rFonts w:ascii="Arial"/>
          <w:sz w:val="24"/>
          <w:u w:val="none"/>
          <w:color w:val="black"/>
        </w:rPr>
        <w:t xml:space="preserve"> del Decreto 1212 de 1990, se entiende que la prestaciσn se dividirα entre cσnyuge y padres, solamente cuando no hubieren existido hijos del causante, es decir que si hay hijos sin derecho a la determinada prestaciσn la parte correspondiente acrece a la del cσnyuge.</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"http://www.redjurista.com/document.aspx?ajcode=d0400_92&amp;arts=83"</w:instrText>
      </w:r>
      <w:r>
        <w:fldChar w:fldCharType="separate"/>
      </w:r>
      <w:r>
        <w:rPr>
          <w:rFonts w:hAnsi="Arial"/>
          <w:rFonts w:ascii="Arial"/>
          <w:sz w:val="24"/>
          <w:i/>
          <w:u w:val="single"/>
          <w:color w:val="black"/>
        </w:rPr>
        <w:t>83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3" w:name="2.5.8.2.5.3"/>
      <w:r>
        <w:rPr>
          <w:rFonts w:hAnsi="Arial"/>
          <w:rFonts w:ascii="Arial"/>
          <w:sz w:val="24"/>
          <w:color w:val="navy"/>
        </w:rPr>
        <w:t xml:space="preserve">ARTΝCULO 2.5.8.2.5.3. </w:t>
      </w:r>
      <w:r>
        <w:rPr>
          <w:rFonts w:hAnsi="Arial"/>
          <w:rFonts w:ascii="Arial"/>
          <w:sz w:val="24"/>
          <w:i/>
          <w:color w:val="navy"/>
        </w:rPr>
        <w:t xml:space="preserve">DEPENDENCIA ECONΣMICA DE LOS HERMANOS.</w:t>
      </w:r>
      <w:bookmarkEnd w:id="61953"/>
      <w:r>
        <w:rPr>
          <w:rFonts w:hAnsi="Arial"/>
          <w:rFonts w:ascii="Arial"/>
          <w:sz w:val="24"/>
          <w:b/>
          <w:i/>
          <w:color w:val="black"/>
        </w:rPr>
        <w:t xml:space="preserve"> </w:t>
      </w:r>
      <w:r>
        <w:rPr>
          <w:rFonts w:hAnsi="Arial"/>
          <w:rFonts w:ascii="Arial"/>
          <w:sz w:val="24"/>
          <w:color w:val="black"/>
        </w:rPr>
        <w:t xml:space="preserve">La carencia de medios de subsistencia y dependencia econσmica de que trata el artνculo </w:t>
      </w:r>
      <w:r>
        <w:fldChar w:fldCharType="begin"/>
      </w:r>
      <w:r>
        <w:instrText>HYPERLINK "http://www.redjurista.com/document.aspx?ajcode=d1212_90&amp;arts=173"</w:instrText>
      </w:r>
      <w:r>
        <w:fldChar w:fldCharType="separate"/>
      </w:r>
      <w:r>
        <w:rPr>
          <w:rFonts w:hAnsi="Arial"/>
          <w:rFonts w:ascii="Arial"/>
          <w:sz w:val="24"/>
          <w:u w:val="single"/>
          <w:color w:val="black"/>
        </w:rPr>
        <w:t>173</w:t>
      </w:r>
      <w:r>
        <w:fldChar w:fldCharType="end"/>
      </w:r>
      <w:r>
        <w:rPr>
          <w:rFonts w:hAnsi="Arial"/>
          <w:rFonts w:ascii="Arial"/>
          <w:sz w:val="24"/>
          <w:u w:val="none"/>
          <w:color w:val="black"/>
        </w:rPr>
        <w:t xml:space="preserve"> del Decreto 1212 de 1990 como condiciσn para reconocimiento y pago de las prestaciones a favor de los hermanos menores de edad del Oficial o Suboficial, deberαn comprobarse mediante la presentaciσn de copia autιntica de la ϊltima declaraciσn de renta o certificado de ingresos y retenciones del Oficial o Suboficial fallecido y certificado de la Administraciσn de Impuestos Nacionales en el sentido de que no declara renta ni patrimonio.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"http://www.redjurista.com/document.aspx?ajcode=d0400_92&amp;arts=84"</w:instrText>
      </w:r>
      <w:r>
        <w:fldChar w:fldCharType="separate"/>
      </w:r>
      <w:r>
        <w:rPr>
          <w:rFonts w:hAnsi="Arial"/>
          <w:rFonts w:ascii="Arial"/>
          <w:sz w:val="24"/>
          <w:i/>
          <w:u w:val="single"/>
          <w:color w:val="black"/>
        </w:rPr>
        <w:t>84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4" w:name="2.5.8.2.5.4"/>
      <w:r>
        <w:rPr>
          <w:rFonts w:hAnsi="Arial"/>
          <w:rFonts w:ascii="Arial"/>
          <w:sz w:val="24"/>
          <w:color w:val="navy"/>
        </w:rPr>
        <w:t xml:space="preserve">ARTΝCULO 2.5.8.2.5.4. </w:t>
      </w:r>
      <w:r>
        <w:rPr>
          <w:rFonts w:hAnsi="Arial"/>
          <w:rFonts w:ascii="Arial"/>
          <w:sz w:val="24"/>
          <w:i/>
          <w:color w:val="navy"/>
        </w:rPr>
        <w:t xml:space="preserve">COMPROBACIΣN DE SITUACIONES PARA GOCE DE PENSIΣN.</w:t>
      </w:r>
      <w:bookmarkEnd w:id="61954"/>
      <w:r>
        <w:rPr>
          <w:rFonts w:hAnsi="Arial"/>
          <w:rFonts w:ascii="Arial"/>
          <w:sz w:val="24"/>
          <w:b/>
          <w:i/>
          <w:color w:val="black"/>
        </w:rPr>
        <w:t xml:space="preserve"> </w:t>
      </w:r>
      <w:r>
        <w:rPr>
          <w:rFonts w:hAnsi="Arial"/>
          <w:rFonts w:ascii="Arial"/>
          <w:sz w:val="24"/>
          <w:color w:val="black"/>
        </w:rPr>
        <w:t xml:space="preserve">Los beneficiarios de los Oficiales o Suboficiales en goce de asignaciσn de retiro o pensiσn deberαn demostrar ante la entidad pagadora, que no han incurrido en las causales de extinciσn previstas en el artνculo </w:t>
      </w:r>
      <w:r>
        <w:fldChar w:fldCharType="begin"/>
      </w:r>
      <w:r>
        <w:instrText>HYPERLINK "http://www.redjurista.com/document.aspx?ajcode=d1212_90&amp;arts=174"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del Decreto 1212 de 1990. Este requisito se entenderα cumplido con declaraciσn anual juramentada, rendida ante juez competente o notario.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"http://www.redjurista.com/document.aspx?ajcode=d0400_92&amp;arts=85"</w:instrText>
      </w:r>
      <w:r>
        <w:fldChar w:fldCharType="separate"/>
      </w:r>
      <w:r>
        <w:rPr>
          <w:rFonts w:hAnsi="Arial"/>
          <w:rFonts w:ascii="Arial"/>
          <w:sz w:val="24"/>
          <w:i/>
          <w:u w:val="single"/>
          <w:color w:val="black"/>
        </w:rPr>
        <w:t>85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5" w:name="2.5.8.2.5.5"/>
      <w:r>
        <w:rPr>
          <w:rFonts w:hAnsi="Arial"/>
          <w:rFonts w:ascii="Arial"/>
          <w:sz w:val="24"/>
          <w:color w:val="navy"/>
        </w:rPr>
        <w:t xml:space="preserve">ARTΝCULO 2.5.8.2.5.5. </w:t>
      </w:r>
      <w:r>
        <w:rPr>
          <w:rFonts w:hAnsi="Arial"/>
          <w:rFonts w:ascii="Arial"/>
          <w:sz w:val="24"/>
          <w:i/>
          <w:color w:val="navy"/>
        </w:rPr>
        <w:t xml:space="preserve">AVISOS SOBRE CAUSALES DE EXTINCIΣN.</w:t>
      </w:r>
      <w:bookmarkEnd w:id="61955"/>
      <w:r>
        <w:rPr>
          <w:rFonts w:hAnsi="Arial"/>
          <w:rFonts w:ascii="Arial"/>
          <w:sz w:val="24"/>
          <w:b/>
          <w:i/>
          <w:color w:val="black"/>
        </w:rPr>
        <w:t xml:space="preserve"> Sanciσn. </w:t>
      </w:r>
      <w:r>
        <w:rPr>
          <w:rFonts w:hAnsi="Arial"/>
          <w:rFonts w:ascii="Arial"/>
          <w:sz w:val="24"/>
          <w:color w:val="black"/>
        </w:rPr>
        <w:t xml:space="preserve">Los beneficiarios de las pensiones a que se refiere el artνculo anterior, estarαn en la obligaciσn de dar aviso a la entidad pagadora de cualquier hecho que constituya causa o extinciσn de la pensiσn que disfrutan o de cualquiera de sus cuotas partes, dentro de los treinta (30) dνas siguientes a la fecha de ocurrencia del hecho.</w:t>
      </w:r>
    </w:p>
    <w:p>
      <w:pPr>
        <w:jc w:val="both"/>
      </w:pPr>
      <w:rPr>
        <w:sz w:val="24"/>
        <w:color w:val="black"/>
      </w:rPr>
    </w:p>
    <w:p>
      <w:pPr>
        <w:jc w:val="both"/>
      </w:pPr>
      <w:r>
        <w:rPr>
          <w:rFonts w:hAnsi="Arial"/>
          <w:rFonts w:ascii="Arial"/>
          <w:sz w:val="24"/>
          <w:color w:val="black"/>
        </w:rPr>
        <w:t xml:space="preserve">Quienes incumplan esta obligaciσn y continϊen percibiendo la pensiσn o la cuota parte respectiva, deberαn cubrir a la Caja de Sueldos de Retiro de la Policνa Nacional o al Presupuesto de la Policνa Nacional segϊn el caso, una suma equivalente a lo indebidamente recibido, suma que serα descontada de la pensiσn remanente cuando sea posible o exigible por vνa coactiva. La anterior medida se aplicarα sin perjuicio de la acciσn penal, la cual deberα ser promovida por la entidad pagadora inmediatamente tenga conocimiento de la irregularidad.</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"http://www.redjurista.com/document.aspx?ajcode=d0400_92&amp;arts=86"</w:instrText>
      </w:r>
      <w:r>
        <w:fldChar w:fldCharType="separate"/>
      </w:r>
      <w:r>
        <w:rPr>
          <w:rFonts w:hAnsi="Arial"/>
          <w:rFonts w:ascii="Arial"/>
          <w:sz w:val="24"/>
          <w:i/>
          <w:u w:val="single"/>
          <w:color w:val="black"/>
        </w:rPr>
        <w:t>86</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56" w:name="SECCIÓN 2.5.8.2.6"/>
      <w:r>
        <w:rPr>
          <w:rFonts w:hAnsi="Arial"/>
          <w:rFonts w:ascii="Arial"/>
          <w:sz w:val="24"/>
          <w:color w:val="navy"/>
        </w:rPr>
        <w:t xml:space="preserve">SECCIΣN 6. </w:t>
      </w:r>
    </w:p>
    <w:p>
      <w:pPr>
        <w:jc w:val="center"/>
      </w:pPr>
      <w:r>
        <w:rPr>
          <w:rFonts w:hAnsi="Arial"/>
          <w:rFonts w:ascii="Arial"/>
          <w:sz w:val="24"/>
          <w:color w:val="navy"/>
        </w:rPr>
        <w:t xml:space="preserve">DESAPARECIDOS Y PRISIONEROS.</w:t>
      </w:r>
      <w:bookmarkEnd w:id="61956"/>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57" w:name="2.5.8.2.6.1"/>
      <w:r>
        <w:rPr>
          <w:rFonts w:hAnsi="Arial"/>
          <w:rFonts w:ascii="Arial"/>
          <w:sz w:val="24"/>
          <w:color w:val="navy"/>
        </w:rPr>
        <w:t xml:space="preserve">ARTΝCULO 2.5.8.2.6.1. </w:t>
      </w:r>
      <w:r>
        <w:rPr>
          <w:rFonts w:hAnsi="Arial"/>
          <w:rFonts w:ascii="Arial"/>
          <w:sz w:val="24"/>
          <w:i/>
          <w:color w:val="navy"/>
        </w:rPr>
        <w:t xml:space="preserve">PROCEDIMIENTO EN CASO DE DESAPARECIMIENTO.</w:t>
      </w:r>
      <w:bookmarkEnd w:id="61957"/>
      <w:r>
        <w:rPr>
          <w:rFonts w:hAnsi="Arial"/>
          <w:rFonts w:ascii="Arial"/>
          <w:sz w:val="24"/>
          <w:b/>
          <w:i/>
          <w:color w:val="black"/>
        </w:rPr>
        <w:t xml:space="preserve"> </w:t>
      </w:r>
      <w:r>
        <w:rPr>
          <w:rFonts w:hAnsi="Arial"/>
          <w:rFonts w:ascii="Arial"/>
          <w:sz w:val="24"/>
          <w:color w:val="black"/>
        </w:rPr>
        <w:t xml:space="preserve">Cuando un Oficial o Suboficial de la Policνa Nacional, en servido activo, desaparezca al tenor de lo establecido en el artνculo </w:t>
      </w:r>
      <w:r>
        <w:fldChar w:fldCharType="begin"/>
      </w:r>
      <w:r>
        <w:instrText>HYPERLINK "http://www.redjurista.com/document.aspx?ajcode=d1212_90&amp;arts=178"</w:instrText>
      </w:r>
      <w:r>
        <w:fldChar w:fldCharType="separate"/>
      </w:r>
      <w:r>
        <w:rPr>
          <w:rFonts w:hAnsi="Arial"/>
          <w:rFonts w:ascii="Arial"/>
          <w:sz w:val="24"/>
          <w:u w:val="single"/>
          <w:color w:val="black"/>
        </w:rPr>
        <w:t>178</w:t>
      </w:r>
      <w:r>
        <w:fldChar w:fldCharType="end"/>
      </w:r>
      <w:r>
        <w:rPr>
          <w:rFonts w:hAnsi="Arial"/>
          <w:rFonts w:ascii="Arial"/>
          <w:sz w:val="24"/>
          <w:u w:val="none"/>
          <w:color w:val="black"/>
        </w:rPr>
        <w:t xml:space="preserve"> del Decreto 1212 de 1990, se procederα de la siguiente manera:</w:t>
      </w:r>
    </w:p>
    <w:p>
      <w:pPr>
        <w:jc w:val="both"/>
      </w:pPr>
      <w:rPr>
        <w:sz w:val="24"/>
        <w:color w:val="black"/>
      </w:rPr>
    </w:p>
    <w:p>
      <w:pPr>
        <w:jc w:val="both"/>
      </w:pPr>
      <w:r>
        <w:rPr>
          <w:rFonts w:hAnsi="Arial"/>
          <w:rFonts w:ascii="Arial"/>
          <w:sz w:val="24"/>
          <w:color w:val="black"/>
        </w:rPr>
        <w:t xml:space="preserve">a) Transcurridos treinta (30) dνas de la ϊltima noticia del desaparecido, el Comandante respectivo con facultad disciplinaria, designarα un funcionario para que adelante la investigaciσn;</w:t>
      </w:r>
    </w:p>
    <w:p>
      <w:pPr>
        <w:jc w:val="both"/>
      </w:pPr>
      <w:rPr>
        <w:sz w:val="24"/>
        <w:color w:val="black"/>
      </w:rPr>
    </w:p>
    <w:p>
      <w:pPr>
        <w:jc w:val="both"/>
      </w:pPr>
      <w:r>
        <w:rPr>
          <w:rFonts w:hAnsi="Arial"/>
          <w:rFonts w:ascii="Arial"/>
          <w:sz w:val="24"/>
          <w:color w:val="black"/>
        </w:rPr>
        <w:t xml:space="preserve">b) El funcionario instructor dentro de un tιrmino no mayor a ocho (8) dνas hαbiles practicarα las diligencias que considere pertinentes para determinar las circunstancias en que tuvo ocurrencia la desapariciσn;</w:t>
      </w:r>
    </w:p>
    <w:p>
      <w:pPr>
        <w:jc w:val="both"/>
      </w:pPr>
      <w:rPr>
        <w:sz w:val="24"/>
        <w:color w:val="black"/>
      </w:rPr>
    </w:p>
    <w:p>
      <w:pPr>
        <w:jc w:val="both"/>
      </w:pPr>
      <w:r>
        <w:rPr>
          <w:rFonts w:hAnsi="Arial"/>
          <w:rFonts w:ascii="Arial"/>
          <w:sz w:val="24"/>
          <w:color w:val="black"/>
        </w:rPr>
        <w:t xml:space="preserve">c) Vencido el tιrmino a que se refiere el literal anterior, el instructor remitirα el informativo al superior que ordenσ la investigaciσn, quien emitirα concepto dentro de los tres (3) dνas siguientes al recibo de las diligencias y las enviara luego a la Direcciσn de Personal para los efectos pertinentes.</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"http://www.redjurista.com/document.aspx?ajcode=d0400_92&amp;arts=87"</w:instrText>
      </w:r>
      <w:r>
        <w:fldChar w:fldCharType="separate"/>
      </w:r>
      <w:r>
        <w:rPr>
          <w:rFonts w:hAnsi="Arial"/>
          <w:rFonts w:ascii="Arial"/>
          <w:sz w:val="24"/>
          <w:i/>
          <w:u w:val="single"/>
          <w:color w:val="black"/>
        </w:rPr>
        <w:t>87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8" w:name="2.5.8.2.6.2"/>
      <w:r>
        <w:rPr>
          <w:rFonts w:hAnsi="Arial"/>
          <w:rFonts w:ascii="Arial"/>
          <w:sz w:val="24"/>
          <w:color w:val="navy"/>
        </w:rPr>
        <w:t xml:space="preserve">ARTΝCULO 2.5.8.2.6.2. </w:t>
      </w:r>
      <w:r>
        <w:rPr>
          <w:rFonts w:hAnsi="Arial"/>
          <w:rFonts w:ascii="Arial"/>
          <w:sz w:val="24"/>
          <w:i/>
          <w:color w:val="navy"/>
        </w:rPr>
        <w:t>APARECIMIENTO.</w:t>
      </w:r>
      <w:bookmarkEnd w:id="61958"/>
      <w:r>
        <w:rPr>
          <w:rFonts w:hAnsi="Arial"/>
          <w:rFonts w:ascii="Arial"/>
          <w:sz w:val="24"/>
          <w:b/>
          <w:i/>
          <w:color w:val="black"/>
        </w:rPr>
        <w:t xml:space="preserve"> </w:t>
      </w:r>
      <w:r>
        <w:rPr>
          <w:rFonts w:hAnsi="Arial"/>
          <w:rFonts w:ascii="Arial"/>
          <w:sz w:val="24"/>
          <w:color w:val="black"/>
        </w:rPr>
        <w:t xml:space="preserve">Si el Oficial o Suboficial apareciere, la Direcciσn General de la Policνa Nacional ordenarα adelantar una investigaciσn de carαcter administrativo, con el objeto de precisar:</w:t>
      </w:r>
    </w:p>
    <w:p>
      <w:pPr>
        <w:jc w:val="both"/>
      </w:pPr>
      <w:rPr>
        <w:sz w:val="24"/>
        <w:color w:val="black"/>
      </w:rPr>
    </w:p>
    <w:p>
      <w:pPr>
        <w:jc w:val="both"/>
      </w:pPr>
      <w:r>
        <w:rPr>
          <w:rFonts w:hAnsi="Arial"/>
          <w:rFonts w:ascii="Arial"/>
          <w:sz w:val="24"/>
          <w:color w:val="black"/>
        </w:rPr>
        <w:t xml:space="preserve">a) La identidad del aparecido, acerca de la cual deberα tener plena certeza, mediante la utilizaciσn de medios tιcnicos apropiados de identificaciσn;</w:t>
      </w:r>
    </w:p>
    <w:p>
      <w:pPr>
        <w:jc w:val="both"/>
      </w:pPr>
      <w:rPr>
        <w:sz w:val="24"/>
        <w:color w:val="black"/>
      </w:rPr>
    </w:p>
    <w:p>
      <w:pPr>
        <w:jc w:val="both"/>
      </w:pPr>
      <w:r>
        <w:rPr>
          <w:rFonts w:hAnsi="Arial"/>
          <w:rFonts w:ascii="Arial"/>
          <w:sz w:val="24"/>
          <w:color w:val="black"/>
        </w:rPr>
        <w:t xml:space="preserve">b) Las actividades desarrolladas por el Oficial o Suboficial durante su desaparecimiento, identificando las causas de la desapariciσn.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Si en la investigaciσn administrativa se llegare a establecer acciones u omisiones que deban ser investigadas por la Justicia Penal Militar o por la Ordinaria, se compulsarα copia del expediente administrativo a fin de que se adelante el proceso a que haya lugar.</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"http://www.redjurista.com/document.aspx?ajcode=d0400_92&amp;arts=88"</w:instrText>
      </w:r>
      <w:r>
        <w:fldChar w:fldCharType="separate"/>
      </w:r>
      <w:r>
        <w:rPr>
          <w:rFonts w:hAnsi="Arial"/>
          <w:rFonts w:ascii="Arial"/>
          <w:sz w:val="24"/>
          <w:i/>
          <w:u w:val="single"/>
          <w:color w:val="black"/>
        </w:rPr>
        <w:t>88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59" w:name="2.5.8.2.6.3"/>
      <w:r>
        <w:rPr>
          <w:rFonts w:hAnsi="Arial"/>
          <w:rFonts w:ascii="Arial"/>
          <w:sz w:val="24"/>
          <w:color w:val="navy"/>
        </w:rPr>
        <w:t xml:space="preserve">ARTΝCULO 2.5.8.2.6.3. </w:t>
      </w:r>
      <w:r>
        <w:rPr>
          <w:rFonts w:hAnsi="Arial"/>
          <w:rFonts w:ascii="Arial"/>
          <w:sz w:val="24"/>
          <w:i/>
          <w:color w:val="navy"/>
        </w:rPr>
        <w:t xml:space="preserve">FALLO Y SANCIONES.</w:t>
      </w:r>
      <w:bookmarkEnd w:id="61959"/>
      <w:r>
        <w:rPr>
          <w:rFonts w:hAnsi="Arial"/>
          <w:rFonts w:ascii="Arial"/>
          <w:sz w:val="24"/>
          <w:b/>
          <w:i/>
          <w:color w:val="black"/>
        </w:rPr>
        <w:t xml:space="preserve"> </w:t>
      </w:r>
      <w:r>
        <w:rPr>
          <w:rFonts w:hAnsi="Arial"/>
          <w:rFonts w:ascii="Arial"/>
          <w:sz w:val="24"/>
          <w:color w:val="black"/>
        </w:rPr>
        <w:t xml:space="preserve">Si el proceso penal culminare con fallo condenatorio para la persona aparecida, se modificarα la causal de baja por presunciσn de muerte a que se refiere el parαgrafo del artνculo </w:t>
      </w:r>
      <w:r>
        <w:fldChar w:fldCharType="begin"/>
      </w:r>
      <w:r>
        <w:instrText>HYPERLINK "http://www.redjurista.com/document.aspx?ajcode=d1212_90&amp;arts=178"</w:instrText>
      </w:r>
      <w:r>
        <w:fldChar w:fldCharType="separate"/>
      </w:r>
      <w:r>
        <w:rPr>
          <w:rFonts w:hAnsi="Arial"/>
          <w:rFonts w:ascii="Arial"/>
          <w:sz w:val="24"/>
          <w:u w:val="single"/>
          <w:color w:val="black"/>
        </w:rPr>
        <w:t>178</w:t>
      </w:r>
      <w:r>
        <w:fldChar w:fldCharType="end"/>
      </w:r>
      <w:r>
        <w:rPr>
          <w:rFonts w:hAnsi="Arial"/>
          <w:rFonts w:ascii="Arial"/>
          <w:sz w:val="24"/>
          <w:u w:val="none"/>
          <w:color w:val="black"/>
        </w:rPr>
        <w:t xml:space="preserve"> del Decreto 1212 de 1990, en caso de que esta ya se hubiere producido, por la que resulte del respectivo fallo y se darα aplicaciσn a lo dispuesto en el artνculo </w:t>
      </w:r>
      <w:r>
        <w:fldChar w:fldCharType="begin"/>
      </w:r>
      <w:r>
        <w:instrText>HYPERLINK "http://www.redjurista.com/document.aspx?ajcode=d1212_90&amp;arts=180"</w:instrText>
      </w:r>
      <w:r>
        <w:fldChar w:fldCharType="separate"/>
      </w:r>
      <w:r>
        <w:rPr>
          <w:rFonts w:hAnsi="Arial"/>
          <w:rFonts w:ascii="Arial"/>
          <w:sz w:val="24"/>
          <w:u w:val="single"/>
          <w:color w:val="black"/>
        </w:rPr>
        <w:t>180</w:t>
      </w:r>
      <w:r>
        <w:fldChar w:fldCharType="end"/>
      </w:r>
      <w:r>
        <w:rPr>
          <w:rFonts w:hAnsi="Arial"/>
          <w:rFonts w:ascii="Arial"/>
          <w:sz w:val="24"/>
          <w:u w:val="none"/>
          <w:color w:val="black"/>
        </w:rPr>
        <w:t xml:space="preserve"> del mismo Decreto.</w:t>
      </w:r>
    </w:p>
    <w:p>
      <w:pPr>
        <w:jc w:val="both"/>
      </w:pPr>
      <w:rPr>
        <w:sz w:val="24"/>
        <w:color w:val="black"/>
      </w:rPr>
    </w:p>
    <w:p>
      <w:pPr>
        <w:jc w:val="both"/>
      </w:pPr>
      <w:r>
        <w:rPr>
          <w:rFonts w:hAnsi="Arial"/>
          <w:rFonts w:ascii="Arial"/>
          <w:sz w:val="24"/>
          <w:color w:val="black"/>
        </w:rPr>
        <w:t xml:space="preserve">Si el fallo fuere absolutorio, la Direcciσn General de la Policνa Nacional declararα sin valor ni efecto las disposiciones que se hayan dictado con ocasiσn de la desapariciσn se considerarα en actividad para todos los efectos, incluyendo el derecho a los haberes mensuales correspondientes al grado.</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"http://www.redjurista.com/document.aspx?ajcode=d0400_92&amp;arts=89"</w:instrText>
      </w:r>
      <w:r>
        <w:fldChar w:fldCharType="separate"/>
      </w:r>
      <w:r>
        <w:rPr>
          <w:rFonts w:hAnsi="Arial"/>
          <w:rFonts w:ascii="Arial"/>
          <w:sz w:val="24"/>
          <w:i/>
          <w:u w:val="single"/>
          <w:color w:val="black"/>
        </w:rPr>
        <w:t>89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60" w:name="SECCIÓN 2.5.8.2.7"/>
      <w:r>
        <w:rPr>
          <w:rFonts w:hAnsi="Arial"/>
          <w:rFonts w:ascii="Arial"/>
          <w:sz w:val="24"/>
          <w:color w:val="navy"/>
        </w:rPr>
        <w:t xml:space="preserve">SECCIΣN 7. </w:t>
      </w:r>
    </w:p>
    <w:p>
      <w:pPr>
        <w:jc w:val="center"/>
      </w:pPr>
      <w:r>
        <w:rPr>
          <w:rFonts w:hAnsi="Arial"/>
          <w:rFonts w:ascii="Arial"/>
          <w:sz w:val="24"/>
          <w:color w:val="navy"/>
        </w:rPr>
        <w:t xml:space="preserve">DISPOSICIONES VARIAS.</w:t>
      </w:r>
      <w:bookmarkEnd w:id="61960"/>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61" w:name="2.5.8.2.7.1"/>
      <w:r>
        <w:rPr>
          <w:rFonts w:hAnsi="Arial"/>
          <w:rFonts w:ascii="Arial"/>
          <w:sz w:val="24"/>
          <w:color w:val="navy"/>
        </w:rPr>
        <w:t xml:space="preserve">ARTΝCULO 2.5.8.2.7.1. </w:t>
      </w:r>
      <w:r>
        <w:rPr>
          <w:rFonts w:hAnsi="Arial"/>
          <w:rFonts w:ascii="Arial"/>
          <w:sz w:val="24"/>
          <w:i/>
          <w:color w:val="navy"/>
        </w:rPr>
        <w:t xml:space="preserve">CUOTAS PARTES PENSIONALES.</w:t>
      </w:r>
      <w:bookmarkEnd w:id="61961"/>
      <w:r>
        <w:rPr>
          <w:rFonts w:hAnsi="Arial"/>
          <w:rFonts w:ascii="Arial"/>
          <w:sz w:val="24"/>
          <w:b/>
          <w:i/>
          <w:color w:val="black"/>
        </w:rPr>
        <w:t xml:space="preserve"> </w:t>
      </w:r>
      <w:r>
        <w:rPr>
          <w:rFonts w:hAnsi="Arial"/>
          <w:rFonts w:ascii="Arial"/>
          <w:sz w:val="24"/>
          <w:color w:val="black"/>
        </w:rPr>
        <w:t xml:space="preserve">Para los efectos de lo dispuesto en el inciso final del artνculo </w:t>
      </w:r>
      <w:r>
        <w:fldChar w:fldCharType="begin"/>
      </w:r>
      <w:r>
        <w:instrText>HYPERLINK "http://www.redjurista.com/document.aspx?ajcode=d1212_90&amp;arts=210"</w:instrText>
      </w:r>
      <w:r>
        <w:fldChar w:fldCharType="separate"/>
      </w:r>
      <w:r>
        <w:rPr>
          <w:rFonts w:hAnsi="Arial"/>
          <w:rFonts w:ascii="Arial"/>
          <w:sz w:val="24"/>
          <w:u w:val="single"/>
          <w:color w:val="black"/>
        </w:rPr>
        <w:t>210</w:t>
      </w:r>
      <w:r>
        <w:fldChar w:fldCharType="end"/>
      </w:r>
      <w:r>
        <w:rPr>
          <w:rFonts w:hAnsi="Arial"/>
          <w:rFonts w:ascii="Arial"/>
          <w:sz w:val="24"/>
          <w:u w:val="none"/>
          <w:color w:val="black"/>
        </w:rPr>
        <w:t xml:space="preserve"> del Decreto 1212 de 1990, se entenderα que las cuotas partes pensionales, serαn de cargo de la Policνa Nacional cuando el personal que laborσ en las extinguidas Policνas Departamentales y Municipales hizo trαnsito a la Policνa Nacional.</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"http://www.redjurista.com/document.aspx?ajcode=d0400_92&amp;arts=90"</w:instrText>
      </w:r>
      <w:r>
        <w:fldChar w:fldCharType="separate"/>
      </w:r>
      <w:r>
        <w:rPr>
          <w:rFonts w:hAnsi="Arial"/>
          <w:rFonts w:ascii="Arial"/>
          <w:sz w:val="24"/>
          <w:i/>
          <w:u w:val="single"/>
          <w:color w:val="black"/>
        </w:rPr>
        <w:t>90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62" w:name="2.5.8.2.7.2"/>
      <w:r>
        <w:rPr>
          <w:rFonts w:hAnsi="Arial"/>
          <w:rFonts w:ascii="Arial"/>
          <w:sz w:val="24"/>
          <w:color w:val="navy"/>
        </w:rPr>
        <w:t xml:space="preserve">ARTΝCULO 2.5.8.2.7.2. </w:t>
      </w:r>
      <w:r>
        <w:rPr>
          <w:rFonts w:hAnsi="Arial"/>
          <w:rFonts w:ascii="Arial"/>
          <w:sz w:val="24"/>
          <w:i/>
          <w:color w:val="navy"/>
        </w:rPr>
        <w:t xml:space="preserve">DISTINTIVO DE BUENA CONDUCTA PARA SUBOFICIALES.</w:t>
      </w:r>
      <w:bookmarkEnd w:id="61962"/>
      <w:r>
        <w:rPr>
          <w:rFonts w:hAnsi="Arial"/>
          <w:rFonts w:ascii="Arial"/>
          <w:sz w:val="24"/>
          <w:b/>
          <w:i/>
          <w:color w:val="black"/>
        </w:rPr>
        <w:t xml:space="preserve"> </w:t>
      </w:r>
      <w:r>
        <w:rPr>
          <w:rFonts w:hAnsi="Arial"/>
          <w:rFonts w:ascii="Arial"/>
          <w:sz w:val="24"/>
          <w:color w:val="black"/>
        </w:rPr>
        <w:t xml:space="preserve">El distintivo de buena conducta a que se refiere el artνculo </w:t>
      </w:r>
      <w:r>
        <w:fldChar w:fldCharType="begin"/>
      </w:r>
      <w:r>
        <w:instrText>HYPERLINK "http://www.redjurista.com/document.aspx?ajcode=d1212_90&amp;arts=214"</w:instrText>
      </w:r>
      <w:r>
        <w:fldChar w:fldCharType="separate"/>
      </w:r>
      <w:r>
        <w:rPr>
          <w:rFonts w:hAnsi="Arial"/>
          <w:rFonts w:ascii="Arial"/>
          <w:sz w:val="24"/>
          <w:u w:val="single"/>
          <w:color w:val="black"/>
        </w:rPr>
        <w:t>214</w:t>
      </w:r>
      <w:r>
        <w:fldChar w:fldCharType="end"/>
      </w:r>
      <w:r>
        <w:rPr>
          <w:rFonts w:hAnsi="Arial"/>
          <w:rFonts w:ascii="Arial"/>
          <w:sz w:val="24"/>
          <w:u w:val="none"/>
          <w:color w:val="black"/>
        </w:rPr>
        <w:t xml:space="preserve"> del Decreto 1212 de 1990, serα otorgado por la Direcciσn General de la Policνa Nacional, con motivo de celebrarse el aniversario de la instituciσn.</w:t>
      </w:r>
    </w:p>
    <w:p>
      <w:pPr>
        <w:jc w:val="both"/>
      </w:pPr>
      <w:rPr>
        <w:sz w:val="24"/>
        <w:color w:val="black"/>
      </w:rPr>
    </w:p>
    <w:p>
      <w:pPr>
        <w:jc w:val="both"/>
      </w:pPr>
      <w:r>
        <w:rPr>
          <w:rFonts w:hAnsi="Arial"/>
          <w:rFonts w:ascii="Arial"/>
          <w:sz w:val="24"/>
          <w:color w:val="black"/>
        </w:rPr>
        <w:t xml:space="preserve">Para el pago de la bonificaciσn correspondiente, la Divisiσn de Sistemas incluirα oficiosamente el porcentaje establecido tomando la novedad de la orden administrativa de personal.</w:t>
      </w:r>
    </w:p>
    <w:p>
      <w:pPr>
        <w:jc w:val="both"/>
      </w:pPr>
      <w:rPr>
        <w:sz w:val="24"/>
        <w:color w:val="black"/>
      </w:rPr>
    </w:p>
    <w:p>
      <w:pPr>
        <w:jc w:val="both"/>
      </w:pPr>
      <w:r>
        <w:rPr>
          <w:rFonts w:hAnsi="Arial"/>
          <w:rFonts w:ascii="Arial"/>
          <w:sz w:val="24"/>
          <w:i/>
          <w:color w:val="black"/>
        </w:rPr>
        <w:t xml:space="preserve">(Decreto 0400 de 1992 artνculo </w:t>
      </w:r>
      <w:r>
        <w:fldChar w:fldCharType="begin"/>
      </w:r>
      <w:r>
        <w:instrText>HYPERLINK "http://www.redjurista.com/document.aspx?ajcode=d0400_92&amp;arts=91"</w:instrText>
      </w:r>
      <w:r>
        <w:fldChar w:fldCharType="separate"/>
      </w:r>
      <w:r>
        <w:rPr>
          <w:rFonts w:hAnsi="Arial"/>
          <w:rFonts w:ascii="Arial"/>
          <w:sz w:val="24"/>
          <w:i/>
          <w:u w:val="single"/>
          <w:color w:val="black"/>
        </w:rPr>
        <w:t>91</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63" w:name="TÍTULO 2.5.9"/>
      <w:r>
        <w:rPr>
          <w:rFonts w:hAnsi="Arial"/>
          <w:rFonts w:ascii="Arial"/>
          <w:sz w:val="24"/>
          <w:color w:val="navy"/>
        </w:rPr>
        <w:t xml:space="preserve">TΝTULO 9. </w:t>
      </w:r>
    </w:p>
    <w:p>
      <w:pPr>
        <w:jc w:val="center"/>
      </w:pPr>
      <w:r>
        <w:rPr>
          <w:rFonts w:hAnsi="Arial"/>
          <w:rFonts w:ascii="Arial"/>
          <w:sz w:val="24"/>
          <w:color w:val="navy"/>
        </w:rPr>
        <w:t xml:space="preserve">REGLAMENTACIΣN DE ALGUNAS DISPOSICIONES DEL DECRETO 1213 DE 1990, ESTATUTO DEL PERSONAL DE AGENTES DE LA POLICΝA NACIONAL.</w:t>
      </w:r>
      <w:bookmarkEnd w:id="6196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964" w:name="CAPÍTULO 2.5.9.1"/>
      <w:r>
        <w:rPr>
          <w:rFonts w:hAnsi="Arial"/>
          <w:rFonts w:ascii="Arial"/>
          <w:sz w:val="24"/>
          <w:color w:val="navy"/>
        </w:rPr>
        <w:t xml:space="preserve">CAPΝTULO 1. </w:t>
      </w:r>
    </w:p>
    <w:p>
      <w:pPr>
        <w:jc w:val="center"/>
      </w:pPr>
      <w:r>
        <w:rPr>
          <w:rFonts w:hAnsi="Arial"/>
          <w:rFonts w:ascii="Arial"/>
          <w:sz w:val="24"/>
          <w:color w:val="navy"/>
        </w:rPr>
        <w:t xml:space="preserve">DE LA REMUNERACIΣN.</w:t>
      </w:r>
      <w:bookmarkEnd w:id="6196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61965" w:name="SECCIÓN 2.5.9.1.1"/>
      <w:r>
        <w:rPr>
          <w:rFonts w:hAnsi="Arial"/>
          <w:rFonts w:ascii="Arial"/>
          <w:sz w:val="24"/>
          <w:color w:val="navy"/>
        </w:rPr>
        <w:t xml:space="preserve">SECCIΣN 1. </w:t>
      </w:r>
    </w:p>
    <w:p>
      <w:pPr>
        <w:jc w:val="center"/>
      </w:pPr>
      <w:r>
        <w:rPr>
          <w:rFonts w:hAnsi="Arial"/>
          <w:rFonts w:ascii="Arial"/>
          <w:sz w:val="24"/>
          <w:color w:val="navy"/>
        </w:rPr>
        <w:t xml:space="preserve">ASIGNACIONES Y PRIMAS.</w:t>
      </w:r>
      <w:bookmarkEnd w:id="6196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61966" w:name="2.5.9.1.1.1"/>
      <w:r>
        <w:rPr>
          <w:rFonts w:hAnsi="Arial"/>
          <w:rFonts w:ascii="Arial"/>
          <w:sz w:val="24"/>
          <w:color w:val="navy"/>
        </w:rPr>
        <w:t xml:space="preserve">ARTΝCULO 2.5.9.1.1.1. </w:t>
      </w:r>
      <w:r>
        <w:rPr>
          <w:rFonts w:hAnsi="Arial"/>
          <w:rFonts w:ascii="Arial"/>
          <w:sz w:val="24"/>
          <w:i/>
          <w:color w:val="navy"/>
        </w:rPr>
        <w:t xml:space="preserve">PRIMA DE NAVIDAD.</w:t>
      </w:r>
      <w:bookmarkEnd w:id="61966"/>
      <w:r>
        <w:rPr>
          <w:rFonts w:hAnsi="Arial"/>
          <w:rFonts w:ascii="Arial"/>
          <w:sz w:val="24"/>
          <w:b/>
          <w:i/>
          <w:color w:val="black"/>
        </w:rPr>
        <w:t xml:space="preserve"> </w:t>
      </w:r>
      <w:r>
        <w:rPr>
          <w:rFonts w:hAnsi="Arial"/>
          <w:rFonts w:ascii="Arial"/>
          <w:sz w:val="24"/>
          <w:color w:val="black"/>
        </w:rPr>
        <w:t xml:space="preserve">Para efectos del artνculo </w:t>
      </w:r>
      <w:r>
        <w:fldChar w:fldCharType="begin"/>
      </w:r>
      <w:r>
        <w:instrText>HYPERLINK "http://www.redjurista.com/document.aspx?ajcode=d1213_90&amp;arts=32"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1213 de 1990, los Agentes que no hubieren servido el aρo completo tendrαn derecho al pago de esta prima a razσn de una doceava (1/12) parte de cada mes completo de servicio, liquidada con base en los haberes devengados en el ϊltimo mes.</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967" w:name="2.5.9.1.1.2"/>
      <w:r>
        <w:rPr>
          <w:rFonts w:hAnsi="Arial"/>
          <w:rFonts w:ascii="Arial"/>
          <w:sz w:val="24"/>
          <w:color w:val="navy"/>
        </w:rPr>
        <w:t xml:space="preserve">ARTΝCULO 2.5.9.1.1.2. </w:t>
      </w:r>
      <w:r>
        <w:rPr>
          <w:rFonts w:hAnsi="Arial"/>
          <w:rFonts w:ascii="Arial"/>
          <w:sz w:val="24"/>
          <w:i/>
          <w:color w:val="navy"/>
        </w:rPr>
        <w:t xml:space="preserve">PARTIDA DE ALIMENTACIΣN.</w:t>
      </w:r>
      <w:bookmarkEnd w:id="61967"/>
      <w:r>
        <w:rPr>
          <w:rFonts w:hAnsi="Arial"/>
          <w:rFonts w:ascii="Arial"/>
          <w:sz w:val="24"/>
          <w:b/>
          <w:i/>
          <w:color w:val="black"/>
        </w:rPr>
        <w:t xml:space="preserve"> </w:t>
      </w:r>
      <w:r>
        <w:rPr>
          <w:rFonts w:hAnsi="Arial"/>
          <w:rFonts w:ascii="Arial"/>
          <w:sz w:val="24"/>
          <w:color w:val="black"/>
        </w:rPr>
        <w:t xml:space="preserve">Para el reconocimiento y pago de la partida de alimentaciσn de que trata el artνculo </w:t>
      </w:r>
      <w:r>
        <w:fldChar w:fldCharType="begin"/>
      </w:r>
      <w:r>
        <w:instrText>HYPERLINK "http://www.redjurista.com/document.aspx?ajcode=d1213_90&amp;arts=35"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1213 de 1990, los Comandantes de Departamento de Policνa reportarαn mensualmente a la Unidad de Sistemas, la relaciσn de los Agentes que tengan derecho a este beneficio, indicando los lugares y dνas de permanencia en las αreas seρaladas por la citada disposiciσn.</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1968" w:name="2.5.9.1.1.3"/>
      <w:r>
        <w:rPr>
          <w:rFonts w:hAnsi="Arial"/>
          <w:rFonts w:ascii="Arial"/>
          <w:sz w:val="24"/>
          <w:color w:val="navy"/>
        </w:rPr>
        <w:t xml:space="preserve">ARTΝCULO 2.5.9.1.1.3. </w:t>
      </w:r>
      <w:r>
        <w:rPr>
          <w:rFonts w:hAnsi="Arial"/>
          <w:rFonts w:ascii="Arial"/>
          <w:sz w:val="24"/>
          <w:i/>
          <w:color w:val="navy"/>
        </w:rPr>
        <w:t xml:space="preserve">PRIMA DE RIESGO.</w:t>
      </w:r>
      <w:bookmarkEnd w:id="61968"/>
      <w:r>
        <w:rPr>
          <w:rFonts w:hAnsi="Arial"/>
          <w:rFonts w:ascii="Arial"/>
          <w:sz w:val="24"/>
          <w:b/>
          <w:i/>
          <w:color w:val="black"/>
        </w:rPr>
        <w:t xml:space="preserve"> </w:t>
      </w:r>
      <w:r>
        <w:rPr>
          <w:rFonts w:hAnsi="Arial"/>
          <w:rFonts w:ascii="Arial"/>
          <w:sz w:val="24"/>
          <w:color w:val="black"/>
        </w:rPr>
        <w:t xml:space="preserve">Los Agentes de la Policνa que integren los grupos de operaciones especiales y antiexplosivos, tendrαn derecho al reconocimiento de la prima de riesgo consagrada en el artνculo </w:t>
      </w:r>
      <w:r>
        <w:fldChar w:fldCharType="begin"/>
      </w:r>
      <w:r>
        <w:instrText>HYPERLINK "http://www.redjurista.com/document.aspx?ajcode=d1213_90&amp;arts=36"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1213 de 1990, siempre y cuando llenen los siguientes requisitos:</w:t>
      </w:r>
    </w:p>
    <w:p>
      <w:pPr>
        <w:jc w:val="both"/>
      </w:pPr>
      <w:rPr>
        <w:sz w:val="24"/>
        <w:color w:val="black"/>
      </w:rPr>
    </w:p>
    <w:p>
      <w:pPr>
        <w:jc w:val="both"/>
      </w:pPr>
      <w:r>
        <w:rPr>
          <w:rFonts w:hAnsi="Arial"/>
          <w:rFonts w:ascii="Arial"/>
          <w:sz w:val="24"/>
          <w:color w:val="black"/>
        </w:rPr>
        <w:t xml:space="preserve">a) Que su destinaciσn a estos grupos se haya hecho por Orden del Dνa de la Unidad;</w:t>
      </w:r>
    </w:p>
    <w:p>
      <w:pPr>
        <w:jc w:val="both"/>
      </w:pPr>
      <w:rPr>
        <w:sz w:val="24"/>
        <w:color w:val="black"/>
      </w:rPr>
    </w:p>
    <w:p>
      <w:pPr>
        <w:jc w:val="both"/>
      </w:pPr>
      <w:r>
        <w:rPr>
          <w:rFonts w:hAnsi="Arial"/>
          <w:rFonts w:ascii="Arial"/>
          <w:sz w:val="24"/>
          <w:color w:val="black"/>
        </w:rPr>
        <w:t xml:space="preserve">b) Que tengan reconocida por la Direcciσn General de la Policνa la especialidad correspondiente;</w:t>
      </w:r>
    </w:p>
    <w:p>
      <w:pPr>
        <w:jc w:val="both"/>
      </w:pPr>
      <w:rPr>
        <w:sz w:val="24"/>
        <w:color w:val="black"/>
      </w:rPr>
    </w:p>
    <w:p>
      <w:pPr>
        <w:jc w:val="both"/>
      </w:pPr>
      <w:r>
        <w:rPr>
          <w:rFonts w:hAnsi="Arial"/>
          <w:rFonts w:ascii="Arial"/>
          <w:sz w:val="24"/>
          <w:color w:val="black"/>
        </w:rPr>
        <w:t xml:space="preserve">c) Que hayan laborado como integrantes de dichos grupos.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Comandantes de Departamento Policνa reportarαn mensualmente a la Unidad de Sistemas la relaciσn de los Agentes que tengan derecho a este beneficio.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69" w:name="2.5.9.1.1.4"/>
      <w:r>
        <w:rPr>
          <w:rFonts w:hAnsi="Arial"/>
          <w:rFonts w:ascii="Arial"/>
          <w:sz w:val="24"/>
          <w:color w:val="navy"/>
        </w:rPr>
        <w:t xml:space="preserve">ARTΝCULO 2.5.9.1.1.4. </w:t>
      </w:r>
      <w:r>
        <w:rPr>
          <w:rFonts w:hAnsi="Arial"/>
          <w:rFonts w:ascii="Arial"/>
          <w:sz w:val="24"/>
          <w:i/>
          <w:color w:val="navy"/>
        </w:rPr>
        <w:t xml:space="preserve">REQUISITOS PARA EL RECONOCIMIENTO DE LA PRIMA DE INSTALACIΣN.</w:t>
      </w:r>
      <w:bookmarkEnd w:id="61969"/>
      <w:r>
        <w:rPr>
          <w:rFonts w:hAnsi="Arial"/>
          <w:rFonts w:ascii="Arial"/>
          <w:sz w:val="24"/>
          <w:b/>
          <w:i/>
          <w:color w:val="black"/>
        </w:rPr>
        <w:t xml:space="preserve"> </w:t>
      </w:r>
      <w:r>
        <w:rPr>
          <w:rFonts w:hAnsi="Arial"/>
          <w:rFonts w:ascii="Arial"/>
          <w:sz w:val="24"/>
          <w:color w:val="black"/>
        </w:rPr>
        <w:t xml:space="preserve">Para el reconocimiento de la prima de instalaciσn consagrada en el artνculo </w:t>
      </w:r>
      <w:r>
        <w:fldChar w:fldCharType="begin"/>
      </w:r>
      <w:r>
        <w:instrText>HYPERLINK "http://www.redjurista.com/document.aspx?ajcode=d1213_90&amp;arts=38"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 1213 de 1990, los Agentes de la Policνa Nacional, deberαn elevar solicitud al Director General de la Policνa Nacional acompaρando constancia de instalaciσn de la familia, expedida por la Oficina de Personal de la reparticiσn de destino o traslado.</w:t>
      </w:r>
    </w:p>
    <w:p>
      <w:pPr>
        <w:jc w:val="both"/>
      </w:pPr>
      <w:rPr>
        <w:sz w:val="24"/>
        <w:color w:val="black"/>
      </w:rPr>
    </w:p>
    <w:p>
      <w:pPr>
        <w:jc w:val="both"/>
      </w:pPr>
      <w:r>
        <w:rPr>
          <w:rFonts w:hAnsi="Arial"/>
          <w:rFonts w:ascii="Arial"/>
          <w:sz w:val="24"/>
          <w:color w:val="black"/>
        </w:rPr>
        <w:t xml:space="preserve">Cuando por exigencias especiales del servicio, el Agente no puede llevar a su familia a la nueva Guarniciσn, deberα comprobarlo a travιs de un certificado expedido por el respectivo Comandante de Unidad.</w:t>
      </w:r>
    </w:p>
    <w:p>
      <w:pPr>
        <w:jc w:val="both"/>
      </w:pPr>
      <w:rPr>
        <w:sz w:val="24"/>
        <w:color w:val="black"/>
      </w:rPr>
    </w:p>
    <w:p>
      <w:pPr>
        <w:jc w:val="both"/>
      </w:pPr>
      <w:r>
        <w:rPr>
          <w:rFonts w:hAnsi="Arial"/>
          <w:rFonts w:ascii="Arial"/>
          <w:sz w:val="24"/>
          <w:color w:val="black"/>
        </w:rPr>
        <w:t xml:space="preserve">Si el traslado se produce de exterior al interior del paνs, la prima de instalaciσn se cancelarα simultαneamente con los haberes del ϊltimo mes de comisiσn, sin perjuicio de lo dispuesto en el artνculo </w:t>
      </w:r>
      <w:r>
        <w:fldChar w:fldCharType="begin"/>
      </w:r>
      <w:r>
        <w:instrText>HYPERLINK "http://www.redjurista.com/document.aspx?ajcode=d1213_90&amp;arts=39"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Decreto 1213 de 1990.</w:t>
      </w:r>
    </w:p>
    <w:p>
      <w:pPr>
        <w:jc w:val="both"/>
      </w:pPr>
      <w:rPr>
        <w:sz w:val="24"/>
        <w:color w:val="black"/>
      </w:rPr>
    </w:p>
    <w:p>
      <w:pPr>
        <w:jc w:val="both"/>
      </w:pPr>
      <w:r>
        <w:rPr>
          <w:rFonts w:hAnsi="Arial"/>
          <w:rFonts w:ascii="Arial"/>
          <w:sz w:val="24"/>
          <w:color w:val="black"/>
        </w:rPr>
        <w:t xml:space="preserve">Si el Agente fuere soltero, la Divisiσn de Sistemas automαticamente reconocerα el derecho tomando la novedad de la Orden Administrativa de Personal.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prima a que se refiere el presente artνculo se reconoce cuando el traslado se efectϊa:</w:t>
      </w:r>
    </w:p>
    <w:p>
      <w:pPr>
        <w:jc w:val="both"/>
      </w:pPr>
      <w:rPr>
        <w:sz w:val="24"/>
        <w:color w:val="black"/>
      </w:rPr>
    </w:p>
    <w:p>
      <w:pPr>
        <w:jc w:val="both"/>
      </w:pPr>
      <w:r>
        <w:rPr>
          <w:rFonts w:hAnsi="Arial"/>
          <w:rFonts w:ascii="Arial"/>
          <w:sz w:val="24"/>
          <w:color w:val="black"/>
        </w:rPr>
        <w:t xml:space="preserve">a) De un departamento a otro;</w:t>
      </w:r>
    </w:p>
    <w:p>
      <w:pPr>
        <w:jc w:val="both"/>
      </w:pPr>
      <w:rPr>
        <w:sz w:val="24"/>
        <w:color w:val="black"/>
      </w:rPr>
    </w:p>
    <w:p>
      <w:pPr>
        <w:jc w:val="both"/>
      </w:pPr>
      <w:r>
        <w:rPr>
          <w:rFonts w:hAnsi="Arial"/>
          <w:rFonts w:ascii="Arial"/>
          <w:sz w:val="24"/>
          <w:color w:val="black"/>
        </w:rPr>
        <w:t xml:space="preserve">b) Dentro de un departamento, de un municipio a otro, en los casos establecidos por la Direcciσn General de la Policνa Nacional.</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0" w:name="2.5.9.1.1.5"/>
      <w:r>
        <w:rPr>
          <w:rFonts w:hAnsi="Arial"/>
          <w:rFonts w:ascii="Arial"/>
          <w:sz w:val="24"/>
          <w:color w:val="navy"/>
        </w:rPr>
        <w:t xml:space="preserve">ARTΝCULO 2.5.9.1.1.5. </w:t>
      </w:r>
      <w:r>
        <w:rPr>
          <w:rFonts w:hAnsi="Arial"/>
          <w:rFonts w:ascii="Arial"/>
          <w:sz w:val="24"/>
          <w:i/>
          <w:color w:val="navy"/>
        </w:rPr>
        <w:t xml:space="preserve">RECOMPENSA QUINQUENAL.</w:t>
      </w:r>
      <w:bookmarkEnd w:id="61970"/>
      <w:r>
        <w:rPr>
          <w:rFonts w:hAnsi="Arial"/>
          <w:rFonts w:ascii="Arial"/>
          <w:sz w:val="24"/>
          <w:b/>
          <w:i/>
          <w:color w:val="black"/>
        </w:rPr>
        <w:t xml:space="preserve"> </w:t>
      </w:r>
      <w:r>
        <w:rPr>
          <w:rFonts w:hAnsi="Arial"/>
          <w:rFonts w:ascii="Arial"/>
          <w:sz w:val="24"/>
          <w:color w:val="black"/>
        </w:rPr>
        <w:t xml:space="preserve">Para los efectos de lo dispuesto en el artνculo </w:t>
      </w:r>
      <w:r>
        <w:fldChar w:fldCharType="begin"/>
      </w:r>
      <w:r>
        <w:instrText>HYPERLINK "http://www.redjurista.com/document.aspx?ajcode=d1213_90&amp;arts=43"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1213 de 1990, se entenderα que han observado buena conducta durante el perνodo del quinquenio, los Agentes de la Policνa Nacional a quienes no se les haya impuesto los correctivos mαs sancionatorios contemplados en la Ley </w:t>
      </w:r>
      <w:r>
        <w:fldChar w:fldCharType="begin"/>
      </w:r>
      <w:r>
        <w:instrText>HYPERLINK "http://www.redjurista.com/document.aspx?ajcode=l1015006&amp;arts=INICIO"</w:instrText>
      </w:r>
      <w:r>
        <w:fldChar w:fldCharType="separate"/>
      </w:r>
      <w:r>
        <w:rPr>
          <w:rFonts w:hAnsi="Arial"/>
          <w:rFonts w:ascii="Arial"/>
          <w:sz w:val="24"/>
          <w:u w:val="single"/>
          <w:color w:val="black"/>
        </w:rPr>
        <w:t>1015</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1" w:name="2.5.9.1.1.6"/>
      <w:r>
        <w:rPr>
          <w:rFonts w:hAnsi="Arial"/>
          <w:rFonts w:ascii="Arial"/>
          <w:sz w:val="24"/>
          <w:color w:val="navy"/>
        </w:rPr>
        <w:t xml:space="preserve">ARTΝCULO 2.5.9.1.1.6. </w:t>
      </w:r>
      <w:r>
        <w:rPr>
          <w:rFonts w:hAnsi="Arial"/>
          <w:rFonts w:ascii="Arial"/>
          <w:sz w:val="24"/>
          <w:i/>
          <w:color w:val="navy"/>
        </w:rPr>
        <w:t xml:space="preserve">SUBSIDIO FAMILIAR.</w:t>
      </w:r>
      <w:bookmarkEnd w:id="61971"/>
      <w:r>
        <w:rPr>
          <w:rFonts w:hAnsi="Arial"/>
          <w:rFonts w:ascii="Arial"/>
          <w:sz w:val="24"/>
          <w:b/>
          <w:i/>
          <w:color w:val="black"/>
        </w:rPr>
        <w:t xml:space="preserve"> </w:t>
      </w:r>
      <w:r>
        <w:rPr>
          <w:rFonts w:hAnsi="Arial"/>
          <w:rFonts w:ascii="Arial"/>
          <w:sz w:val="24"/>
          <w:color w:val="black"/>
        </w:rPr>
        <w:t xml:space="preserve">Para efectos de lo dispuesto en el artνculo </w:t>
      </w:r>
      <w:r>
        <w:fldChar w:fldCharType="begin"/>
      </w:r>
      <w:r>
        <w:instrText>HYPERLINK "http://www.redjurista.com/document.aspx?ajcode=d1213_90&amp;arts=46"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1213 de 1990, el interesado formularα por escrito la solicitud correspondiente a la Direcciσn General de la Policνa Nacional, acompaρada de las actas de registro civil de matrimonio o de nacimiento de cada uno de los hijos que cause este derecho.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2" w:name="2.5.9.1.1.7"/>
      <w:r>
        <w:rPr>
          <w:rFonts w:hAnsi="Arial"/>
          <w:rFonts w:ascii="Arial"/>
          <w:sz w:val="24"/>
          <w:color w:val="navy"/>
        </w:rPr>
        <w:t xml:space="preserve">ARTΝCULO 2.5.9.1.1.7. </w:t>
      </w:r>
      <w:r>
        <w:rPr>
          <w:rFonts w:hAnsi="Arial"/>
          <w:rFonts w:ascii="Arial"/>
          <w:sz w:val="24"/>
          <w:i/>
          <w:color w:val="navy"/>
        </w:rPr>
        <w:t xml:space="preserve">DISMINUCIΣN SUBSIDIO FAMILIAR.</w:t>
      </w:r>
      <w:bookmarkEnd w:id="61972"/>
      <w:r>
        <w:rPr>
          <w:rFonts w:hAnsi="Arial"/>
          <w:rFonts w:ascii="Arial"/>
          <w:sz w:val="24"/>
          <w:b/>
          <w:i/>
          <w:color w:val="black"/>
        </w:rPr>
        <w:t xml:space="preserve"> </w:t>
      </w:r>
      <w:r>
        <w:rPr>
          <w:rFonts w:hAnsi="Arial"/>
          <w:rFonts w:ascii="Arial"/>
          <w:sz w:val="24"/>
          <w:color w:val="black"/>
        </w:rPr>
        <w:t xml:space="preserve">Para efectos de lo contemplado en el artνculo </w:t>
      </w:r>
      <w:r>
        <w:fldChar w:fldCharType="begin"/>
      </w:r>
      <w:r>
        <w:instrText>HYPERLINK "http://www.redjurista.com/document.aspx?ajcode=d1213_90&amp;arts=47"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1213 de 1990, el interesado deberα dar aviso por escrito a la Direcciσn General de la Policνa Nacional, anexando los documentos que sirvan de prueba.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los casos del literal d) de la citada norma, la Unidad de Sistema causarα la novedad automαticamente y para comprobar las excepciones el beneficiario deberα acreditar anualmente ante la Direcciσn de Personal la condiciσn de hija cιlibe, estudiante o invαlido.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3" w:name="2.5.9.1.1.8"/>
      <w:r>
        <w:rPr>
          <w:rFonts w:hAnsi="Arial"/>
          <w:rFonts w:ascii="Arial"/>
          <w:sz w:val="24"/>
          <w:color w:val="navy"/>
        </w:rPr>
        <w:t xml:space="preserve">ARTΝCULO 2.5.9.1.1.8. </w:t>
      </w:r>
      <w:r>
        <w:rPr>
          <w:rFonts w:hAnsi="Arial"/>
          <w:rFonts w:ascii="Arial"/>
          <w:sz w:val="24"/>
          <w:i/>
          <w:color w:val="navy"/>
        </w:rPr>
        <w:t xml:space="preserve">EXTINCIΣN DEL SUBSIDIO FAMILIAR.</w:t>
      </w:r>
      <w:bookmarkEnd w:id="61973"/>
      <w:r>
        <w:rPr>
          <w:rFonts w:hAnsi="Arial"/>
          <w:rFonts w:ascii="Arial"/>
          <w:sz w:val="24"/>
          <w:b/>
          <w:i/>
          <w:color w:val="black"/>
        </w:rPr>
        <w:t xml:space="preserve"> </w:t>
      </w:r>
      <w:r>
        <w:rPr>
          <w:rFonts w:hAnsi="Arial"/>
          <w:rFonts w:ascii="Arial"/>
          <w:sz w:val="24"/>
          <w:color w:val="black"/>
        </w:rPr>
        <w:t xml:space="preserve">Para efectos del artνculo </w:t>
      </w:r>
      <w:r>
        <w:fldChar w:fldCharType="begin"/>
      </w:r>
      <w:r>
        <w:instrText>HYPERLINK "http://www.redjurista.com/document.aspx?ajcode=d1213_90&amp;arts=48"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1213 de 1990, el beneficiario deberα dar aviso a la Direcciσn General anexando el documento que sirva de prueba.</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74" w:name="CAPÍTULO 2.5.9.2"/>
      <w:r>
        <w:rPr>
          <w:rFonts w:hAnsi="Arial"/>
          <w:rFonts w:ascii="Arial"/>
          <w:sz w:val="24"/>
          <w:color w:val="navy"/>
        </w:rPr>
        <w:t xml:space="preserve">CAPΝTULO 2. </w:t>
      </w:r>
    </w:p>
    <w:p>
      <w:pPr>
        <w:jc w:val="center"/>
      </w:pPr>
      <w:r>
        <w:rPr>
          <w:rFonts w:hAnsi="Arial"/>
          <w:rFonts w:ascii="Arial"/>
          <w:sz w:val="24"/>
          <w:color w:val="navy"/>
        </w:rPr>
        <w:t xml:space="preserve">DE LAS PRESTACIONES SOCIALES.</w:t>
      </w:r>
      <w:bookmarkEnd w:id="61974"/>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1975" w:name="SECCIÓN 2.5.9.2.1"/>
      <w:r>
        <w:rPr>
          <w:rFonts w:hAnsi="Arial"/>
          <w:rFonts w:ascii="Arial"/>
          <w:sz w:val="24"/>
          <w:color w:val="navy"/>
        </w:rPr>
        <w:t xml:space="preserve">SECCIΣN 1. </w:t>
      </w:r>
    </w:p>
    <w:p>
      <w:pPr>
        <w:jc w:val="center"/>
      </w:pPr>
      <w:r>
        <w:rPr>
          <w:rFonts w:hAnsi="Arial"/>
          <w:rFonts w:ascii="Arial"/>
          <w:sz w:val="24"/>
          <w:color w:val="navy"/>
        </w:rPr>
        <w:t xml:space="preserve">EN ACTIVIDAD.</w:t>
      </w:r>
      <w:bookmarkEnd w:id="6197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76" w:name="2.5.9.2.1.1"/>
      <w:r>
        <w:rPr>
          <w:rFonts w:hAnsi="Arial"/>
          <w:rFonts w:ascii="Arial"/>
          <w:sz w:val="24"/>
          <w:color w:val="navy"/>
        </w:rPr>
        <w:t xml:space="preserve">ARTΝCULO 2.5.9.2.1.1. </w:t>
      </w:r>
      <w:r>
        <w:rPr>
          <w:rFonts w:hAnsi="Arial"/>
          <w:rFonts w:ascii="Arial"/>
          <w:sz w:val="24"/>
          <w:i/>
          <w:color w:val="navy"/>
        </w:rPr>
        <w:t xml:space="preserve">SERVICIOS MEDICO-ASISTENCIALES.</w:t>
      </w:r>
      <w:bookmarkEnd w:id="61976"/>
      <w:r>
        <w:rPr>
          <w:rFonts w:hAnsi="Arial"/>
          <w:rFonts w:ascii="Arial"/>
          <w:sz w:val="24"/>
          <w:b/>
          <w:i/>
          <w:color w:val="black"/>
        </w:rPr>
        <w:t xml:space="preserve"> </w:t>
      </w:r>
      <w:r>
        <w:rPr>
          <w:rFonts w:hAnsi="Arial"/>
          <w:rFonts w:ascii="Arial"/>
          <w:sz w:val="24"/>
          <w:color w:val="black"/>
        </w:rPr>
        <w:t xml:space="preserve">Para tener derecho a la prestaciσn de los servicios mιdico-asistenciales seρalados en el artνculo </w:t>
      </w:r>
      <w:r>
        <w:fldChar w:fldCharType="begin"/>
      </w:r>
      <w:r>
        <w:instrText>HYPERLINK "http://www.redjurista.com/document.aspx?ajcode=d1213_90&amp;arts=93"</w:instrText>
      </w:r>
      <w:r>
        <w:fldChar w:fldCharType="separate"/>
      </w:r>
      <w:r>
        <w:rPr>
          <w:rFonts w:hAnsi="Arial"/>
          <w:rFonts w:ascii="Arial"/>
          <w:sz w:val="24"/>
          <w:u w:val="single"/>
          <w:color w:val="black"/>
        </w:rPr>
        <w:t>93</w:t>
      </w:r>
      <w:r>
        <w:fldChar w:fldCharType="end"/>
      </w:r>
      <w:r>
        <w:rPr>
          <w:rFonts w:hAnsi="Arial"/>
          <w:rFonts w:ascii="Arial"/>
          <w:sz w:val="24"/>
          <w:u w:val="none"/>
          <w:color w:val="black"/>
        </w:rPr>
        <w:t xml:space="preserve"> del Decreto 1213 de 1990, se requiere que tanto el afiliado como el beneficiario presenten ante la Sanidad de la Policνa Nacional la tarjeta de identificaciσn expedida por la Direcciσn de Personal.</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7" w:name="2.5.9.2.1.2"/>
      <w:r>
        <w:rPr>
          <w:rFonts w:hAnsi="Arial"/>
          <w:rFonts w:ascii="Arial"/>
          <w:sz w:val="24"/>
          <w:color w:val="navy"/>
        </w:rPr>
        <w:t xml:space="preserve">ARTΝCULO 2.5.9.2.1.2. </w:t>
      </w:r>
      <w:r>
        <w:rPr>
          <w:rFonts w:hAnsi="Arial"/>
          <w:rFonts w:ascii="Arial"/>
          <w:sz w:val="24"/>
          <w:i/>
          <w:color w:val="navy"/>
        </w:rPr>
        <w:t xml:space="preserve">NO UTILIZACIΣN DE LOS SERVICIOS.</w:t>
      </w:r>
      <w:bookmarkEnd w:id="61977"/>
      <w:r>
        <w:rPr>
          <w:rFonts w:hAnsi="Arial"/>
          <w:rFonts w:ascii="Arial"/>
          <w:sz w:val="24"/>
          <w:b/>
          <w:i/>
          <w:color w:val="black"/>
        </w:rPr>
        <w:t xml:space="preserve"> </w:t>
      </w:r>
      <w:r>
        <w:rPr>
          <w:rFonts w:hAnsi="Arial"/>
          <w:rFonts w:ascii="Arial"/>
          <w:sz w:val="24"/>
          <w:color w:val="black"/>
        </w:rPr>
        <w:t xml:space="preserve">Cuando los Agentes o sus beneficiarios sin autorizaciσn dejen de utilizar los servicios mιdico-asistenciales de la Sanidad de la Policνa Nacional, la instituciσn quedarα relevada de toda responsabilidad por tal concepto.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8" w:name="2.5.10.2.1.3"/>
      <w:r>
        <w:rPr>
          <w:rFonts w:hAnsi="Arial"/>
          <w:rFonts w:ascii="Arial"/>
          <w:sz w:val="24"/>
          <w:color w:val="navy"/>
        </w:rPr>
        <w:t xml:space="preserve">ARTΝCULO 2.5.10.2.1.3. </w:t>
      </w:r>
      <w:r>
        <w:rPr>
          <w:rFonts w:hAnsi="Arial"/>
          <w:rFonts w:ascii="Arial"/>
          <w:sz w:val="24"/>
          <w:i/>
          <w:color w:val="navy"/>
        </w:rPr>
        <w:t>VACACIONES.</w:t>
      </w:r>
      <w:bookmarkEnd w:id="61978"/>
      <w:r>
        <w:rPr>
          <w:rFonts w:hAnsi="Arial"/>
          <w:rFonts w:ascii="Arial"/>
          <w:sz w:val="24"/>
          <w:b/>
          <w:i/>
          <w:color w:val="black"/>
        </w:rPr>
        <w:t xml:space="preserve"> </w:t>
      </w:r>
      <w:r>
        <w:rPr>
          <w:rFonts w:hAnsi="Arial"/>
          <w:rFonts w:ascii="Arial"/>
          <w:sz w:val="24"/>
          <w:color w:val="black"/>
        </w:rPr>
        <w:t xml:space="preserve">Las vacaciones a que se refiere el artνculo </w:t>
      </w:r>
      <w:r>
        <w:fldChar w:fldCharType="begin"/>
      </w:r>
      <w:r>
        <w:instrText>HYPERLINK "http://www.redjurista.com/document.aspx?ajcode=d1213_90&amp;arts=96"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del Decreto 1213 de 1990, serαn concedidas por los Directores, Jefes de Divisiσn, Comandantes de Departamento, Directores de Escuela y Jefes de Organismos Especializados, previo concepto del Jefe inmediato del Agente.</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79" w:name="2.5.9.2.1.4"/>
      <w:r>
        <w:rPr>
          <w:rFonts w:hAnsi="Arial"/>
          <w:rFonts w:ascii="Arial"/>
          <w:sz w:val="24"/>
          <w:color w:val="navy"/>
        </w:rPr>
        <w:t xml:space="preserve">ARTΝCULO 2.5.9.2.1.4. </w:t>
      </w:r>
      <w:r>
        <w:rPr>
          <w:rFonts w:hAnsi="Arial"/>
          <w:rFonts w:ascii="Arial"/>
          <w:sz w:val="24"/>
          <w:i/>
          <w:color w:val="navy"/>
        </w:rPr>
        <w:t xml:space="preserve">OBLIGATORIEDAD DE LAS VACACIONES.</w:t>
      </w:r>
      <w:bookmarkEnd w:id="61979"/>
      <w:r>
        <w:rPr>
          <w:rFonts w:hAnsi="Arial"/>
          <w:rFonts w:ascii="Arial"/>
          <w:sz w:val="24"/>
          <w:b/>
          <w:i/>
          <w:color w:val="black"/>
        </w:rPr>
        <w:t xml:space="preserve"> </w:t>
      </w:r>
      <w:r>
        <w:rPr>
          <w:rFonts w:hAnsi="Arial"/>
          <w:rFonts w:ascii="Arial"/>
          <w:sz w:val="24"/>
          <w:color w:val="black"/>
        </w:rPr>
        <w:t xml:space="preserve">Las vacaciones anuales tienen carαcter obligatorio para los Agentes de la Policνa Nacional, quienes deben hacer uso de ellas dentro del aρo siguiente al de la fecha en que se cause el derecho. Por circunstancias especiales podrαn acumularse vacaciones hasta sesenta (60) dνas.</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0" w:name="2.5.9.2.1.5"/>
      <w:r>
        <w:rPr>
          <w:rFonts w:hAnsi="Arial"/>
          <w:rFonts w:ascii="Arial"/>
          <w:sz w:val="24"/>
          <w:color w:val="navy"/>
        </w:rPr>
        <w:t xml:space="preserve">ARTΝCULO 2.5.9.2.1.5. </w:t>
      </w:r>
      <w:r>
        <w:rPr>
          <w:rFonts w:hAnsi="Arial"/>
          <w:rFonts w:ascii="Arial"/>
          <w:sz w:val="24"/>
          <w:i/>
          <w:color w:val="navy"/>
        </w:rPr>
        <w:t xml:space="preserve">AΡO DE SERVICIO CUMPLIDO O CONTINUO.</w:t>
      </w:r>
      <w:bookmarkEnd w:id="61980"/>
      <w:r>
        <w:rPr>
          <w:rFonts w:hAnsi="Arial"/>
          <w:rFonts w:ascii="Arial"/>
          <w:sz w:val="24"/>
          <w:b/>
          <w:i/>
          <w:color w:val="black"/>
        </w:rPr>
        <w:t xml:space="preserve"> </w:t>
      </w:r>
      <w:r>
        <w:rPr>
          <w:rFonts w:hAnsi="Arial"/>
          <w:rFonts w:ascii="Arial"/>
          <w:sz w:val="24"/>
          <w:color w:val="black"/>
        </w:rPr>
        <w:t xml:space="preserve">Se considera como tiempo no servido las licencias sin derecho a sueldo superiores a sesenta (60) dνas, las licencias especiales, separaciσn temporal y las suspensiones del cargo, salvo los casos de absoluciσn y cesaciσn de procedimiento.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los efectos de este artνculo se computarαn sin soluciσn de continuidad los lapsos servidos como empleado o uniformado en el ramo de defensa con anterioridad al escalafonamiento.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1" w:name="2.5.9.2.1.6"/>
      <w:r>
        <w:rPr>
          <w:rFonts w:hAnsi="Arial"/>
          <w:rFonts w:ascii="Arial"/>
          <w:sz w:val="24"/>
          <w:color w:val="navy"/>
        </w:rPr>
        <w:t xml:space="preserve">ARTΝCULO 2.5.9.2.1.6. </w:t>
      </w:r>
      <w:r>
        <w:rPr>
          <w:rFonts w:hAnsi="Arial"/>
          <w:rFonts w:ascii="Arial"/>
          <w:sz w:val="24"/>
          <w:i/>
          <w:color w:val="navy"/>
        </w:rPr>
        <w:t xml:space="preserve">VACACIONES DEL PERSONAL EN COMISIΣN EN OTRAS ENTIDADES.</w:t>
      </w:r>
      <w:bookmarkEnd w:id="61981"/>
      <w:r>
        <w:rPr>
          <w:rFonts w:hAnsi="Arial"/>
          <w:rFonts w:ascii="Arial"/>
          <w:sz w:val="24"/>
          <w:b/>
          <w:i/>
          <w:color w:val="black"/>
        </w:rPr>
        <w:t xml:space="preserve"> </w:t>
      </w:r>
      <w:r>
        <w:rPr>
          <w:rFonts w:hAnsi="Arial"/>
          <w:rFonts w:ascii="Arial"/>
          <w:sz w:val="24"/>
          <w:color w:val="black"/>
        </w:rPr>
        <w:t xml:space="preserve">Los Agentes de la Policνa Nacional en actividad, cuando presten sus servicios en comisiones en otras dependencias del Estado, disfrutarαn de sus vacaciones anuales de acuerdo con las necesidades de la respectiva dependencia, la cual debe expedir con destino a la Direcciσn de Personal, una certificaciσn sobre la fecha en que el comisionado hace uso del citado beneficio.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2" w:name="2.5.9.2.1.7"/>
      <w:r>
        <w:rPr>
          <w:rFonts w:hAnsi="Arial"/>
          <w:rFonts w:ascii="Arial"/>
          <w:sz w:val="24"/>
          <w:color w:val="navy"/>
        </w:rPr>
        <w:t xml:space="preserve">ARTΝCULO 2.5.9.2.1.7. </w:t>
      </w:r>
      <w:r>
        <w:rPr>
          <w:rFonts w:hAnsi="Arial"/>
          <w:rFonts w:ascii="Arial"/>
          <w:sz w:val="24"/>
          <w:i/>
          <w:color w:val="navy"/>
        </w:rPr>
        <w:t xml:space="preserve">VACACIONES DEL PERSONAL EN COMISIΣN EN EL EXTERIOR.</w:t>
      </w:r>
      <w:bookmarkEnd w:id="61982"/>
      <w:r>
        <w:rPr>
          <w:rFonts w:hAnsi="Arial"/>
          <w:rFonts w:ascii="Arial"/>
          <w:sz w:val="24"/>
          <w:b/>
          <w:i/>
          <w:color w:val="black"/>
        </w:rPr>
        <w:t xml:space="preserve"> </w:t>
      </w:r>
      <w:r>
        <w:rPr>
          <w:rFonts w:hAnsi="Arial"/>
          <w:rFonts w:ascii="Arial"/>
          <w:sz w:val="24"/>
          <w:color w:val="black"/>
        </w:rPr>
        <w:t xml:space="preserve">Las vacaciones del personal de Agentes que se encuentre en comisiσn en el exterior, serαn autorizadas por el Director General de la Policνa.</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3" w:name="2.5.9.2.1.8"/>
      <w:r>
        <w:rPr>
          <w:rFonts w:hAnsi="Arial"/>
          <w:rFonts w:ascii="Arial"/>
          <w:sz w:val="24"/>
          <w:color w:val="navy"/>
        </w:rPr>
        <w:t xml:space="preserve">ARTΝCULO 2.5.9.2.1.8. </w:t>
      </w:r>
      <w:r>
        <w:rPr>
          <w:rFonts w:hAnsi="Arial"/>
          <w:rFonts w:ascii="Arial"/>
          <w:sz w:val="24"/>
          <w:i/>
          <w:color w:val="navy"/>
        </w:rPr>
        <w:t xml:space="preserve">ANTICIPO DE CESANTΝA.</w:t>
      </w:r>
      <w:bookmarkEnd w:id="61983"/>
      <w:r>
        <w:rPr>
          <w:rFonts w:hAnsi="Arial"/>
          <w:rFonts w:ascii="Arial"/>
          <w:sz w:val="24"/>
          <w:b/>
          <w:i/>
          <w:color w:val="black"/>
        </w:rPr>
        <w:t xml:space="preserve"> </w:t>
      </w:r>
      <w:r>
        <w:rPr>
          <w:rFonts w:hAnsi="Arial"/>
          <w:rFonts w:ascii="Arial"/>
          <w:sz w:val="24"/>
          <w:color w:val="black"/>
        </w:rPr>
        <w:t xml:space="preserve">El anticipo de cesantνa consagrado en el artνculo </w:t>
      </w:r>
      <w:r>
        <w:fldChar w:fldCharType="begin"/>
      </w:r>
      <w:r>
        <w:instrText>HYPERLINK "http://www.redjurista.com/document.aspx?ajcode=d1213_90&amp;arts=97"</w:instrText>
      </w:r>
      <w:r>
        <w:fldChar w:fldCharType="separate"/>
      </w:r>
      <w:r>
        <w:rPr>
          <w:rFonts w:hAnsi="Arial"/>
          <w:rFonts w:ascii="Arial"/>
          <w:sz w:val="24"/>
          <w:u w:val="single"/>
          <w:color w:val="black"/>
        </w:rPr>
        <w:t>97</w:t>
      </w:r>
      <w:r>
        <w:fldChar w:fldCharType="end"/>
      </w:r>
      <w:r>
        <w:rPr>
          <w:rFonts w:hAnsi="Arial"/>
          <w:rFonts w:ascii="Arial"/>
          <w:sz w:val="24"/>
          <w:u w:val="none"/>
          <w:color w:val="black"/>
        </w:rPr>
        <w:t xml:space="preserve"> del Decreto 1213 de 1990, sσlo se liquidarα y pagarα al Agente cuando asν lo autorice el Director General de la Policνa Nacional, con base en las correspondientes disponibilidades presupuestales. La solicitud puede ser formulada directamente o por conducto de la Caja de Vivienda Militar o entidad que financie la vivienda.</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4" w:name="2.5.9.2.1.9"/>
      <w:r>
        <w:rPr>
          <w:rFonts w:hAnsi="Arial"/>
          <w:rFonts w:ascii="Arial"/>
          <w:sz w:val="24"/>
          <w:color w:val="navy"/>
        </w:rPr>
        <w:t xml:space="preserve">ARTΝCULO 2.5.9.2.1.9. </w:t>
      </w:r>
      <w:r>
        <w:rPr>
          <w:rFonts w:hAnsi="Arial"/>
          <w:rFonts w:ascii="Arial"/>
          <w:sz w:val="24"/>
          <w:i/>
          <w:color w:val="navy"/>
        </w:rPr>
        <w:t xml:space="preserve">SOLICITUD DIRECTA DE ANTICIPO.</w:t>
      </w:r>
      <w:bookmarkEnd w:id="61984"/>
      <w:r>
        <w:rPr>
          <w:rFonts w:hAnsi="Arial"/>
          <w:rFonts w:ascii="Arial"/>
          <w:sz w:val="24"/>
          <w:b/>
          <w:i/>
          <w:color w:val="black"/>
        </w:rPr>
        <w:t xml:space="preserve"> </w:t>
      </w:r>
      <w:r>
        <w:rPr>
          <w:rFonts w:hAnsi="Arial"/>
          <w:rFonts w:ascii="Arial"/>
          <w:sz w:val="24"/>
          <w:color w:val="black"/>
        </w:rPr>
        <w:t xml:space="preserve">Cuando el Agente solicite directamente la liquidaciσn del anticipo de cesantνa, debe presentar los siguientes documentos:</w:t>
      </w:r>
    </w:p>
    <w:p>
      <w:pPr>
        <w:jc w:val="both"/>
      </w:pPr>
      <w:rPr>
        <w:sz w:val="24"/>
        <w:color w:val="black"/>
      </w:rPr>
    </w:p>
    <w:p>
      <w:pPr>
        <w:jc w:val="both"/>
      </w:pPr>
      <w:r>
        <w:rPr>
          <w:rFonts w:hAnsi="Arial"/>
          <w:rFonts w:ascii="Arial"/>
          <w:sz w:val="24"/>
          <w:color w:val="black"/>
        </w:rPr>
        <w:t xml:space="preserve">a) Cuando se trate de compra de inmueble:</w:t>
      </w:r>
    </w:p>
    <w:p>
      <w:pPr>
        <w:jc w:val="both"/>
      </w:pPr>
      <w:rPr>
        <w:sz w:val="24"/>
        <w:color w:val="black"/>
      </w:rPr>
    </w:p>
    <w:p>
      <w:pPr>
        <w:jc w:val="both"/>
      </w:pPr>
      <w:r>
        <w:rPr>
          <w:rFonts w:hAnsi="Arial"/>
          <w:rFonts w:ascii="Arial"/>
          <w:sz w:val="24"/>
          <w:color w:val="black"/>
        </w:rPr>
        <w:t xml:space="preserve">-- Copia promesa de venta;</w:t>
      </w:r>
    </w:p>
    <w:p>
      <w:pPr>
        <w:jc w:val="both"/>
      </w:pPr>
      <w:rPr>
        <w:sz w:val="24"/>
        <w:color w:val="black"/>
      </w:rPr>
    </w:p>
    <w:p>
      <w:pPr>
        <w:jc w:val="both"/>
      </w:pPr>
      <w:r>
        <w:rPr>
          <w:rFonts w:hAnsi="Arial"/>
          <w:rFonts w:ascii="Arial"/>
          <w:sz w:val="24"/>
          <w:color w:val="black"/>
        </w:rPr>
        <w:t xml:space="preserve">b) Cuando se trate de construcciσn, ampliaciσn, reparaciσn, o liberaciσn de gravαmenes hipotecarios de la vivienda propia o del cσnyuge:</w:t>
      </w:r>
    </w:p>
    <w:p>
      <w:pPr>
        <w:jc w:val="both"/>
      </w:pPr>
      <w:rPr>
        <w:sz w:val="24"/>
        <w:color w:val="black"/>
      </w:rPr>
    </w:p>
    <w:p>
      <w:pPr>
        <w:jc w:val="both"/>
      </w:pPr>
      <w:r>
        <w:rPr>
          <w:rFonts w:hAnsi="Arial"/>
          <w:rFonts w:ascii="Arial"/>
          <w:sz w:val="24"/>
          <w:color w:val="black"/>
        </w:rPr>
        <w:t xml:space="preserve">-- Certificado de tradiciσn del inmueble expedido con anterioridad no mayor a seis (6) meses;</w:t>
      </w:r>
    </w:p>
    <w:p>
      <w:pPr>
        <w:jc w:val="both"/>
      </w:pPr>
      <w:rPr>
        <w:sz w:val="24"/>
        <w:color w:val="black"/>
      </w:rPr>
    </w:p>
    <w:p>
      <w:pPr>
        <w:jc w:val="both"/>
      </w:pPr>
      <w:r>
        <w:rPr>
          <w:rFonts w:hAnsi="Arial"/>
          <w:rFonts w:ascii="Arial"/>
          <w:sz w:val="24"/>
          <w:color w:val="black"/>
        </w:rPr>
        <w:t xml:space="preserve">c) En los casos a que se refieren los literales anteriores se requerirα, ademαs la presentaciσn de los siguientes certificados:</w:t>
      </w:r>
    </w:p>
    <w:p>
      <w:pPr>
        <w:jc w:val="both"/>
      </w:pPr>
      <w:rPr>
        <w:sz w:val="24"/>
        <w:color w:val="black"/>
      </w:rPr>
    </w:p>
    <w:p>
      <w:pPr>
        <w:jc w:val="both"/>
      </w:pPr>
      <w:r>
        <w:rPr>
          <w:rFonts w:hAnsi="Arial"/>
          <w:rFonts w:ascii="Arial"/>
          <w:sz w:val="24"/>
          <w:color w:val="black"/>
        </w:rPr>
        <w:t xml:space="preserve">-- Tiempo de servicio en la Policνa Nacional, liquidado hasta la fecha de la solicitud.</w:t>
      </w:r>
    </w:p>
    <w:p>
      <w:pPr>
        <w:jc w:val="both"/>
      </w:pPr>
      <w:rPr>
        <w:sz w:val="24"/>
        <w:color w:val="black"/>
      </w:rPr>
    </w:p>
    <w:p>
      <w:pPr>
        <w:jc w:val="both"/>
      </w:pPr>
      <w:r>
        <w:rPr>
          <w:rFonts w:hAnsi="Arial"/>
          <w:rFonts w:ascii="Arial"/>
          <w:sz w:val="24"/>
          <w:color w:val="black"/>
        </w:rPr>
        <w:t xml:space="preserve">-- Certificaciσn de los haberes percibidos en el ϊltimo mes de servicios.</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5" w:name="2.5.9.2.1.10"/>
      <w:r>
        <w:rPr>
          <w:rFonts w:hAnsi="Arial"/>
          <w:rFonts w:ascii="Arial"/>
          <w:sz w:val="24"/>
          <w:color w:val="navy"/>
        </w:rPr>
        <w:t xml:space="preserve">ARTΝCULO 2.5.9.2.1.10. </w:t>
      </w:r>
      <w:r>
        <w:rPr>
          <w:rFonts w:hAnsi="Arial"/>
          <w:rFonts w:ascii="Arial"/>
          <w:sz w:val="24"/>
          <w:i/>
          <w:color w:val="navy"/>
        </w:rPr>
        <w:t xml:space="preserve">SOLICITUDES POR CONDUCTO DE LA CAJA DE VIVIENDA MILITAR O ENTIDAD QUE FINANCIE LA VIVIENDA.</w:t>
      </w:r>
      <w:bookmarkEnd w:id="61985"/>
      <w:r>
        <w:rPr>
          <w:rFonts w:hAnsi="Arial"/>
          <w:rFonts w:ascii="Arial"/>
          <w:sz w:val="24"/>
          <w:b/>
          <w:i/>
          <w:color w:val="black"/>
        </w:rPr>
        <w:t xml:space="preserve"> </w:t>
      </w:r>
      <w:r>
        <w:rPr>
          <w:rFonts w:hAnsi="Arial"/>
          <w:rFonts w:ascii="Arial"/>
          <w:sz w:val="24"/>
          <w:color w:val="black"/>
        </w:rPr>
        <w:t xml:space="preserve">Para el anticipo de la cesantνa el interesado deberα presentar los documentos que la entidad exija para tramitarla a la Direcciσn General, acompaρada de:</w:t>
      </w:r>
    </w:p>
    <w:p>
      <w:pPr>
        <w:jc w:val="both"/>
      </w:pPr>
      <w:rPr>
        <w:sz w:val="24"/>
        <w:color w:val="black"/>
      </w:rPr>
    </w:p>
    <w:p>
      <w:pPr>
        <w:jc w:val="both"/>
      </w:pPr>
      <w:r>
        <w:rPr>
          <w:rFonts w:hAnsi="Arial"/>
          <w:rFonts w:ascii="Arial"/>
          <w:sz w:val="24"/>
          <w:color w:val="black"/>
        </w:rPr>
        <w:t xml:space="preserve">a) Solicitud;</w:t>
      </w:r>
    </w:p>
    <w:p>
      <w:pPr>
        <w:jc w:val="both"/>
      </w:pPr>
      <w:rPr>
        <w:sz w:val="24"/>
        <w:color w:val="black"/>
      </w:rPr>
    </w:p>
    <w:p>
      <w:pPr>
        <w:jc w:val="both"/>
      </w:pPr>
      <w:r>
        <w:rPr>
          <w:rFonts w:hAnsi="Arial"/>
          <w:rFonts w:ascii="Arial"/>
          <w:sz w:val="24"/>
          <w:color w:val="black"/>
        </w:rPr>
        <w:t xml:space="preserve">b) Constancia sobre el prιstamo que la entidad haya otorgado al interesado;</w:t>
      </w:r>
    </w:p>
    <w:p>
      <w:pPr>
        <w:jc w:val="both"/>
      </w:pPr>
      <w:rPr>
        <w:sz w:val="24"/>
        <w:color w:val="black"/>
      </w:rPr>
    </w:p>
    <w:p>
      <w:pPr>
        <w:jc w:val="both"/>
      </w:pPr>
      <w:r>
        <w:rPr>
          <w:rFonts w:hAnsi="Arial"/>
          <w:rFonts w:ascii="Arial"/>
          <w:sz w:val="24"/>
          <w:color w:val="black"/>
        </w:rPr>
        <w:t xml:space="preserve">c) Certificado sobre los haberes devengados por el interesado en el ϊltimo mes;</w:t>
      </w:r>
    </w:p>
    <w:p>
      <w:pPr>
        <w:jc w:val="both"/>
      </w:pPr>
      <w:rPr>
        <w:sz w:val="24"/>
        <w:color w:val="black"/>
      </w:rPr>
    </w:p>
    <w:p>
      <w:pPr>
        <w:jc w:val="both"/>
      </w:pPr>
      <w:r>
        <w:rPr>
          <w:rFonts w:hAnsi="Arial"/>
          <w:rFonts w:ascii="Arial"/>
          <w:sz w:val="24"/>
          <w:color w:val="black"/>
        </w:rPr>
        <w:t xml:space="preserve">d) Certificaciσn sobre el tiempo de servicio en la Policνa Nacional;</w:t>
      </w:r>
    </w:p>
    <w:p>
      <w:pPr>
        <w:jc w:val="both"/>
      </w:pPr>
      <w:rPr>
        <w:sz w:val="24"/>
        <w:color w:val="black"/>
      </w:rPr>
    </w:p>
    <w:p>
      <w:pPr>
        <w:jc w:val="both"/>
      </w:pPr>
      <w:r>
        <w:rPr>
          <w:rFonts w:hAnsi="Arial"/>
          <w:rFonts w:ascii="Arial"/>
          <w:sz w:val="24"/>
          <w:color w:val="black"/>
        </w:rPr>
        <w:t xml:space="preserve">e) Autorizaciσn conferida por el interesado a la vivienda militar o entidad que financie la vivienda para el cobro de la cesantνa parcial.</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86" w:name="2.5.9.2.1.11"/>
      <w:r>
        <w:rPr>
          <w:rFonts w:hAnsi="Arial"/>
          <w:rFonts w:ascii="Arial"/>
          <w:sz w:val="24"/>
          <w:color w:val="navy"/>
        </w:rPr>
        <w:t xml:space="preserve">ARTΝCULO 2.5.9.2.1.11. </w:t>
      </w:r>
      <w:r>
        <w:rPr>
          <w:rFonts w:hAnsi="Arial"/>
          <w:rFonts w:ascii="Arial"/>
          <w:sz w:val="24"/>
          <w:i/>
          <w:color w:val="navy"/>
        </w:rPr>
        <w:t xml:space="preserve">COMPROBACIΣN DE CIRCUNSTANCIAS PARA FINES DE INDEMNIZACIΣN.</w:t>
      </w:r>
      <w:bookmarkEnd w:id="61986"/>
      <w:r>
        <w:rPr>
          <w:rFonts w:hAnsi="Arial"/>
          <w:rFonts w:ascii="Arial"/>
          <w:sz w:val="24"/>
          <w:b/>
          <w:i/>
          <w:color w:val="black"/>
        </w:rPr>
        <w:t xml:space="preserve"> </w:t>
      </w:r>
      <w:r>
        <w:rPr>
          <w:rFonts w:hAnsi="Arial"/>
          <w:rFonts w:ascii="Arial"/>
          <w:sz w:val="24"/>
          <w:color w:val="black"/>
        </w:rPr>
        <w:t xml:space="preserve">Para el reconocimiento de los derechos establecidos en el artνculo </w:t>
      </w:r>
      <w:r>
        <w:fldChar w:fldCharType="begin"/>
      </w:r>
      <w:r>
        <w:instrText>HYPERLINK "http://www.redjurista.com/document.aspx?ajcode=d1213_90&amp;arts=98"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del Decreto 1213 de 1990, deberα aplicarse lo dispuesto en los artνculos </w:t>
      </w:r>
      <w:r>
        <w:fldChar w:fldCharType="begin"/>
      </w:r>
      <w:r>
        <w:instrText>HYPERLINK "http://www.redjurista.com/document.aspx?ajcode=d0094_89&amp;arts=35"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w:t>
      </w:r>
      <w:r>
        <w:fldChar w:fldCharType="begin"/>
      </w:r>
      <w:r>
        <w:instrText>HYPERLINK "http://www.redjurista.com/document.aspx?ajcode=d0094_89&amp;arts=36"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94 de 1989 y demαs que sean concordantes con esta materia.</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87" w:name="SECCIÓN 2.5.9.2.2"/>
      <w:r>
        <w:rPr>
          <w:rFonts w:hAnsi="Arial"/>
          <w:rFonts w:ascii="Arial"/>
          <w:sz w:val="24"/>
          <w:color w:val="navy"/>
        </w:rPr>
        <w:t xml:space="preserve">SECCIΣN 2. </w:t>
      </w:r>
    </w:p>
    <w:p>
      <w:pPr>
        <w:jc w:val="center"/>
      </w:pPr>
      <w:r>
        <w:rPr>
          <w:rFonts w:hAnsi="Arial"/>
          <w:rFonts w:ascii="Arial"/>
          <w:sz w:val="24"/>
          <w:color w:val="navy"/>
        </w:rPr>
        <w:t xml:space="preserve">POR RETIRO.</w:t>
      </w:r>
      <w:bookmarkEnd w:id="6198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88" w:name="2.5.9.2.2.1"/>
      <w:r>
        <w:rPr>
          <w:rFonts w:hAnsi="Arial"/>
          <w:rFonts w:ascii="Arial"/>
          <w:sz w:val="24"/>
          <w:color w:val="navy"/>
        </w:rPr>
        <w:t xml:space="preserve">ARTΝCULO 2.5.9.2.2.1. </w:t>
      </w:r>
      <w:r>
        <w:rPr>
          <w:rFonts w:hAnsi="Arial"/>
          <w:rFonts w:ascii="Arial"/>
          <w:sz w:val="24"/>
          <w:i/>
          <w:color w:val="navy"/>
        </w:rPr>
        <w:t xml:space="preserve">RECONOCIMIENTO PRIMA DE ACTIVIDAD.</w:t>
      </w:r>
      <w:bookmarkEnd w:id="61988"/>
      <w:r>
        <w:rPr>
          <w:rFonts w:hAnsi="Arial"/>
          <w:rFonts w:ascii="Arial"/>
          <w:sz w:val="24"/>
          <w:b/>
          <w:i/>
          <w:color w:val="black"/>
        </w:rPr>
        <w:t xml:space="preserve"> </w:t>
      </w:r>
      <w:r>
        <w:rPr>
          <w:rFonts w:hAnsi="Arial"/>
          <w:rFonts w:ascii="Arial"/>
          <w:sz w:val="24"/>
          <w:color w:val="black"/>
        </w:rPr>
        <w:t xml:space="preserve">Para los efectos previstos en el artνculo </w:t>
      </w:r>
      <w:r>
        <w:fldChar w:fldCharType="begin"/>
      </w:r>
      <w:r>
        <w:instrText>HYPERLINK "http://www.redjurista.com/document.aspx?ajcode=d1213_90&amp;arts=102"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del Decreto 1213 de 1990, la Policνa Nacional y la Caja de Sueldos de Retiro de la Policνa Nacional, procederαn de oficio a hacer los reajustes correspondientes.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el reconocimiento de este reajuste se tendrα en cuenta el tiempo liquidado en la correspondiente hoja de servicios policiales.</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89" w:name="SECCIÓN 2.5.9.2.3"/>
      <w:r>
        <w:rPr>
          <w:rFonts w:hAnsi="Arial"/>
          <w:rFonts w:ascii="Arial"/>
          <w:sz w:val="24"/>
          <w:color w:val="navy"/>
        </w:rPr>
        <w:t xml:space="preserve">SECCIΣN 3. </w:t>
      </w:r>
    </w:p>
    <w:p>
      <w:pPr>
        <w:jc w:val="center"/>
      </w:pPr>
      <w:r>
        <w:rPr>
          <w:rFonts w:hAnsi="Arial"/>
          <w:rFonts w:ascii="Arial"/>
          <w:sz w:val="24"/>
          <w:color w:val="navy"/>
        </w:rPr>
        <w:t xml:space="preserve">POR MUERTE EN ACTIVIDAD.</w:t>
      </w:r>
      <w:bookmarkEnd w:id="6198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90" w:name="2.5.9.2.3.1"/>
      <w:r>
        <w:rPr>
          <w:rFonts w:hAnsi="Arial"/>
          <w:rFonts w:ascii="Arial"/>
          <w:sz w:val="24"/>
          <w:color w:val="navy"/>
        </w:rPr>
        <w:t xml:space="preserve">ARTΝCULO 2.5.9.2.3.1. </w:t>
      </w:r>
      <w:r>
        <w:rPr>
          <w:rFonts w:hAnsi="Arial"/>
          <w:rFonts w:ascii="Arial"/>
          <w:sz w:val="24"/>
          <w:i/>
          <w:color w:val="navy"/>
        </w:rPr>
        <w:t xml:space="preserve">INFORME ADMINISTRATIVO.</w:t>
      </w:r>
      <w:bookmarkEnd w:id="61990"/>
      <w:r>
        <w:rPr>
          <w:rFonts w:hAnsi="Arial"/>
          <w:rFonts w:ascii="Arial"/>
          <w:sz w:val="24"/>
          <w:b/>
          <w:i/>
          <w:color w:val="black"/>
        </w:rPr>
        <w:t xml:space="preserve"> </w:t>
      </w:r>
      <w:r>
        <w:rPr>
          <w:rFonts w:hAnsi="Arial"/>
          <w:rFonts w:ascii="Arial"/>
          <w:sz w:val="24"/>
          <w:color w:val="black"/>
        </w:rPr>
        <w:t xml:space="preserve">El informe administrativo a que se refiere el artνculo </w:t>
      </w:r>
      <w:r>
        <w:fldChar w:fldCharType="begin"/>
      </w:r>
      <w:r>
        <w:instrText>HYPERLINK "http://www.redjurista.com/document.aspx?ajcode=d1213_90&amp;arts=124"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del Decreto 1213 de 1990, serα breve y sumario para determinar si el hecho ocurriσ en una de las siguientes circunstancias:</w:t>
      </w:r>
    </w:p>
    <w:p>
      <w:pPr>
        <w:jc w:val="both"/>
      </w:pPr>
      <w:rPr>
        <w:sz w:val="24"/>
        <w:color w:val="black"/>
      </w:rPr>
    </w:p>
    <w:p>
      <w:pPr>
        <w:jc w:val="both"/>
      </w:pPr>
      <w:r>
        <w:rPr>
          <w:rFonts w:hAnsi="Arial"/>
          <w:rFonts w:ascii="Arial"/>
          <w:sz w:val="24"/>
          <w:color w:val="black"/>
        </w:rPr>
        <w:t xml:space="preserve">a) Muerte simplemente en actividad;</w:t>
      </w:r>
    </w:p>
    <w:p>
      <w:pPr>
        <w:jc w:val="both"/>
      </w:pPr>
      <w:rPr>
        <w:sz w:val="24"/>
        <w:color w:val="black"/>
      </w:rPr>
    </w:p>
    <w:p>
      <w:pPr>
        <w:jc w:val="both"/>
      </w:pPr>
      <w:r>
        <w:rPr>
          <w:rFonts w:hAnsi="Arial"/>
          <w:rFonts w:ascii="Arial"/>
          <w:sz w:val="24"/>
          <w:color w:val="black"/>
        </w:rPr>
        <w:t xml:space="preserve">b) Muerte en actos del servicio;</w:t>
      </w:r>
    </w:p>
    <w:p>
      <w:pPr>
        <w:jc w:val="both"/>
      </w:pPr>
      <w:rPr>
        <w:sz w:val="24"/>
        <w:color w:val="black"/>
      </w:rPr>
    </w:p>
    <w:p>
      <w:pPr>
        <w:jc w:val="both"/>
      </w:pPr>
      <w:r>
        <w:rPr>
          <w:rFonts w:hAnsi="Arial"/>
          <w:rFonts w:ascii="Arial"/>
          <w:sz w:val="24"/>
          <w:color w:val="black"/>
        </w:rPr>
        <w:t xml:space="preserve">c) Muerte en actos especiales del servicio.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Cuando la muerte sobrevenga en actos contra la ley o con violaciσn de los reglamentos u σrdenes superiores o como consecuencia de suicidio, para efectos de indemnizaciσn se calificarα como ocurrida simplemente en actividad.</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91" w:name="2.5.9.2.3.2"/>
      <w:r>
        <w:rPr>
          <w:rFonts w:hAnsi="Arial"/>
          <w:rFonts w:ascii="Arial"/>
          <w:sz w:val="24"/>
          <w:color w:val="navy"/>
        </w:rPr>
        <w:t xml:space="preserve">ARTΝCULO 2.5.9.2.3.2. </w:t>
      </w:r>
      <w:r>
        <w:rPr>
          <w:rFonts w:hAnsi="Arial"/>
          <w:rFonts w:ascii="Arial"/>
          <w:sz w:val="24"/>
          <w:i/>
          <w:color w:val="navy"/>
        </w:rPr>
        <w:t xml:space="preserve">SERVICIOS MEDICO-ASISTENCIALES A FAMILIARES DEL FALLECIDO.</w:t>
      </w:r>
      <w:bookmarkEnd w:id="61991"/>
      <w:r>
        <w:rPr>
          <w:rFonts w:hAnsi="Arial"/>
          <w:rFonts w:ascii="Arial"/>
          <w:sz w:val="24"/>
          <w:b/>
          <w:i/>
          <w:color w:val="black"/>
        </w:rPr>
        <w:t xml:space="preserve"> </w:t>
      </w:r>
      <w:r>
        <w:rPr>
          <w:rFonts w:hAnsi="Arial"/>
          <w:rFonts w:ascii="Arial"/>
          <w:sz w:val="24"/>
          <w:color w:val="black"/>
        </w:rPr>
        <w:t xml:space="preserve">Para la prestaciσn de los servicios mιdico-asistenciales a los beneficiarios de que trata el artνculo </w:t>
      </w:r>
      <w:r>
        <w:fldChar w:fldCharType="begin"/>
      </w:r>
      <w:r>
        <w:instrText>HYPERLINK "http://www.redjurista.com/document.aspx?ajcode=d1213_90&amp;arts=126"</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del Decreto 1213 de 1990, regirαn las mismas normas consagradas en los artνculos </w:t>
      </w:r>
      <w:r>
        <w:fldChar w:fldCharType="begin"/>
      </w:r>
      <w:r>
        <w:instrText>HYPERLINK "http://www.redjurista.com/document.aspx?ajcode=d1070015&amp;arts=2.5.9.2.1.5"</w:instrText>
      </w:r>
      <w:r>
        <w:fldChar w:fldCharType="separate"/>
      </w:r>
      <w:r>
        <w:rPr>
          <w:rFonts w:hAnsi="Arial"/>
          <w:rFonts w:ascii="Arial"/>
          <w:sz w:val="24"/>
          <w:u w:val="single"/>
          <w:color w:val="black"/>
        </w:rPr>
        <w:t>2.5.9.2.1.5</w:t>
      </w:r>
      <w:r>
        <w:fldChar w:fldCharType="end"/>
      </w:r>
      <w:r>
        <w:rPr>
          <w:rFonts w:hAnsi="Arial"/>
          <w:rFonts w:ascii="Arial"/>
          <w:sz w:val="24"/>
          <w:u w:val="none"/>
          <w:color w:val="black"/>
        </w:rPr>
        <w:t xml:space="preserve">., a </w:t>
      </w:r>
      <w:r>
        <w:fldChar w:fldCharType="begin"/>
      </w:r>
      <w:r>
        <w:instrText>HYPERLINK "http://www.redjurista.com/document.aspx?ajcode=d1070015&amp;arts=2.5.9.2.1.8"</w:instrText>
      </w:r>
      <w:r>
        <w:fldChar w:fldCharType="separate"/>
      </w:r>
      <w:r>
        <w:rPr>
          <w:rFonts w:hAnsi="Arial"/>
          <w:rFonts w:ascii="Arial"/>
          <w:sz w:val="24"/>
          <w:u w:val="single"/>
          <w:color w:val="black"/>
        </w:rPr>
        <w:t>2.5.9.2.1.8</w:t>
      </w:r>
      <w:r>
        <w:fldChar w:fldCharType="end"/>
      </w:r>
      <w:r>
        <w:rPr>
          <w:rFonts w:hAnsi="Arial"/>
          <w:rFonts w:ascii="Arial"/>
          <w:sz w:val="24"/>
          <w:u w:val="none"/>
          <w:color w:val="black"/>
        </w:rPr>
        <w:t xml:space="preserve">., del presente Capνtulo.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92" w:name="2.5.9.2.3.3"/>
      <w:r>
        <w:rPr>
          <w:rFonts w:hAnsi="Arial"/>
          <w:rFonts w:ascii="Arial"/>
          <w:sz w:val="24"/>
          <w:color w:val="navy"/>
        </w:rPr>
        <w:t xml:space="preserve">ARTΝCULO 2.5.9.2.3.3. </w:t>
      </w:r>
      <w:r>
        <w:rPr>
          <w:rFonts w:hAnsi="Arial"/>
          <w:rFonts w:ascii="Arial"/>
          <w:sz w:val="24"/>
          <w:i/>
          <w:color w:val="navy"/>
        </w:rPr>
        <w:t xml:space="preserve">TRES (3) MESES DE ALTA POR FALLECIMIENTO.</w:t>
      </w:r>
      <w:bookmarkEnd w:id="61992"/>
      <w:r>
        <w:rPr>
          <w:rFonts w:hAnsi="Arial"/>
          <w:rFonts w:ascii="Arial"/>
          <w:sz w:val="24"/>
          <w:b/>
          <w:i/>
          <w:color w:val="black"/>
        </w:rPr>
        <w:t xml:space="preserve"> </w:t>
      </w:r>
      <w:r>
        <w:rPr>
          <w:rFonts w:hAnsi="Arial"/>
          <w:rFonts w:ascii="Arial"/>
          <w:sz w:val="24"/>
          <w:color w:val="black"/>
        </w:rPr>
        <w:t xml:space="preserve">El pago de los haberes correspondientes a los tres (3) meses de alta consagrados en el artνculo </w:t>
      </w:r>
      <w:r>
        <w:fldChar w:fldCharType="begin"/>
      </w:r>
      <w:r>
        <w:instrText>HYPERLINK "http://www.redjurista.com/document.aspx?ajcode=d1213_90&amp;arts=128"</w:instrText>
      </w:r>
      <w:r>
        <w:fldChar w:fldCharType="separate"/>
      </w:r>
      <w:r>
        <w:rPr>
          <w:rFonts w:hAnsi="Arial"/>
          <w:rFonts w:ascii="Arial"/>
          <w:sz w:val="24"/>
          <w:u w:val="single"/>
          <w:color w:val="black"/>
        </w:rPr>
        <w:t>128</w:t>
      </w:r>
      <w:r>
        <w:fldChar w:fldCharType="end"/>
      </w:r>
      <w:r>
        <w:rPr>
          <w:rFonts w:hAnsi="Arial"/>
          <w:rFonts w:ascii="Arial"/>
          <w:sz w:val="24"/>
          <w:u w:val="none"/>
          <w:color w:val="black"/>
        </w:rPr>
        <w:t xml:space="preserve"> del Decreto 1213 de 1990, asν como los haberes de actividad dejados de cobrar por el causante, serα autorizado por el Jefe de Prestaciones Sociales de la Policνa Nacional, previa presentaciσn por parte de los beneficiarios, en el orden preferencial establecido en el artνculo </w:t>
      </w:r>
      <w:r>
        <w:fldChar w:fldCharType="begin"/>
      </w:r>
      <w:r>
        <w:instrText>HYPERLINK "http://www.redjurista.com/document.aspx?ajcode=d1213_90&amp;arts=132"</w:instrText>
      </w:r>
      <w:r>
        <w:fldChar w:fldCharType="separate"/>
      </w:r>
      <w:r>
        <w:rPr>
          <w:rFonts w:hAnsi="Arial"/>
          <w:rFonts w:ascii="Arial"/>
          <w:sz w:val="24"/>
          <w:u w:val="single"/>
          <w:color w:val="black"/>
        </w:rPr>
        <w:t>132</w:t>
      </w:r>
      <w:r>
        <w:fldChar w:fldCharType="end"/>
      </w:r>
      <w:r>
        <w:rPr>
          <w:rFonts w:hAnsi="Arial"/>
          <w:rFonts w:ascii="Arial"/>
          <w:sz w:val="24"/>
          <w:u w:val="none"/>
          <w:color w:val="black"/>
        </w:rPr>
        <w:t xml:space="preserve"> del Decreto citado, de los documentos que acrediten su derecho.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93" w:name="SECCIÓN 2.5.9.2.4"/>
      <w:r>
        <w:rPr>
          <w:rFonts w:hAnsi="Arial"/>
          <w:rFonts w:ascii="Arial"/>
          <w:sz w:val="24"/>
          <w:color w:val="navy"/>
        </w:rPr>
        <w:t xml:space="preserve">SECCIΣN 4. </w:t>
      </w:r>
    </w:p>
    <w:p>
      <w:pPr>
        <w:jc w:val="center"/>
      </w:pPr>
      <w:r>
        <w:rPr>
          <w:rFonts w:hAnsi="Arial"/>
          <w:rFonts w:ascii="Arial"/>
          <w:sz w:val="24"/>
          <w:color w:val="navy"/>
        </w:rPr>
        <w:t xml:space="preserve">MUERTE EN RETIRO.</w:t>
      </w:r>
      <w:bookmarkEnd w:id="6199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94" w:name="2.5.9.2.4.1"/>
      <w:r>
        <w:rPr>
          <w:rFonts w:hAnsi="Arial"/>
          <w:rFonts w:ascii="Arial"/>
          <w:sz w:val="24"/>
          <w:color w:val="navy"/>
        </w:rPr>
        <w:t xml:space="preserve">ARTΝCULO 2.5.9.2.4.1. </w:t>
      </w:r>
      <w:r>
        <w:rPr>
          <w:rFonts w:hAnsi="Arial"/>
          <w:rFonts w:ascii="Arial"/>
          <w:sz w:val="24"/>
          <w:i/>
          <w:color w:val="navy"/>
        </w:rPr>
        <w:t xml:space="preserve">SERVICIO MΙDICO-ASISTENCIAL PARA FAMILIARES DE FALLECIDOS EN GOCE DE ASIGNACIΣN DE RETIRO O PENSIΣN.</w:t>
      </w:r>
      <w:bookmarkEnd w:id="61994"/>
      <w:r>
        <w:rPr>
          <w:rFonts w:hAnsi="Arial"/>
          <w:rFonts w:ascii="Arial"/>
          <w:sz w:val="24"/>
          <w:b/>
          <w:i/>
          <w:color w:val="black"/>
        </w:rPr>
        <w:t xml:space="preserve"> </w:t>
      </w:r>
      <w:r>
        <w:rPr>
          <w:rFonts w:hAnsi="Arial"/>
          <w:rFonts w:ascii="Arial"/>
          <w:sz w:val="24"/>
          <w:color w:val="black"/>
        </w:rPr>
        <w:t xml:space="preserve">Para la prestaciσn de los servicios asistenciales a los beneficiarios de que trata el inciso segundo del artνculo </w:t>
      </w:r>
      <w:r>
        <w:fldChar w:fldCharType="begin"/>
      </w:r>
      <w:r>
        <w:instrText>HYPERLINK "http://www.redjurista.com/document.aspx?ajcode=d1213_90&amp;arts=130"</w:instrText>
      </w:r>
      <w:r>
        <w:fldChar w:fldCharType="separate"/>
      </w:r>
      <w:r>
        <w:rPr>
          <w:rFonts w:hAnsi="Arial"/>
          <w:rFonts w:ascii="Arial"/>
          <w:sz w:val="24"/>
          <w:u w:val="single"/>
          <w:color w:val="black"/>
        </w:rPr>
        <w:t>130</w:t>
      </w:r>
      <w:r>
        <w:fldChar w:fldCharType="end"/>
      </w:r>
      <w:r>
        <w:rPr>
          <w:rFonts w:hAnsi="Arial"/>
          <w:rFonts w:ascii="Arial"/>
          <w:sz w:val="24"/>
          <w:u w:val="none"/>
          <w:color w:val="black"/>
        </w:rPr>
        <w:t xml:space="preserve"> del Decreto 1213 de 1990, regirαn las mismas normas consagradas en los artνculos </w:t>
      </w:r>
      <w:r>
        <w:fldChar w:fldCharType="begin"/>
      </w:r>
      <w:r>
        <w:instrText>HYPERLINK "http://www.redjurista.com/document.aspx?ajcode=d1070015&amp;arts=2.5.9.2.1.5"</w:instrText>
      </w:r>
      <w:r>
        <w:fldChar w:fldCharType="separate"/>
      </w:r>
      <w:r>
        <w:rPr>
          <w:rFonts w:hAnsi="Arial"/>
          <w:rFonts w:ascii="Arial"/>
          <w:sz w:val="24"/>
          <w:u w:val="single"/>
          <w:color w:val="black"/>
        </w:rPr>
        <w:t>2.5.9.2.1.5</w:t>
      </w:r>
      <w:r>
        <w:fldChar w:fldCharType="end"/>
      </w:r>
      <w:r>
        <w:rPr>
          <w:rFonts w:hAnsi="Arial"/>
          <w:rFonts w:ascii="Arial"/>
          <w:sz w:val="24"/>
          <w:u w:val="none"/>
          <w:color w:val="black"/>
        </w:rPr>
        <w:t xml:space="preserve">., a </w:t>
      </w:r>
      <w:r>
        <w:fldChar w:fldCharType="begin"/>
      </w:r>
      <w:r>
        <w:instrText>HYPERLINK "http://www.redjurista.com/document.aspx?ajcode=d1070015&amp;arts=2.5.9.2.1.8"</w:instrText>
      </w:r>
      <w:r>
        <w:fldChar w:fldCharType="separate"/>
      </w:r>
      <w:r>
        <w:rPr>
          <w:rFonts w:hAnsi="Arial"/>
          <w:rFonts w:ascii="Arial"/>
          <w:sz w:val="24"/>
          <w:u w:val="single"/>
          <w:color w:val="black"/>
        </w:rPr>
        <w:t>2.5.9.2.1.8</w:t>
      </w:r>
      <w:r>
        <w:fldChar w:fldCharType="end"/>
      </w:r>
      <w:r>
        <w:rPr>
          <w:rFonts w:hAnsi="Arial"/>
          <w:rFonts w:ascii="Arial"/>
          <w:sz w:val="24"/>
          <w:u w:val="none"/>
          <w:color w:val="black"/>
        </w:rPr>
        <w:t xml:space="preserve">., del presente Capνtulo. La expediciσn de carnιs de identidad estarα a cargo de la Caja de Sueldos de Retiro de la Policνa Nacional o de la Direcciσn General de la Policνa, segϊn se trate de asignaciones de retiro o pensiσn.</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95" w:name="2.5.9.2.4.2"/>
      <w:r>
        <w:rPr>
          <w:rFonts w:hAnsi="Arial"/>
          <w:rFonts w:ascii="Arial"/>
          <w:sz w:val="24"/>
          <w:color w:val="navy"/>
        </w:rPr>
        <w:t xml:space="preserve">ARTΝCULO 2.5.9.2.4.2. </w:t>
      </w:r>
      <w:r>
        <w:rPr>
          <w:rFonts w:hAnsi="Arial"/>
          <w:rFonts w:ascii="Arial"/>
          <w:sz w:val="24"/>
          <w:i/>
          <w:color w:val="navy"/>
        </w:rPr>
        <w:t xml:space="preserve">COMPROBACIΣN DE SITUACIΣN PARA GOCE DE PENSIΣN.</w:t>
      </w:r>
      <w:bookmarkEnd w:id="61995"/>
      <w:r>
        <w:rPr>
          <w:rFonts w:hAnsi="Arial"/>
          <w:rFonts w:ascii="Arial"/>
          <w:sz w:val="24"/>
          <w:b/>
          <w:i/>
          <w:color w:val="black"/>
        </w:rPr>
        <w:t xml:space="preserve"> </w:t>
      </w:r>
      <w:r>
        <w:rPr>
          <w:rFonts w:hAnsi="Arial"/>
          <w:rFonts w:ascii="Arial"/>
          <w:sz w:val="24"/>
          <w:color w:val="black"/>
        </w:rPr>
        <w:t xml:space="preserve">Los beneficiarios de pensiones otorgadas por fallecimiento de Agentes en servicio activo o en goce de asignaciσn de retiro o pensiσn, para mantener el derecho a disfrutar de tal prestaciσn deberαn demostrar ante la entidad pagadora, que no han incurrido en las causales de extinciσn previstas en el artνculo </w:t>
      </w:r>
      <w:r>
        <w:fldChar w:fldCharType="begin"/>
      </w:r>
      <w:r>
        <w:instrText>HYPERLINK "http://www.redjurista.com/document.aspx?ajcode=d1213_90&amp;arts=131"</w:instrText>
      </w:r>
      <w:r>
        <w:fldChar w:fldCharType="separate"/>
      </w:r>
      <w:r>
        <w:rPr>
          <w:rFonts w:hAnsi="Arial"/>
          <w:rFonts w:ascii="Arial"/>
          <w:sz w:val="24"/>
          <w:u w:val="single"/>
          <w:color w:val="black"/>
        </w:rPr>
        <w:t>131</w:t>
      </w:r>
      <w:r>
        <w:fldChar w:fldCharType="end"/>
      </w:r>
      <w:r>
        <w:rPr>
          <w:rFonts w:hAnsi="Arial"/>
          <w:rFonts w:ascii="Arial"/>
          <w:sz w:val="24"/>
          <w:u w:val="none"/>
          <w:color w:val="black"/>
        </w:rPr>
        <w:t xml:space="preserve"> del Decreto 1213 de 1990, mediante declaraciσn anual juramentada y rendida ante juez competente o con las pruebas legales adicionales que la entidad pagadora exija.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todo caso los beneficiarios de la sustituciσn pensional tendrαn la obligaciσn de dar aviso a la entidad pagadora dentro de los treinta (30) dνas siguientes a la ocurrencia de todo hecho que dι lugar a la extinciσn de la pensiσn.</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96" w:name="2.5.9.2.4.3"/>
      <w:r>
        <w:rPr>
          <w:rFonts w:hAnsi="Arial"/>
          <w:rFonts w:ascii="Arial"/>
          <w:sz w:val="24"/>
          <w:color w:val="navy"/>
        </w:rPr>
        <w:t xml:space="preserve">ARTΝCULO 2.5.9.2.4.3. </w:t>
      </w:r>
      <w:r>
        <w:rPr>
          <w:rFonts w:hAnsi="Arial"/>
          <w:rFonts w:ascii="Arial"/>
          <w:sz w:val="24"/>
          <w:i/>
          <w:color w:val="navy"/>
        </w:rPr>
        <w:t xml:space="preserve">ORDEN DE BENEFICIARIOS.</w:t>
      </w:r>
      <w:bookmarkEnd w:id="61996"/>
      <w:r>
        <w:rPr>
          <w:rFonts w:hAnsi="Arial"/>
          <w:rFonts w:ascii="Arial"/>
          <w:sz w:val="24"/>
          <w:b/>
          <w:i/>
          <w:color w:val="black"/>
        </w:rPr>
        <w:t xml:space="preserve"> </w:t>
      </w:r>
      <w:r>
        <w:rPr>
          <w:rFonts w:hAnsi="Arial"/>
          <w:rFonts w:ascii="Arial"/>
          <w:sz w:val="24"/>
          <w:color w:val="black"/>
        </w:rPr>
        <w:t xml:space="preserve">Para los efectos del literal c) del artνculo </w:t>
      </w:r>
      <w:r>
        <w:fldChar w:fldCharType="begin"/>
      </w:r>
      <w:r>
        <w:instrText>HYPERLINK "http://www.redjurista.com/document.aspx?ajcode=d1213_90&amp;arts=132"</w:instrText>
      </w:r>
      <w:r>
        <w:fldChar w:fldCharType="separate"/>
      </w:r>
      <w:r>
        <w:rPr>
          <w:rFonts w:hAnsi="Arial"/>
          <w:rFonts w:ascii="Arial"/>
          <w:sz w:val="24"/>
          <w:u w:val="single"/>
          <w:color w:val="black"/>
        </w:rPr>
        <w:t>132</w:t>
      </w:r>
      <w:r>
        <w:fldChar w:fldCharType="end"/>
      </w:r>
      <w:r>
        <w:rPr>
          <w:rFonts w:hAnsi="Arial"/>
          <w:rFonts w:ascii="Arial"/>
          <w:sz w:val="24"/>
          <w:u w:val="none"/>
          <w:color w:val="black"/>
        </w:rPr>
        <w:t xml:space="preserve"> del Decreto 1213 de 1990, se entiende que la prestaciσn se dividirα entre cσnyuge y padres, solamente cuando no hubieren existido hijos del causante.</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1997" w:name="2.5.9.2.4.4"/>
      <w:r>
        <w:rPr>
          <w:rFonts w:hAnsi="Arial"/>
          <w:rFonts w:ascii="Arial"/>
          <w:sz w:val="24"/>
          <w:color w:val="navy"/>
        </w:rPr>
        <w:t xml:space="preserve">ARTΝCULO 2.5.9.2.4.4. </w:t>
      </w:r>
      <w:r>
        <w:rPr>
          <w:rFonts w:hAnsi="Arial"/>
          <w:rFonts w:ascii="Arial"/>
          <w:sz w:val="24"/>
          <w:i/>
          <w:color w:val="navy"/>
        </w:rPr>
        <w:t xml:space="preserve">DEPENDENCIA ECONΣMICA DE LOS BENEFICIARIOS.</w:t>
      </w:r>
      <w:bookmarkEnd w:id="61997"/>
      <w:r>
        <w:rPr>
          <w:rFonts w:hAnsi="Arial"/>
          <w:rFonts w:ascii="Arial"/>
          <w:sz w:val="24"/>
          <w:b/>
          <w:i/>
          <w:color w:val="black"/>
        </w:rPr>
        <w:t xml:space="preserve"> </w:t>
      </w:r>
      <w:r>
        <w:rPr>
          <w:rFonts w:hAnsi="Arial"/>
          <w:rFonts w:ascii="Arial"/>
          <w:sz w:val="24"/>
          <w:color w:val="black"/>
        </w:rPr>
        <w:t xml:space="preserve">La carencia de medios de subsistencia y dependencia econσmica de que trata el artνculo </w:t>
      </w:r>
      <w:r>
        <w:fldChar w:fldCharType="begin"/>
      </w:r>
      <w:r>
        <w:instrText>HYPERLINK "http://www.redjurista.com/document.aspx?ajcode=d1213_90&amp;arts=132"</w:instrText>
      </w:r>
      <w:r>
        <w:fldChar w:fldCharType="separate"/>
      </w:r>
      <w:r>
        <w:rPr>
          <w:rFonts w:hAnsi="Arial"/>
          <w:rFonts w:ascii="Arial"/>
          <w:sz w:val="24"/>
          <w:u w:val="single"/>
          <w:color w:val="black"/>
        </w:rPr>
        <w:t>132</w:t>
      </w:r>
      <w:r>
        <w:fldChar w:fldCharType="end"/>
      </w:r>
      <w:r>
        <w:rPr>
          <w:rFonts w:hAnsi="Arial"/>
          <w:rFonts w:ascii="Arial"/>
          <w:sz w:val="24"/>
          <w:u w:val="none"/>
          <w:color w:val="black"/>
        </w:rPr>
        <w:t xml:space="preserve"> del Decreto 1213 de 1990, como condiciσn para reconocimiento y pago de las prestaciones a favor de los hermanos menores de edad, deberα comprobarse mediante la presentaciσn de copia autιntica de uno de los siguientes documentos: la ϊltima declaraciσn de renta o certificado de ingresos o retenciones del Agente fallecido o certificado de la Administraciσn de Impuestos Nacionales en el sentido de que no declaran renta ni patrimonio.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1998" w:name="SECCIÓN 2.5.9.2.5"/>
      <w:r>
        <w:rPr>
          <w:rFonts w:hAnsi="Arial"/>
          <w:rFonts w:ascii="Arial"/>
          <w:sz w:val="24"/>
          <w:color w:val="navy"/>
        </w:rPr>
        <w:t xml:space="preserve">SECCIΣN 5. </w:t>
      </w:r>
    </w:p>
    <w:p>
      <w:pPr>
        <w:jc w:val="center"/>
      </w:pPr>
      <w:r>
        <w:rPr>
          <w:rFonts w:hAnsi="Arial"/>
          <w:rFonts w:ascii="Arial"/>
          <w:sz w:val="24"/>
          <w:color w:val="navy"/>
        </w:rPr>
        <w:t xml:space="preserve">DESAPARECIDOS Y PRISIONEROS.</w:t>
      </w:r>
      <w:bookmarkEnd w:id="619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1999" w:name="2.5.9.2.5.1"/>
      <w:r>
        <w:rPr>
          <w:rFonts w:hAnsi="Arial"/>
          <w:rFonts w:ascii="Arial"/>
          <w:sz w:val="24"/>
          <w:color w:val="navy"/>
        </w:rPr>
        <w:t xml:space="preserve">ARTΝCULO 2.5.9.2.5.1. </w:t>
      </w:r>
      <w:r>
        <w:rPr>
          <w:rFonts w:hAnsi="Arial"/>
          <w:rFonts w:ascii="Arial"/>
          <w:sz w:val="24"/>
          <w:i/>
          <w:color w:val="navy"/>
        </w:rPr>
        <w:t xml:space="preserve">PROCEDIMIENTO EN CASO DE DESAPARECIMIENTO.</w:t>
      </w:r>
      <w:bookmarkEnd w:id="61999"/>
      <w:r>
        <w:rPr>
          <w:rFonts w:hAnsi="Arial"/>
          <w:rFonts w:ascii="Arial"/>
          <w:sz w:val="24"/>
          <w:b/>
          <w:i/>
          <w:color w:val="black"/>
        </w:rPr>
        <w:t xml:space="preserve"> </w:t>
      </w:r>
      <w:r>
        <w:rPr>
          <w:rFonts w:hAnsi="Arial"/>
          <w:rFonts w:ascii="Arial"/>
          <w:sz w:val="24"/>
          <w:color w:val="black"/>
        </w:rPr>
        <w:t xml:space="preserve">Cuando un Agente de la Policνa Nacional en servicio activo desaparezca en las circunstancias previstas en el artνculo </w:t>
      </w:r>
      <w:r>
        <w:fldChar w:fldCharType="begin"/>
      </w:r>
      <w:r>
        <w:instrText>HYPERLINK "http://www.redjurista.com/document.aspx?ajcode=d1213_90&amp;arts=136"</w:instrText>
      </w:r>
      <w:r>
        <w:fldChar w:fldCharType="separate"/>
      </w:r>
      <w:r>
        <w:rPr>
          <w:rFonts w:hAnsi="Arial"/>
          <w:rFonts w:ascii="Arial"/>
          <w:sz w:val="24"/>
          <w:u w:val="single"/>
          <w:color w:val="black"/>
        </w:rPr>
        <w:t>136</w:t>
      </w:r>
      <w:r>
        <w:fldChar w:fldCharType="end"/>
      </w:r>
      <w:r>
        <w:rPr>
          <w:rFonts w:hAnsi="Arial"/>
          <w:rFonts w:ascii="Arial"/>
          <w:sz w:val="24"/>
          <w:u w:val="none"/>
          <w:color w:val="black"/>
        </w:rPr>
        <w:t xml:space="preserve"> del Decreto 1213 de 1990, se procederα de la siguiente manera:</w:t>
      </w:r>
    </w:p>
    <w:p>
      <w:pPr>
        <w:jc w:val="both"/>
      </w:pPr>
      <w:rPr>
        <w:sz w:val="24"/>
        <w:color w:val="black"/>
      </w:rPr>
    </w:p>
    <w:p>
      <w:pPr>
        <w:jc w:val="both"/>
      </w:pPr>
      <w:r>
        <w:rPr>
          <w:rFonts w:hAnsi="Arial"/>
          <w:rFonts w:ascii="Arial"/>
          <w:sz w:val="24"/>
          <w:color w:val="black"/>
        </w:rPr>
        <w:t xml:space="preserve">a) Transcurridos treinta (30) dνas de la ϊltima noticia del desaparecido, el Comandante respectivo con facultad disciplinaria designarα un funcionario para que adelante la investigaciσn;</w:t>
      </w:r>
    </w:p>
    <w:p>
      <w:pPr>
        <w:jc w:val="both"/>
      </w:pPr>
      <w:rPr>
        <w:sz w:val="24"/>
        <w:color w:val="black"/>
      </w:rPr>
    </w:p>
    <w:p>
      <w:pPr>
        <w:jc w:val="both"/>
      </w:pPr>
      <w:r>
        <w:rPr>
          <w:rFonts w:hAnsi="Arial"/>
          <w:rFonts w:ascii="Arial"/>
          <w:sz w:val="24"/>
          <w:color w:val="black"/>
        </w:rPr>
        <w:t xml:space="preserve">b) El funcionario Instructor dentro de un tιrmino no mayor de ocho (8) dνas hαbiles practicarα las diligencias que considere pertinentes para determinar las circunstancias en que tuvo ocurrencia la desapariciσn;</w:t>
      </w:r>
    </w:p>
    <w:p>
      <w:pPr>
        <w:jc w:val="both"/>
      </w:pPr>
      <w:rPr>
        <w:sz w:val="24"/>
        <w:color w:val="black"/>
      </w:rPr>
    </w:p>
    <w:p>
      <w:pPr>
        <w:jc w:val="both"/>
      </w:pPr>
      <w:r>
        <w:rPr>
          <w:rFonts w:hAnsi="Arial"/>
          <w:rFonts w:ascii="Arial"/>
          <w:sz w:val="24"/>
          <w:color w:val="black"/>
        </w:rPr>
        <w:t xml:space="preserve">c) Vencido el tιrmino a que se refiere el literal anterior, el Instructor remitirα el informativo al Superior que ordenσ la investigaciσn, quien deberα emitir concepto dentro de los tres (3) dνas siguientes al recibo de las diligencias y las enviarα luego a la Direcciσn de Personal para los efectos pertinentes.</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00" w:name="2.5.9.2.5.2"/>
      <w:r>
        <w:rPr>
          <w:rFonts w:hAnsi="Arial"/>
          <w:rFonts w:ascii="Arial"/>
          <w:sz w:val="24"/>
          <w:color w:val="navy"/>
        </w:rPr>
        <w:t xml:space="preserve">ARTΝCULO 2.5.9.2.5.2. </w:t>
      </w:r>
      <w:r>
        <w:rPr>
          <w:rFonts w:hAnsi="Arial"/>
          <w:rFonts w:ascii="Arial"/>
          <w:sz w:val="24"/>
          <w:i/>
          <w:color w:val="navy"/>
        </w:rPr>
        <w:t>APARECIMIENTO.</w:t>
      </w:r>
      <w:bookmarkEnd w:id="62000"/>
      <w:r>
        <w:rPr>
          <w:rFonts w:hAnsi="Arial"/>
          <w:rFonts w:ascii="Arial"/>
          <w:sz w:val="24"/>
          <w:b/>
          <w:i/>
          <w:color w:val="black"/>
        </w:rPr>
        <w:t xml:space="preserve"> </w:t>
      </w:r>
      <w:r>
        <w:rPr>
          <w:rFonts w:hAnsi="Arial"/>
          <w:rFonts w:ascii="Arial"/>
          <w:sz w:val="24"/>
          <w:color w:val="black"/>
        </w:rPr>
        <w:t xml:space="preserve">Si el Agente apareciere o se tuviere noticias ciertas de su existencia, la Direcciσn General de la Policνa Nacional, ordenarα adelantar una investigaciσn de carαcter administrativo, con el objeto de precisar:</w:t>
      </w:r>
    </w:p>
    <w:p>
      <w:pPr>
        <w:jc w:val="both"/>
      </w:pPr>
      <w:rPr>
        <w:sz w:val="24"/>
        <w:color w:val="black"/>
      </w:rPr>
    </w:p>
    <w:p>
      <w:pPr>
        <w:jc w:val="both"/>
      </w:pPr>
      <w:r>
        <w:rPr>
          <w:rFonts w:hAnsi="Arial"/>
          <w:rFonts w:ascii="Arial"/>
          <w:sz w:val="24"/>
          <w:color w:val="black"/>
        </w:rPr>
        <w:t xml:space="preserve">a) La identidad del aparecido, acerca de la cual debe obtenerse plena certeza, mediante la utilizaciσn de los medios tιcnicos de identificaciσn apropiados;</w:t>
      </w:r>
    </w:p>
    <w:p>
      <w:pPr>
        <w:jc w:val="both"/>
      </w:pPr>
      <w:rPr>
        <w:sz w:val="24"/>
        <w:color w:val="black"/>
      </w:rPr>
    </w:p>
    <w:p>
      <w:pPr>
        <w:jc w:val="both"/>
      </w:pPr>
      <w:r>
        <w:rPr>
          <w:rFonts w:hAnsi="Arial"/>
          <w:rFonts w:ascii="Arial"/>
          <w:sz w:val="24"/>
          <w:color w:val="black"/>
        </w:rPr>
        <w:t xml:space="preserve">b) Las actividades desarrolladas por el Agente durante el tiempo comprendido entre la fecha de su desapariciσn y la de su apariciσn, identificando las causas de la desapariciσn.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Si en la investigaciσn administrativa se llegaren a establecer acciones u omisiones que deban ser investigadas por la Justicia Penal Militar o por la Ordinaria, se compulsarα copia del expediente administrativo con el fin de que se adelante el proceso a que haya lugar.</w:t>
      </w:r>
    </w:p>
    <w:p>
      <w:pPr>
        <w:jc w:val="both"/>
      </w:pPr>
      <w:rPr>
        <w:sz w:val="24"/>
        <w:color w:val="black"/>
      </w:rPr>
    </w:p>
    <w:p>
      <w:pPr>
        <w:jc w:val="both"/>
      </w:pPr>
      <w:r>
        <w:rPr>
          <w:rFonts w:hAnsi="Arial"/>
          <w:rFonts w:ascii="Arial"/>
          <w:sz w:val="24"/>
          <w:i/>
          <w:color w:val="black"/>
        </w:rPr>
        <w:t xml:space="preserve"> (Decreto 1022 de 1992 artνculo </w:t>
      </w:r>
      <w:r>
        <w:fldChar w:fldCharType="begin"/>
      </w:r>
      <w:r>
        <w:instrText>HYPERLINK "http://www.redjurista.com/document.aspx?ajcode=d1022_92&amp;arts=39"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01" w:name="2.5.9.2.5.3"/>
      <w:r>
        <w:rPr>
          <w:rFonts w:hAnsi="Arial"/>
          <w:rFonts w:ascii="Arial"/>
          <w:sz w:val="24"/>
          <w:color w:val="navy"/>
        </w:rPr>
        <w:t xml:space="preserve">ARTΝCULO 2.5.9.2.5.3. </w:t>
      </w:r>
      <w:r>
        <w:rPr>
          <w:rFonts w:hAnsi="Arial"/>
          <w:rFonts w:ascii="Arial"/>
          <w:sz w:val="24"/>
          <w:i/>
          <w:color w:val="navy"/>
        </w:rPr>
        <w:t xml:space="preserve">FALLO Y SANCIONES.</w:t>
      </w:r>
      <w:bookmarkEnd w:id="62001"/>
      <w:r>
        <w:rPr>
          <w:rFonts w:hAnsi="Arial"/>
          <w:rFonts w:ascii="Arial"/>
          <w:sz w:val="24"/>
          <w:b/>
          <w:i/>
          <w:color w:val="black"/>
        </w:rPr>
        <w:t xml:space="preserve"> </w:t>
      </w:r>
      <w:r>
        <w:rPr>
          <w:rFonts w:hAnsi="Arial"/>
          <w:rFonts w:ascii="Arial"/>
          <w:sz w:val="24"/>
          <w:color w:val="black"/>
        </w:rPr>
        <w:t xml:space="preserve">Si el proceso penal culmina con fallo condenatorio para la persona aparecida, se cambiarα la causa de baja por presunciσn de muerte a que se refiere el parαgrafo del artνculo </w:t>
      </w:r>
      <w:r>
        <w:fldChar w:fldCharType="begin"/>
      </w:r>
      <w:r>
        <w:instrText>HYPERLINK "http://www.redjurista.com/document.aspx?ajcode=d1213_90&amp;arts=136"</w:instrText>
      </w:r>
      <w:r>
        <w:fldChar w:fldCharType="separate"/>
      </w:r>
      <w:r>
        <w:rPr>
          <w:rFonts w:hAnsi="Arial"/>
          <w:rFonts w:ascii="Arial"/>
          <w:sz w:val="24"/>
          <w:u w:val="single"/>
          <w:color w:val="black"/>
        </w:rPr>
        <w:t>136</w:t>
      </w:r>
      <w:r>
        <w:fldChar w:fldCharType="end"/>
      </w:r>
      <w:r>
        <w:rPr>
          <w:rFonts w:hAnsi="Arial"/>
          <w:rFonts w:ascii="Arial"/>
          <w:sz w:val="24"/>
          <w:u w:val="none"/>
          <w:color w:val="black"/>
        </w:rPr>
        <w:t xml:space="preserve"> del Decreto 1213 de 1990, en caso de que esta se hubiere producido, por la que resulte del respectivo fallo y se darα aplicaciσn a lo dispuesto en el artνculo </w:t>
      </w:r>
      <w:r>
        <w:fldChar w:fldCharType="begin"/>
      </w:r>
      <w:r>
        <w:instrText>HYPERLINK "http://www.redjurista.com/document.aspx?ajcode=d1213_90&amp;arts=138"</w:instrText>
      </w:r>
      <w:r>
        <w:fldChar w:fldCharType="separate"/>
      </w:r>
      <w:r>
        <w:rPr>
          <w:rFonts w:hAnsi="Arial"/>
          <w:rFonts w:ascii="Arial"/>
          <w:sz w:val="24"/>
          <w:u w:val="single"/>
          <w:color w:val="black"/>
        </w:rPr>
        <w:t>138</w:t>
      </w:r>
      <w:r>
        <w:fldChar w:fldCharType="end"/>
      </w:r>
      <w:r>
        <w:rPr>
          <w:rFonts w:hAnsi="Arial"/>
          <w:rFonts w:ascii="Arial"/>
          <w:sz w:val="24"/>
          <w:u w:val="none"/>
          <w:color w:val="black"/>
        </w:rPr>
        <w:t xml:space="preserve"> del mismo Decreto.</w:t>
      </w:r>
    </w:p>
    <w:p>
      <w:pPr>
        <w:jc w:val="both"/>
      </w:pPr>
      <w:rPr>
        <w:sz w:val="24"/>
        <w:color w:val="black"/>
      </w:rPr>
    </w:p>
    <w:p>
      <w:pPr>
        <w:jc w:val="both"/>
      </w:pPr>
      <w:r>
        <w:rPr>
          <w:rFonts w:hAnsi="Arial"/>
          <w:rFonts w:ascii="Arial"/>
          <w:sz w:val="24"/>
          <w:color w:val="black"/>
        </w:rPr>
        <w:t xml:space="preserve">Si el fallo es absolutorio, la Direcciσn General de la Policνa Nacional declararα sin valor ni efecto las disposiciones que se hubieren dictado con ocasiσn del desaparecimiento. En este caso, el tiempo transcurrido entre la desapariciσn y la apariciσn se considerarα de actividad para todos los efectos, incluyendo el derecho a los haberes mensuales correspondientes al grado.</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002" w:name="SECCIÓN 2.5.9.2.6"/>
      <w:r>
        <w:rPr>
          <w:rFonts w:hAnsi="Arial"/>
          <w:rFonts w:ascii="Arial"/>
          <w:sz w:val="24"/>
          <w:color w:val="navy"/>
        </w:rPr>
        <w:t xml:space="preserve">SECCIΣN 6. </w:t>
      </w:r>
    </w:p>
    <w:p>
      <w:pPr>
        <w:jc w:val="center"/>
      </w:pPr>
      <w:r>
        <w:rPr>
          <w:rFonts w:hAnsi="Arial"/>
          <w:rFonts w:ascii="Arial"/>
          <w:sz w:val="24"/>
          <w:color w:val="navy"/>
        </w:rPr>
        <w:t xml:space="preserve">DISPOSICIONES VARIAS.</w:t>
      </w:r>
      <w:bookmarkEnd w:id="6200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003" w:name="2.5.9.2.6.1"/>
      <w:r>
        <w:rPr>
          <w:rFonts w:hAnsi="Arial"/>
          <w:rFonts w:ascii="Arial"/>
          <w:sz w:val="24"/>
          <w:color w:val="navy"/>
        </w:rPr>
        <w:t xml:space="preserve">ARTΝCULO 2.5.9.2.6.1. </w:t>
      </w:r>
      <w:r>
        <w:rPr>
          <w:rFonts w:hAnsi="Arial"/>
          <w:rFonts w:ascii="Arial"/>
          <w:sz w:val="24"/>
          <w:i/>
          <w:color w:val="navy"/>
        </w:rPr>
        <w:t xml:space="preserve">CUOTAS PARTES PENSIONALES.</w:t>
      </w:r>
      <w:bookmarkEnd w:id="62003"/>
      <w:r>
        <w:rPr>
          <w:rFonts w:hAnsi="Arial"/>
          <w:rFonts w:ascii="Arial"/>
          <w:sz w:val="24"/>
          <w:b/>
          <w:i/>
          <w:color w:val="black"/>
        </w:rPr>
        <w:t xml:space="preserve"> </w:t>
      </w:r>
      <w:r>
        <w:rPr>
          <w:rFonts w:hAnsi="Arial"/>
          <w:rFonts w:ascii="Arial"/>
          <w:sz w:val="24"/>
          <w:color w:val="black"/>
        </w:rPr>
        <w:t xml:space="preserve">Para los efectos de lo dispuesto en el inciso final del artνculo </w:t>
      </w:r>
      <w:r>
        <w:fldChar w:fldCharType="begin"/>
      </w:r>
      <w:r>
        <w:instrText>HYPERLINK "http://www.redjurista.com/document.aspx?ajcode=d1213_90&amp;arts=168"</w:instrText>
      </w:r>
      <w:r>
        <w:fldChar w:fldCharType="separate"/>
      </w:r>
      <w:r>
        <w:rPr>
          <w:rFonts w:hAnsi="Arial"/>
          <w:rFonts w:ascii="Arial"/>
          <w:sz w:val="24"/>
          <w:u w:val="single"/>
          <w:color w:val="black"/>
        </w:rPr>
        <w:t>168</w:t>
      </w:r>
      <w:r>
        <w:fldChar w:fldCharType="end"/>
      </w:r>
      <w:r>
        <w:rPr>
          <w:rFonts w:hAnsi="Arial"/>
          <w:rFonts w:ascii="Arial"/>
          <w:sz w:val="24"/>
          <w:u w:val="none"/>
          <w:color w:val="black"/>
        </w:rPr>
        <w:t xml:space="preserve"> del Decreto 1213 de 1990, es entendido que las cuotas partes pensionales estarαn a cargo de la Policνa Nacional, cuando el personal que laborσ en las extinguidas policνas departamentales o municipales hizo trαnsito a la Policνa Nacional.</w:t>
      </w:r>
    </w:p>
    <w:p>
      <w:pPr>
        <w:jc w:val="both"/>
      </w:pPr>
      <w:rPr>
        <w:sz w:val="24"/>
        <w:color w:val="black"/>
      </w:rPr>
    </w:p>
    <w:p>
      <w:pPr>
        <w:jc w:val="both"/>
      </w:pPr>
      <w:r>
        <w:rPr>
          <w:rFonts w:hAnsi="Arial"/>
          <w:rFonts w:ascii="Arial"/>
          <w:sz w:val="24"/>
          <w:i/>
          <w:color w:val="black"/>
        </w:rPr>
        <w:t xml:space="preserve">(Decreto 1022 de 1992 artνculo </w:t>
      </w:r>
      <w:r>
        <w:fldChar w:fldCharType="begin"/>
      </w:r>
      <w:r>
        <w:instrText>HYPERLINK "http://www.redjurista.com/document.aspx?ajcode=d1022_92&amp;arts=42"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b/>
          <w:vanish/>
          <w:color w:val="black"/>
        </w:rPr>
        <w:t>&amp;$</w:t>
      </w:r>
      <w:bookmarkStart w:id="62004" w:name="TÍTULO 2.5.10"/>
      <w:r>
        <w:rPr>
          <w:rFonts w:hAnsi="Arial"/>
          <w:rFonts w:ascii="Arial"/>
          <w:sz w:val="24"/>
          <w:color w:val="navy"/>
        </w:rPr>
        <w:t xml:space="preserve">TΝTULO 10. </w:t>
      </w:r>
    </w:p>
    <w:p>
      <w:pPr>
        <w:jc w:val="center"/>
      </w:pPr>
      <w:r>
        <w:rPr>
          <w:rFonts w:hAnsi="Arial"/>
          <w:rFonts w:ascii="Arial"/>
          <w:sz w:val="24"/>
          <w:color w:val="navy"/>
        </w:rPr>
        <w:t xml:space="preserve">INCREMENTO DEL PRESUPUESTO PER CΑPITA PARA EL SECTOR DEFENSA (PPCD) QUE DEBE SER RECONOCIDO POR EL GOBIERNO NACIONAL PARA FINANCIAR EL PLAN DE SERVICIOS DE SANIDAD DE LA POLICΝA NACIONAL Y SE INCREMENTA EL PORCENTAJE DEL APORTE PARA LOS SERVICIOS MΙDICOS DERIVADOS DE ACCIDENTE DE TRABAJO Y ENFERMEDAD PROFESIONAL (ATEP) PARA EL SUBSISTEMA DE SALUD DE LA POLICΝA NACIONAL.</w:t>
      </w:r>
      <w:bookmarkEnd w:id="62004"/>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62005" w:name="2.5.10.1"/>
      <w:r>
        <w:rPr>
          <w:rFonts w:hAnsi="Arial"/>
          <w:rFonts w:ascii="Arial"/>
          <w:sz w:val="24"/>
          <w:color w:val="navy"/>
        </w:rPr>
        <w:t xml:space="preserve">ARTΝCULO 2.5.10.1. AUMENTO DEL VALOR DEL PRESUPUESTO PER CΑPITA.</w:t>
      </w:r>
      <w:bookmarkEnd w:id="6200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"http://www.redjurista.com/document.aspx?ajcode=d1454017&amp;arts=1"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1454 de 2017. El nuevo texto es el siguiente:&gt; Aumentar el valor del Presupuesto Per cαpita para el Sector Defensa (PPCD), del veinte por ciento (20%) al veinticinco por ciento (25%), para financiar el Plan de Servicios de Sanidad Policial de los afiliados no sometidos al rιgimen de cotizaciσn del Subsistema de Salud de la Policνa Nacional.</w:t>
      </w:r>
    </w:p>
    <w:p>
      <w:pPr>
        <w:jc w:val="both"/>
      </w:pPr>
      <w:rPr>
        <w:color w:val="black"/>
      </w:rPr>
    </w:p>
    <w:p>
      <w:pPr>
        <w:jc w:val="both"/>
      </w:pPr>
      <w:r>
        <w:rPr>
          <w:rFonts w:hAnsi="Arial"/>
          <w:rFonts w:ascii="Arial"/>
          <w:sz w:val="24"/>
          <w:b/>
          <w:vanish/>
          <w:color w:val="black"/>
        </w:rPr>
        <w:t>&amp;$</w:t>
      </w:r>
      <w:bookmarkStart w:id="62006" w:name="2.5.10.2"/>
      <w:r>
        <w:rPr>
          <w:rFonts w:hAnsi="Arial"/>
          <w:rFonts w:ascii="Arial"/>
          <w:sz w:val="24"/>
          <w:color w:val="navy"/>
        </w:rPr>
        <w:t xml:space="preserve">ARTΝCULO 2.5.10.2 AUMENTO DE LA DIFERENCIA ENTRE EL VALOR DEL PRESUPUESTO PER CΑPITA Y LA UNIDAD DE PAGO POR CAPITACIΣN DEL SISTEMA DE SEGURIDAD SOCIAL EN SALUD.</w:t>
      </w:r>
      <w:bookmarkEnd w:id="620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"http://www.redjurista.com/document.aspx?ajcode=d1454017&amp;arts=1"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1454 de 2017. El nuevo texto es el siguiente:&gt; Aumentar la diferencia entre el valor del Presupuesto Per cαpita para el Sector Defensa (PPCD) y la Unidad de Pago por Capitaciσn del Sistema General de Seguridad Social en Salud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(UPC), del veinte por ciento (20%) al veinticinco por ciento (25%) para apoyar a la financiaciσn del Plan de Servicios de Sanidad Policial de los afiliados cotizantes y sus beneficiarios del Subsistema de Salud de la Policνa Nacional. </w:t>
      </w:r>
    </w:p>
    <w:p>
      <w:pPr>
        <w:jc w:val="both"/>
      </w:pPr>
      <w:rPr>
        <w:color w:val="black"/>
      </w:rPr>
    </w:p>
    <w:p>
      <w:pPr>
        <w:jc w:val="both"/>
      </w:pPr>
      <w:r>
        <w:rPr>
          <w:rFonts w:hAnsi="Arial"/>
          <w:rFonts w:ascii="Arial"/>
          <w:sz w:val="24"/>
          <w:b/>
          <w:vanish/>
          <w:color w:val="black"/>
        </w:rPr>
        <w:t>&amp;$</w:t>
      </w:r>
      <w:bookmarkStart w:id="62007" w:name="2.5.10.3"/>
      <w:r>
        <w:rPr>
          <w:rFonts w:hAnsi="Arial"/>
          <w:rFonts w:ascii="Arial"/>
          <w:sz w:val="24"/>
          <w:color w:val="navy"/>
        </w:rPr>
        <w:t xml:space="preserve">ARTΝCULO 2.5.10.3. AUMENTO DEL INGRESO POR CONCEPTO DE ACCIDENTES DE TRABAJO Y ENFERMEDAD PROFESIONAL (ATEP).</w:t>
      </w:r>
      <w:bookmarkEnd w:id="6200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"http://www.redjurista.com/document.aspx?ajcode=d1454017&amp;arts=1"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1454 de 2017. El nuevo texto es el siguiente:&gt; Aumentar el ingreso por concepto de Accidentes de Trabajo y Enfermedad Profesional (ATEP) al Subsistema de Salud de la Policνa Nacional proveniente de la Nσmina de la Policνa Nacional, del dos por ciento (2%) al tres por ciento (3%) de conformidad con la parte motiva del presente decreto. </w:t>
      </w:r>
    </w:p>
    <w:p>
      <w:pPr>
        <w:jc w:val="both"/>
      </w:pPr>
      <w:rPr>
        <w:color w:val="black"/>
      </w:rPr>
    </w:p>
    <w:p>
      <w:pPr>
        <w:jc w:val="both"/>
      </w:pPr>
      <w:r>
        <w:rPr>
          <w:rFonts w:hAnsi="Arial"/>
          <w:rFonts w:ascii="Arial"/>
          <w:sz w:val="24"/>
          <w:b/>
          <w:vanish/>
          <w:color w:val="black"/>
        </w:rPr>
        <w:t>&amp;$</w:t>
      </w:r>
      <w:bookmarkStart w:id="62008" w:name="2.5.10.4"/>
      <w:r>
        <w:rPr>
          <w:rFonts w:hAnsi="Arial"/>
          <w:rFonts w:ascii="Arial"/>
          <w:sz w:val="24"/>
          <w:color w:val="navy"/>
        </w:rPr>
        <w:t xml:space="preserve">ARTΝCULO 2.5.10.4. DESTINACIΣN PORCENTAJES.</w:t>
      </w:r>
      <w:bookmarkEnd w:id="6200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"http://www.redjurista.com/document.aspx?ajcode=d1454017&amp;arts=1"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1454 de 2017. El nuevo texto es el siguiente:&gt; Dichos porcentajes serαn destinados respectivamente a financiar el Plan de Servicios de Sanidad Policial de los afiliados no sometidos al rιgimen de cotizaciσn, de los cotizantes y sus beneficiarios afiliados al Subsistema de Salud de la Policνa Nacional; y para financiar los servicios de salud derivados de Accidentes de Trabajo y Enfermedad Profesional del personal Policial y civil activo al servicio de la Policνa Nacional afiliado al Subsistema de Salud de la Policνa Nacional, no perteneciente al rιgimen de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w:t>
      </w:r>
    </w:p>
    <w:p>
      <w:pPr>
        <w:jc w:val="center"/>
      </w:pPr>
      <w:rPr>
        <w:sz w:val="24"/>
        <w:color w:val="black"/>
      </w:rPr>
    </w:p>
    <w:p>
      <w:pPr>
        <w:jc w:val="center"/>
      </w:pPr>
      <w:r>
        <w:rPr>
          <w:rFonts w:hAnsi="Arial"/>
          <w:rFonts w:ascii="Arial"/>
          <w:sz w:val="24"/>
          <w:vanish/>
          <w:color w:val="black"/>
        </w:rPr>
        <w:t>&amp;$</w:t>
      </w:r>
      <w:bookmarkStart w:id="62009" w:name="TÍTULO 2.5.12"/>
      <w:r>
        <w:rPr>
          <w:rFonts w:hAnsi="Arial"/>
          <w:rFonts w:ascii="Arial"/>
          <w:sz w:val="24"/>
          <w:color w:val="navy"/>
        </w:rPr>
        <w:t xml:space="preserve">TΝTULO 12. </w:t>
      </w:r>
    </w:p>
    <w:p>
      <w:pPr>
        <w:jc w:val="center"/>
      </w:pPr>
      <w:r>
        <w:rPr>
          <w:rFonts w:hAnsi="Arial"/>
          <w:rFonts w:ascii="Arial"/>
          <w:sz w:val="24"/>
          <w:color w:val="navy"/>
        </w:rPr>
        <w:t xml:space="preserve">CONFORMACIΣN, FUNCIONAMIENTO, FUNCIONES Y DEMΑS ASPECTOS RELACIONADOS CON EL CONSEJO SUPERIOR DE EDUCACIΣN POLICIAL.</w:t>
      </w:r>
      <w:bookmarkEnd w:id="62009"/>
      <w:r>
        <w:rPr>
          <w:rFonts w:hAnsi="Arial"/>
          <w:rFonts w:ascii="Arial"/>
          <w:sz w:val="24"/>
          <w:color w:val="black"/>
        </w:rPr>
        <w:t xml:space="preserve">  </w:t>
      </w:r>
    </w:p>
    <w:p>
      <w:pPr>
        <w:jc w:val="both"/>
        <w:keepNext/>
      </w:pPr>
      <w:rPr>
        <w:color w:val="black"/>
      </w:rPr>
    </w:p>
    <w:p>
      <w:pPr>
        <w:jc w:val="both"/>
        <w:keepNext/>
      </w:pPr>
      <w:r>
        <w:rPr>
          <w:rFonts w:hAnsi="Arial"/>
          <w:rFonts w:ascii="Arial"/>
          <w:sz w:val="24"/>
          <w:b/>
          <w:vanish/>
          <w:color w:val="black"/>
        </w:rPr>
        <w:t>&amp;$</w:t>
      </w:r>
      <w:bookmarkStart w:id="62010" w:name="2.5.12.1"/>
      <w:r>
        <w:rPr>
          <w:rFonts w:hAnsi="Arial"/>
          <w:rFonts w:ascii="Arial"/>
          <w:sz w:val="24"/>
          <w:color w:val="navy"/>
        </w:rPr>
        <w:t xml:space="preserve">ARTΝCULO 2.5.12.1. OBJETO.</w:t>
      </w:r>
      <w:bookmarkEnd w:id="6201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Reglamentar la conformaciσn, funcionamiento, funciones y demαs aspectos relacionados con las facultades del Consejo Superior de Educaciσn Policial. </w:t>
      </w:r>
    </w:p>
    <w:p>
      <w:pPr>
        <w:jc w:val="both"/>
      </w:pPr>
      <w:rPr>
        <w:color w:val="black"/>
      </w:rPr>
    </w:p>
    <w:p>
      <w:pPr>
        <w:jc w:val="both"/>
      </w:pPr>
      <w:r>
        <w:rPr>
          <w:rFonts w:hAnsi="Arial"/>
          <w:rFonts w:ascii="Arial"/>
          <w:sz w:val="24"/>
          <w:b/>
          <w:vanish/>
          <w:color w:val="black"/>
        </w:rPr>
        <w:t>&amp;$</w:t>
      </w:r>
      <w:bookmarkStart w:id="62011" w:name="2.5.12.2"/>
      <w:r>
        <w:rPr>
          <w:rFonts w:hAnsi="Arial"/>
          <w:rFonts w:ascii="Arial"/>
          <w:sz w:val="24"/>
          <w:color w:val="navy"/>
        </w:rPr>
        <w:t xml:space="preserve">ARTΝCULO 2.5.12.2. CONSEJO SUPERIOR DE EDUCACIΣN POLICIAL.</w:t>
      </w:r>
      <w:bookmarkEnd w:id="6201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Es el cuerpo colegiado de carαcter consultivo, asesor y decisorio, que se constituye como el mαximo σrgano de Direcciσn y Gobierno de la Educaciσn Policial. </w:t>
      </w:r>
    </w:p>
    <w:p>
      <w:pPr>
        <w:jc w:val="both"/>
      </w:pPr>
      <w:rPr>
        <w:color w:val="black"/>
      </w:rPr>
    </w:p>
    <w:p>
      <w:pPr>
        <w:jc w:val="both"/>
      </w:pPr>
      <w:r>
        <w:rPr>
          <w:rFonts w:hAnsi="Arial"/>
          <w:rFonts w:ascii="Arial"/>
          <w:sz w:val="24"/>
          <w:b/>
          <w:vanish/>
          <w:color w:val="black"/>
        </w:rPr>
        <w:t>&amp;$</w:t>
      </w:r>
      <w:bookmarkStart w:id="62012" w:name="2.5.12.3"/>
      <w:r>
        <w:rPr>
          <w:rFonts w:hAnsi="Arial"/>
          <w:rFonts w:ascii="Arial"/>
          <w:sz w:val="24"/>
          <w:color w:val="navy"/>
        </w:rPr>
        <w:t xml:space="preserve">ARTΝCULO 2.5.12.3. INTEGRACIΣN DEL CONSEJO SUPERIOR DE EDUCACIΣN POLICIAL.</w:t>
      </w:r>
      <w:bookmarkEnd w:id="6201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El Consejo Superior de Educaciσn Policial estarα integrado por: </w:t>
      </w:r>
    </w:p>
    <w:p>
      <w:pPr>
        <w:jc w:val="both"/>
      </w:pPr>
      <w:rPr>
        <w:sz w:val="24"/>
        <w:b/>
        <w:color w:val="black"/>
      </w:rPr>
    </w:p>
    <w:p>
      <w:pPr>
        <w:jc w:val="both"/>
      </w:pPr>
      <w:r>
        <w:rPr>
          <w:rFonts w:hAnsi="Arial"/>
          <w:rFonts w:ascii="Arial"/>
          <w:sz w:val="24"/>
          <w:color w:val="black"/>
        </w:rPr>
        <w:t xml:space="preserve">1. Un delegado del (la) Ministro(a) de Defensa Nacional. </w:t>
      </w:r>
    </w:p>
    <w:p>
      <w:pPr>
        <w:jc w:val="both"/>
      </w:pPr>
      <w:rPr>
        <w:sz w:val="24"/>
        <w:b/>
        <w:color w:val="black"/>
      </w:rPr>
    </w:p>
    <w:p>
      <w:pPr>
        <w:jc w:val="both"/>
      </w:pPr>
      <w:r>
        <w:rPr>
          <w:rFonts w:hAnsi="Arial"/>
          <w:rFonts w:ascii="Arial"/>
          <w:sz w:val="24"/>
          <w:color w:val="black"/>
        </w:rPr>
        <w:t xml:space="preserve">2. Un delegado del (la) Ministro(a) de Educaciσn Nacional. </w:t>
      </w:r>
    </w:p>
    <w:p>
      <w:pPr>
        <w:jc w:val="both"/>
      </w:pPr>
      <w:rPr>
        <w:sz w:val="24"/>
        <w:b/>
        <w:color w:val="black"/>
      </w:rPr>
    </w:p>
    <w:p>
      <w:pPr>
        <w:jc w:val="both"/>
      </w:pPr>
      <w:r>
        <w:rPr>
          <w:rFonts w:hAnsi="Arial"/>
          <w:rFonts w:ascii="Arial"/>
          <w:sz w:val="24"/>
          <w:color w:val="black"/>
        </w:rPr>
        <w:t xml:space="preserve">3. Un designado de la Presidencia de la Repϊblica, que haya tenido vνnculo con el sector de educaciσn. </w:t>
      </w:r>
    </w:p>
    <w:p>
      <w:pPr>
        <w:jc w:val="both"/>
      </w:pPr>
      <w:rPr>
        <w:sz w:val="24"/>
        <w:b/>
        <w:color w:val="black"/>
      </w:rPr>
    </w:p>
    <w:p>
      <w:pPr>
        <w:jc w:val="both"/>
      </w:pPr>
      <w:r>
        <w:rPr>
          <w:rFonts w:hAnsi="Arial"/>
          <w:rFonts w:ascii="Arial"/>
          <w:sz w:val="24"/>
          <w:color w:val="black"/>
        </w:rPr>
        <w:t xml:space="preserve">4. El Director General de la Policνa Nacional de Colombia o su delegado quien lo presidirα. </w:t>
      </w:r>
    </w:p>
    <w:p>
      <w:pPr>
        <w:jc w:val="both"/>
      </w:pPr>
      <w:rPr>
        <w:sz w:val="24"/>
        <w:b/>
        <w:color w:val="black"/>
      </w:rPr>
    </w:p>
    <w:p>
      <w:pPr>
        <w:jc w:val="both"/>
      </w:pPr>
      <w:r>
        <w:rPr>
          <w:rFonts w:hAnsi="Arial"/>
          <w:rFonts w:ascii="Arial"/>
          <w:sz w:val="24"/>
          <w:color w:val="black"/>
        </w:rPr>
        <w:t xml:space="preserve">5. El Comisionado de Derechos Humanos de la Policνa Nacional. </w:t>
      </w:r>
    </w:p>
    <w:p>
      <w:pPr>
        <w:jc w:val="both"/>
      </w:pPr>
      <w:rPr>
        <w:sz w:val="24"/>
        <w:b/>
        <w:color w:val="black"/>
      </w:rPr>
    </w:p>
    <w:p>
      <w:pPr>
        <w:jc w:val="both"/>
      </w:pPr>
      <w:r>
        <w:rPr>
          <w:rFonts w:hAnsi="Arial"/>
          <w:rFonts w:ascii="Arial"/>
          <w:sz w:val="24"/>
          <w:color w:val="black"/>
        </w:rPr>
        <w:t xml:space="preserve">6. El Jefe Nacional de Desarrollo Humano de la Policνa Nacional. </w:t>
      </w:r>
    </w:p>
    <w:p>
      <w:pPr>
        <w:jc w:val="both"/>
      </w:pPr>
      <w:rPr>
        <w:sz w:val="24"/>
        <w:b/>
        <w:color w:val="black"/>
      </w:rPr>
    </w:p>
    <w:p>
      <w:pPr>
        <w:jc w:val="both"/>
      </w:pPr>
      <w:r>
        <w:rPr>
          <w:rFonts w:hAnsi="Arial"/>
          <w:rFonts w:ascii="Arial"/>
          <w:sz w:val="24"/>
          <w:color w:val="black"/>
        </w:rPr>
        <w:t xml:space="preserve">7. El Jefe Nacional del Servicio de Policνa. </w:t>
      </w:r>
    </w:p>
    <w:p>
      <w:pPr>
        <w:jc w:val="both"/>
      </w:pPr>
      <w:rPr>
        <w:sz w:val="24"/>
        <w:b/>
        <w:color w:val="black"/>
      </w:rPr>
    </w:p>
    <w:p>
      <w:pPr>
        <w:jc w:val="both"/>
      </w:pPr>
      <w:r>
        <w:rPr>
          <w:rFonts w:hAnsi="Arial"/>
          <w:rFonts w:ascii="Arial"/>
          <w:sz w:val="24"/>
          <w:color w:val="black"/>
        </w:rPr>
        <w:t xml:space="preserve">8. El Jefe Nacional de Administraciσn de Recursos. </w:t>
      </w:r>
    </w:p>
    <w:p>
      <w:pPr>
        <w:jc w:val="both"/>
      </w:pPr>
      <w:rPr>
        <w:sz w:val="24"/>
        <w:b/>
        <w:color w:val="black"/>
      </w:rPr>
    </w:p>
    <w:p>
      <w:pPr>
        <w:jc w:val="both"/>
      </w:pPr>
      <w:r>
        <w:rPr>
          <w:rFonts w:hAnsi="Arial"/>
          <w:rFonts w:ascii="Arial"/>
          <w:sz w:val="24"/>
          <w:color w:val="black"/>
        </w:rPr>
        <w:t xml:space="preserve">9. El Director de Educaciσn Policial (Rector de la IES). </w:t>
      </w:r>
    </w:p>
    <w:p>
      <w:pPr>
        <w:jc w:val="both"/>
      </w:pPr>
      <w:rPr>
        <w:sz w:val="24"/>
        <w:b/>
        <w:color w:val="black"/>
      </w:rPr>
    </w:p>
    <w:p>
      <w:pPr>
        <w:jc w:val="both"/>
      </w:pPr>
      <w:r>
        <w:rPr>
          <w:rFonts w:hAnsi="Arial"/>
          <w:rFonts w:ascii="Arial"/>
          <w:sz w:val="24"/>
          <w:color w:val="black"/>
        </w:rPr>
        <w:t xml:space="preserve">10. El Jefe de la Oficina de Planeaciσn de la Policνa Nacional. </w:t>
      </w:r>
    </w:p>
    <w:p>
      <w:pPr>
        <w:jc w:val="both"/>
      </w:pPr>
      <w:rPr>
        <w:sz w:val="24"/>
        <w:b/>
        <w:color w:val="black"/>
      </w:rPr>
    </w:p>
    <w:p>
      <w:pPr>
        <w:jc w:val="both"/>
      </w:pPr>
      <w:r>
        <w:rPr>
          <w:rFonts w:hAnsi="Arial"/>
          <w:rFonts w:ascii="Arial"/>
          <w:sz w:val="24"/>
          <w:color w:val="black"/>
        </w:rPr>
        <w:t xml:space="preserve">11. Un egresado de los programas acadιmicos de la Direcciσn de Educaciσn Policial.</w:t>
      </w:r>
    </w:p>
    <w:p>
      <w:pPr>
        <w:jc w:val="both"/>
      </w:pPr>
      <w:rPr>
        <w:sz w:val="24"/>
        <w:b/>
        <w:color w:val="black"/>
      </w:rPr>
    </w:p>
    <w:p>
      <w:pPr>
        <w:jc w:val="both"/>
      </w:pPr>
      <w:r>
        <w:rPr>
          <w:rFonts w:hAnsi="Arial"/>
          <w:rFonts w:ascii="Arial"/>
          <w:sz w:val="24"/>
          <w:color w:val="black"/>
        </w:rPr>
        <w:t xml:space="preserve">12. Un representante de las directivas acadιmicas de la Direcciσn de Educaciσn Policial. </w:t>
      </w:r>
    </w:p>
    <w:p>
      <w:pPr>
        <w:jc w:val="both"/>
      </w:pPr>
      <w:rPr>
        <w:sz w:val="24"/>
        <w:b/>
        <w:color w:val="black"/>
      </w:rPr>
    </w:p>
    <w:p>
      <w:pPr>
        <w:jc w:val="both"/>
      </w:pPr>
      <w:r>
        <w:rPr>
          <w:rFonts w:hAnsi="Arial"/>
          <w:rFonts w:ascii="Arial"/>
          <w:sz w:val="24"/>
          <w:color w:val="black"/>
        </w:rPr>
        <w:t xml:space="preserve">13. Un representante de los estudiantes de la Direcciσn de Educaciσn Policial. </w:t>
      </w:r>
    </w:p>
    <w:p>
      <w:pPr>
        <w:jc w:val="both"/>
      </w:pPr>
      <w:rPr>
        <w:sz w:val="24"/>
        <w:b/>
        <w:color w:val="black"/>
      </w:rPr>
    </w:p>
    <w:p>
      <w:pPr>
        <w:jc w:val="both"/>
      </w:pPr>
      <w:r>
        <w:rPr>
          <w:rFonts w:hAnsi="Arial"/>
          <w:rFonts w:ascii="Arial"/>
          <w:sz w:val="24"/>
          <w:color w:val="black"/>
        </w:rPr>
        <w:t xml:space="preserve">14. Un representante de los docentes de la Direcciσn de Educaciσn Policial. </w:t>
      </w:r>
    </w:p>
    <w:p>
      <w:pPr>
        <w:jc w:val="both"/>
      </w:pPr>
      <w:rPr>
        <w:sz w:val="24"/>
        <w:b/>
        <w:color w:val="black"/>
      </w:rPr>
    </w:p>
    <w:p>
      <w:pPr>
        <w:jc w:val="both"/>
      </w:pPr>
      <w:r>
        <w:rPr>
          <w:rFonts w:hAnsi="Arial"/>
          <w:rFonts w:ascii="Arial"/>
          <w:sz w:val="24"/>
          <w:color w:val="black"/>
        </w:rPr>
        <w:t xml:space="preserve">15. El Presidente del Colegio Profesional de Administradores Policiales o su delegado. </w:t>
      </w:r>
    </w:p>
    <w:p>
      <w:pPr>
        <w:jc w:val="both"/>
      </w:pPr>
      <w:rPr>
        <w:sz w:val="24"/>
        <w:b/>
        <w:color w:val="black"/>
      </w:rPr>
    </w:p>
    <w:p>
      <w:pPr>
        <w:jc w:val="both"/>
      </w:pPr>
      <w:r>
        <w:rPr>
          <w:rFonts w:hAnsi="Arial"/>
          <w:rFonts w:ascii="Arial"/>
          <w:sz w:val="24"/>
          <w:color w:val="black"/>
        </w:rPr>
        <w:t xml:space="preserve">16. Un experto acadιmico con reconocida trayectoria investigativa en asuntos policiales. </w:t>
      </w:r>
    </w:p>
    <w:p>
      <w:pPr>
        <w:jc w:val="both"/>
      </w:pPr>
      <w:rPr>
        <w:sz w:val="24"/>
        <w:b/>
        <w:color w:val="black"/>
      </w:rPr>
    </w:p>
    <w:p>
      <w:pPr>
        <w:jc w:val="both"/>
      </w:pPr>
      <w:r>
        <w:rPr>
          <w:rFonts w:hAnsi="Arial"/>
          <w:rFonts w:ascii="Arial"/>
          <w:sz w:val="24"/>
          <w:color w:val="black"/>
        </w:rPr>
        <w:t xml:space="preserve">17. Un experto acadιmico con experiencia reconocida y trayectoria investigativa en materia de derechos humanos y derecho internacional humanitario. </w:t>
      </w:r>
    </w:p>
    <w:p>
      <w:pPr>
        <w:jc w:val="both"/>
      </w:pPr>
      <w:rPr>
        <w:sz w:val="24"/>
        <w:b/>
        <w:color w:val="black"/>
      </w:rPr>
    </w:p>
    <w:p>
      <w:pPr>
        <w:jc w:val="both"/>
      </w:pPr>
      <w:r>
        <w:rPr>
          <w:rFonts w:hAnsi="Arial"/>
          <w:rFonts w:ascii="Arial"/>
          <w:sz w:val="24"/>
          <w:color w:val="black"/>
        </w:rPr>
        <w:t xml:space="preserve">18. El Suboficial o mando ejecutivo de Comando de la Direcciσn General de la Policνa Nacional. </w:t>
      </w:r>
    </w:p>
    <w:p>
      <w:pPr>
        <w:jc w:val="both"/>
      </w:pPr>
      <w:rPr>
        <w:sz w:val="24"/>
        <w:b/>
        <w:color w:val="black"/>
      </w:rPr>
    </w:p>
    <w:p>
      <w:pPr>
        <w:jc w:val="both"/>
      </w:pPr>
      <w:r>
        <w:rPr>
          <w:rFonts w:hAnsi="Arial"/>
          <w:rFonts w:ascii="Arial"/>
          <w:sz w:val="24"/>
          <w:color w:val="black"/>
        </w:rPr>
        <w:t xml:space="preserve">19. Un exdirector de Educaciσn Policial. </w:t>
      </w:r>
    </w:p>
    <w:p>
      <w:pPr>
        <w:jc w:val="both"/>
      </w:pPr>
      <w:rPr>
        <w:sz w:val="24"/>
        <w:b/>
        <w:color w:val="black"/>
      </w:rPr>
    </w:p>
    <w:p>
      <w:pPr>
        <w:jc w:val="both"/>
      </w:pPr>
      <w:r>
        <w:rPr>
          <w:rFonts w:hAnsi="Arial"/>
          <w:rFonts w:ascii="Arial"/>
          <w:sz w:val="24"/>
          <w:color w:val="black"/>
        </w:rPr>
        <w:t xml:space="preserve">20. El Vicerrector Acadιmico de la Direcciσn de Educaciσn Policial, con voz y sin voto, quien fungirα como secretario tιcnico.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Podrαn participar como invitados con voz y sin voto, las personas naturales, encargados de los programas acadιmicos a aprobar, o los representantes de entidades que los miembros del Consejo Superior de Educaciσn Policial consideren.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 elecciσn de los integrantes del Consejo Superior de Educaciσn Policial que se relacionan en los numerales 11, 12, 13 y 14 estarα a cargo de la Direcciσn de Educaciσn Policial, previa convocatoria bajo los parαmetros que establezca la misma. </w:t>
      </w:r>
    </w:p>
    <w:p>
      <w:pPr>
        <w:jc w:val="both"/>
      </w:pPr>
      <w:rPr>
        <w:sz w:val="24"/>
        <w:color w:val="black"/>
      </w:rPr>
    </w:p>
    <w:p>
      <w:pPr>
        <w:jc w:val="both"/>
      </w:pPr>
      <w:r>
        <w:rPr>
          <w:rFonts w:hAnsi="Arial"/>
          <w:rFonts w:ascii="Arial"/>
          <w:sz w:val="24"/>
          <w:color w:val="black"/>
        </w:rPr>
        <w:t xml:space="preserve">La elecciσn de los integrantes que se relacionan en los numerales 16 y 17, serα realizada por el Consejo Superior de Educaciσn Policial, a travιs de convocatoria liderada por la Direcciσn de Educaciσn Policial. </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La permanencia de los integrantes del Consejo Superior de Educaciσn Policial que se relacionan en los numerales 13 y 14 serα por un periodo no superior a un (1) aρo.</w:t>
      </w:r>
    </w:p>
    <w:p>
      <w:pPr>
        <w:jc w:val="both"/>
      </w:pPr>
      <w:rPr>
        <w:sz w:val="24"/>
        <w:color w:val="black"/>
      </w:rPr>
    </w:p>
    <w:p>
      <w:pPr>
        <w:jc w:val="both"/>
      </w:pPr>
      <w:r>
        <w:rPr>
          <w:rFonts w:hAnsi="Arial"/>
          <w:rFonts w:ascii="Arial"/>
          <w:sz w:val="24"/>
          <w:color w:val="black"/>
        </w:rPr>
        <w:t xml:space="preserve">La permanencia de los integrantes del Consejo Superior de Educaciσn Policial que se relacionan en los numerales 11, 16 y 17 serα por un periodo no superior a dos (2) aρos. </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color w:val="black"/>
        </w:rPr>
        <w:t xml:space="preserve"> La asistencia a las sesiones del Consejo Superior de Educaciσn Policial, en ningϊn caso darα derecho a pago de honorarios. </w:t>
      </w:r>
    </w:p>
    <w:p>
      <w:pPr>
        <w:jc w:val="both"/>
      </w:pPr>
      <w:rPr>
        <w:sz w:val="24"/>
        <w:color w:val="black"/>
      </w:rPr>
    </w:p>
    <w:p>
      <w:pPr>
        <w:jc w:val="both"/>
      </w:pPr>
      <w:r>
        <w:rPr>
          <w:rFonts w:hAnsi="Arial"/>
          <w:rFonts w:ascii="Arial"/>
          <w:sz w:val="24"/>
          <w:color w:val="navy"/>
        </w:rPr>
        <w:t xml:space="preserve">PARΑGRAFO 5o.</w:t>
      </w:r>
      <w:r>
        <w:rPr>
          <w:rFonts w:hAnsi="Arial"/>
          <w:rFonts w:ascii="Arial"/>
          <w:sz w:val="24"/>
          <w:color w:val="black"/>
        </w:rPr>
        <w:t xml:space="preserve"> La delegaciσn del Director General de la Policνa Nacional de Colombia solamente podrα ser en el Subdirector General y la delegaciσn del Presidente del Colegio Profesional de Administradores Policiales, en el Vicepresidente del mismo.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w:t>
      </w:r>
      <w:r>
        <w:rPr>
          <w:rFonts w:hAnsi="Arial"/>
          <w:rFonts w:ascii="Arial"/>
          <w:sz w:val="24"/>
          <w:color w:val="navy"/>
        </w:rPr>
        <w:t>TRANSITORIO</w:t>
      </w:r>
      <w:r>
        <w:rPr>
          <w:rFonts w:hAnsi="Arial"/>
          <w:rFonts w:ascii="Arial"/>
          <w:sz w:val="24"/>
          <w:color w:val="black"/>
        </w:rPr>
        <w:t xml:space="preserve">. La primera elecciσn del personal citado en los numerales 16 y 17 relacionados en el inciso del parαgrafo 2o. del presente artνculo, serα realizada por la Direcciσn de Educaciσn Policial, previa convocatoria pϊblica que adelante esa direcciσn. </w:t>
      </w:r>
    </w:p>
    <w:p>
      <w:pPr>
        <w:jc w:val="both"/>
        <w:keepNext/>
      </w:pPr>
      <w:rPr>
        <w:color w:val="black"/>
      </w:rPr>
    </w:p>
    <w:p>
      <w:pPr>
        <w:jc w:val="both"/>
        <w:keepNext/>
      </w:pPr>
      <w:r>
        <w:rPr>
          <w:rFonts w:hAnsi="Arial"/>
          <w:rFonts w:ascii="Arial"/>
          <w:sz w:val="24"/>
          <w:b/>
          <w:vanish/>
          <w:color w:val="black"/>
        </w:rPr>
        <w:t>&amp;$</w:t>
      </w:r>
      <w:bookmarkStart w:id="62013" w:name="2.5.12.4"/>
      <w:r>
        <w:rPr>
          <w:rFonts w:hAnsi="Arial"/>
          <w:rFonts w:ascii="Arial"/>
          <w:sz w:val="24"/>
          <w:color w:val="navy"/>
        </w:rPr>
        <w:t xml:space="preserve">ARTΝCULO 2.5.12.4. FUNCIONES.</w:t>
      </w:r>
      <w:bookmarkEnd w:id="6201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Son funciones del Consejo Superior de Educaciσn Policial, las siguientes: </w:t>
      </w:r>
    </w:p>
    <w:p>
      <w:pPr>
        <w:jc w:val="both"/>
        <w:keepNext/>
      </w:pPr>
      <w:rPr>
        <w:sz w:val="24"/>
        <w:b/>
        <w:color w:val="black"/>
      </w:rPr>
    </w:p>
    <w:p>
      <w:pPr>
        <w:jc w:val="both"/>
        <w:keepNext/>
      </w:pPr>
      <w:r>
        <w:rPr>
          <w:rFonts w:hAnsi="Arial"/>
          <w:rFonts w:ascii="Arial"/>
          <w:sz w:val="24"/>
          <w:color w:val="black"/>
        </w:rPr>
        <w:t xml:space="preserve">1. Actuar como σrgano colegiado de carαcter consultivo, asesor y decisorio en materia de Educaciσn Policial. </w:t>
      </w:r>
    </w:p>
    <w:p>
      <w:pPr>
        <w:jc w:val="both"/>
        <w:keepNext/>
      </w:pPr>
      <w:rPr>
        <w:sz w:val="24"/>
        <w:b/>
        <w:color w:val="black"/>
      </w:rPr>
    </w:p>
    <w:p>
      <w:pPr>
        <w:jc w:val="both"/>
        <w:keepNext/>
      </w:pPr>
      <w:r>
        <w:rPr>
          <w:rFonts w:hAnsi="Arial"/>
          <w:rFonts w:ascii="Arial"/>
          <w:sz w:val="24"/>
          <w:color w:val="black"/>
        </w:rPr>
        <w:t xml:space="preserve">2. Aprobar el acto administrativo que regule la conformaciσn del cuerpo docente policial de carαcter profesional con competencias propias de la educaciσn policial, con un plan de desarrollo profesoral que perfeccione de manera permanente la actividad docente, en funciσn de la profesionalizaciσn policial y el servicio de Policνa. </w:t>
      </w:r>
    </w:p>
    <w:p>
      <w:pPr>
        <w:jc w:val="both"/>
        <w:keepNext/>
      </w:pPr>
      <w:rPr>
        <w:sz w:val="24"/>
        <w:b/>
        <w:color w:val="black"/>
      </w:rPr>
    </w:p>
    <w:p>
      <w:pPr>
        <w:jc w:val="both"/>
        <w:keepNext/>
      </w:pPr>
      <w:r>
        <w:rPr>
          <w:rFonts w:hAnsi="Arial"/>
          <w:rFonts w:ascii="Arial"/>
          <w:sz w:val="24"/>
          <w:color w:val="black"/>
        </w:rPr>
        <w:t xml:space="preserve">3. Aprobar el Sistema Educativo Policial y el Proyecto Educativo Institucional, dentro del marco normativo del Ministerio de Educaciσn Nacional. </w:t>
      </w:r>
    </w:p>
    <w:p>
      <w:pPr>
        <w:jc w:val="both"/>
        <w:keepNext/>
      </w:pPr>
      <w:rPr>
        <w:sz w:val="24"/>
        <w:b/>
        <w:color w:val="black"/>
      </w:rPr>
    </w:p>
    <w:p>
      <w:pPr>
        <w:jc w:val="both"/>
        <w:keepNext/>
      </w:pPr>
      <w:r>
        <w:rPr>
          <w:rFonts w:hAnsi="Arial"/>
          <w:rFonts w:ascii="Arial"/>
          <w:sz w:val="24"/>
          <w:color w:val="black"/>
        </w:rPr>
        <w:t xml:space="preserve">4. Aprobar los programas acadιmicos de pregrado y posgrado correspondientes a la profesionalizaciσn del servicio de policνa con enfoque en estαndares internacionales de derechos humanos. </w:t>
      </w:r>
    </w:p>
    <w:p>
      <w:pPr>
        <w:jc w:val="both"/>
        <w:keepNext/>
      </w:pPr>
      <w:rPr>
        <w:sz w:val="24"/>
        <w:b/>
        <w:color w:val="black"/>
      </w:rPr>
    </w:p>
    <w:p>
      <w:pPr>
        <w:jc w:val="both"/>
        <w:keepNext/>
      </w:pPr>
      <w:r>
        <w:rPr>
          <w:rFonts w:hAnsi="Arial"/>
          <w:rFonts w:ascii="Arial"/>
          <w:sz w:val="24"/>
          <w:color w:val="black"/>
        </w:rPr>
        <w:t xml:space="preserve">5. Aprobar los programas acadιmicos de capacitaciσn y entrenamiento policial con enfoque en estαndares internacionales de derechos humanos. </w:t>
      </w:r>
    </w:p>
    <w:p>
      <w:pPr>
        <w:jc w:val="both"/>
        <w:keepNext/>
      </w:pPr>
      <w:rPr>
        <w:sz w:val="24"/>
        <w:b/>
        <w:color w:val="black"/>
      </w:rPr>
    </w:p>
    <w:p>
      <w:pPr>
        <w:jc w:val="both"/>
        <w:keepNext/>
      </w:pPr>
      <w:r>
        <w:rPr>
          <w:rFonts w:hAnsi="Arial"/>
          <w:rFonts w:ascii="Arial"/>
          <w:sz w:val="24"/>
          <w:color w:val="black"/>
        </w:rPr>
        <w:t xml:space="preserve">6. Aprobar la reglamentaciσn de la prαctica profesional supervisada en αmbitos reales del servicio pϊblico de policνa, presentada por el Director de Educaciσn Policial. </w:t>
      </w:r>
    </w:p>
    <w:p>
      <w:pPr>
        <w:jc w:val="both"/>
        <w:keepNext/>
      </w:pPr>
      <w:rPr>
        <w:sz w:val="24"/>
        <w:b/>
        <w:color w:val="black"/>
      </w:rPr>
    </w:p>
    <w:p>
      <w:pPr>
        <w:jc w:val="both"/>
        <w:keepNext/>
      </w:pPr>
      <w:r>
        <w:rPr>
          <w:rFonts w:hAnsi="Arial"/>
          <w:rFonts w:ascii="Arial"/>
          <w:sz w:val="24"/>
          <w:color w:val="black"/>
        </w:rPr>
        <w:t xml:space="preserve">7. Aprobar el otorgamiento de tνtulos honorνficos y distinciones acadιmicas, propuestas por parte del Director de Educaciσn Policial, previa recomendaciσn del Consejo Acadιmico, a docentes, estudiantes, personal uniformado y no uniformado de la Policνa Nacional y demαs personas naturales y jurνdicas que el Consejo considere. </w:t>
      </w:r>
    </w:p>
    <w:p>
      <w:pPr>
        <w:jc w:val="both"/>
        <w:keepNext/>
      </w:pPr>
      <w:rPr>
        <w:sz w:val="24"/>
        <w:b/>
        <w:color w:val="black"/>
      </w:rPr>
    </w:p>
    <w:p>
      <w:pPr>
        <w:jc w:val="both"/>
        <w:keepNext/>
      </w:pPr>
      <w:r>
        <w:rPr>
          <w:rFonts w:hAnsi="Arial"/>
          <w:rFonts w:ascii="Arial"/>
          <w:sz w:val="24"/>
          <w:color w:val="black"/>
        </w:rPr>
        <w:t xml:space="preserve">8. Aprobar el Manual Acadιmico para estudiantes de la Direcciσn de Educaciσn Policial. </w:t>
      </w:r>
    </w:p>
    <w:p>
      <w:pPr>
        <w:jc w:val="both"/>
        <w:keepNext/>
      </w:pPr>
      <w:rPr>
        <w:sz w:val="24"/>
        <w:b/>
        <w:color w:val="black"/>
      </w:rPr>
    </w:p>
    <w:p>
      <w:pPr>
        <w:jc w:val="both"/>
        <w:keepNext/>
      </w:pPr>
      <w:r>
        <w:rPr>
          <w:rFonts w:hAnsi="Arial"/>
          <w:rFonts w:ascii="Arial"/>
          <w:sz w:val="24"/>
          <w:color w:val="black"/>
        </w:rPr>
        <w:t xml:space="preserve">9. Aprobar y expedir el reglamento del Consejo Superior de Educaciσn. </w:t>
      </w:r>
    </w:p>
    <w:p>
      <w:pPr>
        <w:jc w:val="both"/>
        <w:keepNext/>
      </w:pPr>
      <w:rPr>
        <w:sz w:val="24"/>
        <w:b/>
        <w:color w:val="black"/>
      </w:rPr>
    </w:p>
    <w:p>
      <w:pPr>
        <w:jc w:val="both"/>
        <w:keepNext/>
      </w:pPr>
      <w:r>
        <w:rPr>
          <w:rFonts w:hAnsi="Arial"/>
          <w:rFonts w:ascii="Arial"/>
          <w:sz w:val="24"/>
          <w:color w:val="black"/>
        </w:rPr>
        <w:t xml:space="preserve">10. Estudiar, asesorar y aprobar las propuestas, actualizaciones, modificaciones y cambios educativos de investigaciσn y docencia que presente la Direcciσn de Educaciσn Policial.</w:t>
      </w:r>
    </w:p>
    <w:p>
      <w:pPr>
        <w:jc w:val="both"/>
        <w:keepNext/>
      </w:pPr>
      <w:rPr>
        <w:sz w:val="24"/>
        <w:b/>
        <w:color w:val="black"/>
      </w:rPr>
    </w:p>
    <w:p>
      <w:pPr>
        <w:jc w:val="both"/>
        <w:keepNext/>
      </w:pPr>
      <w:r>
        <w:rPr>
          <w:rFonts w:hAnsi="Arial"/>
          <w:rFonts w:ascii="Arial"/>
          <w:sz w:val="24"/>
          <w:color w:val="black"/>
        </w:rPr>
        <w:t xml:space="preserve">11. Evaluar el impacto de la gestiσn educativa respecto a las decisiones adoptadas por el consejo, en el marco de la transformaciσn y modernizaciσn de la educaciσn policial. </w:t>
      </w:r>
    </w:p>
    <w:p>
      <w:pPr>
        <w:jc w:val="both"/>
        <w:keepNext/>
      </w:pPr>
      <w:rPr>
        <w:sz w:val="24"/>
        <w:b/>
        <w:color w:val="black"/>
      </w:rPr>
    </w:p>
    <w:p>
      <w:pPr>
        <w:jc w:val="both"/>
        <w:keepNext/>
      </w:pPr>
      <w:r>
        <w:rPr>
          <w:rFonts w:hAnsi="Arial"/>
          <w:rFonts w:ascii="Arial"/>
          <w:sz w:val="24"/>
          <w:color w:val="black"/>
        </w:rPr>
        <w:t xml:space="preserve">12. Las demαs que seρale la ley y los reglamentos de la instituciσn que guarden relaciσn con la naturaleza y objeto del Consejo. </w:t>
      </w:r>
    </w:p>
    <w:p>
      <w:pPr>
        <w:jc w:val="both"/>
        <w:keepNext/>
      </w:pPr>
      <w:rPr>
        <w:sz w:val="24"/>
        <w:color w:val="black"/>
      </w:rPr>
    </w:p>
    <w:p>
      <w:pPr>
        <w:jc w:val="both"/>
        <w:keepNext/>
      </w:pPr>
      <w:r>
        <w:rPr>
          <w:rFonts w:hAnsi="Arial"/>
          <w:rFonts w:ascii="Arial"/>
          <w:sz w:val="24"/>
          <w:color w:val="navy"/>
        </w:rPr>
        <w:t xml:space="preserve">PARΑGRAFO 1o.</w:t>
      </w:r>
      <w:r>
        <w:rPr>
          <w:rFonts w:hAnsi="Arial"/>
          <w:rFonts w:ascii="Arial"/>
          <w:sz w:val="24"/>
          <w:color w:val="black"/>
        </w:rPr>
        <w:t xml:space="preserve"> Las decisiones del Consejo Superior de Educaciσn Policial serαn de estricto cumplimiento, para lo cual el Secretario Tιcnico serα el encargado de registrar los datos, hechos y notificar a los responsables. </w:t>
      </w:r>
    </w:p>
    <w:p>
      <w:pPr>
        <w:jc w:val="both"/>
        <w:keepNext/>
      </w:pPr>
      <w:rPr>
        <w:sz w:val="24"/>
        <w:color w:val="black"/>
      </w:rPr>
    </w:p>
    <w:p>
      <w:pPr>
        <w:jc w:val="both"/>
        <w:keepNext/>
      </w:pPr>
      <w:r>
        <w:rPr>
          <w:rFonts w:hAnsi="Arial"/>
          <w:rFonts w:ascii="Arial"/>
          <w:sz w:val="24"/>
          <w:color w:val="navy"/>
        </w:rPr>
        <w:t xml:space="preserve">PARΑGRAFO 2o.</w:t>
      </w:r>
      <w:r>
        <w:rPr>
          <w:rFonts w:hAnsi="Arial"/>
          <w:rFonts w:ascii="Arial"/>
          <w:sz w:val="24"/>
          <w:color w:val="black"/>
        </w:rPr>
        <w:t xml:space="preserve"> La aprobaciσn del reglamento del Consejo Superior de Educaciσn Policial deberα realizarse en un tιrmino no mayor a un mes a partir de la publicaciσn del presente decreto. </w:t>
      </w:r>
    </w:p>
    <w:p>
      <w:pPr>
        <w:jc w:val="both"/>
      </w:pPr>
      <w:rPr>
        <w:color w:val="black"/>
      </w:rPr>
    </w:p>
    <w:p>
      <w:pPr>
        <w:jc w:val="both"/>
      </w:pPr>
      <w:r>
        <w:rPr>
          <w:rFonts w:hAnsi="Arial"/>
          <w:rFonts w:ascii="Arial"/>
          <w:sz w:val="24"/>
          <w:b/>
          <w:vanish/>
          <w:color w:val="black"/>
        </w:rPr>
        <w:t>&amp;$</w:t>
      </w:r>
      <w:bookmarkStart w:id="62014" w:name="2.5.12.5"/>
      <w:r>
        <w:rPr>
          <w:rFonts w:hAnsi="Arial"/>
          <w:rFonts w:ascii="Arial"/>
          <w:sz w:val="24"/>
          <w:color w:val="navy"/>
        </w:rPr>
        <w:t xml:space="preserve">ARTΝCULO 2.5.12.5. SESIONES DEL CONSEJO SUPERIOR DE EDUCACIΣN POLICIAL.</w:t>
      </w:r>
      <w:bookmarkEnd w:id="6201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El Consejo Superior de Educaciσn Policial sesionarα dos (2) veces por aρo, y de manera extraordinaria por convocatoria de acuerdo con las necesidades que en materia educativa se presenten.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Cuando uno de los miembros del Consejo no pudiera asistir, deberα informar la causa de la inasistencia a quien lo preside. </w:t>
      </w:r>
    </w:p>
    <w:p>
      <w:pPr>
        <w:jc w:val="both"/>
      </w:pPr>
      <w:rPr>
        <w:color w:val="black"/>
      </w:rPr>
    </w:p>
    <w:p>
      <w:pPr>
        <w:jc w:val="both"/>
      </w:pPr>
      <w:r>
        <w:rPr>
          <w:rFonts w:hAnsi="Arial"/>
          <w:rFonts w:ascii="Arial"/>
          <w:sz w:val="24"/>
          <w:b/>
          <w:vanish/>
          <w:color w:val="black"/>
        </w:rPr>
        <w:t>&amp;$</w:t>
      </w:r>
      <w:bookmarkStart w:id="62015" w:name="2.5.12.6"/>
      <w:r>
        <w:rPr>
          <w:rFonts w:hAnsi="Arial"/>
          <w:rFonts w:ascii="Arial"/>
          <w:sz w:val="24"/>
          <w:color w:val="navy"/>
        </w:rPr>
        <w:t xml:space="preserve">ARTΝCULO 2.5.12.6. QUΣRUM DELIBERATORIO.</w:t>
      </w:r>
      <w:bookmarkEnd w:id="6201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El Consejo Superior de Educaciσn Policial sesionarα con la presencia de la mitad mαs uno de sus integrantes con derecho a voto. </w:t>
      </w:r>
    </w:p>
    <w:p>
      <w:pPr>
        <w:jc w:val="both"/>
      </w:pPr>
      <w:rPr>
        <w:color w:val="black"/>
      </w:rPr>
    </w:p>
    <w:p>
      <w:pPr>
        <w:jc w:val="both"/>
      </w:pPr>
      <w:r>
        <w:rPr>
          <w:rFonts w:hAnsi="Arial"/>
          <w:rFonts w:ascii="Arial"/>
          <w:sz w:val="24"/>
          <w:b/>
          <w:vanish/>
          <w:color w:val="black"/>
        </w:rPr>
        <w:t>&amp;$</w:t>
      </w:r>
      <w:bookmarkStart w:id="62016" w:name="2.5.12.7"/>
      <w:r>
        <w:rPr>
          <w:rFonts w:hAnsi="Arial"/>
          <w:rFonts w:ascii="Arial"/>
          <w:sz w:val="24"/>
          <w:color w:val="navy"/>
        </w:rPr>
        <w:t xml:space="preserve">ARTΝCULO 2.5.12.7. QUΣRUM DECISORIO.</w:t>
      </w:r>
      <w:bookmarkEnd w:id="6201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Las decisiones del Consejo Superior de Educaciσn Policial se aprobarαn por mayorνa simple de los votos favorables de los asistentes con este derecho. </w:t>
      </w:r>
    </w:p>
    <w:p>
      <w:pPr>
        <w:jc w:val="both"/>
      </w:pPr>
      <w:rPr>
        <w:sz w:val="24"/>
        <w:b/>
        <w:color w:val="black"/>
      </w:rPr>
    </w:p>
    <w:p>
      <w:pPr>
        <w:jc w:val="both"/>
      </w:pPr>
      <w:r>
        <w:rPr>
          <w:rFonts w:hAnsi="Arial"/>
          <w:rFonts w:ascii="Arial"/>
          <w:sz w:val="24"/>
          <w:color w:val="black"/>
        </w:rPr>
        <w:t xml:space="preserve">En caso de presentarse empate en el resultado de la votaciσn decidirα el voto de quien preside el Consejo. </w:t>
      </w:r>
    </w:p>
    <w:p>
      <w:pPr>
        <w:jc w:val="both"/>
        <w:keepNext/>
      </w:pPr>
      <w:rPr>
        <w:color w:val="black"/>
      </w:rPr>
    </w:p>
    <w:p>
      <w:pPr>
        <w:jc w:val="both"/>
        <w:keepNext/>
      </w:pPr>
      <w:r>
        <w:rPr>
          <w:rFonts w:hAnsi="Arial"/>
          <w:rFonts w:ascii="Arial"/>
          <w:sz w:val="24"/>
          <w:b/>
          <w:vanish/>
          <w:color w:val="black"/>
        </w:rPr>
        <w:t>&amp;$</w:t>
      </w:r>
      <w:bookmarkStart w:id="62017" w:name="2.5.12.8"/>
      <w:r>
        <w:rPr>
          <w:rFonts w:hAnsi="Arial"/>
          <w:rFonts w:ascii="Arial"/>
          <w:sz w:val="24"/>
          <w:color w:val="navy"/>
        </w:rPr>
        <w:t xml:space="preserve">ARTΝCULO 2.5.12.8. DECISIONES.</w:t>
      </w:r>
      <w:bookmarkEnd w:id="6201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Las decisiones que se generen en el marco de las sesiones del Consejo serαn consignadas en actas, acuerdos o resoluciones de conformidad a la naturaleza de la decisiσn que se adopte. </w:t>
      </w:r>
    </w:p>
    <w:p>
      <w:pPr>
        <w:jc w:val="both"/>
      </w:pPr>
      <w:rPr>
        <w:color w:val="black"/>
      </w:rPr>
    </w:p>
    <w:p>
      <w:pPr>
        <w:jc w:val="both"/>
      </w:pPr>
      <w:r>
        <w:rPr>
          <w:rFonts w:hAnsi="Arial"/>
          <w:rFonts w:ascii="Arial"/>
          <w:sz w:val="24"/>
          <w:b/>
          <w:vanish/>
          <w:color w:val="black"/>
        </w:rPr>
        <w:t>&amp;$</w:t>
      </w:r>
      <w:bookmarkStart w:id="62018" w:name="2.5.12.9"/>
      <w:r>
        <w:rPr>
          <w:rFonts w:hAnsi="Arial"/>
          <w:rFonts w:ascii="Arial"/>
          <w:sz w:val="24"/>
          <w:color w:val="navy"/>
        </w:rPr>
        <w:t xml:space="preserve">ARTΝCULO 2.5.12.9. INHABILIDADES E INCOMPATIBILIDADES.</w:t>
      </w:r>
      <w:bookmarkEnd w:id="6201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Los integrantes del Consejo Superior de Educaciσn estarαn sujetos a los impedimentos, inhabilidades e incompatibilidades establecidas por la ley y los reglamentos. </w:t>
      </w:r>
    </w:p>
    <w:p>
      <w:pPr>
        <w:jc w:val="both"/>
      </w:pPr>
      <w:rPr>
        <w:color w:val="black"/>
      </w:rPr>
    </w:p>
    <w:p>
      <w:pPr>
        <w:jc w:val="both"/>
      </w:pPr>
      <w:r>
        <w:rPr>
          <w:rFonts w:hAnsi="Arial"/>
          <w:rFonts w:ascii="Arial"/>
          <w:sz w:val="24"/>
          <w:b/>
          <w:vanish/>
          <w:color w:val="black"/>
        </w:rPr>
        <w:t>&amp;$</w:t>
      </w:r>
      <w:bookmarkStart w:id="62019" w:name="2.5.12.10"/>
      <w:r>
        <w:rPr>
          <w:rFonts w:hAnsi="Arial"/>
          <w:rFonts w:ascii="Arial"/>
          <w:sz w:val="24"/>
          <w:color w:val="navy"/>
        </w:rPr>
        <w:t xml:space="preserve">ARTΝCULO 2.5.12.10. SECRETARΝA TΙCNICA.</w:t>
      </w:r>
      <w:bookmarkEnd w:id="62019"/>
      <w:r>
        <w:rPr>
          <w:rFonts w:hAnsi="Arial"/>
          <w:rFonts w:ascii="Arial"/>
          <w:sz w:val="24"/>
          <w:color w:val="black"/>
        </w:rPr>
        <w:t xml:space="preserve"> &lt;Artνculo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El Consejo Superior de Educaciσn Policial, contarα con una Secretarνa Tιcnica a cargo del Vicerrector Acadιmico de la Direcciσn de Educaciσn Policial. </w:t>
      </w:r>
    </w:p>
    <w:p>
      <w:pPr>
        <w:jc w:val="both"/>
      </w:pPr>
      <w:rPr>
        <w:color w:val="black"/>
      </w:rPr>
    </w:p>
    <w:p>
      <w:pPr>
        <w:jc w:val="both"/>
      </w:pPr>
      <w:r>
        <w:rPr>
          <w:rFonts w:hAnsi="Arial"/>
          <w:rFonts w:ascii="Arial"/>
          <w:sz w:val="24"/>
          <w:b/>
          <w:vanish/>
          <w:color w:val="black"/>
        </w:rPr>
        <w:t>&amp;$</w:t>
      </w:r>
      <w:bookmarkStart w:id="62020" w:name="2.5.12.11"/>
      <w:r>
        <w:rPr>
          <w:rFonts w:hAnsi="Arial"/>
          <w:rFonts w:ascii="Arial"/>
          <w:sz w:val="24"/>
          <w:color w:val="navy"/>
        </w:rPr>
        <w:t xml:space="preserve">ARTΝCULO 2.5.12.11. FUNCIONES.</w:t>
      </w:r>
      <w:bookmarkEnd w:id="6202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1562 de 2022. El nuevo texto es el siguiente:&gt; La Secretarνa Tιcnica tendrα las siguientes funciones: </w:t>
      </w:r>
    </w:p>
    <w:p>
      <w:pPr>
        <w:jc w:val="both"/>
      </w:pPr>
      <w:rPr>
        <w:sz w:val="24"/>
        <w:b/>
        <w:color w:val="black"/>
      </w:rPr>
    </w:p>
    <w:p>
      <w:pPr>
        <w:jc w:val="both"/>
      </w:pPr>
      <w:r>
        <w:rPr>
          <w:rFonts w:hAnsi="Arial"/>
          <w:rFonts w:ascii="Arial"/>
          <w:sz w:val="24"/>
          <w:color w:val="black"/>
        </w:rPr>
        <w:t xml:space="preserve">1. Preparar la agenda de las sesiones del Consejo. </w:t>
      </w:r>
    </w:p>
    <w:p>
      <w:pPr>
        <w:jc w:val="both"/>
      </w:pPr>
      <w:rPr>
        <w:sz w:val="24"/>
        <w:b/>
        <w:color w:val="black"/>
      </w:rPr>
    </w:p>
    <w:p>
      <w:pPr>
        <w:jc w:val="both"/>
      </w:pPr>
      <w:r>
        <w:rPr>
          <w:rFonts w:hAnsi="Arial"/>
          <w:rFonts w:ascii="Arial"/>
          <w:sz w:val="24"/>
          <w:color w:val="black"/>
        </w:rPr>
        <w:t xml:space="preserve">2. Realizar la citaciσn de los integrantes con ocho dνas de anticipaciσn a la sesiσn del Consejo. En la citaciσn se darα a conocer la agenda y los soportes documentales que serαn sometidos a decisiσn. </w:t>
      </w:r>
    </w:p>
    <w:p>
      <w:pPr>
        <w:jc w:val="both"/>
      </w:pPr>
      <w:rPr>
        <w:sz w:val="24"/>
        <w:b/>
        <w:color w:val="black"/>
      </w:rPr>
    </w:p>
    <w:p>
      <w:pPr>
        <w:jc w:val="both"/>
      </w:pPr>
      <w:r>
        <w:rPr>
          <w:rFonts w:hAnsi="Arial"/>
          <w:rFonts w:ascii="Arial"/>
          <w:sz w:val="24"/>
          <w:color w:val="black"/>
        </w:rPr>
        <w:t xml:space="preserve">3. Recepcionar y revisar los documentos necesarios para la sesiσn del Consejo. </w:t>
      </w:r>
    </w:p>
    <w:p>
      <w:pPr>
        <w:jc w:val="both"/>
      </w:pPr>
      <w:rPr>
        <w:sz w:val="24"/>
        <w:b/>
        <w:color w:val="black"/>
      </w:rPr>
    </w:p>
    <w:p>
      <w:pPr>
        <w:jc w:val="both"/>
      </w:pPr>
      <w:r>
        <w:rPr>
          <w:rFonts w:hAnsi="Arial"/>
          <w:rFonts w:ascii="Arial"/>
          <w:sz w:val="24"/>
          <w:color w:val="black"/>
        </w:rPr>
        <w:t xml:space="preserve">4. Realizar seguimiento, evaluaciσn y control del cumplimiento de las decisiones, medidas, compromisos y notificaciones que se llegaren a presentar en el marco de las sesiones del Consejo. </w:t>
      </w:r>
    </w:p>
    <w:p>
      <w:pPr>
        <w:jc w:val="both"/>
      </w:pPr>
      <w:rPr>
        <w:sz w:val="24"/>
        <w:b/>
        <w:color w:val="black"/>
      </w:rPr>
    </w:p>
    <w:p>
      <w:pPr>
        <w:jc w:val="both"/>
      </w:pPr>
      <w:r>
        <w:rPr>
          <w:rFonts w:hAnsi="Arial"/>
          <w:rFonts w:ascii="Arial"/>
          <w:sz w:val="24"/>
          <w:color w:val="black"/>
        </w:rPr>
        <w:t xml:space="preserve">5. Redactar, documentar y custodiar las actas y demαs documentaciσn de las sesiones del Consejo. </w:t>
      </w:r>
    </w:p>
    <w:p>
      <w:pPr>
        <w:jc w:val="both"/>
      </w:pPr>
      <w:rPr>
        <w:sz w:val="24"/>
        <w:b/>
        <w:color w:val="black"/>
      </w:rPr>
    </w:p>
    <w:p>
      <w:pPr>
        <w:jc w:val="both"/>
      </w:pPr>
      <w:r>
        <w:rPr>
          <w:rFonts w:hAnsi="Arial"/>
          <w:rFonts w:ascii="Arial"/>
          <w:sz w:val="24"/>
          <w:color w:val="black"/>
        </w:rPr>
        <w:t xml:space="preserve">6. Proyectar y enumerar los actos administrativos de que trata el artνculo </w:t>
      </w:r>
      <w:r>
        <w:fldChar w:fldCharType="begin"/>
      </w:r>
      <w:r>
        <w:instrText>HYPERLINK "http://www.redjurista.com/document.aspx?ajcode=d1070015&amp;arts=2.5.12.8"</w:instrText>
      </w:r>
      <w:r>
        <w:fldChar w:fldCharType="separate"/>
      </w:r>
      <w:r>
        <w:rPr>
          <w:rFonts w:hAnsi="Arial"/>
          <w:rFonts w:ascii="Arial"/>
          <w:sz w:val="24"/>
          <w:u w:val="single"/>
          <w:color w:val="black"/>
        </w:rPr>
        <w:t>2.5.12.8</w:t>
      </w:r>
      <w:r>
        <w:fldChar w:fldCharType="end"/>
      </w:r>
      <w:r>
        <w:rPr>
          <w:rFonts w:hAnsi="Arial"/>
          <w:rFonts w:ascii="Arial"/>
          <w:sz w:val="24"/>
          <w:u w:val="none"/>
          <w:color w:val="black"/>
        </w:rPr>
        <w:t xml:space="preserve"> que contengan las decisiones en el marco de las sesiones del Consejo y realizar la respectiva publicidad. </w:t>
      </w:r>
    </w:p>
    <w:p>
      <w:pPr>
        <w:jc w:val="both"/>
      </w:pPr>
      <w:rPr>
        <w:sz w:val="24"/>
        <w:b/>
        <w:color w:val="black"/>
      </w:rPr>
    </w:p>
    <w:p>
      <w:pPr>
        <w:jc w:val="both"/>
      </w:pPr>
      <w:r>
        <w:rPr>
          <w:rFonts w:hAnsi="Arial"/>
          <w:rFonts w:ascii="Arial"/>
          <w:sz w:val="24"/>
          <w:color w:val="black"/>
        </w:rPr>
        <w:t xml:space="preserve">7. Presentar informe del impacto de la gestiσn educativa respecto de las decisiones adoptadas por el Consejo. </w:t>
      </w:r>
    </w:p>
    <w:p>
      <w:pPr>
        <w:jc w:val="both"/>
      </w:pPr>
      <w:rPr>
        <w:sz w:val="24"/>
        <w:b/>
        <w:color w:val="black"/>
      </w:rPr>
    </w:p>
    <w:p>
      <w:pPr>
        <w:jc w:val="both"/>
      </w:pPr>
      <w:r>
        <w:rPr>
          <w:rFonts w:hAnsi="Arial"/>
          <w:rFonts w:ascii="Arial"/>
          <w:sz w:val="24"/>
          <w:color w:val="black"/>
        </w:rPr>
        <w:t xml:space="preserve">8. Las demαs que le sean asignadas conforme a la Ley o los reglamentos.</w:t>
      </w:r>
    </w:p>
    <w:p>
      <w:pPr>
        <w:jc w:val="center"/>
      </w:pPr>
      <w:rPr>
        <w:sz w:val="24"/>
        <w:color w:val="black"/>
      </w:rPr>
    </w:p>
    <w:p>
      <w:pPr>
        <w:jc w:val="center"/>
      </w:pPr>
      <w:r>
        <w:rPr>
          <w:rFonts w:hAnsi="Arial"/>
          <w:rFonts w:ascii="Arial"/>
          <w:sz w:val="24"/>
          <w:vanish/>
          <w:color w:val="black"/>
        </w:rPr>
        <w:t>&amp;$</w:t>
      </w:r>
      <w:bookmarkStart w:id="62021" w:name="TÍTULO 2.5.13"/>
      <w:r>
        <w:rPr>
          <w:rFonts w:hAnsi="Arial"/>
          <w:rFonts w:ascii="Arial"/>
          <w:sz w:val="24"/>
          <w:color w:val="navy"/>
        </w:rPr>
        <w:t xml:space="preserve">TΝTULO 13. </w:t>
      </w:r>
    </w:p>
    <w:p>
      <w:pPr>
        <w:jc w:val="center"/>
      </w:pPr>
      <w:r>
        <w:rPr>
          <w:rFonts w:hAnsi="Arial"/>
          <w:rFonts w:ascii="Arial"/>
          <w:sz w:val="24"/>
          <w:color w:val="navy"/>
        </w:rPr>
        <w:t xml:space="preserve">DEL OBJETO, CONFORMACIΣN, INTEGRANTES, FUNCIONES DE LA COMISIΣN CONSULTIVA DE ESTΑNDARES PARA LA POLICΝA NACIONAL.</w:t>
      </w:r>
      <w:bookmarkEnd w:id="62021"/>
      <w:r>
        <w:rPr>
          <w:rFonts w:hAnsi="Arial"/>
          <w:rFonts w:ascii="Arial"/>
          <w:sz w:val="24"/>
          <w:color w:val="black"/>
        </w:rPr>
        <w:t xml:space="preserve"> </w:t>
      </w:r>
    </w:p>
    <w:p>
      <w:pPr>
        <w:jc w:val="both"/>
        <w:keepNext/>
      </w:pPr>
      <w:rPr>
        <w:color w:val="black"/>
      </w:rPr>
    </w:p>
    <w:p>
      <w:pPr>
        <w:jc w:val="both"/>
        <w:keepNext/>
      </w:pPr>
      <w:r>
        <w:rPr>
          <w:rFonts w:hAnsi="Arial"/>
          <w:rFonts w:ascii="Arial"/>
          <w:sz w:val="24"/>
          <w:vanish/>
          <w:color w:val="black"/>
        </w:rPr>
        <w:t>&amp;$</w:t>
      </w:r>
      <w:bookmarkStart w:id="62022" w:name="2.5.13.1"/>
      <w:r>
        <w:rPr>
          <w:rFonts w:hAnsi="Arial"/>
          <w:rFonts w:ascii="Arial"/>
          <w:sz w:val="24"/>
          <w:color w:val="navy"/>
        </w:rPr>
        <w:t xml:space="preserve">ARTΝCULO 2.5.13.1. OBJETO.</w:t>
      </w:r>
      <w:bookmarkEnd w:id="62022"/>
      <w:r>
        <w:rPr>
          <w:rFonts w:hAnsi="Arial"/>
          <w:rFonts w:ascii="Arial"/>
          <w:sz w:val="24"/>
          <w:color w:val="black"/>
        </w:rPr>
        <w:t xml:space="preserve"> &lt;Artνculo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Conformar la Comisiσn Consultiva de Estαndares para la Policνa Nacional, como el σrgano encargado de emitir recomendaciones de carαcter tιcnico para la validaciσn de las propuestas de creaciσn y/o actualizaciσn de estαndares mνnimos profesionales presentados por parte del Centro de Estαndares de la Policνa Nacional. </w:t>
      </w:r>
    </w:p>
    <w:p>
      <w:pPr>
        <w:jc w:val="both"/>
      </w:pPr>
      <w:rPr>
        <w:color w:val="black"/>
      </w:rPr>
    </w:p>
    <w:p>
      <w:pPr>
        <w:jc w:val="both"/>
      </w:pPr>
      <w:r>
        <w:rPr>
          <w:rFonts w:hAnsi="Arial"/>
          <w:rFonts w:ascii="Arial"/>
          <w:sz w:val="24"/>
          <w:vanish/>
          <w:color w:val="black"/>
        </w:rPr>
        <w:t>&amp;$</w:t>
      </w:r>
      <w:bookmarkStart w:id="62023" w:name="2.5.13.2"/>
      <w:r>
        <w:rPr>
          <w:rFonts w:hAnsi="Arial"/>
          <w:rFonts w:ascii="Arial"/>
          <w:sz w:val="24"/>
          <w:color w:val="navy"/>
        </w:rPr>
        <w:t xml:space="preserve">ARTΝCULO 2.5.13.2. CONFORMACIΣN.</w:t>
      </w:r>
      <w:bookmarkEnd w:id="62023"/>
      <w:r>
        <w:rPr>
          <w:rFonts w:hAnsi="Arial"/>
          <w:rFonts w:ascii="Arial"/>
          <w:sz w:val="24"/>
          <w:color w:val="black"/>
        </w:rPr>
        <w:t xml:space="preserve"> &lt;Artνculo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La Comisiσn Consultiva de Estαndares para la Policνa Nacional, estarα conformada por cuatro (4) representantes expertos con amplia trayectoria profesional y conocimiento en disciplinas relacionadas con la Convivencia y Seguridad Ciudadana, Gobierno y Polνticas Pϊblicas, Servicio Pϊblico de Policνa, Profesionalizaciσn y Direccionamiento Policial, y Derechos Humanos para que posibiliten la consecuciσn del propσsito principal de la Comisiσn, asν: </w:t>
      </w:r>
    </w:p>
    <w:p>
      <w:pPr>
        <w:jc w:val="both"/>
      </w:pPr>
      <w:rPr>
        <w:sz w:val="24"/>
        <w:color w:val="black"/>
      </w:rPr>
    </w:p>
    <w:p>
      <w:pPr>
        <w:jc w:val="both"/>
      </w:pPr>
      <w:r>
        <w:rPr>
          <w:rFonts w:hAnsi="Arial"/>
          <w:rFonts w:ascii="Arial"/>
          <w:sz w:val="24"/>
          <w:color w:val="black"/>
        </w:rPr>
        <w:t xml:space="preserve">1. Director de Seguridad Ciudadana del Ministerio de Defensa Nacional. </w:t>
      </w:r>
    </w:p>
    <w:p>
      <w:pPr>
        <w:jc w:val="both"/>
      </w:pPr>
      <w:r>
        <w:rPr>
          <w:rFonts w:hAnsi="Arial"/>
          <w:rFonts w:ascii="Arial"/>
          <w:sz w:val="24"/>
          <w:color w:val="black"/>
        </w:rPr>
        <w:t xml:space="preserve">2. Subdirector de Seguridad y Convivencia Ciudadana del Ministerio del Interior. </w:t>
      </w:r>
    </w:p>
    <w:p>
      <w:pPr>
        <w:jc w:val="both"/>
      </w:pPr>
      <w:r>
        <w:rPr>
          <w:rFonts w:hAnsi="Arial"/>
          <w:rFonts w:ascii="Arial"/>
          <w:sz w:val="24"/>
          <w:color w:val="black"/>
        </w:rPr>
        <w:t xml:space="preserve">3. Presidente del Colegio Profesional de Administradores Policiales COLPAP. </w:t>
      </w:r>
    </w:p>
    <w:p>
      <w:pPr>
        <w:jc w:val="both"/>
      </w:pPr>
      <w:r>
        <w:rPr>
          <w:rFonts w:hAnsi="Arial"/>
          <w:rFonts w:ascii="Arial"/>
          <w:sz w:val="24"/>
          <w:color w:val="black"/>
        </w:rPr>
        <w:t xml:space="preserve">4. Comisionado de Derechos Humanos para la Policνa Nacional.</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 Comisiσn Consultiva podrα convocar en calidad de invitados entre otros, a: directores de observatorios, expertos en estudios de seguridad y convivencia, investigaciσn en ciencia de policνa, servicio pϊblico de policνa y derechos humanos, con el propσsito de promover la participaciσn de la academia y sociedad civil en los aportes que puedan realizar durante el proceso de validaciσn de los estαndares mνnimos profesionales presentados por el Centro de Estαndares.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Los miembros de la Comisiσn Consultiva de Estαndares para la Policνa Nacional prestarαn sus servicios ad honσrem. </w:t>
      </w:r>
    </w:p>
    <w:p>
      <w:pPr>
        <w:jc w:val="both"/>
        <w:keepNext/>
      </w:pPr>
      <w:rPr>
        <w:color w:val="black"/>
      </w:rPr>
    </w:p>
    <w:p>
      <w:pPr>
        <w:jc w:val="both"/>
        <w:keepNext/>
      </w:pPr>
      <w:r>
        <w:rPr>
          <w:rFonts w:hAnsi="Arial"/>
          <w:rFonts w:ascii="Arial"/>
          <w:sz w:val="24"/>
          <w:b/>
          <w:vanish/>
          <w:color w:val="black"/>
        </w:rPr>
        <w:t>&amp;$</w:t>
      </w:r>
      <w:bookmarkStart w:id="62024" w:name="2.5.13.3"/>
      <w:r>
        <w:rPr>
          <w:rFonts w:hAnsi="Arial"/>
          <w:rFonts w:ascii="Arial"/>
          <w:sz w:val="24"/>
          <w:color w:val="navy"/>
        </w:rPr>
        <w:t xml:space="preserve">ARTΝCULO 2.5.13.3. FUNCIONES.</w:t>
      </w:r>
      <w:bookmarkEnd w:id="6202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La Comisiσn Consultiva de Estαndares para la Policνa Nacional, tendrα las siguientes funciones: </w:t>
      </w:r>
    </w:p>
    <w:p>
      <w:pPr>
        <w:jc w:val="both"/>
        <w:keepNext/>
      </w:pPr>
      <w:rPr>
        <w:sz w:val="24"/>
        <w:b/>
        <w:color w:val="black"/>
      </w:rPr>
    </w:p>
    <w:p>
      <w:pPr>
        <w:jc w:val="both"/>
        <w:keepNext/>
      </w:pPr>
      <w:r>
        <w:rPr>
          <w:rFonts w:hAnsi="Arial"/>
          <w:rFonts w:ascii="Arial"/>
          <w:sz w:val="24"/>
          <w:color w:val="black"/>
        </w:rPr>
        <w:t xml:space="preserve">1. Actuar como σrgano de carαcter consultivo y asesor en materia de Estαndares para la Policνa Nacional, a travιs de las recomendaciones tιcnicas que para tal efecto emita. </w:t>
      </w:r>
    </w:p>
    <w:p>
      <w:pPr>
        <w:jc w:val="both"/>
        <w:keepNext/>
      </w:pPr>
      <w:rPr>
        <w:sz w:val="24"/>
        <w:b/>
        <w:color w:val="black"/>
      </w:rPr>
    </w:p>
    <w:p>
      <w:pPr>
        <w:jc w:val="both"/>
        <w:keepNext/>
      </w:pPr>
      <w:r>
        <w:rPr>
          <w:rFonts w:hAnsi="Arial"/>
          <w:rFonts w:ascii="Arial"/>
          <w:sz w:val="24"/>
          <w:color w:val="black"/>
        </w:rPr>
        <w:t xml:space="preserve">2. Emitir recomendaciones de carαcter tιcnico respecto de los estαndares mνnimos profesionales presentados por el Centro de Estαndares de la Policνa Nacional. </w:t>
      </w:r>
    </w:p>
    <w:p>
      <w:pPr>
        <w:jc w:val="both"/>
        <w:keepNext/>
      </w:pPr>
      <w:rPr>
        <w:sz w:val="24"/>
        <w:b/>
        <w:color w:val="black"/>
      </w:rPr>
    </w:p>
    <w:p>
      <w:pPr>
        <w:jc w:val="both"/>
        <w:keepNext/>
      </w:pPr>
      <w:r>
        <w:rPr>
          <w:rFonts w:hAnsi="Arial"/>
          <w:rFonts w:ascii="Arial"/>
          <w:sz w:val="24"/>
          <w:color w:val="black"/>
        </w:rPr>
        <w:t xml:space="preserve">3. Emitir recomendaciones de carαcter tιcnico frente a la metodologνa establecida para el diseρo y fijaciσn del estαndar mνnimo profesional empleada por el Centro de Estαndares de la Policνa Nacional. La Comisiσn deberα verificar que esta metodologνa promueva la inclusiσn de los aportes de la ciudadanνa, sociedad civil, la academia y el personal de la reserva policial para el fortalecimiento del servicio pϊblico de policνa. </w:t>
      </w:r>
    </w:p>
    <w:p>
      <w:pPr>
        <w:jc w:val="both"/>
        <w:keepNext/>
      </w:pPr>
      <w:rPr>
        <w:sz w:val="24"/>
        <w:b/>
        <w:color w:val="black"/>
      </w:rPr>
    </w:p>
    <w:p>
      <w:pPr>
        <w:jc w:val="both"/>
        <w:keepNext/>
      </w:pPr>
      <w:r>
        <w:rPr>
          <w:rFonts w:hAnsi="Arial"/>
          <w:rFonts w:ascii="Arial"/>
          <w:sz w:val="24"/>
          <w:color w:val="black"/>
        </w:rPr>
        <w:t xml:space="preserve">4. Formular recomendaciones de carαcter tιcnico al Centro de Estαndares de la Policνa Nacional en aras que los estαndares mνnimos profesionales promuevan la garantνa, respeto y promociσn de los Derechos Humanos en el servicio pϊblico de policνa. </w:t>
      </w:r>
    </w:p>
    <w:p>
      <w:pPr>
        <w:jc w:val="both"/>
        <w:keepNext/>
      </w:pPr>
      <w:rPr>
        <w:sz w:val="24"/>
        <w:b/>
        <w:color w:val="black"/>
      </w:rPr>
    </w:p>
    <w:p>
      <w:pPr>
        <w:jc w:val="both"/>
        <w:keepNext/>
      </w:pPr>
      <w:r>
        <w:rPr>
          <w:rFonts w:hAnsi="Arial"/>
          <w:rFonts w:ascii="Arial"/>
          <w:sz w:val="24"/>
          <w:color w:val="black"/>
        </w:rPr>
        <w:t xml:space="preserve">5. Presentar las recomendaciones tιcnicas al Centro de Estαndares de la Policνa Nacional dentro de los cinco (05) dνas siguientes al tιrmino de cada sesiσn. </w:t>
      </w:r>
    </w:p>
    <w:p>
      <w:pPr>
        <w:jc w:val="both"/>
        <w:keepNext/>
      </w:pPr>
      <w:rPr>
        <w:sz w:val="24"/>
        <w:b/>
        <w:color w:val="black"/>
      </w:rPr>
    </w:p>
    <w:p>
      <w:pPr>
        <w:jc w:val="both"/>
        <w:keepNext/>
      </w:pPr>
      <w:r>
        <w:rPr>
          <w:rFonts w:hAnsi="Arial"/>
          <w:rFonts w:ascii="Arial"/>
          <w:sz w:val="24"/>
          <w:color w:val="black"/>
        </w:rPr>
        <w:t xml:space="preserve">6. Realizar el seguimiento a las recomendaciones y compromisos derivados de las sesiones de la Comisiσn Consultiva de Estαndares Policiales. </w:t>
      </w:r>
    </w:p>
    <w:p>
      <w:pPr>
        <w:jc w:val="both"/>
        <w:keepNext/>
      </w:pPr>
      <w:rPr>
        <w:sz w:val="24"/>
        <w:b/>
        <w:color w:val="black"/>
      </w:rPr>
    </w:p>
    <w:p>
      <w:pPr>
        <w:jc w:val="both"/>
        <w:keepNext/>
      </w:pPr>
      <w:r>
        <w:rPr>
          <w:rFonts w:hAnsi="Arial"/>
          <w:rFonts w:ascii="Arial"/>
          <w:sz w:val="24"/>
          <w:color w:val="black"/>
        </w:rPr>
        <w:t xml:space="preserve">7. Realizar seguimiento a las respuestas emitidas por el Centro de Estαndares frente a las recomendaciones efectuadas por esta Comisiσn. </w:t>
      </w:r>
    </w:p>
    <w:p>
      <w:pPr>
        <w:jc w:val="both"/>
        <w:keepNext/>
      </w:pPr>
      <w:rPr>
        <w:sz w:val="24"/>
        <w:b/>
        <w:color w:val="black"/>
      </w:rPr>
    </w:p>
    <w:p>
      <w:pPr>
        <w:jc w:val="both"/>
        <w:keepNext/>
      </w:pPr>
      <w:r>
        <w:rPr>
          <w:rFonts w:hAnsi="Arial"/>
          <w:rFonts w:ascii="Arial"/>
          <w:sz w:val="24"/>
          <w:color w:val="black"/>
        </w:rPr>
        <w:t xml:space="preserve">8. Realizar audiencias pϊblicas de gestiσn en el mes de octubre de cada aρo. </w:t>
      </w:r>
    </w:p>
    <w:p>
      <w:pPr>
        <w:jc w:val="both"/>
        <w:keepNext/>
      </w:pPr>
      <w:rPr>
        <w:sz w:val="24"/>
        <w:b/>
        <w:color w:val="black"/>
      </w:rPr>
    </w:p>
    <w:p>
      <w:pPr>
        <w:jc w:val="both"/>
        <w:keepNext/>
      </w:pPr>
      <w:r>
        <w:rPr>
          <w:rFonts w:hAnsi="Arial"/>
          <w:rFonts w:ascii="Arial"/>
          <w:sz w:val="24"/>
          <w:color w:val="black"/>
        </w:rPr>
        <w:t xml:space="preserve">9. Las demαs que sean necesarias para el cumplimiento del objetivo. </w:t>
      </w:r>
    </w:p>
    <w:p>
      <w:pPr>
        <w:jc w:val="both"/>
        <w:keepNext/>
      </w:pPr>
      <w:rPr>
        <w:sz w:val="24"/>
        <w:b/>
        <w:color w:val="black"/>
      </w:rPr>
    </w:p>
    <w:p>
      <w:pPr>
        <w:jc w:val="both"/>
        <w:keepNext/>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recomendaciones tιcnicas que se emitan en el marco del numeral segundo del presente artνculo, deberαn tener en cuenta la definiciσn y funciones de los cargos operativos en los procesos misionales de la Policνa Nacional. </w:t>
      </w:r>
    </w:p>
    <w:p>
      <w:pPr>
        <w:jc w:val="both"/>
      </w:pPr>
      <w:rPr>
        <w:color w:val="black"/>
      </w:rPr>
    </w:p>
    <w:p>
      <w:pPr>
        <w:jc w:val="both"/>
      </w:pPr>
      <w:r>
        <w:rPr>
          <w:rFonts w:hAnsi="Arial"/>
          <w:rFonts w:ascii="Arial"/>
          <w:sz w:val="24"/>
          <w:b/>
          <w:vanish/>
          <w:color w:val="black"/>
        </w:rPr>
        <w:t>&amp;$</w:t>
      </w:r>
      <w:bookmarkStart w:id="62025" w:name="2.5.13.4"/>
      <w:r>
        <w:rPr>
          <w:rFonts w:hAnsi="Arial"/>
          <w:rFonts w:ascii="Arial"/>
          <w:sz w:val="24"/>
          <w:color w:val="navy"/>
        </w:rPr>
        <w:t xml:space="preserve">ARTΝCULO 2.5.13.4. CONVOCATORIA DE LA COMISIΣN CONSULTIVA DE ESTΑNDARES PARA LA POLICΝA NACIONAL.</w:t>
      </w:r>
      <w:bookmarkEnd w:id="6202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Las sesiones de la Comisiσn Consultiva de Estαndares Policiales serαn convocadas de manera ordinaria los meses de febrero y agosto de cada aρo, y en forma extraordinaria, cuando lo solicite alguno de sus miembros o el Centro de Estαndares de la Policνa Nacional. </w:t>
      </w:r>
    </w:p>
    <w:p>
      <w:pPr>
        <w:jc w:val="both"/>
      </w:pPr>
      <w:rPr>
        <w:color w:val="black"/>
      </w:rPr>
    </w:p>
    <w:p>
      <w:pPr>
        <w:jc w:val="both"/>
      </w:pPr>
      <w:r>
        <w:rPr>
          <w:rFonts w:hAnsi="Arial"/>
          <w:rFonts w:ascii="Arial"/>
          <w:sz w:val="24"/>
          <w:b/>
          <w:vanish/>
          <w:color w:val="black"/>
        </w:rPr>
        <w:t>&amp;$</w:t>
      </w:r>
      <w:bookmarkStart w:id="62026" w:name="2.5.13.5"/>
      <w:r>
        <w:rPr>
          <w:rFonts w:hAnsi="Arial"/>
          <w:rFonts w:ascii="Arial"/>
          <w:sz w:val="24"/>
          <w:color w:val="navy"/>
        </w:rPr>
        <w:t xml:space="preserve">ARTΝCULO 2.5.13.5. SECRETARΝA TΙCNICA.</w:t>
      </w:r>
      <w:bookmarkEnd w:id="6202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La Comisiσn Consultiva tendrα una secretarνa tιcnica, la cual estarα a cargo de la Direcciσn de Seguridad Ciudadana del Ministerio de Defensa Nacional y la conformarα un delegado de cada integrante de la Comisiσn y el Jefe del Centro de Estαndares de la Policνa Nacional, con las siguientes funciones: </w:t>
      </w:r>
    </w:p>
    <w:p>
      <w:pPr>
        <w:jc w:val="both"/>
      </w:pPr>
      <w:rPr>
        <w:sz w:val="24"/>
        <w:b/>
        <w:color w:val="black"/>
      </w:rPr>
    </w:p>
    <w:p>
      <w:pPr>
        <w:jc w:val="both"/>
      </w:pPr>
      <w:r>
        <w:rPr>
          <w:rFonts w:hAnsi="Arial"/>
          <w:rFonts w:ascii="Arial"/>
          <w:sz w:val="24"/>
          <w:color w:val="black"/>
        </w:rPr>
        <w:t xml:space="preserve">1. Convocar a las sesiones ordinarias o extraordinarias que se requieran para el funcionamiento de la presente Comisiσn. </w:t>
      </w:r>
    </w:p>
    <w:p>
      <w:pPr>
        <w:jc w:val="both"/>
      </w:pPr>
      <w:rPr>
        <w:sz w:val="24"/>
        <w:b/>
        <w:color w:val="black"/>
      </w:rPr>
    </w:p>
    <w:p>
      <w:pPr>
        <w:jc w:val="both"/>
      </w:pPr>
      <w:r>
        <w:rPr>
          <w:rFonts w:hAnsi="Arial"/>
          <w:rFonts w:ascii="Arial"/>
          <w:sz w:val="24"/>
          <w:color w:val="black"/>
        </w:rPr>
        <w:t xml:space="preserve">2. Determinar los expertos temαticos invitados a participar en cada una de las sesiones de la comisiσn consultiva. </w:t>
      </w:r>
    </w:p>
    <w:p>
      <w:pPr>
        <w:jc w:val="both"/>
      </w:pPr>
      <w:rPr>
        <w:sz w:val="24"/>
        <w:b/>
        <w:color w:val="black"/>
      </w:rPr>
    </w:p>
    <w:p>
      <w:pPr>
        <w:jc w:val="both"/>
      </w:pPr>
      <w:r>
        <w:rPr>
          <w:rFonts w:hAnsi="Arial"/>
          <w:rFonts w:ascii="Arial"/>
          <w:sz w:val="24"/>
          <w:color w:val="black"/>
        </w:rPr>
        <w:t xml:space="preserve">3. Realizar la citaciσn de los integrantes e invitados con ocho dνas de anticipaciσn a la sesiσn de la Comisiσn. En la citaciσn se darα a conocer la agenda y los soportes documentales que serαn presentados a la Comisiσn. </w:t>
      </w:r>
    </w:p>
    <w:p>
      <w:pPr>
        <w:jc w:val="both"/>
      </w:pPr>
      <w:rPr>
        <w:sz w:val="24"/>
        <w:b/>
        <w:color w:val="black"/>
      </w:rPr>
    </w:p>
    <w:p>
      <w:pPr>
        <w:jc w:val="both"/>
      </w:pPr>
      <w:r>
        <w:rPr>
          <w:rFonts w:hAnsi="Arial"/>
          <w:rFonts w:ascii="Arial"/>
          <w:sz w:val="24"/>
          <w:color w:val="black"/>
        </w:rPr>
        <w:t xml:space="preserve">4. Redactar, documentar y custodiar las actas y demαs documentaciσn de las sesiones de la Comisiσn. </w:t>
      </w:r>
    </w:p>
    <w:p>
      <w:pPr>
        <w:jc w:val="both"/>
      </w:pPr>
      <w:rPr>
        <w:sz w:val="24"/>
        <w:b/>
        <w:color w:val="black"/>
      </w:rPr>
    </w:p>
    <w:p>
      <w:pPr>
        <w:jc w:val="both"/>
      </w:pPr>
      <w:r>
        <w:rPr>
          <w:rFonts w:hAnsi="Arial"/>
          <w:rFonts w:ascii="Arial"/>
          <w:sz w:val="24"/>
          <w:color w:val="black"/>
        </w:rPr>
        <w:t xml:space="preserve">5. Presentar ante la Comisiσn Consultiva los insumos necesarios que permitan la construcciσn de las recomendaciones tιcnicas. </w:t>
      </w:r>
    </w:p>
    <w:p>
      <w:pPr>
        <w:jc w:val="both"/>
      </w:pPr>
      <w:rPr>
        <w:sz w:val="24"/>
        <w:b/>
        <w:color w:val="black"/>
      </w:rPr>
    </w:p>
    <w:p>
      <w:pPr>
        <w:jc w:val="both"/>
      </w:pPr>
      <w:r>
        <w:rPr>
          <w:rFonts w:hAnsi="Arial"/>
          <w:rFonts w:ascii="Arial"/>
          <w:sz w:val="24"/>
          <w:color w:val="black"/>
        </w:rPr>
        <w:t xml:space="preserve">6. Presentar ante la Comisiσn Consultiva los insumos necesarios que permitan realizar el seguimiento a los compromisos y recomendaciones realizadas en las sesiones de la Comisiσn. </w:t>
      </w:r>
    </w:p>
    <w:p>
      <w:pPr>
        <w:jc w:val="both"/>
        <w:keepNext/>
      </w:pPr>
      <w:rPr>
        <w:color w:val="black"/>
      </w:rPr>
    </w:p>
    <w:p>
      <w:pPr>
        <w:jc w:val="both"/>
        <w:keepNext/>
      </w:pPr>
      <w:r>
        <w:rPr>
          <w:rFonts w:hAnsi="Arial"/>
          <w:rFonts w:ascii="Arial"/>
          <w:sz w:val="24"/>
          <w:b/>
          <w:vanish/>
          <w:color w:val="black"/>
        </w:rPr>
        <w:t>&amp;$</w:t>
      </w:r>
      <w:bookmarkStart w:id="62027" w:name="2.5.13.6"/>
      <w:r>
        <w:rPr>
          <w:rFonts w:hAnsi="Arial"/>
          <w:rFonts w:ascii="Arial"/>
          <w:sz w:val="24"/>
          <w:color w:val="navy"/>
        </w:rPr>
        <w:t xml:space="preserve">ARTΝCULO 2.5.13.6. RECOMENDACIONES.</w:t>
      </w:r>
      <w:bookmarkEnd w:id="6202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"http://www.redjurista.com/document.aspx?ajcode=d1562022&amp;arts=2"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1562 de 2022. El nuevo texto es el siguiente:&gt; Las recomendaciones tιcnicas que se generen en el marco de las sesiones de la Comisiσn Consultiva de Estαndares Policiales serαn consignadas en acuerdos. </w:t>
      </w:r>
    </w:p>
    <w:p>
      <w:pPr>
        <w:jc w:val="center"/>
      </w:pPr>
      <w:rPr>
        <w:sz w:val="24"/>
        <w:b/>
        <w:color w:val="black"/>
      </w:rPr>
    </w:p>
    <w:p>
      <w:pPr>
        <w:jc w:val="center"/>
      </w:pPr>
      <w:r>
        <w:rPr>
          <w:rFonts w:hAnsi="Arial"/>
          <w:rFonts w:ascii="Arial"/>
          <w:sz w:val="24"/>
          <w:b/>
          <w:vanish/>
          <w:color w:val="black"/>
        </w:rPr>
        <w:t>&amp;$</w:t>
      </w:r>
      <w:bookmarkStart w:id="62028" w:name="TÍTULO 2.5.14"/>
      <w:r>
        <w:rPr>
          <w:rFonts w:hAnsi="Arial"/>
          <w:rFonts w:ascii="Arial"/>
          <w:sz w:val="24"/>
          <w:color w:val="navy"/>
        </w:rPr>
        <w:t xml:space="preserve">TΝTULO 14. </w:t>
      </w:r>
    </w:p>
    <w:p>
      <w:pPr>
        <w:jc w:val="center"/>
        <w:outlineLvl w:val="1"/>
      </w:pPr>
      <w:r>
        <w:rPr>
          <w:rFonts w:hAnsi="Arial"/>
          <w:rFonts w:ascii="Arial"/>
          <w:sz w:val="24"/>
          <w:color w:val="navy"/>
        </w:rPr>
        <w:t xml:space="preserve">REGLAMENTACIΣN DEL USO DIFERENCIADO Y PROPORCIONAL DE LA FUERZA POR PARTE DE LA POLICΝA NACIONAL.</w:t>
      </w:r>
      <w:bookmarkEnd w:id="62028"/>
      <w:r>
        <w:rPr>
          <w:rFonts w:hAnsi="Arial"/>
          <w:rFonts w:ascii="Arial"/>
          <w:sz w:val="24"/>
          <w:b/>
          <w:color w:val="black"/>
        </w:rPr>
        <w:t xml:space="preserve"> </w:t>
      </w:r>
    </w:p>
    <w:p>
      <w:pPr>
        <w:jc w:val="both"/>
        <w:outlineLvl w:val="1"/>
      </w:pPr>
      <w:rPr>
        <w:color w:val="black"/>
      </w:rPr>
    </w:p>
    <w:p>
      <w:pPr>
        <w:jc w:val="center"/>
      </w:pPr>
      <w:r>
        <w:rPr>
          <w:rFonts w:hAnsi="Arial"/>
          <w:rFonts w:ascii="Arial"/>
          <w:sz w:val="24"/>
          <w:b/>
          <w:vanish/>
          <w:color w:val="black"/>
        </w:rPr>
        <w:t>&amp;$</w:t>
      </w:r>
      <w:bookmarkStart w:id="62029" w:name="CAPÍTULO 2.5.14.1"/>
      <w:r>
        <w:rPr>
          <w:rFonts w:hAnsi="Arial"/>
          <w:rFonts w:ascii="Arial"/>
          <w:sz w:val="24"/>
          <w:color w:val="navy"/>
        </w:rPr>
        <w:t xml:space="preserve">CAPΝTULO 1. </w:t>
      </w:r>
    </w:p>
    <w:p>
      <w:pPr>
        <w:jc w:val="center"/>
        <w:outlineLvl w:val="1"/>
      </w:pPr>
      <w:r>
        <w:rPr>
          <w:rFonts w:hAnsi="Arial"/>
          <w:rFonts w:ascii="Arial"/>
          <w:sz w:val="24"/>
          <w:color w:val="navy"/>
        </w:rPr>
        <w:t>GENERALIDADES.</w:t>
      </w:r>
      <w:bookmarkEnd w:id="62029"/>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62030" w:name="2.5.14.1.1"/>
      <w:r>
        <w:rPr>
          <w:rFonts w:hAnsi="Arial"/>
          <w:rFonts w:ascii="Arial"/>
          <w:sz w:val="24"/>
          <w:color w:val="navy"/>
        </w:rPr>
        <w:t xml:space="preserve">ARTΝCULO 2.5.14.1.1. FINALIDAD.</w:t>
      </w:r>
      <w:bookmarkEnd w:id="62030"/>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Reglamentar las disposiciones que orientan el uso diferenciado y proporcional de la fuerza para la Policνa Nacional, en la actividad de policνa.</w:t>
      </w:r>
    </w:p>
    <w:p>
      <w:pPr>
        <w:jc w:val="both"/>
        <w:outlineLvl w:val="1"/>
      </w:pPr>
      <w:rPr>
        <w:color w:val="black"/>
      </w:rPr>
    </w:p>
    <w:p>
      <w:pPr>
        <w:jc w:val="both"/>
        <w:outlineLvl w:val="1"/>
      </w:pPr>
      <w:r>
        <w:rPr>
          <w:rFonts w:hAnsi="Arial"/>
          <w:rFonts w:ascii="Arial"/>
          <w:sz w:val="24"/>
          <w:vanish/>
          <w:color w:val="black"/>
        </w:rPr>
        <w:t>&amp;$</w:t>
      </w:r>
      <w:bookmarkStart w:id="62031" w:name="2.5.14.1.2"/>
      <w:r>
        <w:rPr>
          <w:rFonts w:hAnsi="Arial"/>
          <w:rFonts w:ascii="Arial"/>
          <w:sz w:val="24"/>
          <w:color w:val="navy"/>
        </w:rPr>
        <w:t xml:space="preserve">ARTΝCULO 2.5.14.1.2. ALCANCE.</w:t>
      </w:r>
      <w:bookmarkEnd w:id="62031"/>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Aplica a todo el personal uniformado de la Policνa Nacional, como titular del uso diferenciado y proporcional de la fuerza en la protecciσn de los derechos y deberes humanos, la seguridad y la convivencia ciudadana.</w:t>
      </w:r>
    </w:p>
    <w:p>
      <w:pPr>
        <w:jc w:val="both"/>
        <w:outlineLvl w:val="1"/>
      </w:pPr>
      <w:rPr>
        <w:color w:val="black"/>
      </w:rPr>
    </w:p>
    <w:p>
      <w:pPr>
        <w:jc w:val="both"/>
        <w:outlineLvl w:val="1"/>
      </w:pPr>
      <w:r>
        <w:rPr>
          <w:rFonts w:hAnsi="Arial"/>
          <w:rFonts w:ascii="Arial"/>
          <w:sz w:val="24"/>
          <w:vanish/>
          <w:color w:val="black"/>
        </w:rPr>
        <w:t>&amp;$</w:t>
      </w:r>
      <w:bookmarkStart w:id="62032" w:name="2.5.14.1.3"/>
      <w:r>
        <w:rPr>
          <w:rFonts w:hAnsi="Arial"/>
          <w:rFonts w:ascii="Arial"/>
          <w:sz w:val="24"/>
          <w:color w:val="navy"/>
        </w:rPr>
        <w:t xml:space="preserve">ARTΝCULO 2.5.14.1.3. DEFINICIONES.</w:t>
      </w:r>
      <w:bookmarkEnd w:id="62032"/>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Para efectos del presente decreto, se adoptan las siguientes definiciones:</w:t>
      </w:r>
    </w:p>
    <w:p>
      <w:pPr>
        <w:jc w:val="both"/>
        <w:outlineLvl w:val="1"/>
      </w:pPr>
      <w:rPr>
        <w:sz w:val="24"/>
        <w:color w:val="black"/>
      </w:rPr>
    </w:p>
    <w:p>
      <w:pPr>
        <w:jc w:val="both"/>
        <w:outlineLvl w:val="1"/>
      </w:pPr>
      <w:r>
        <w:rPr>
          <w:rFonts w:hAnsi="Arial"/>
          <w:rFonts w:ascii="Arial"/>
          <w:sz w:val="24"/>
          <w:b/>
          <w:color w:val="black"/>
        </w:rPr>
        <w:t xml:space="preserve">1. No estigmatizaciσn y no discriminaciσn.</w:t>
      </w:r>
      <w:r>
        <w:rPr>
          <w:rFonts w:hAnsi="Arial"/>
          <w:rFonts w:ascii="Arial"/>
          <w:sz w:val="24"/>
          <w:color w:val="black"/>
        </w:rPr>
        <w:t xml:space="preserve"> Es el reconocimiento, protecciσn y garantνa de los derechos de todas las personas sin discriminaciσn alguna, actuando con imparcialidad sin importar su filiaciσn polνtica, identidad sexual y de gιnero, raza, nacionalidad o vinculaciσn ιtnica; asν como el deber de no realizar pronunciamientos o conductas que propicien prejuicios, discriminen, deslegitimen o descalifiquen a las personas.</w:t>
      </w:r>
    </w:p>
    <w:p>
      <w:pPr>
        <w:jc w:val="both"/>
        <w:outlineLvl w:val="1"/>
      </w:pPr>
      <w:rPr>
        <w:sz w:val="24"/>
        <w:color w:val="black"/>
      </w:rPr>
    </w:p>
    <w:p>
      <w:pPr>
        <w:jc w:val="both"/>
        <w:outlineLvl w:val="1"/>
      </w:pPr>
      <w:r>
        <w:rPr>
          <w:rFonts w:hAnsi="Arial"/>
          <w:rFonts w:ascii="Arial"/>
          <w:sz w:val="24"/>
          <w:b/>
          <w:color w:val="black"/>
        </w:rPr>
        <w:t xml:space="preserve">2. Uso de la fuerza.</w:t>
      </w:r>
      <w:r>
        <w:rPr>
          <w:rFonts w:hAnsi="Arial"/>
          <w:rFonts w:ascii="Arial"/>
          <w:sz w:val="24"/>
          <w:color w:val="black"/>
        </w:rPr>
        <w:t xml:space="preserve"> Es el medio material, necesario, proporcional, diferenciado y racional, empleado por el personal uniformado de la Policνa Nacional, como ϊltimo recurso fνsico para proteger la vida e integridad fνsica de las personas, incluida la de ellos mismos, sin mandamiento previo y escrito, para prevenir, impedir o superar la amenaza o perturbaciσn de la convivencia y la seguridad pϊblica, de conformidad con la ley.</w:t>
      </w:r>
    </w:p>
    <w:p>
      <w:pPr>
        <w:jc w:val="both"/>
        <w:outlineLvl w:val="1"/>
      </w:pPr>
      <w:rPr>
        <w:sz w:val="24"/>
        <w:color w:val="black"/>
      </w:rPr>
    </w:p>
    <w:p>
      <w:pPr>
        <w:jc w:val="both"/>
        <w:outlineLvl w:val="1"/>
      </w:pPr>
      <w:r>
        <w:rPr>
          <w:rFonts w:hAnsi="Arial"/>
          <w:rFonts w:ascii="Arial"/>
          <w:sz w:val="24"/>
          <w:b/>
          <w:color w:val="black"/>
        </w:rPr>
        <w:t xml:space="preserve">3. Responsabilidad.</w:t>
      </w:r>
      <w:r>
        <w:rPr>
          <w:rFonts w:hAnsi="Arial"/>
          <w:rFonts w:ascii="Arial"/>
          <w:sz w:val="24"/>
          <w:color w:val="black"/>
        </w:rPr>
        <w:t xml:space="preserve"> Es la obligaciσn de responder por parte del Estado, la Policνa Nacional y los funcionarios pϊblicos que prestan el servicio de policνa por las acciones, omisiones o extralimitaciones de los servidores pϊblicos en el ejercicio de sus funciones, conforme la Constituciσn, las leyes y los estαndares internacionales de derechos humanos. En el contexto del uso de la fuerza, el Estado, a travιs de sus instituciones, es responsable de asegurar que sus agentes usen la fuerza de manera proporcional y diferenciada. La Policνa Nacional debe implementar polνticas y mecanismos de control para prevenir y sancionar el uso indebido de la fuerza, y sus funcionarios, en caso de infracciσn manifiesta de un precepto constitucional en detrimento de alguna persona. En conclusiσn, el mandato superior no lo exime de responsabilidad al agente que lo ejecuta.</w:t>
      </w:r>
    </w:p>
    <w:p>
      <w:pPr>
        <w:jc w:val="both"/>
        <w:outlineLvl w:val="1"/>
      </w:pPr>
      <w:rPr>
        <w:sz w:val="24"/>
        <w:color w:val="black"/>
      </w:rPr>
    </w:p>
    <w:p>
      <w:pPr>
        <w:jc w:val="both"/>
        <w:outlineLvl w:val="1"/>
      </w:pPr>
      <w:r>
        <w:rPr>
          <w:rFonts w:hAnsi="Arial"/>
          <w:rFonts w:ascii="Arial"/>
          <w:sz w:val="24"/>
          <w:b/>
          <w:color w:val="black"/>
        </w:rPr>
        <w:t xml:space="preserve">4. Armas de fuego.</w:t>
      </w:r>
      <w:r>
        <w:rPr>
          <w:rFonts w:hAnsi="Arial"/>
          <w:rFonts w:ascii="Arial"/>
          <w:sz w:val="24"/>
          <w:color w:val="black"/>
        </w:rPr>
        <w:t xml:space="preserve"> Aquellas que emplean como agente impulsor del proyectil la fuerza creada por expansiσn de los gases producidos por la combustiσn de una sustancia quνmica. Las armas pierden su carαcter cuando sean total y permanentemente inservibles y no sean portadas.</w:t>
      </w:r>
    </w:p>
    <w:p>
      <w:pPr>
        <w:jc w:val="both"/>
        <w:outlineLvl w:val="1"/>
      </w:pPr>
      <w:rPr>
        <w:sz w:val="24"/>
        <w:color w:val="black"/>
      </w:rPr>
    </w:p>
    <w:p>
      <w:pPr>
        <w:jc w:val="both"/>
        <w:outlineLvl w:val="1"/>
      </w:pPr>
      <w:r>
        <w:rPr>
          <w:rFonts w:hAnsi="Arial"/>
          <w:rFonts w:ascii="Arial"/>
          <w:sz w:val="24"/>
          <w:b/>
          <w:color w:val="black"/>
        </w:rPr>
        <w:t xml:space="preserve">5. Armas, elementos y dispositivos menos letales (AML).</w:t>
      </w:r>
      <w:r>
        <w:rPr>
          <w:rFonts w:hAnsi="Arial"/>
          <w:rFonts w:ascii="Arial"/>
          <w:sz w:val="24"/>
          <w:color w:val="black"/>
        </w:rPr>
        <w:t xml:space="preserve"> Son elementos de carαcter tιcnico o tecnolσgico, que por su capacidad y caracterνsticas estαn concebidos para controlar una situaciσn especνfica, sobre una persona o grupo de personas, generando incomodidad fνsica y el vencimiento de la resistencia del ciudadano infractor, segϊn las variables de las conductas descritas en el presente decreto.</w:t>
      </w:r>
    </w:p>
    <w:p>
      <w:pPr>
        <w:jc w:val="both"/>
        <w:outlineLvl w:val="1"/>
      </w:pPr>
      <w:rPr>
        <w:sz w:val="24"/>
        <w:color w:val="black"/>
      </w:rPr>
    </w:p>
    <w:p>
      <w:pPr>
        <w:jc w:val="both"/>
        <w:outlineLvl w:val="1"/>
      </w:pPr>
      <w:r>
        <w:rPr>
          <w:rFonts w:hAnsi="Arial"/>
          <w:rFonts w:ascii="Arial"/>
          <w:sz w:val="24"/>
          <w:b/>
          <w:color w:val="black"/>
        </w:rPr>
        <w:t xml:space="preserve">6. Accesorios de armas, elementos y dispositivos menos letales.</w:t>
      </w:r>
      <w:r>
        <w:rPr>
          <w:rFonts w:hAnsi="Arial"/>
          <w:rFonts w:ascii="Arial"/>
          <w:sz w:val="24"/>
          <w:color w:val="black"/>
        </w:rPr>
        <w:t xml:space="preserve"> Hace referencia a los utensilios, herramientas o elementos auxiliares que son utilizados para optimizar el desempeρo de un arma menos letal, los cuales dependen del conjunto principal.</w:t>
      </w:r>
    </w:p>
    <w:p>
      <w:pPr>
        <w:jc w:val="both"/>
        <w:outlineLvl w:val="1"/>
      </w:pPr>
      <w:rPr>
        <w:sz w:val="24"/>
        <w:color w:val="black"/>
      </w:rPr>
    </w:p>
    <w:p>
      <w:pPr>
        <w:jc w:val="both"/>
        <w:outlineLvl w:val="1"/>
      </w:pPr>
      <w:r>
        <w:rPr>
          <w:rFonts w:hAnsi="Arial"/>
          <w:rFonts w:ascii="Arial"/>
          <w:sz w:val="24"/>
          <w:b/>
          <w:color w:val="black"/>
        </w:rPr>
        <w:t xml:space="preserve">7. Partes de armas, elementos y dispositivos menos letales.</w:t>
      </w:r>
      <w:r>
        <w:rPr>
          <w:rFonts w:hAnsi="Arial"/>
          <w:rFonts w:ascii="Arial"/>
          <w:sz w:val="24"/>
          <w:color w:val="black"/>
        </w:rPr>
        <w:t xml:space="preserve"> Son piezas que integran un conjunto de mecanismo que cumplen una funciσn o acciσn general para el funcionamiento de un arma menos letal.</w:t>
      </w:r>
    </w:p>
    <w:p>
      <w:pPr>
        <w:jc w:val="both"/>
        <w:outlineLvl w:val="1"/>
      </w:pPr>
      <w:rPr>
        <w:sz w:val="24"/>
        <w:color w:val="black"/>
      </w:rPr>
    </w:p>
    <w:p>
      <w:pPr>
        <w:jc w:val="both"/>
        <w:outlineLvl w:val="1"/>
      </w:pPr>
      <w:r>
        <w:rPr>
          <w:rFonts w:hAnsi="Arial"/>
          <w:rFonts w:ascii="Arial"/>
          <w:sz w:val="24"/>
          <w:b/>
          <w:color w:val="black"/>
        </w:rPr>
        <w:t xml:space="preserve">8. Municiones para armas, elementos y dispositivos menos letales. Corresponde a la </w:t>
      </w:r>
      <w:r>
        <w:rPr>
          <w:rFonts w:hAnsi="Arial"/>
          <w:rFonts w:ascii="Arial"/>
          <w:sz w:val="24"/>
          <w:color w:val="black"/>
        </w:rPr>
        <w:t xml:space="preserve">unidad de carga diseρada para ser empleada en las armas, elementos y dispositivos menos letales, necesaria para su funcionamiento, las cuales generan en una persona incomodidad fνsica y el vencimiento de la resistencia del ciudadano infractor segϊn las variables de las conductas descritas en el presente decreto.</w:t>
      </w:r>
    </w:p>
    <w:p>
      <w:pPr>
        <w:jc w:val="both"/>
        <w:outlineLvl w:val="1"/>
      </w:pPr>
      <w:rPr>
        <w:sz w:val="24"/>
        <w:color w:val="black"/>
      </w:rPr>
    </w:p>
    <w:p>
      <w:pPr>
        <w:jc w:val="both"/>
        <w:outlineLvl w:val="1"/>
      </w:pPr>
      <w:r>
        <w:rPr>
          <w:rFonts w:hAnsi="Arial"/>
          <w:rFonts w:ascii="Arial"/>
          <w:sz w:val="24"/>
          <w:b/>
          <w:color w:val="black"/>
        </w:rPr>
        <w:t xml:space="preserve">9. Tαctica policial. </w:t>
      </w:r>
      <w:r>
        <w:rPr>
          <w:rFonts w:hAnsi="Arial"/>
          <w:rFonts w:ascii="Arial"/>
          <w:sz w:val="24"/>
          <w:color w:val="black"/>
        </w:rPr>
        <w:t xml:space="preserve">Es la estrategia planteada para lograr un objetivo legal, teniendo en cuenta el vigor y rigor dentro de los procedimientos, estαndares o normatividades previamente establecidas para desarrollar una intervenciσn policial.</w:t>
      </w:r>
    </w:p>
    <w:p>
      <w:pPr>
        <w:jc w:val="both"/>
        <w:outlineLvl w:val="1"/>
      </w:pPr>
      <w:rPr>
        <w:sz w:val="24"/>
        <w:color w:val="black"/>
      </w:rPr>
    </w:p>
    <w:p>
      <w:pPr>
        <w:jc w:val="both"/>
        <w:outlineLvl w:val="1"/>
      </w:pPr>
      <w:r>
        <w:rPr>
          <w:rFonts w:hAnsi="Arial"/>
          <w:rFonts w:ascii="Arial"/>
          <w:sz w:val="24"/>
          <w:b/>
          <w:color w:val="black"/>
        </w:rPr>
        <w:t xml:space="preserve">10. Tιcnica policial. </w:t>
      </w:r>
      <w:r>
        <w:rPr>
          <w:rFonts w:hAnsi="Arial"/>
          <w:rFonts w:ascii="Arial"/>
          <w:sz w:val="24"/>
          <w:color w:val="black"/>
        </w:rPr>
        <w:t xml:space="preserve">Es la habilidad o destreza adquirida por un funcionario de policνa mediante entrenamiento, la cual es ejecutada proporcionalmente dentro de una tαctica para lograr un objetivo legal. Dentro de estas se encuentran las herramientas de comunicaciσn asertiva y todos aquellos medios fνsicos, tιcnicos y tecnolσgicos que permiten hacer uso proporcional y diferenciado de la fuerza y, otras integradas en el Sistema Tαctico Bαsico Policial o mιtodo que haga sus veces.</w:t>
      </w:r>
    </w:p>
    <w:p>
      <w:pPr>
        <w:jc w:val="both"/>
        <w:outlineLvl w:val="1"/>
      </w:pPr>
      <w:rPr>
        <w:sz w:val="24"/>
        <w:color w:val="black"/>
      </w:rPr>
    </w:p>
    <w:p>
      <w:pPr>
        <w:jc w:val="both"/>
        <w:outlineLvl w:val="1"/>
      </w:pPr>
      <w:r>
        <w:rPr>
          <w:rFonts w:hAnsi="Arial"/>
          <w:rFonts w:ascii="Arial"/>
          <w:sz w:val="24"/>
          <w:b/>
          <w:color w:val="black"/>
        </w:rPr>
        <w:t xml:space="preserve">11. Tιcnicas y tαcticas comunicativas. </w:t>
      </w:r>
      <w:r>
        <w:rPr>
          <w:rFonts w:hAnsi="Arial"/>
          <w:rFonts w:ascii="Arial"/>
          <w:sz w:val="24"/>
          <w:color w:val="black"/>
        </w:rPr>
        <w:t xml:space="preserve">Herramientas de comunicaciσn asertiva que le permiten al Policνa contacto efectivo con la ciudadanνa, utilizando amabilidad, cortesνa, sensibilidad, empatνa, comprensiσn, tolerancia, dinamismo, persuasiσn, autocontrol, creatividad, capacidad para escuchar, esquivas verbales, frases tαcticas, compresiσn del conflicto, comunicaciσn no verbal, expresiσn facial, paralingόνstica, gestualidad, proxιmica, postura, voz lenguaje y demαs entrenadas en Sistema Tαctico Bαsico Policial o mιtodo que haga sus veces.</w:t>
      </w:r>
    </w:p>
    <w:p>
      <w:pPr>
        <w:jc w:val="both"/>
        <w:outlineLvl w:val="1"/>
      </w:pPr>
      <w:rPr>
        <w:sz w:val="24"/>
        <w:color w:val="black"/>
      </w:rPr>
    </w:p>
    <w:p>
      <w:pPr>
        <w:jc w:val="both"/>
        <w:outlineLvl w:val="1"/>
      </w:pPr>
      <w:r>
        <w:rPr>
          <w:rFonts w:hAnsi="Arial"/>
          <w:rFonts w:ascii="Arial"/>
          <w:sz w:val="24"/>
          <w:b/>
          <w:color w:val="black"/>
        </w:rPr>
        <w:t xml:space="preserve">12. Fuerza potencialmente letal: </w:t>
      </w:r>
      <w:r>
        <w:rPr>
          <w:rFonts w:hAnsi="Arial"/>
          <w:rFonts w:ascii="Arial"/>
          <w:sz w:val="24"/>
          <w:color w:val="black"/>
        </w:rPr>
        <w:t xml:space="preserve">Referido al uso de armas de fuego con municiσn letal en:</w:t>
      </w:r>
    </w:p>
    <w:p>
      <w:pPr>
        <w:jc w:val="both"/>
        <w:outlineLvl w:val="1"/>
      </w:pPr>
      <w:rPr>
        <w:sz w:val="24"/>
        <w:color w:val="black"/>
      </w:rPr>
    </w:p>
    <w:p>
      <w:pPr>
        <w:jc w:val="both"/>
        <w:outlineLvl w:val="1"/>
      </w:pPr>
      <w:r>
        <w:rPr>
          <w:rFonts w:hAnsi="Arial"/>
          <w:rFonts w:ascii="Arial"/>
          <w:sz w:val="24"/>
          <w:color w:val="black"/>
        </w:rPr>
        <w:t xml:space="preserve">i) defensa propia o en defensa de otros en eventos de amenaza inminente de muerte o de lesiones graves; ii) para evitar un delito particularmente grave que entraρe un serio peligro para la vida; iii) para detener o impedir la fuga de la persona que permite suponer razonablemente ese peligro y se opone a los esfuerzos por eliminarlo. En todos los casos, solo cuando las demαs medidas resulten insuficientes.</w:t>
      </w:r>
    </w:p>
    <w:p>
      <w:pPr>
        <w:jc w:val="both"/>
        <w:outlineLvl w:val="1"/>
      </w:pPr>
      <w:rPr>
        <w:sz w:val="24"/>
        <w:color w:val="black"/>
      </w:rPr>
    </w:p>
    <w:p>
      <w:pPr>
        <w:jc w:val="both"/>
        <w:outlineLvl w:val="1"/>
      </w:pPr>
      <w:r>
        <w:rPr>
          <w:rFonts w:hAnsi="Arial"/>
          <w:rFonts w:ascii="Arial"/>
          <w:sz w:val="24"/>
          <w:b/>
          <w:color w:val="black"/>
        </w:rPr>
        <w:t xml:space="preserve">13. Medios sustitutivos. </w:t>
      </w:r>
      <w:r>
        <w:rPr>
          <w:rFonts w:hAnsi="Arial"/>
          <w:rFonts w:ascii="Arial"/>
          <w:sz w:val="24"/>
          <w:color w:val="black"/>
        </w:rPr>
        <w:t xml:space="preserve">Hace referencia a actitud preventiva, a todo aquello que permita disuadir de manera verbal y no verbal a la persona, a la comunicaciσn asertiva, mediaciσn policial, diαlogo, persuasiσn, orden de policνa y demαs tιcnicas que permiten desviar y redirigir comportamientos de la persona, con el fin de no usar la fuerza y lograr el objetivo legal de manera profesional en la atenciσn a los diferentes motivos de policνa.</w:t>
      </w:r>
    </w:p>
    <w:p>
      <w:pPr>
        <w:jc w:val="both"/>
        <w:outlineLvl w:val="1"/>
      </w:pPr>
      <w:rPr>
        <w:sz w:val="24"/>
        <w:color w:val="black"/>
      </w:rPr>
    </w:p>
    <w:p>
      <w:pPr>
        <w:jc w:val="both"/>
        <w:outlineLvl w:val="1"/>
      </w:pPr>
      <w:r>
        <w:rPr>
          <w:rFonts w:hAnsi="Arial"/>
          <w:rFonts w:ascii="Arial"/>
          <w:sz w:val="24"/>
          <w:b/>
          <w:color w:val="black"/>
        </w:rPr>
        <w:t xml:space="preserve">14. Motivos de policνa. </w:t>
      </w:r>
      <w:r>
        <w:rPr>
          <w:rFonts w:hAnsi="Arial"/>
          <w:rFonts w:ascii="Arial"/>
          <w:sz w:val="24"/>
          <w:color w:val="black"/>
        </w:rPr>
        <w:t xml:space="preserve">Son todos aquellos hechos, circunstancias o conductas que son contrarias a la convivencia o prohibidos sobre los cuales se pueden aplicar los medios de policνa y medidas correctivas, conferidas a los uniformados de la Policνa Nacional para preservar la convivencia y restablecer todos los comportamientos que la alteren.</w:t>
      </w:r>
    </w:p>
    <w:p>
      <w:pPr>
        <w:jc w:val="both"/>
        <w:outlineLvl w:val="1"/>
      </w:pPr>
      <w:rPr>
        <w:sz w:val="24"/>
        <w:color w:val="black"/>
      </w:rPr>
    </w:p>
    <w:p>
      <w:pPr>
        <w:jc w:val="both"/>
        <w:outlineLvl w:val="1"/>
      </w:pPr>
      <w:r>
        <w:rPr>
          <w:rFonts w:hAnsi="Arial"/>
          <w:rFonts w:ascii="Arial"/>
          <w:sz w:val="24"/>
          <w:b/>
          <w:color w:val="black"/>
        </w:rPr>
        <w:t xml:space="preserve">15. Personal uniformado de la Policνa Nacional. </w:t>
      </w:r>
      <w:r>
        <w:rPr>
          <w:rFonts w:hAnsi="Arial"/>
          <w:rFonts w:ascii="Arial"/>
          <w:sz w:val="24"/>
          <w:color w:val="black"/>
        </w:rPr>
        <w:t xml:space="preserve">Son todos los miembros activos de la Policνa Nacional que integran las categorνas de oficiales, nivel ejecutivo, suboficiales, agentes y patrulleros de policνa, quienes estαn al servicio de la ciudadanνa y tienen la obligaciσn de intervenir frente a los diferentes motivos de policνa de acuerdo con la Constituciσn Polνtica, el presente decreto y demαs disposiciones legales, ostentando la titularidad en el uso de la fuerza policial. Se excluye al personal civil que trabaja en la Policνa Nacional. En el marco del uso de la fuerza se considera que los auxiliares de policνa podrαn desplegar la misma bajo el entendido que cumplen funciones transitorias en el ejercicio de la actividad de policνa.</w:t>
      </w:r>
    </w:p>
    <w:p>
      <w:pPr>
        <w:jc w:val="both"/>
        <w:outlineLvl w:val="1"/>
      </w:pPr>
      <w:rPr>
        <w:sz w:val="24"/>
        <w:color w:val="black"/>
      </w:rPr>
    </w:p>
    <w:p>
      <w:pPr>
        <w:jc w:val="both"/>
        <w:outlineLvl w:val="1"/>
      </w:pPr>
      <w:r>
        <w:rPr>
          <w:rFonts w:hAnsi="Arial"/>
          <w:rFonts w:ascii="Arial"/>
          <w:sz w:val="24"/>
          <w:b/>
          <w:color w:val="black"/>
        </w:rPr>
        <w:t xml:space="preserve">16. Circunstancias descriptivas para el uso diferenciado y proporcional de la fuerza. </w:t>
      </w:r>
      <w:r>
        <w:rPr>
          <w:rFonts w:hAnsi="Arial"/>
          <w:rFonts w:ascii="Arial"/>
          <w:sz w:val="24"/>
          <w:color w:val="black"/>
        </w:rPr>
        <w:t xml:space="preserve">Son las condiciones de tiempo, modo y lugar que deberαn observar las autoridades de policνa, siempre que sea necesario emplear la fuerza al efectuar una intervenciσn:</w:t>
      </w:r>
    </w:p>
    <w:p>
      <w:pPr>
        <w:jc w:val="both"/>
        <w:outlineLvl w:val="1"/>
      </w:pPr>
      <w:rPr>
        <w:sz w:val="24"/>
        <w:color w:val="black"/>
      </w:rPr>
    </w:p>
    <w:p>
      <w:pPr>
        <w:jc w:val="both"/>
        <w:outlineLvl w:val="1"/>
      </w:pPr>
      <w:r>
        <w:rPr>
          <w:rFonts w:hAnsi="Arial"/>
          <w:rFonts w:ascii="Arial"/>
          <w:sz w:val="24"/>
          <w:color w:val="black"/>
        </w:rPr>
        <w:t xml:space="preserve">a) Tiempo.</w:t>
      </w:r>
      <w:r>
        <w:rPr>
          <w:rFonts w:hAnsi="Arial"/>
          <w:rFonts w:ascii="Arial"/>
          <w:sz w:val="24"/>
          <w:b/>
          <w:color w:val="black"/>
        </w:rPr>
        <w:t xml:space="preserve"> </w:t>
      </w:r>
      <w:r>
        <w:rPr>
          <w:rFonts w:hAnsi="Arial"/>
          <w:rFonts w:ascii="Arial"/>
          <w:sz w:val="24"/>
          <w:color w:val="black"/>
        </w:rPr>
        <w:t xml:space="preserve">Se deberα determinar el momento especνfico en el que sea estrictamente necesario, oportuno, preciso y adecuado para su utilizaciσn, con la finalidad de</w:t>
      </w:r>
    </w:p>
    <w:p>
      <w:pPr>
        <w:jc w:val="both"/>
        <w:outlineLvl w:val="1"/>
      </w:pPr>
      <w:rPr>
        <w:sz w:val="24"/>
        <w:color w:val="black"/>
      </w:rPr>
    </w:p>
    <w:p>
      <w:pPr>
        <w:jc w:val="both"/>
        <w:outlineLvl w:val="1"/>
      </w:pPr>
      <w:r>
        <w:rPr>
          <w:rFonts w:hAnsi="Arial"/>
          <w:rFonts w:ascii="Arial"/>
          <w:sz w:val="24"/>
          <w:color w:val="black"/>
        </w:rPr>
        <w:t xml:space="preserve">alcanzar el objetivo legal en el menor tiempo posible y con la menor afectaciσn a los bienes jurνdicos protegidos, evitando en la medida de lo posible afectar a terceros o personas que son cooperantes o no ofrecen un nivel de resistencia.</w:t>
      </w:r>
    </w:p>
    <w:p>
      <w:pPr>
        <w:jc w:val="both"/>
        <w:outlineLvl w:val="1"/>
      </w:pPr>
      <w:rPr>
        <w:sz w:val="24"/>
        <w:color w:val="black"/>
      </w:rPr>
    </w:p>
    <w:p>
      <w:pPr>
        <w:jc w:val="both"/>
        <w:outlineLvl w:val="1"/>
      </w:pPr>
      <w:r>
        <w:rPr>
          <w:rFonts w:hAnsi="Arial"/>
          <w:rFonts w:ascii="Arial"/>
          <w:sz w:val="24"/>
          <w:color w:val="black"/>
        </w:rPr>
        <w:t xml:space="preserve">b) Modo. De acuerdo con las variables de la conducta, se determinarαn las maniobras tιcnicas y tαcticas que conlleven al empleo de armas, municiones, elementos y dispositivos menos letales por parte del personal uniformado de la Policνa Nacional, contrarrestando las acciones violentas o ilνcitas tipificadas en la ley por parte de los presuntos infractores.</w:t>
      </w:r>
    </w:p>
    <w:p>
      <w:pPr>
        <w:jc w:val="both"/>
        <w:outlineLvl w:val="1"/>
      </w:pPr>
      <w:rPr>
        <w:sz w:val="24"/>
        <w:color w:val="black"/>
      </w:rPr>
    </w:p>
    <w:p>
      <w:pPr>
        <w:jc w:val="both"/>
        <w:outlineLvl w:val="1"/>
      </w:pPr>
      <w:r>
        <w:rPr>
          <w:rFonts w:hAnsi="Arial"/>
          <w:rFonts w:ascii="Arial"/>
          <w:sz w:val="24"/>
          <w:color w:val="black"/>
        </w:rPr>
        <w:t xml:space="preserve">Dentro de la toma de decisiones, el personal uniformado de la Policνa Nacional debe tener claro el objetivo legal que se busca alcanzar y las consecuencias del uso de la fuerza en cuanto a la posible afectaciσn de derechos humanos y fundamentales.</w:t>
      </w:r>
    </w:p>
    <w:p>
      <w:pPr>
        <w:jc w:val="both"/>
        <w:outlineLvl w:val="1"/>
      </w:pPr>
      <w:rPr>
        <w:sz w:val="24"/>
        <w:color w:val="black"/>
      </w:rPr>
    </w:p>
    <w:p>
      <w:pPr>
        <w:jc w:val="both"/>
        <w:outlineLvl w:val="1"/>
      </w:pPr>
      <w:r>
        <w:rPr>
          <w:rFonts w:hAnsi="Arial"/>
          <w:rFonts w:ascii="Arial"/>
          <w:sz w:val="24"/>
          <w:color w:val="black"/>
        </w:rPr>
        <w:t xml:space="preserve">c) Lugar. Quienes determinen usar las armas, municiones, elementos y dispositivos menos letales, deberαn analizar las caracterνsticas fνsicas del lugar (naturales, artificiales, clima, condiciones atmosfιricas, de luz, geogrαficas, cantidad de personas a intervenir, entre otras), sopesando los posibles resultados que se puedan presentar de acuerdo con el lugar, zona o jurisdicciσn a intervenir.</w:t>
      </w:r>
    </w:p>
    <w:p>
      <w:pPr>
        <w:jc w:val="both"/>
        <w:outlineLvl w:val="1"/>
      </w:pPr>
      <w:rPr>
        <w:color w:val="black"/>
      </w:rPr>
    </w:p>
    <w:p>
      <w:pPr>
        <w:jc w:val="center"/>
        <w:outlineLvl w:val="1"/>
      </w:pPr>
      <w:r>
        <w:rPr>
          <w:rFonts w:hAnsi="Arial"/>
          <w:rFonts w:ascii="Arial"/>
          <w:sz w:val="24"/>
          <w:vanish/>
          <w:color w:val="black"/>
        </w:rPr>
        <w:t>&amp;$</w:t>
      </w:r>
      <w:bookmarkStart w:id="62033" w:name="CAPÍTULO 2.5.14.2"/>
      <w:r>
        <w:rPr>
          <w:rFonts w:hAnsi="Arial"/>
          <w:rFonts w:ascii="Arial"/>
          <w:sz w:val="24"/>
          <w:color w:val="navy"/>
        </w:rPr>
        <w:t xml:space="preserve">CAPΝTULO 2. </w:t>
      </w:r>
    </w:p>
    <w:p>
      <w:pPr>
        <w:jc w:val="center"/>
        <w:outlineLvl w:val="1"/>
      </w:pPr>
      <w:r>
        <w:rPr>
          <w:rFonts w:hAnsi="Arial"/>
          <w:rFonts w:ascii="Arial"/>
          <w:sz w:val="24"/>
          <w:color w:val="navy"/>
        </w:rPr>
        <w:t xml:space="preserve">DEL USO DE LA FUERZA.</w:t>
      </w:r>
      <w:bookmarkEnd w:id="62033"/>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62034" w:name="2.5.14.2.1"/>
      <w:r>
        <w:rPr>
          <w:rFonts w:hAnsi="Arial"/>
          <w:rFonts w:ascii="Arial"/>
          <w:sz w:val="24"/>
          <w:color w:val="navy"/>
        </w:rPr>
        <w:t xml:space="preserve">ARTΝCULO 2.5.14.2.1. PRINCIPIOS BΑSICOS PARA EL USO DE LA FUERZA.</w:t>
      </w:r>
      <w:bookmarkEnd w:id="62034"/>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El uso diferenciado y proporcional de la fuerza en la Policνa Nacional estarα enmarcado en los siguientes principios bαsicos:</w:t>
      </w:r>
    </w:p>
    <w:p>
      <w:pPr>
        <w:jc w:val="both"/>
        <w:outlineLvl w:val="1"/>
      </w:pPr>
      <w:rPr>
        <w:sz w:val="24"/>
        <w:color w:val="black"/>
      </w:rPr>
    </w:p>
    <w:p>
      <w:pPr>
        <w:jc w:val="both"/>
        <w:outlineLvl w:val="1"/>
      </w:pPr>
      <w:r>
        <w:rPr>
          <w:rFonts w:hAnsi="Arial"/>
          <w:rFonts w:ascii="Arial"/>
          <w:sz w:val="24"/>
          <w:b/>
          <w:color w:val="black"/>
        </w:rPr>
        <w:t xml:space="preserve">1. Necesidad. </w:t>
      </w:r>
      <w:r>
        <w:rPr>
          <w:rFonts w:hAnsi="Arial"/>
          <w:rFonts w:ascii="Arial"/>
          <w:sz w:val="24"/>
          <w:color w:val="black"/>
        </w:rPr>
        <w:t xml:space="preserve">El personal uniformado de la Policνa Nacional utilizarα, en la medida de lo posible, medios preventivos y disuasivos antes de recurrir al uso de la fuerza o a las armas de fuego. El uso de la fuerza y de armas de fuego solo se permitirα cuando los demαs medios resulten ineficaces o no garanticen de ninguna manera la consecuciσn del objetivo previsto. Este principio orienta la toma de decisiones sobre si es necesario emplear la fuerza y, en caso afirmativo, cuαnta fuerza debe utilizarse y durante cuαnto tiempo. A continuaciσn, se detallan los criterios especνficos:</w:t>
      </w:r>
    </w:p>
    <w:p>
      <w:pPr>
        <w:jc w:val="both"/>
        <w:outlineLvl w:val="1"/>
      </w:pPr>
      <w:rPr>
        <w:sz w:val="24"/>
        <w:color w:val="black"/>
      </w:rPr>
    </w:p>
    <w:p>
      <w:pPr>
        <w:jc w:val="both"/>
        <w:outlineLvl w:val="1"/>
      </w:pPr>
      <w:r>
        <w:rPr>
          <w:rFonts w:hAnsi="Arial"/>
          <w:rFonts w:ascii="Arial"/>
          <w:sz w:val="24"/>
          <w:color w:val="black"/>
        </w:rPr>
        <w:t xml:space="preserve">a) </w:t>
      </w:r>
      <w:r>
        <w:rPr>
          <w:rFonts w:hAnsi="Arial"/>
          <w:rFonts w:ascii="Arial"/>
          <w:sz w:val="24"/>
          <w:i/>
          <w:color w:val="black"/>
        </w:rPr>
        <w:t>Cualitativo:</w:t>
      </w:r>
      <w:r>
        <w:rPr>
          <w:rFonts w:hAnsi="Arial"/>
          <w:rFonts w:ascii="Arial"/>
          <w:sz w:val="24"/>
          <w:color w:val="black"/>
        </w:rPr>
        <w:t xml:space="preserve"> establece si, para alcanzar el objetivo legal, es necesario recurrir a la fuerza o si existen medios o alternativas viables que permitan evitar su uso.</w:t>
      </w:r>
    </w:p>
    <w:p>
      <w:pPr>
        <w:jc w:val="both"/>
        <w:outlineLvl w:val="1"/>
      </w:pPr>
      <w:rPr>
        <w:sz w:val="24"/>
        <w:color w:val="black"/>
      </w:rPr>
    </w:p>
    <w:p>
      <w:pPr>
        <w:jc w:val="both"/>
        <w:outlineLvl w:val="1"/>
      </w:pPr>
      <w:r>
        <w:rPr>
          <w:rFonts w:hAnsi="Arial"/>
          <w:rFonts w:ascii="Arial"/>
          <w:sz w:val="24"/>
          <w:color w:val="black"/>
        </w:rPr>
        <w:t xml:space="preserve">b) </w:t>
      </w:r>
      <w:r>
        <w:rPr>
          <w:rFonts w:hAnsi="Arial"/>
          <w:rFonts w:ascii="Arial"/>
          <w:sz w:val="24"/>
          <w:i/>
          <w:color w:val="black"/>
        </w:rPr>
        <w:t>Cuantitativo:</w:t>
      </w:r>
      <w:r>
        <w:rPr>
          <w:rFonts w:hAnsi="Arial"/>
          <w:rFonts w:ascii="Arial"/>
          <w:sz w:val="24"/>
          <w:color w:val="black"/>
        </w:rPr>
        <w:t xml:space="preserve"> determina la cantidad de fuerza necesaria para cumplir el objetivo legal, debiendo utilizarse siempre el mνnimo que pueda resultar ser eficaz.</w:t>
      </w:r>
    </w:p>
    <w:p>
      <w:pPr>
        <w:jc w:val="both"/>
        <w:outlineLvl w:val="1"/>
      </w:pPr>
      <w:rPr>
        <w:sz w:val="24"/>
        <w:color w:val="black"/>
      </w:rPr>
    </w:p>
    <w:p>
      <w:pPr>
        <w:jc w:val="both"/>
        <w:outlineLvl w:val="1"/>
      </w:pPr>
      <w:r>
        <w:rPr>
          <w:rFonts w:hAnsi="Arial"/>
          <w:rFonts w:ascii="Arial"/>
          <w:sz w:val="24"/>
          <w:color w:val="black"/>
        </w:rPr>
        <w:t xml:space="preserve">c) </w:t>
      </w:r>
      <w:r>
        <w:rPr>
          <w:rFonts w:hAnsi="Arial"/>
          <w:rFonts w:ascii="Arial"/>
          <w:sz w:val="24"/>
          <w:i/>
          <w:color w:val="black"/>
        </w:rPr>
        <w:t>Temporal:</w:t>
      </w:r>
      <w:r>
        <w:rPr>
          <w:rFonts w:hAnsi="Arial"/>
          <w:rFonts w:ascii="Arial"/>
          <w:sz w:val="24"/>
          <w:color w:val="black"/>
        </w:rPr>
        <w:t xml:space="preserve"> indica que el uso diferenciado y proporcional de la fuerza debe cesar tan pronto se haya alcanzado el objetivo o cuando ya no sea posible lograrlo.</w:t>
      </w:r>
    </w:p>
    <w:p>
      <w:pPr>
        <w:jc w:val="both"/>
        <w:outlineLvl w:val="1"/>
      </w:pPr>
      <w:rPr>
        <w:sz w:val="24"/>
        <w:color w:val="black"/>
      </w:rPr>
    </w:p>
    <w:p>
      <w:pPr>
        <w:jc w:val="both"/>
        <w:outlineLvl w:val="1"/>
      </w:pPr>
      <w:r>
        <w:rPr>
          <w:rFonts w:hAnsi="Arial"/>
          <w:rFonts w:ascii="Arial"/>
          <w:sz w:val="24"/>
          <w:b/>
          <w:color w:val="black"/>
        </w:rPr>
        <w:t xml:space="preserve">2. Constitucionalidad y legalidad.</w:t>
      </w:r>
      <w:r>
        <w:rPr>
          <w:rFonts w:hAnsi="Arial"/>
          <w:rFonts w:ascii="Arial"/>
          <w:sz w:val="24"/>
          <w:color w:val="black"/>
        </w:rPr>
        <w:t xml:space="preserve"> El uso diferenciado y proporcional de la fuerza debe estar siempre enmarcado en un objetivo legal, cumpliendo en todo momento con lo establecido en la Constituciσn, las leyes y los reglamentos vigentes. En este mismo sentido, los uniformados deben usar elementos de dotaciσn oficial previamente reglamentados. Los procedimientos que adopten los uniformados deben ceρirse a todas las disposiciones legales y a las normas nacionales e internacionales en materia de derechos humanos.</w:t>
      </w:r>
    </w:p>
    <w:p>
      <w:pPr>
        <w:jc w:val="both"/>
        <w:outlineLvl w:val="1"/>
      </w:pPr>
      <w:rPr>
        <w:sz w:val="24"/>
        <w:color w:val="black"/>
      </w:rPr>
    </w:p>
    <w:p>
      <w:pPr>
        <w:jc w:val="both"/>
        <w:outlineLvl w:val="1"/>
      </w:pPr>
      <w:r>
        <w:rPr>
          <w:rFonts w:hAnsi="Arial"/>
          <w:rFonts w:ascii="Arial"/>
          <w:sz w:val="24"/>
          <w:b/>
          <w:color w:val="black"/>
        </w:rPr>
        <w:t xml:space="preserve">3. Proporcionalidad.</w:t>
      </w:r>
      <w:r>
        <w:rPr>
          <w:rFonts w:hAnsi="Arial"/>
          <w:rFonts w:ascii="Arial"/>
          <w:sz w:val="24"/>
          <w:color w:val="black"/>
        </w:rPr>
        <w:t xml:space="preserve"> El nivel de fuerza utilizado, los medios y los mιtodos empleados deben ser acordes con las variables de conducta, lo cual implica una valoraciσn entre la situaciσn a la que se enfrenta el uniformado y su respuesta, considerando el daρo potencial que podrνa ser ocasionado. Asν, los uniformados deben aplicar un criterio de uso diferenciado de la fuerza, determinado segϊn el grado de cooperaciσn, resistencia o agresiσn de parte de la persona a la cual se pretende intervenir y, con ello, emplear tαcticas de control o uso de fuerza, segϊn corresponda.</w:t>
      </w:r>
    </w:p>
    <w:p>
      <w:pPr>
        <w:jc w:val="both"/>
        <w:outlineLvl w:val="1"/>
      </w:pPr>
      <w:rPr>
        <w:sz w:val="24"/>
        <w:color w:val="black"/>
      </w:rPr>
    </w:p>
    <w:p>
      <w:pPr>
        <w:jc w:val="both"/>
        <w:outlineLvl w:val="1"/>
      </w:pPr>
      <w:r>
        <w:rPr>
          <w:rFonts w:hAnsi="Arial"/>
          <w:rFonts w:ascii="Arial"/>
          <w:sz w:val="24"/>
          <w:color w:val="black"/>
        </w:rPr>
        <w:t xml:space="preserve">El personal uniformado de la Policνa Nacional al hacer uso de armas, municiones, elementos, dispositivos de uso menos letal y de armas potencialmente letales, debe</w:t>
      </w:r>
    </w:p>
    <w:p>
      <w:pPr>
        <w:jc w:val="both"/>
        <w:outlineLvl w:val="1"/>
      </w:pPr>
      <w:rPr>
        <w:sz w:val="24"/>
        <w:color w:val="black"/>
      </w:rPr>
    </w:p>
    <w:p>
      <w:pPr>
        <w:jc w:val="both"/>
        <w:outlineLvl w:val="1"/>
      </w:pPr>
      <w:r>
        <w:rPr>
          <w:rFonts w:hAnsi="Arial"/>
          <w:rFonts w:ascii="Arial"/>
          <w:sz w:val="24"/>
          <w:color w:val="black"/>
        </w:rPr>
        <w:t xml:space="preserve">hacerlo de manera moderada, adecuada, necesaria, racional y actuar en proporciσn a la gravedad de la amenaza y al objetivo legal que se pretende lograr, escogiendo entre los medios eficaces aquellos que causen menor daρo a la integridad de las personas y sus bienes. En ningϊn caso estα permitido usar medidas extremas para salvaguardar un bien jurνdico o bienes materiales que resultan inferiores a la vida o integridad fνsica de las personas.</w:t>
      </w:r>
    </w:p>
    <w:p>
      <w:pPr>
        <w:jc w:val="both"/>
        <w:outlineLvl w:val="1"/>
      </w:pPr>
      <w:rPr>
        <w:sz w:val="24"/>
        <w:color w:val="black"/>
      </w:rPr>
    </w:p>
    <w:p>
      <w:pPr>
        <w:jc w:val="both"/>
        <w:outlineLvl w:val="1"/>
      </w:pPr>
      <w:r>
        <w:rPr>
          <w:rFonts w:hAnsi="Arial"/>
          <w:rFonts w:ascii="Arial"/>
          <w:sz w:val="24"/>
          <w:b/>
          <w:color w:val="black"/>
        </w:rPr>
        <w:t xml:space="preserve">4. Diferenciado. </w:t>
      </w:r>
      <w:r>
        <w:rPr>
          <w:rFonts w:hAnsi="Arial"/>
          <w:rFonts w:ascii="Arial"/>
          <w:sz w:val="24"/>
          <w:color w:val="black"/>
        </w:rPr>
        <w:t xml:space="preserve">El personal uniformado de la Policνa deberα identificar los niveles de resistencia que puede ejercer un ciudadano de tal forma que se focalice la intervenciσn policial y el uso proporcional de la fuerza en aquellas personas que generen comportamientos contrarios a la convivencia, quienes incurran en infracciones a la ley penal o quienes pongan en inminente peligro la vida y la integridad de las personas, funcionarios de policνa o de terceros, siempre absteniιndose de hacer un uso indiscriminado de la fuerza. Asimismo, la aplicaciσn de la fuerza debe ser gradual y dinαmica, pudiendo escalar o desescalar, siendo los medios y mιtodos policivos acordes a las circunstancias.</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De conformidad con el artνculo </w:t>
      </w:r>
      <w:r>
        <w:fldChar w:fldCharType="begin"/>
      </w:r>
      <w:r>
        <w:instrText>HYPERLINK "http://www.redjurista.com/document.aspx?ajcode=l2179021&amp;arts=98"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Ley 2179 de 2021, el personal uniformado de la Policνa Nacional deberα certificarse en los cursos mandatarios establecidos por la instituciσn, buscando fortalecer las competencias policiales para la profesionalizaciσn, de acuerdo con las necesidades de la actividad de policνa. Los cursos mandatarios son aquellos referidos al respeto y protecciσn de los derechos humanos, uso legνtimo, necesario, proporcional y diferenciado de la fuerza, procedimientos policiales, atenciσn al ciudadano, y los demαs que establezca el Director General de la Policνa Nacional.</w:t>
      </w:r>
    </w:p>
    <w:p>
      <w:pPr>
        <w:jc w:val="both"/>
        <w:outlineLvl w:val="1"/>
      </w:pPr>
      <w:rPr>
        <w:color w:val="black"/>
      </w:rPr>
    </w:p>
    <w:p>
      <w:pPr>
        <w:jc w:val="both"/>
        <w:outlineLvl w:val="1"/>
      </w:pPr>
      <w:r>
        <w:rPr>
          <w:rFonts w:hAnsi="Arial"/>
          <w:rFonts w:ascii="Arial"/>
          <w:sz w:val="24"/>
          <w:b/>
          <w:vanish/>
          <w:color w:val="black"/>
        </w:rPr>
        <w:t>&amp;$</w:t>
      </w:r>
      <w:bookmarkStart w:id="62035" w:name="2.5.14.2.2"/>
      <w:r>
        <w:rPr>
          <w:rFonts w:hAnsi="Arial"/>
          <w:rFonts w:ascii="Arial"/>
          <w:sz w:val="24"/>
          <w:color w:val="navy"/>
        </w:rPr>
        <w:t xml:space="preserve">ARTΝCULO 2.5.14.2.2. CONSIDERACIONES PARA EL USO DE LA FUERZA.</w:t>
      </w:r>
      <w:bookmarkEnd w:id="6203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El personal uniformado de la Policνa Nacional podrα emplear la fuerza en el marco del Derecho Internacional de los Derechos Humanos y conforme con las siguientes consideraciones:</w:t>
      </w:r>
    </w:p>
    <w:p>
      <w:pPr>
        <w:jc w:val="both"/>
        <w:outlineLvl w:val="1"/>
      </w:pPr>
      <w:rPr>
        <w:sz w:val="24"/>
        <w:color w:val="black"/>
      </w:rPr>
    </w:p>
    <w:p>
      <w:pPr>
        <w:jc w:val="both"/>
        <w:outlineLvl w:val="1"/>
      </w:pPr>
      <w:r>
        <w:rPr>
          <w:rFonts w:hAnsi="Arial"/>
          <w:rFonts w:ascii="Arial"/>
          <w:sz w:val="24"/>
          <w:color w:val="black"/>
        </w:rPr>
        <w:t xml:space="preserve">a) Se respetarαn los derechos fundamentales de todas las personas, entre ellos el derecho a la vida, a la seguridad, a la libertad, al debido proceso, y a no ser sometida a torturas ni a tratos o penas crueles, inhumanos o degradantes, entre otros.</w:t>
      </w:r>
    </w:p>
    <w:p>
      <w:pPr>
        <w:jc w:val="both"/>
        <w:outlineLvl w:val="1"/>
      </w:pPr>
      <w:rPr>
        <w:sz w:val="24"/>
        <w:color w:val="black"/>
      </w:rPr>
    </w:p>
    <w:p>
      <w:pPr>
        <w:jc w:val="both"/>
        <w:outlineLvl w:val="1"/>
      </w:pPr>
      <w:r>
        <w:rPr>
          <w:rFonts w:hAnsi="Arial"/>
          <w:rFonts w:ascii="Arial"/>
          <w:sz w:val="24"/>
          <w:color w:val="black"/>
        </w:rPr>
        <w:t xml:space="preserve">b) Para los efectos de la intervenciσn, como primera medida, la Policνa Nacional debe recurrir a medios sustitutivos.</w:t>
      </w:r>
    </w:p>
    <w:p>
      <w:pPr>
        <w:jc w:val="both"/>
        <w:outlineLvl w:val="1"/>
      </w:pPr>
      <w:rPr>
        <w:sz w:val="24"/>
        <w:color w:val="black"/>
      </w:rPr>
    </w:p>
    <w:p>
      <w:pPr>
        <w:jc w:val="both"/>
        <w:outlineLvl w:val="1"/>
      </w:pPr>
      <w:r>
        <w:rPr>
          <w:rFonts w:hAnsi="Arial"/>
          <w:rFonts w:ascii="Arial"/>
          <w:sz w:val="24"/>
          <w:color w:val="black"/>
        </w:rPr>
        <w:t xml:space="preserve">c) Se utilizarα la fuerza sσlo cuando sea estrictamente necesario.</w:t>
      </w:r>
    </w:p>
    <w:p>
      <w:pPr>
        <w:jc w:val="both"/>
        <w:outlineLvl w:val="1"/>
      </w:pPr>
      <w:rPr>
        <w:sz w:val="24"/>
        <w:color w:val="black"/>
      </w:rPr>
    </w:p>
    <w:p>
      <w:pPr>
        <w:jc w:val="both"/>
        <w:outlineLvl w:val="1"/>
      </w:pPr>
      <w:r>
        <w:rPr>
          <w:rFonts w:hAnsi="Arial"/>
          <w:rFonts w:ascii="Arial"/>
          <w:sz w:val="24"/>
          <w:color w:val="black"/>
        </w:rPr>
        <w:t xml:space="preserve">d) Se utilizarα la fuerza sσlo para los fines lνcitos de aplicaciσn de la ley.</w:t>
      </w:r>
    </w:p>
    <w:p>
      <w:pPr>
        <w:jc w:val="both"/>
        <w:outlineLvl w:val="1"/>
      </w:pPr>
      <w:rPr>
        <w:sz w:val="24"/>
        <w:color w:val="black"/>
      </w:rPr>
    </w:p>
    <w:p>
      <w:pPr>
        <w:jc w:val="both"/>
        <w:outlineLvl w:val="1"/>
      </w:pPr>
      <w:r>
        <w:rPr>
          <w:rFonts w:hAnsi="Arial"/>
          <w:rFonts w:ascii="Arial"/>
          <w:sz w:val="24"/>
          <w:color w:val="black"/>
        </w:rPr>
        <w:t xml:space="preserve">e) No se admitirαn excepciones ni excusas para el uso ilegνtimo de la fuerza.</w:t>
      </w:r>
    </w:p>
    <w:p>
      <w:pPr>
        <w:jc w:val="both"/>
        <w:outlineLvl w:val="1"/>
      </w:pPr>
      <w:rPr>
        <w:sz w:val="24"/>
        <w:color w:val="black"/>
      </w:rPr>
    </w:p>
    <w:p>
      <w:pPr>
        <w:jc w:val="both"/>
        <w:outlineLvl w:val="1"/>
      </w:pPr>
      <w:r>
        <w:rPr>
          <w:rFonts w:hAnsi="Arial"/>
          <w:rFonts w:ascii="Arial"/>
          <w:sz w:val="24"/>
          <w:color w:val="black"/>
        </w:rPr>
        <w:t xml:space="preserve">f) El uso diferenciado y proporcional de la fuerza deberα estar siempre encaminado a la protecciσn de los bienes jurνdicamente tutelados por la Constituciσn y la ley.</w:t>
      </w:r>
    </w:p>
    <w:p>
      <w:pPr>
        <w:jc w:val="both"/>
        <w:outlineLvl w:val="1"/>
      </w:pPr>
      <w:rPr>
        <w:sz w:val="24"/>
        <w:color w:val="black"/>
      </w:rPr>
    </w:p>
    <w:p>
      <w:pPr>
        <w:jc w:val="both"/>
        <w:outlineLvl w:val="1"/>
      </w:pPr>
      <w:r>
        <w:rPr>
          <w:rFonts w:hAnsi="Arial"/>
          <w:rFonts w:ascii="Arial"/>
          <w:sz w:val="24"/>
          <w:color w:val="black"/>
        </w:rPr>
        <w:t xml:space="preserve">g) La fuerza se utilizarα siempre con moderaciσn.</w:t>
      </w:r>
    </w:p>
    <w:p>
      <w:pPr>
        <w:jc w:val="both"/>
        <w:outlineLvl w:val="1"/>
      </w:pPr>
      <w:rPr>
        <w:sz w:val="24"/>
        <w:color w:val="black"/>
      </w:rPr>
    </w:p>
    <w:p>
      <w:pPr>
        <w:jc w:val="both"/>
        <w:outlineLvl w:val="1"/>
      </w:pPr>
      <w:r>
        <w:rPr>
          <w:rFonts w:hAnsi="Arial"/>
          <w:rFonts w:ascii="Arial"/>
          <w:sz w:val="24"/>
          <w:color w:val="black"/>
        </w:rPr>
        <w:t xml:space="preserve">h) Se reducirαn al mνnimo los daρos y las lesiones.</w:t>
      </w:r>
    </w:p>
    <w:p>
      <w:pPr>
        <w:jc w:val="both"/>
        <w:outlineLvl w:val="1"/>
      </w:pPr>
      <w:rPr>
        <w:sz w:val="24"/>
        <w:color w:val="black"/>
      </w:rPr>
    </w:p>
    <w:p>
      <w:pPr>
        <w:jc w:val="both"/>
        <w:outlineLvl w:val="1"/>
      </w:pPr>
      <w:r>
        <w:rPr>
          <w:rFonts w:hAnsi="Arial"/>
          <w:rFonts w:ascii="Arial"/>
          <w:sz w:val="24"/>
          <w:color w:val="black"/>
        </w:rPr>
        <w:t xml:space="preserve">i) Se dispondrα de una serie de medios que permita un uso diferenciado y proporcional de la fuerza.</w:t>
      </w:r>
    </w:p>
    <w:p>
      <w:pPr>
        <w:jc w:val="both"/>
        <w:outlineLvl w:val="1"/>
      </w:pPr>
      <w:rPr>
        <w:sz w:val="24"/>
        <w:color w:val="black"/>
      </w:rPr>
    </w:p>
    <w:p>
      <w:pPr>
        <w:jc w:val="both"/>
        <w:outlineLvl w:val="1"/>
      </w:pPr>
      <w:r>
        <w:rPr>
          <w:rFonts w:hAnsi="Arial"/>
          <w:rFonts w:ascii="Arial"/>
          <w:sz w:val="24"/>
          <w:color w:val="black"/>
        </w:rPr>
        <w:t xml:space="preserve">j) Todos los policνas recibirαn entrenamiento en los medios sustitutivos y en la aplicaciσn de los medios para el uso diferenciado y proporcional de la fuerza.</w:t>
      </w:r>
    </w:p>
    <w:p>
      <w:pPr>
        <w:jc w:val="both"/>
        <w:outlineLvl w:val="1"/>
      </w:pPr>
      <w:rPr>
        <w:sz w:val="24"/>
        <w:color w:val="black"/>
      </w:rPr>
    </w:p>
    <w:p>
      <w:pPr>
        <w:jc w:val="both"/>
        <w:outlineLvl w:val="1"/>
      </w:pPr>
      <w:r>
        <w:rPr>
          <w:rFonts w:hAnsi="Arial"/>
          <w:rFonts w:ascii="Arial"/>
          <w:sz w:val="24"/>
          <w:color w:val="black"/>
        </w:rPr>
        <w:t xml:space="preserve">k) Utilizar la fuerza teniendo en cuenta los principios consagrados en este decreto.</w:t>
      </w:r>
    </w:p>
    <w:p>
      <w:pPr>
        <w:jc w:val="both"/>
        <w:outlineLvl w:val="1"/>
      </w:pPr>
      <w:rPr>
        <w:color w:val="black"/>
      </w:rPr>
    </w:p>
    <w:p>
      <w:pPr>
        <w:jc w:val="both"/>
        <w:outlineLvl w:val="1"/>
      </w:pPr>
      <w:r>
        <w:rPr>
          <w:rFonts w:hAnsi="Arial"/>
          <w:rFonts w:ascii="Arial"/>
          <w:sz w:val="24"/>
          <w:b/>
          <w:vanish/>
          <w:color w:val="black"/>
        </w:rPr>
        <w:t>&amp;$</w:t>
      </w:r>
      <w:bookmarkStart w:id="62036" w:name="2.5.14.2.3"/>
      <w:r>
        <w:rPr>
          <w:rFonts w:hAnsi="Arial"/>
          <w:rFonts w:ascii="Arial"/>
          <w:sz w:val="24"/>
          <w:color w:val="navy"/>
        </w:rPr>
        <w:t xml:space="preserve">ARTΝCULO 2.5.14.2.3. OBLIGACIONES.</w:t>
      </w:r>
      <w:bookmarkEnd w:id="6203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Para los efectos del uso proporcional y diferenciado de la fuerza, el Estado debe acatar, garantizar y aplicar los estαndares nacionales y supranacionales sobre derechos humanos en tres niveles, asν:</w:t>
      </w:r>
    </w:p>
    <w:p>
      <w:pPr>
        <w:jc w:val="both"/>
        <w:outlineLvl w:val="1"/>
      </w:pPr>
      <w:rPr>
        <w:sz w:val="24"/>
        <w:color w:val="black"/>
      </w:rPr>
      <w:br w:type="page"/>
    </w:p>
    <w:p>
      <w:pPr>
        <w:jc w:val="both"/>
        <w:outlineLvl w:val="1"/>
      </w:pPr>
      <w:r>
        <w:rPr>
          <w:rFonts w:hAnsi="Arial"/>
          <w:rFonts w:ascii="Arial"/>
          <w:sz w:val="24"/>
          <w:color w:val="black"/>
        </w:rPr>
        <w:t xml:space="preserve">a) En el primer nivel se considera al Estado y a sus autoridades de policνa como las responsables de garantizar y hacer cumplir dichos estαndares;</w:t>
      </w:r>
    </w:p>
    <w:p>
      <w:pPr>
        <w:jc w:val="both"/>
        <w:outlineLvl w:val="1"/>
      </w:pPr>
      <w:rPr>
        <w:sz w:val="24"/>
        <w:color w:val="black"/>
      </w:rPr>
    </w:p>
    <w:p>
      <w:pPr>
        <w:jc w:val="both"/>
        <w:outlineLvl w:val="1"/>
      </w:pPr>
      <w:r>
        <w:rPr>
          <w:rFonts w:hAnsi="Arial"/>
          <w:rFonts w:ascii="Arial"/>
          <w:sz w:val="24"/>
          <w:color w:val="black"/>
        </w:rPr>
        <w:t xml:space="preserve">b) En el segundo nivel se considera a la Policνa Nacional como la instituciσn responsable de implementar lineamientos, procedimientos y capacitaciones para asegurar el uso proporcional y diferenciado de la fuerza cumpliendo con los estαndares nacionales y supranacionales sobre derechos humanos;</w:t>
      </w:r>
    </w:p>
    <w:p>
      <w:pPr>
        <w:jc w:val="both"/>
        <w:outlineLvl w:val="1"/>
      </w:pPr>
      <w:rPr>
        <w:sz w:val="24"/>
        <w:color w:val="black"/>
      </w:rPr>
    </w:p>
    <w:p>
      <w:pPr>
        <w:jc w:val="both"/>
        <w:outlineLvl w:val="1"/>
      </w:pPr>
      <w:r>
        <w:rPr>
          <w:rFonts w:hAnsi="Arial"/>
          <w:rFonts w:ascii="Arial"/>
          <w:sz w:val="24"/>
          <w:color w:val="black"/>
        </w:rPr>
        <w:t xml:space="preserve">c) En el tercer nivel se considera que el personal uniformado de la Policνa Nacional es responsable exclusivo de ejecutar directamente el uso diferenciado y proporcional de la fuerza.</w:t>
      </w:r>
    </w:p>
    <w:p>
      <w:pPr>
        <w:jc w:val="both"/>
        <w:outlineLvl w:val="1"/>
      </w:pPr>
      <w:rPr>
        <w:color w:val="black"/>
      </w:rPr>
    </w:p>
    <w:p>
      <w:pPr>
        <w:jc w:val="both"/>
        <w:outlineLvl w:val="1"/>
      </w:pPr>
      <w:r>
        <w:rPr>
          <w:rFonts w:hAnsi="Arial"/>
          <w:rFonts w:ascii="Arial"/>
          <w:sz w:val="24"/>
          <w:b/>
          <w:vanish/>
          <w:color w:val="black"/>
        </w:rPr>
        <w:t>&amp;$</w:t>
      </w:r>
      <w:bookmarkStart w:id="62037" w:name="2.5.14.2.4"/>
      <w:r>
        <w:rPr>
          <w:rFonts w:hAnsi="Arial"/>
          <w:rFonts w:ascii="Arial"/>
          <w:sz w:val="24"/>
          <w:color w:val="navy"/>
        </w:rPr>
        <w:t xml:space="preserve">ARTICULO 2.5.14.2.4. OBLIGACIONES DEL ESTADO.</w:t>
      </w:r>
      <w:bookmarkEnd w:id="6203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El uso diferenciado y proporcional de la fuerza es una facultad exclusiva del Estado, que tiene la obligaciσn de garantizar las condiciones que se requieren para que no se produzcan violaciones del Derecho Internacional de los Derechos Humanos, y de igual manera, el deber de impedir que sus servidores atenten contra tales estαndares.</w:t>
      </w:r>
    </w:p>
    <w:p>
      <w:pPr>
        <w:jc w:val="both"/>
        <w:outlineLvl w:val="1"/>
      </w:pPr>
      <w:rPr>
        <w:color w:val="black"/>
      </w:rPr>
    </w:p>
    <w:p>
      <w:pPr>
        <w:jc w:val="both"/>
        <w:outlineLvl w:val="1"/>
      </w:pPr>
      <w:r>
        <w:rPr>
          <w:rFonts w:hAnsi="Arial"/>
          <w:rFonts w:ascii="Arial"/>
          <w:sz w:val="24"/>
          <w:b/>
          <w:vanish/>
          <w:color w:val="black"/>
        </w:rPr>
        <w:t>&amp;$</w:t>
      </w:r>
      <w:bookmarkStart w:id="62038" w:name="2.5.14.2.5"/>
      <w:r>
        <w:rPr>
          <w:rFonts w:hAnsi="Arial"/>
          <w:rFonts w:ascii="Arial"/>
          <w:sz w:val="24"/>
          <w:color w:val="navy"/>
        </w:rPr>
        <w:t xml:space="preserve">ARTΝCULO 2.5.14.2.5. OBLIGACIONES INSTITUCIONALES.</w:t>
      </w:r>
      <w:bookmarkEnd w:id="6203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De acuerdo con el alto grado de responsabilidad que conlleva el uso diferenciado y proporcional de la fuerza en la instituciσn policial, los mandos o superiores jerαrquicos tienen la obligaciσn de supervisar y controlar el cumplimiento de los protocolos, σrdenes y demαs normas constitucionales, legales y reglamentarias. Por tanto, deberαn adecuar la actividad de policνa a los siguientes criterios:</w:t>
      </w:r>
    </w:p>
    <w:p>
      <w:pPr>
        <w:jc w:val="both"/>
        <w:outlineLvl w:val="1"/>
      </w:pPr>
      <w:rPr>
        <w:sz w:val="24"/>
        <w:color w:val="black"/>
      </w:rPr>
    </w:p>
    <w:p>
      <w:pPr>
        <w:jc w:val="both"/>
        <w:outlineLvl w:val="1"/>
      </w:pPr>
      <w:r>
        <w:rPr>
          <w:rFonts w:hAnsi="Arial"/>
          <w:rFonts w:ascii="Arial"/>
          <w:sz w:val="24"/>
          <w:b/>
          <w:color w:val="black"/>
        </w:rPr>
        <w:t xml:space="preserve">a) </w:t>
      </w:r>
      <w:r>
        <w:rPr>
          <w:rFonts w:hAnsi="Arial"/>
          <w:rFonts w:ascii="Arial"/>
          <w:sz w:val="24"/>
          <w:color w:val="black"/>
        </w:rPr>
        <w:t xml:space="preserve">No podrαn tolerar ningϊn acto de corrupciσn antes, durante o despuιs de la actividad de Policνa, especialmente en lo concerniente con el uso diferenciado y proporcional de la fuerza.</w:t>
      </w:r>
    </w:p>
    <w:p>
      <w:pPr>
        <w:jc w:val="both"/>
        <w:outlineLvl w:val="1"/>
      </w:pPr>
      <w:rPr>
        <w:sz w:val="24"/>
        <w:color w:val="black"/>
      </w:rPr>
    </w:p>
    <w:p>
      <w:pPr>
        <w:jc w:val="both"/>
        <w:outlineLvl w:val="1"/>
      </w:pPr>
      <w:r>
        <w:rPr>
          <w:rFonts w:hAnsi="Arial"/>
          <w:rFonts w:ascii="Arial"/>
          <w:sz w:val="24"/>
          <w:b/>
          <w:color w:val="black"/>
        </w:rPr>
        <w:t xml:space="preserve">b) </w:t>
      </w:r>
      <w:r>
        <w:rPr>
          <w:rFonts w:hAnsi="Arial"/>
          <w:rFonts w:ascii="Arial"/>
          <w:sz w:val="24"/>
          <w:color w:val="black"/>
        </w:rPr>
        <w:t xml:space="preserve">Cuando las circunstancias lo posibiliten, antes de realizar un operativo o actividad de policνa se debe contar con una adecuada planeaciσn, la cual debe contener las medidas preventivas, concomitantes y posteriores que sean necesarias para evitar el uso de la fuerza de manera desproporcionada, teniendo en cuenta la naturaleza excepcional de la misma.</w:t>
      </w:r>
    </w:p>
    <w:p>
      <w:pPr>
        <w:jc w:val="both"/>
        <w:outlineLvl w:val="1"/>
      </w:pPr>
      <w:rPr>
        <w:sz w:val="24"/>
        <w:color w:val="black"/>
      </w:rPr>
    </w:p>
    <w:p>
      <w:pPr>
        <w:jc w:val="both"/>
        <w:outlineLvl w:val="1"/>
      </w:pPr>
      <w:r>
        <w:rPr>
          <w:rFonts w:hAnsi="Arial"/>
          <w:rFonts w:ascii="Arial"/>
          <w:sz w:val="24"/>
          <w:color w:val="black"/>
        </w:rPr>
        <w:t xml:space="preserve">c) Para los servicios de policνa cotidianos prestados por la instituciσn se deberα contar con una planeaciσn de contingencia en caso de situaciones extraordinarias o extremas, con el fin de priorizar mecanismos alternativos al uso proporcional y diferenciado de la fuerza cuando sea posible, de acuerdo con el territorio y las condiciones de tiempo, modo y lugar.</w:t>
      </w:r>
    </w:p>
    <w:p>
      <w:pPr>
        <w:jc w:val="both"/>
        <w:outlineLvl w:val="1"/>
      </w:pPr>
      <w:rPr>
        <w:sz w:val="24"/>
        <w:color w:val="black"/>
      </w:rPr>
    </w:p>
    <w:p>
      <w:pPr>
        <w:jc w:val="both"/>
        <w:outlineLvl w:val="1"/>
      </w:pPr>
      <w:r>
        <w:rPr>
          <w:rFonts w:hAnsi="Arial"/>
          <w:rFonts w:ascii="Arial"/>
          <w:sz w:val="24"/>
          <w:color w:val="black"/>
        </w:rPr>
        <w:t xml:space="preserve">d) Se debe propiciar y ejecutar una fluida comunicaciσn en la coordinaciσn y despliegue del servicio, que permita la toma de decisiones en la ejecuciσn de procedimientos o situaciones de crisis, supervisando en todo momento que se cumplan con las disposiciones antes, durante y despuιs, con base en los principios enunciados en el presente decreto.</w:t>
      </w:r>
    </w:p>
    <w:p>
      <w:pPr>
        <w:jc w:val="both"/>
        <w:outlineLvl w:val="1"/>
      </w:pPr>
      <w:rPr>
        <w:sz w:val="24"/>
        <w:color w:val="black"/>
      </w:rPr>
    </w:p>
    <w:p>
      <w:pPr>
        <w:jc w:val="both"/>
        <w:outlineLvl w:val="1"/>
      </w:pPr>
      <w:r>
        <w:rPr>
          <w:rFonts w:hAnsi="Arial"/>
          <w:rFonts w:ascii="Arial"/>
          <w:sz w:val="24"/>
          <w:color w:val="black"/>
        </w:rPr>
        <w:t>e)</w:t>
      </w:r>
      <w:r>
        <w:rPr>
          <w:rFonts w:hAnsi="Arial"/>
          <w:rFonts w:ascii="Arial"/>
          <w:sz w:val="24"/>
          <w:b/>
          <w:color w:val="black"/>
        </w:rPr>
        <w:t xml:space="preserve"> </w:t>
      </w:r>
      <w:r>
        <w:rPr>
          <w:rFonts w:hAnsi="Arial"/>
          <w:rFonts w:ascii="Arial"/>
          <w:sz w:val="24"/>
          <w:color w:val="black"/>
        </w:rPr>
        <w:t xml:space="preserve">Se deben generar mecanismos para registrar, informar y explicar a las autoridades competentes las situaciones y condiciones de tiempo, modo y lugar en las que se hizo uso de la fuerza; con el propσsito de fomentar el compromiso, la responsabilidad y la transparencia de la instituciσn y los profesionales de Policνa.</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personal uniformado de la Policνa Nacional al aplicar el medio de policνa uso de la fuerza, deberα dejar soportada su actuaciσn mediante un informe conforme al parαgrafo 4 del artνculo </w:t>
      </w:r>
      <w:r>
        <w:fldChar w:fldCharType="begin"/>
      </w:r>
      <w:r>
        <w:instrText>HYPERLINK "http://www.redjurista.com/document.aspx?ajcode=l1801016&amp;arts=166"</w:instrText>
      </w:r>
      <w:r>
        <w:fldChar w:fldCharType="separate"/>
      </w:r>
      <w:r>
        <w:rPr>
          <w:rFonts w:hAnsi="Arial"/>
          <w:rFonts w:ascii="Arial"/>
          <w:sz w:val="24"/>
          <w:u w:val="single"/>
          <w:color w:val="black"/>
        </w:rPr>
        <w:t>166</w:t>
      </w:r>
      <w:r>
        <w:fldChar w:fldCharType="end"/>
      </w:r>
      <w:r>
        <w:rPr>
          <w:rFonts w:hAnsi="Arial"/>
          <w:rFonts w:ascii="Arial"/>
          <w:sz w:val="24"/>
          <w:u w:val="none"/>
          <w:color w:val="black"/>
        </w:rPr>
        <w:t xml:space="preserve"> de la Ley 1801 de 2016.</w:t>
      </w:r>
    </w:p>
    <w:p>
      <w:pPr>
        <w:jc w:val="both"/>
        <w:outlineLvl w:val="1"/>
      </w:pPr>
      <w:rPr>
        <w:color w:val="black"/>
      </w:rPr>
    </w:p>
    <w:p>
      <w:pPr>
        <w:jc w:val="both"/>
        <w:outlineLvl w:val="1"/>
      </w:pPr>
      <w:r>
        <w:rPr>
          <w:rFonts w:hAnsi="Arial"/>
          <w:rFonts w:ascii="Arial"/>
          <w:sz w:val="24"/>
          <w:b/>
          <w:vanish/>
          <w:color w:val="black"/>
        </w:rPr>
        <w:t>&amp;$</w:t>
      </w:r>
      <w:bookmarkStart w:id="62039" w:name="2.5.14.2.6"/>
      <w:r>
        <w:rPr>
          <w:rFonts w:hAnsi="Arial"/>
          <w:rFonts w:ascii="Arial"/>
          <w:sz w:val="24"/>
          <w:color w:val="navy"/>
        </w:rPr>
        <w:t xml:space="preserve">ARTΝCULO 2.5.14.2.6. OBLIGACIONES INDIVIDUALES.</w:t>
      </w:r>
      <w:bookmarkEnd w:id="6203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adecuada ejecuciσn de las siguientes acciones es fundamental para la actividad de policνa:</w:t>
      </w:r>
    </w:p>
    <w:p>
      <w:pPr>
        <w:jc w:val="both"/>
        <w:outlineLvl w:val="1"/>
      </w:pPr>
      <w:rPr>
        <w:sz w:val="24"/>
        <w:color w:val="black"/>
      </w:rPr>
    </w:p>
    <w:p>
      <w:pPr>
        <w:jc w:val="both"/>
        <w:outlineLvl w:val="1"/>
      </w:pPr>
      <w:r>
        <w:rPr>
          <w:rFonts w:hAnsi="Arial"/>
          <w:rFonts w:ascii="Arial"/>
          <w:sz w:val="24"/>
          <w:b/>
          <w:color w:val="black"/>
        </w:rPr>
        <w:t xml:space="preserve">1. Obligaciones del superior en jerarquνa en el procedimiento de policνa.</w:t>
      </w:r>
    </w:p>
    <w:p>
      <w:pPr>
        <w:jc w:val="both"/>
        <w:outlineLvl w:val="1"/>
      </w:pPr>
      <w:rPr>
        <w:sz w:val="24"/>
        <w:color w:val="black"/>
      </w:rPr>
    </w:p>
    <w:p>
      <w:pPr>
        <w:jc w:val="both"/>
        <w:outlineLvl w:val="1"/>
      </w:pPr>
      <w:r>
        <w:rPr>
          <w:rFonts w:hAnsi="Arial"/>
          <w:rFonts w:ascii="Arial"/>
          <w:sz w:val="24"/>
          <w:color w:val="black"/>
        </w:rPr>
        <w:t xml:space="preserve">a) Verificar que el personal uniformado de policνa lleve el equipamiento necesario para el tipo de operaciσn policial que se vaya a realizar de acuerdo con la naturaleza del servicio que se preste, en el marco de la reglamentaciσn institucional vigente.</w:t>
      </w:r>
    </w:p>
    <w:p>
      <w:pPr>
        <w:jc w:val="both"/>
        <w:outlineLvl w:val="1"/>
      </w:pPr>
      <w:rPr>
        <w:sz w:val="24"/>
        <w:color w:val="black"/>
      </w:rPr>
    </w:p>
    <w:p>
      <w:pPr>
        <w:jc w:val="both"/>
        <w:outlineLvl w:val="1"/>
      </w:pPr>
      <w:r>
        <w:rPr>
          <w:rFonts w:hAnsi="Arial"/>
          <w:rFonts w:ascii="Arial"/>
          <w:sz w:val="24"/>
          <w:color w:val="black"/>
        </w:rPr>
        <w:t xml:space="preserve">b) Supervisar que el personal uniformado de policνa, antes de salir al servicio cuente con las instrucciones necesarias para generar una respuesta razonable ante el uso de la fuerza,</w:t>
      </w:r>
    </w:p>
    <w:p>
      <w:pPr>
        <w:jc w:val="both"/>
        <w:outlineLvl w:val="1"/>
      </w:pPr>
      <w:rPr>
        <w:sz w:val="24"/>
        <w:color w:val="black"/>
      </w:rPr>
    </w:p>
    <w:p>
      <w:pPr>
        <w:jc w:val="both"/>
        <w:outlineLvl w:val="1"/>
      </w:pPr>
      <w:r>
        <w:rPr>
          <w:rFonts w:hAnsi="Arial"/>
          <w:rFonts w:ascii="Arial"/>
          <w:sz w:val="24"/>
          <w:color w:val="black"/>
        </w:rPr>
        <w:t xml:space="preserve">teniendo presente lo que para ello presupone la vida e integridad fνsica de las personas.</w:t>
      </w:r>
    </w:p>
    <w:p>
      <w:pPr>
        <w:jc w:val="both"/>
        <w:outlineLvl w:val="1"/>
      </w:pPr>
      <w:rPr>
        <w:sz w:val="24"/>
        <w:color w:val="black"/>
      </w:rPr>
    </w:p>
    <w:p>
      <w:pPr>
        <w:jc w:val="both"/>
        <w:outlineLvl w:val="1"/>
      </w:pPr>
      <w:r>
        <w:rPr>
          <w:rFonts w:hAnsi="Arial"/>
          <w:rFonts w:ascii="Arial"/>
          <w:sz w:val="24"/>
          <w:color w:val="black"/>
        </w:rPr>
        <w:t xml:space="preserve">c) Verificar el desempeρo del personal uniformado en tιrminos de eficacia, frente al servicio que se presta a la comunidad, en especial lo concerniente al uso de la fuerza, generando acciones de mejora continua para evitar afectaciones a los derechos humanos de las personas.</w:t>
      </w:r>
    </w:p>
    <w:p>
      <w:pPr>
        <w:jc w:val="both"/>
        <w:outlineLvl w:val="1"/>
      </w:pPr>
      <w:rPr>
        <w:sz w:val="24"/>
        <w:color w:val="black"/>
      </w:rPr>
    </w:p>
    <w:p>
      <w:pPr>
        <w:jc w:val="both"/>
        <w:outlineLvl w:val="1"/>
      </w:pPr>
      <w:r>
        <w:rPr>
          <w:rFonts w:hAnsi="Arial"/>
          <w:rFonts w:ascii="Arial"/>
          <w:sz w:val="24"/>
          <w:color w:val="black"/>
        </w:rPr>
        <w:t xml:space="preserve">El superior jerαrquico en la instituciσn cuenta con la responsabilidad de planear el servicio, verificar su correcta ejecuciσn y evaluarlo una vez culmine, estableciendo acciones de mejora continua que optimicen el desempeρo tιcnico y tαctico de los funcionarios de policνa a la hora de emplear la fuerza y los mecanismos sustitutivos a esta.</w:t>
      </w:r>
    </w:p>
    <w:p>
      <w:pPr>
        <w:jc w:val="both"/>
        <w:outlineLvl w:val="1"/>
      </w:pPr>
      <w:rPr>
        <w:sz w:val="24"/>
        <w:color w:val="black"/>
      </w:rPr>
    </w:p>
    <w:p>
      <w:pPr>
        <w:jc w:val="both"/>
        <w:outlineLvl w:val="1"/>
      </w:pPr>
      <w:r>
        <w:rPr>
          <w:rFonts w:hAnsi="Arial"/>
          <w:rFonts w:ascii="Arial"/>
          <w:sz w:val="24"/>
          <w:color w:val="black"/>
        </w:rPr>
        <w:t xml:space="preserve">d) Realizar acciones de supervisiσn para evitar la materializaciσn de los riesgos asociados al incumplimiento de las disposiciones contenidas en el presente decreto.</w:t>
      </w:r>
    </w:p>
    <w:p>
      <w:pPr>
        <w:jc w:val="both"/>
        <w:outlineLvl w:val="1"/>
      </w:pPr>
      <w:rPr>
        <w:sz w:val="24"/>
        <w:color w:val="black"/>
      </w:rPr>
    </w:p>
    <w:p>
      <w:pPr>
        <w:jc w:val="both"/>
        <w:outlineLvl w:val="1"/>
      </w:pPr>
      <w:r>
        <w:rPr>
          <w:rFonts w:hAnsi="Arial"/>
          <w:rFonts w:ascii="Arial"/>
          <w:sz w:val="24"/>
          <w:color w:val="black"/>
        </w:rPr>
        <w:t xml:space="preserve">e) Segϊn el conducto regular de la Policνa Nacional, informar a las autoridades competentes cuando existan motivos de probables faltas disciplinarias o incumplimiento de los deberes legales ocasionadas por sus subordinados durante el uso de la fuerza.</w:t>
      </w:r>
    </w:p>
    <w:p>
      <w:pPr>
        <w:jc w:val="both"/>
        <w:outlineLvl w:val="1"/>
      </w:pPr>
      <w:rPr>
        <w:sz w:val="24"/>
        <w:color w:val="black"/>
      </w:rPr>
    </w:p>
    <w:p>
      <w:pPr>
        <w:jc w:val="both"/>
        <w:outlineLvl w:val="1"/>
      </w:pPr>
      <w:r>
        <w:rPr>
          <w:rFonts w:hAnsi="Arial"/>
          <w:rFonts w:ascii="Arial"/>
          <w:sz w:val="24"/>
          <w:b/>
          <w:color w:val="black"/>
        </w:rPr>
        <w:t xml:space="preserve">2. Obligaciones individuales del uniformado de policνa.</w:t>
      </w:r>
    </w:p>
    <w:p>
      <w:pPr>
        <w:jc w:val="both"/>
        <w:outlineLvl w:val="1"/>
      </w:pPr>
      <w:rPr>
        <w:sz w:val="24"/>
        <w:color w:val="black"/>
      </w:rPr>
    </w:p>
    <w:p>
      <w:pPr>
        <w:jc w:val="both"/>
        <w:outlineLvl w:val="1"/>
      </w:pPr>
      <w:r>
        <w:rPr>
          <w:rFonts w:hAnsi="Arial"/>
          <w:rFonts w:ascii="Arial"/>
          <w:sz w:val="24"/>
          <w:color w:val="black"/>
        </w:rPr>
        <w:t xml:space="preserve">a) Todo motivo de policνa en el que se haga uso diferenciado y proporcional de la fuerza se comunicarα a sus superiores.</w:t>
      </w:r>
    </w:p>
    <w:p>
      <w:pPr>
        <w:jc w:val="both"/>
        <w:outlineLvl w:val="1"/>
      </w:pPr>
      <w:rPr>
        <w:sz w:val="24"/>
        <w:color w:val="black"/>
      </w:rPr>
    </w:p>
    <w:p>
      <w:pPr>
        <w:jc w:val="both"/>
        <w:outlineLvl w:val="1"/>
      </w:pPr>
      <w:r>
        <w:rPr>
          <w:rFonts w:hAnsi="Arial"/>
          <w:rFonts w:ascii="Arial"/>
          <w:sz w:val="24"/>
          <w:color w:val="black"/>
        </w:rPr>
        <w:t xml:space="preserve">b) Los funcionarios no estαn obligados a obedecer una orden ilνcita.</w:t>
      </w:r>
    </w:p>
    <w:p>
      <w:pPr>
        <w:jc w:val="both"/>
        <w:outlineLvl w:val="1"/>
      </w:pPr>
      <w:rPr>
        <w:sz w:val="24"/>
        <w:color w:val="black"/>
      </w:rPr>
    </w:p>
    <w:p>
      <w:pPr>
        <w:jc w:val="both"/>
        <w:outlineLvl w:val="1"/>
      </w:pPr>
      <w:r>
        <w:rPr>
          <w:rFonts w:hAnsi="Arial"/>
          <w:rFonts w:ascii="Arial"/>
          <w:sz w:val="24"/>
          <w:color w:val="black"/>
        </w:rPr>
        <w:t xml:space="preserve">c) No podrα alegarse el acatamiento de σrdenes superiores para eludir responsabilidades en caso de abuso de estas normas.</w:t>
      </w:r>
    </w:p>
    <w:p>
      <w:pPr>
        <w:jc w:val="both"/>
        <w:outlineLvl w:val="1"/>
      </w:pPr>
      <w:rPr>
        <w:sz w:val="24"/>
        <w:color w:val="black"/>
      </w:rPr>
    </w:p>
    <w:p>
      <w:pPr>
        <w:jc w:val="both"/>
        <w:outlineLvl w:val="1"/>
      </w:pPr>
      <w:r>
        <w:rPr>
          <w:rFonts w:hAnsi="Arial"/>
          <w:rFonts w:ascii="Arial"/>
          <w:sz w:val="24"/>
          <w:color w:val="black"/>
        </w:rPr>
        <w:t xml:space="preserve">d) En concordancia con lo establecido en el parαgrafo del artνculo </w:t>
      </w:r>
      <w:r>
        <w:fldChar w:fldCharType="begin"/>
      </w:r>
      <w:r>
        <w:instrText>HYPERLINK "http://www.redjurista.com/document.aspx?ajcode=d1070015&amp;arts=2.5.14.2.5"</w:instrText>
      </w:r>
      <w:r>
        <w:fldChar w:fldCharType="separate"/>
      </w:r>
      <w:r>
        <w:rPr>
          <w:rFonts w:hAnsi="Arial"/>
          <w:rFonts w:ascii="Arial"/>
          <w:sz w:val="24"/>
          <w:u w:val="single"/>
          <w:color w:val="black"/>
        </w:rPr>
        <w:t>2.5.14.2.5</w:t>
      </w:r>
      <w:r>
        <w:fldChar w:fldCharType="end"/>
      </w:r>
      <w:r>
        <w:rPr>
          <w:rFonts w:hAnsi="Arial"/>
          <w:rFonts w:ascii="Arial"/>
          <w:sz w:val="24"/>
          <w:u w:val="none"/>
          <w:color w:val="black"/>
        </w:rPr>
        <w:t xml:space="preserve">. del presente decreto, en el reporte del uso de la fuerza deberα indicarse la naturaleza de la actividad de policνa que haya sido prestado, asν como las condiciones de tiempo, modo y lugar que justificaron dicho empleo.</w:t>
      </w:r>
    </w:p>
    <w:p>
      <w:pPr>
        <w:jc w:val="both"/>
        <w:outlineLvl w:val="1"/>
      </w:pPr>
      <w:rPr>
        <w:color w:val="black"/>
      </w:rPr>
    </w:p>
    <w:p>
      <w:pPr>
        <w:jc w:val="both"/>
        <w:outlineLvl w:val="1"/>
      </w:pPr>
      <w:r>
        <w:rPr>
          <w:rFonts w:hAnsi="Arial"/>
          <w:rFonts w:ascii="Arial"/>
          <w:sz w:val="24"/>
          <w:b/>
          <w:vanish/>
          <w:color w:val="black"/>
        </w:rPr>
        <w:t>&amp;$</w:t>
      </w:r>
      <w:bookmarkStart w:id="62040" w:name="2.5.14.2.7"/>
      <w:r>
        <w:rPr>
          <w:rFonts w:hAnsi="Arial"/>
          <w:rFonts w:ascii="Arial"/>
          <w:sz w:val="24"/>
          <w:color w:val="navy"/>
        </w:rPr>
        <w:t xml:space="preserve">ARTΝCULO 2.5.14.2.7. MODELO PARA EL USO DIFERENCIADO Y PROPORCIONAL DE LA FUERZA.</w:t>
      </w:r>
      <w:bookmarkEnd w:id="6204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Las autoridades de policνa, al intervenir un motivo de policνa en el cumplimiento de su actividad, harαn una valoraciσn tαctica de la zona, de los problemas y de los riesgos, asν como de las variables de conducta, que van desde la resistencia pasiva hasta la agresiσn letal. El siguiente modelo situacional contempla la percepciσn del riesgo versus la seguridad (equipamiento, objetivo legal y comunicaciσn) la cual permite brindar una respuesta razonable, utilizando mιtodos que varνan de acuerdo con las circunstancias de tiempo modo y lugar, los cuales pueden escalar o desescalar:</w:t>
      </w:r>
    </w:p>
    <w:p>
      <w:pPr>
        <w:jc w:val="both"/>
        <w:outlineLvl w:val="1"/>
      </w:pPr>
      <w:rPr>
        <w:sz w:val="24"/>
        <w:color w:val="black"/>
      </w:rPr>
    </w:p>
    <w:p>
      <w:pPr>
        <w:jc w:val="center"/>
        <w:outlineLvl w:val="1"/>
      </w:pPr>
      <w:r>
        <w:rPr>
          <w:rFonts w:hAnsi="Arial"/>
          <w:rFonts w:ascii="Arial"/>
          <w:b/>
          <w:color w:val="black"/>
        </w:rPr>
        <w:t xml:space="preserve">MODELO PARA EL USO DIFERENCIADO Y PROPORCIONAL DE LA FUERZA</w:t>
      </w:r>
    </w:p>
    <w:p>
      <w:pPr>
        <w:jc w:val="center"/>
        <w:outlineLvl w:val="1"/>
      </w:pPr>
      <w:r>
        <w:drawing>
          <wp:inline distT="0" distB="0" distL="0" distR="0">
            <wp:extent cx="5381625" cy="2571750"/>
            <wp:docPr id="46" name=""/>
            <a:graphic xmlns:a="http://schemas.openxmlformats.org/drawingml/2006/main">
              <a:graphicData uri="http://schemas.openxmlformats.org/drawingml/2006/picture">
                <pic:pic xmlns:pic="http://schemas.openxmlformats.org/drawingml/2006/picture">
                  <pic:nvPicPr>
                    <pic:cNvPr id="45" name="Picture "/>
                    <pic:cNvPicPr/>
                  </pic:nvPicPr>
                  <pic:blipFill>
                    <a:blip r:embed="id45"/>
                    <a:stretch>
                      <a:fillRect/>
                    </a:stretch>
                  </pic:blipFill>
                  <pic:spPr>
                    <a:xfrm>
                      <a:off x="0" y="0"/>
                      <a:ext cx="5381625" cy="2571750"/>
                    </a:xfrm>
                    <a:prstGeom prst="rect">
                      <a:avLst/>
                    </a:prstGeom>
                  </pic:spPr>
                </pic:pic>
              </a:graphicData>
            </a:graphic>
          </wp:inline>
        </w:drawing>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Conforme con el modelo establecido en el presente decreto, la Policνa Nacional desarrollarα las disposiciones que permitan su implementaciσn, de acuerdo con los preceptos del presente decreto.</w:t>
      </w:r>
    </w:p>
    <w:p>
      <w:pPr>
        <w:jc w:val="both"/>
        <w:outlineLvl w:val="1"/>
      </w:pPr>
      <w:rPr>
        <w:color w:val="black"/>
      </w:rPr>
    </w:p>
    <w:p>
      <w:pPr>
        <w:jc w:val="both"/>
        <w:outlineLvl w:val="1"/>
      </w:pPr>
      <w:r>
        <w:rPr>
          <w:rFonts w:hAnsi="Arial"/>
          <w:rFonts w:ascii="Arial"/>
          <w:sz w:val="24"/>
          <w:b/>
          <w:vanish/>
          <w:color w:val="black"/>
        </w:rPr>
        <w:t>&amp;$</w:t>
      </w:r>
      <w:bookmarkStart w:id="62041" w:name="2.5.14.2.8"/>
      <w:r>
        <w:rPr>
          <w:rFonts w:hAnsi="Arial"/>
          <w:rFonts w:ascii="Arial"/>
          <w:sz w:val="24"/>
          <w:color w:val="navy"/>
        </w:rPr>
        <w:t xml:space="preserve">ARTΝCULO 2.5.14.2.8. VARIABLES DE LAS CONDUCTAS.</w:t>
      </w:r>
      <w:bookmarkEnd w:id="6204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Las conductas y comportamientos asumidos por las personas que determinan la actuaciσn policial se clasifican de la siguiente forma:</w:t>
      </w:r>
    </w:p>
    <w:p>
      <w:pPr>
        <w:jc w:val="both"/>
        <w:outlineLvl w:val="1"/>
      </w:pPr>
      <w:rPr>
        <w:sz w:val="24"/>
        <w:color w:val="black"/>
      </w:rPr>
    </w:p>
    <w:p>
      <w:pPr>
        <w:jc w:val="both"/>
        <w:outlineLvl w:val="1"/>
      </w:pPr>
      <w:r>
        <w:rPr>
          <w:rFonts w:hAnsi="Arial"/>
          <w:rFonts w:ascii="Arial"/>
          <w:sz w:val="24"/>
          <w:b/>
          <w:color w:val="black"/>
        </w:rPr>
        <w:t xml:space="preserve">1. Cooperante. </w:t>
      </w:r>
      <w:r>
        <w:rPr>
          <w:rFonts w:hAnsi="Arial"/>
          <w:rFonts w:ascii="Arial"/>
          <w:sz w:val="24"/>
          <w:color w:val="black"/>
        </w:rPr>
        <w:t xml:space="preserve">Conductas de una persona o un grupo de personas que se pueden percibir en determinado momento como colaborador(es) o reticente(s) al acatamiento de las indicaciones de la Policνa, sin resistencia fνsica durante la intervenciσn.</w:t>
      </w:r>
    </w:p>
    <w:p>
      <w:pPr>
        <w:jc w:val="both"/>
        <w:outlineLvl w:val="1"/>
      </w:pPr>
      <w:rPr>
        <w:sz w:val="24"/>
        <w:color w:val="black"/>
      </w:rPr>
    </w:p>
    <w:p>
      <w:pPr>
        <w:jc w:val="both"/>
        <w:outlineLvl w:val="1"/>
      </w:pPr>
      <w:r>
        <w:rPr>
          <w:rFonts w:hAnsi="Arial"/>
          <w:rFonts w:ascii="Arial"/>
          <w:sz w:val="24"/>
          <w:b/>
          <w:color w:val="black"/>
        </w:rPr>
        <w:t xml:space="preserve">2. Resistencia. </w:t>
      </w:r>
      <w:r>
        <w:rPr>
          <w:rFonts w:hAnsi="Arial"/>
          <w:rFonts w:ascii="Arial"/>
          <w:sz w:val="24"/>
          <w:color w:val="black"/>
        </w:rPr>
        <w:t xml:space="preserve">Segϊn el modelo para el uso diferenciado y proporcional de la fuerza, la percepciσn del riesgo es leve. Puede manifestarse bajo la siguiente modalidad:</w:t>
      </w:r>
    </w:p>
    <w:p>
      <w:pPr>
        <w:jc w:val="both"/>
        <w:outlineLvl w:val="1"/>
      </w:pPr>
      <w:rPr>
        <w:sz w:val="24"/>
        <w:color w:val="black"/>
      </w:rPr>
    </w:p>
    <w:p>
      <w:pPr>
        <w:jc w:val="both"/>
        <w:outlineLvl w:val="1"/>
      </w:pPr>
      <w:r>
        <w:rPr>
          <w:rFonts w:hAnsi="Arial"/>
          <w:rFonts w:ascii="Arial"/>
          <w:sz w:val="24"/>
          <w:b/>
          <w:color w:val="black"/>
        </w:rPr>
        <w:t xml:space="preserve">2.1. Resistencia pasiva: </w:t>
      </w:r>
      <w:r>
        <w:rPr>
          <w:rFonts w:hAnsi="Arial"/>
          <w:rFonts w:ascii="Arial"/>
          <w:sz w:val="24"/>
          <w:color w:val="black"/>
        </w:rPr>
        <w:t xml:space="preserve">Es la persona o grupo de personas que no colaboran al no acatar las σrdenes o sugerencias de policνa, pero no reaccionan con violencia y no agreden fνsicamente.</w:t>
      </w:r>
    </w:p>
    <w:p>
      <w:pPr>
        <w:jc w:val="both"/>
        <w:outlineLvl w:val="1"/>
      </w:pPr>
      <w:rPr>
        <w:sz w:val="24"/>
        <w:color w:val="black"/>
      </w:rPr>
    </w:p>
    <w:p>
      <w:pPr>
        <w:jc w:val="both"/>
        <w:outlineLvl w:val="1"/>
      </w:pPr>
      <w:r>
        <w:rPr>
          <w:rFonts w:hAnsi="Arial"/>
          <w:rFonts w:ascii="Arial"/>
          <w:sz w:val="24"/>
          <w:b/>
          <w:color w:val="black"/>
        </w:rPr>
        <w:t xml:space="preserve">2.2. Resistencia activa: </w:t>
      </w:r>
      <w:r>
        <w:rPr>
          <w:rFonts w:hAnsi="Arial"/>
          <w:rFonts w:ascii="Arial"/>
          <w:sz w:val="24"/>
          <w:color w:val="black"/>
        </w:rPr>
        <w:t xml:space="preserve">Es la persona o grupo de personas que se oponen de manera fνsica a las σrdenes o sugerencias emitidas por el uniformado, pudiendo llegar a un desafνo de la autoridad que puede escalar, pero no se convierte en una agresiσn fνsica.</w:t>
      </w:r>
    </w:p>
    <w:p>
      <w:pPr>
        <w:jc w:val="both"/>
        <w:outlineLvl w:val="1"/>
      </w:pPr>
      <w:rPr>
        <w:sz w:val="24"/>
        <w:color w:val="black"/>
      </w:rPr>
    </w:p>
    <w:p>
      <w:pPr>
        <w:jc w:val="both"/>
        <w:outlineLvl w:val="1"/>
      </w:pPr>
      <w:r>
        <w:rPr>
          <w:rFonts w:hAnsi="Arial"/>
          <w:rFonts w:ascii="Arial"/>
          <w:sz w:val="24"/>
          <w:b/>
          <w:color w:val="black"/>
        </w:rPr>
        <w:t xml:space="preserve">3. Agresiσn. </w:t>
      </w:r>
      <w:r>
        <w:rPr>
          <w:rFonts w:hAnsi="Arial"/>
          <w:rFonts w:ascii="Arial"/>
          <w:sz w:val="24"/>
          <w:color w:val="black"/>
        </w:rPr>
        <w:t xml:space="preserve">Son las conductas efectuadas por las personas que podrνan aplicar la fuerza o la violencia fνsica en contra del personal policial, terceras personas o contra sν mismas, en el marco de un motivo de policνa. Estas agresiones pueden escalar la percepciσn del riesgo, partiendo desde probables lesiones moderadas (no letales) a graves que, podrνan llegar a ser letales. La agresiσn puede manifestarse bajo las siguientes modalidades:</w:t>
      </w:r>
    </w:p>
    <w:p>
      <w:pPr>
        <w:jc w:val="both"/>
        <w:outlineLvl w:val="1"/>
      </w:pPr>
      <w:rPr>
        <w:sz w:val="24"/>
        <w:color w:val="black"/>
      </w:rPr>
    </w:p>
    <w:p>
      <w:pPr>
        <w:jc w:val="both"/>
        <w:outlineLvl w:val="1"/>
      </w:pPr>
      <w:r>
        <w:rPr>
          <w:rFonts w:hAnsi="Arial"/>
          <w:rFonts w:ascii="Arial"/>
          <w:sz w:val="24"/>
          <w:b/>
          <w:color w:val="black"/>
        </w:rPr>
        <w:t xml:space="preserve">3.1. Agresiσn no letal o moderada: </w:t>
      </w:r>
      <w:r>
        <w:rPr>
          <w:rFonts w:hAnsi="Arial"/>
          <w:rFonts w:ascii="Arial"/>
          <w:sz w:val="24"/>
          <w:color w:val="black"/>
        </w:rPr>
        <w:t xml:space="preserve">Se trata de la aplicaciσn de fuerza moderada o violencia fνsica, pudiendo utilizar objetos que propicien lesiones leves o atenten contra la integridad fνsica, pero que no ponen en riesgo o peligro la vida.</w:t>
      </w:r>
    </w:p>
    <w:p>
      <w:pPr>
        <w:jc w:val="both"/>
        <w:outlineLvl w:val="1"/>
      </w:pPr>
      <w:rPr>
        <w:sz w:val="24"/>
        <w:color w:val="black"/>
      </w:rPr>
    </w:p>
    <w:p>
      <w:pPr>
        <w:jc w:val="both"/>
        <w:outlineLvl w:val="1"/>
      </w:pPr>
      <w:r>
        <w:rPr>
          <w:rFonts w:hAnsi="Arial"/>
          <w:rFonts w:ascii="Arial"/>
          <w:sz w:val="24"/>
          <w:b/>
          <w:color w:val="black"/>
        </w:rPr>
        <w:t xml:space="preserve">3.2. Agresiσn grave o letal: </w:t>
      </w:r>
      <w:r>
        <w:rPr>
          <w:rFonts w:hAnsi="Arial"/>
          <w:rFonts w:ascii="Arial"/>
          <w:sz w:val="24"/>
          <w:color w:val="black"/>
        </w:rPr>
        <w:t xml:space="preserve">Se trata de la aplicaciσn de un alto nivel de fuerza fνsica o violenta sobre el cuerpo de una persona, pudiendo utilizar objetos con suficiente intensidad como para provocar lesiones corporales graves o permanente, es decir, que afecten el derecho a la salud y la integridad personal, o pongan en riesgo la vida.</w:t>
      </w:r>
    </w:p>
    <w:p>
      <w:pPr>
        <w:jc w:val="both"/>
        <w:outlineLvl w:val="1"/>
      </w:pPr>
      <w:rPr>
        <w:color w:val="black"/>
      </w:rPr>
    </w:p>
    <w:p>
      <w:pPr>
        <w:jc w:val="both"/>
        <w:outlineLvl w:val="1"/>
      </w:pPr>
      <w:r>
        <w:rPr>
          <w:rFonts w:hAnsi="Arial"/>
          <w:rFonts w:ascii="Arial"/>
          <w:sz w:val="24"/>
          <w:b/>
          <w:vanish/>
          <w:color w:val="black"/>
        </w:rPr>
        <w:t>&amp;$</w:t>
      </w:r>
      <w:bookmarkStart w:id="62042" w:name="2.5.14.2.9"/>
      <w:r>
        <w:rPr>
          <w:rFonts w:hAnsi="Arial"/>
          <w:rFonts w:ascii="Arial"/>
          <w:sz w:val="24"/>
          <w:color w:val="navy"/>
        </w:rPr>
        <w:t xml:space="preserve">ARTΝCULO 2.5.14.2.9. SEGURIDAD.</w:t>
      </w:r>
      <w:bookmarkEnd w:id="6204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Al hacer uso de la fuerza de manera proporcional y diferenciada, el personal uniformado debe demostrar autoridad apoyado en equipamiento y comunicaciσn. Para ello, deben estar formados, entrenados y equipados con medios tιcnicos, tecnolσgicos y de protecciσn personal.</w:t>
      </w:r>
    </w:p>
    <w:p>
      <w:pPr>
        <w:jc w:val="both"/>
        <w:outlineLvl w:val="1"/>
      </w:pPr>
      <w:rPr>
        <w:color w:val="black"/>
      </w:rPr>
    </w:p>
    <w:p>
      <w:pPr>
        <w:jc w:val="both"/>
        <w:outlineLvl w:val="1"/>
      </w:pPr>
      <w:r>
        <w:rPr>
          <w:rFonts w:hAnsi="Arial"/>
          <w:rFonts w:ascii="Arial"/>
          <w:sz w:val="24"/>
          <w:b/>
          <w:vanish/>
          <w:color w:val="black"/>
        </w:rPr>
        <w:t>&amp;$</w:t>
      </w:r>
      <w:bookmarkStart w:id="62043" w:name="2.5.14.2.10"/>
      <w:r>
        <w:rPr>
          <w:rFonts w:hAnsi="Arial"/>
          <w:rFonts w:ascii="Arial"/>
          <w:sz w:val="24"/>
          <w:color w:val="navy"/>
        </w:rPr>
        <w:t xml:space="preserve">ARTΝCULO 2.5.14.2.10. PERCEPCIΣN DEL RIESGO.</w:t>
      </w:r>
      <w:bookmarkEnd w:id="6204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Las autoridades de policνa, una vez analizada la conducta del presunto infractor de la ley o de las personas objeto de la intervenciσn de policνa, deberαn realizar una valoraciσn de la percepciσn de seguridad que el entorno o las personas ofrecen para con su vida e integridad fνsica, o de terceras personas, al igual que el riesgo que cada circunstancia presupone, con el fin de asumir una posiciσn o actitud tαctica acorde con la situaciσn, teniendo en cuenta el equipo o medios de apoyo disponibles para disminuir afectaciones o riesgos durante la intervenciσn policial. Esto en razσn a la existencia latente de riesgo, es decir, amenazas permanentes no visibles en el procedimiento que es motivo de policνa.</w:t>
      </w:r>
    </w:p>
    <w:p>
      <w:pPr>
        <w:jc w:val="both"/>
        <w:outlineLvl w:val="1"/>
      </w:pPr>
      <w:rPr>
        <w:color w:val="black"/>
      </w:rPr>
    </w:p>
    <w:p>
      <w:pPr>
        <w:jc w:val="both"/>
        <w:outlineLvl w:val="1"/>
      </w:pPr>
      <w:r>
        <w:rPr>
          <w:rFonts w:hAnsi="Arial"/>
          <w:rFonts w:ascii="Arial"/>
          <w:sz w:val="24"/>
          <w:b/>
          <w:vanish/>
          <w:color w:val="black"/>
        </w:rPr>
        <w:t>&amp;$</w:t>
      </w:r>
      <w:bookmarkStart w:id="62044" w:name="2.5.14.2.11"/>
      <w:r>
        <w:rPr>
          <w:rFonts w:hAnsi="Arial"/>
          <w:rFonts w:ascii="Arial"/>
          <w:sz w:val="24"/>
          <w:color w:val="navy"/>
        </w:rPr>
        <w:t xml:space="preserve">ARTΝCULO 2.5.14.2.11. RESPUESTA RAZONABLE.</w:t>
      </w:r>
      <w:bookmarkEnd w:id="6204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En caso de ser absolutamente necesario ofrecer una respuesta razonable, esta deberα ser considerada segϊn las variables de conducta y desde los principios bαsicos para el uso diferenciado y proporcional de la fuerza, priorizando medios sustitutivos como la comunicaciσn, disuasiσn, persuasiσn y mediaciσn policial, antes de recurrir a la fuerza.</w:t>
      </w:r>
    </w:p>
    <w:p>
      <w:pPr>
        <w:jc w:val="both"/>
        <w:outlineLvl w:val="1"/>
      </w:pPr>
      <w:rPr>
        <w:color w:val="black"/>
      </w:rPr>
    </w:p>
    <w:p>
      <w:pPr>
        <w:jc w:val="both"/>
        <w:outlineLvl w:val="1"/>
      </w:pPr>
      <w:r>
        <w:rPr>
          <w:rFonts w:hAnsi="Arial"/>
          <w:rFonts w:ascii="Arial"/>
          <w:sz w:val="24"/>
          <w:b/>
          <w:vanish/>
          <w:color w:val="black"/>
        </w:rPr>
        <w:t>&amp;$</w:t>
      </w:r>
      <w:bookmarkStart w:id="62045" w:name="2.5.14.2.12"/>
      <w:r>
        <w:rPr>
          <w:rFonts w:hAnsi="Arial"/>
          <w:rFonts w:ascii="Arial"/>
          <w:sz w:val="24"/>
          <w:color w:val="navy"/>
        </w:rPr>
        <w:t xml:space="preserve">ARTΝCULO 2.5.14.2.12. SISTEMA DE INTERVENCIΣN POLICIAL.</w:t>
      </w:r>
      <w:bookmarkEnd w:id="6204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Los uniformados de la Policνa Nacional intentarαn obtener el control suficiente de la situaciσn, asegurαndose, si las circunstancias lo permiten, de tener el tiempo y la capacidad para adoptar las medidas adecuadas. Los mιtodos deben adaptarse a las condiciones de la situaciσn a travιs de una perspectiva tαctica integrada, que conlleva la aplicaciσn de la legalidad, necesidad, proporcionalidad y diferenciaciσn, acompaρada de la preparaciσn comunicativa y demαs habilidades adquiridas en el entrenamiento del Sistema de Intervenciσn Policial.</w:t>
      </w:r>
    </w:p>
    <w:p>
      <w:pPr>
        <w:jc w:val="center"/>
        <w:outlineLvl w:val="1"/>
      </w:pPr>
      <w:rPr>
        <w:sz w:val="24"/>
        <w:b/>
        <w:color w:val="black"/>
      </w:rPr>
    </w:p>
    <w:p>
      <w:pPr>
        <w:jc w:val="center"/>
        <w:outlineLvl w:val="1"/>
      </w:pPr>
      <w:r>
        <w:rPr>
          <w:rFonts w:hAnsi="Arial"/>
          <w:rFonts w:ascii="Arial"/>
          <w:sz w:val="24"/>
          <w:b/>
          <w:vanish/>
          <w:color w:val="black"/>
        </w:rPr>
        <w:t>&amp;$</w:t>
      </w:r>
      <w:bookmarkStart w:id="62046" w:name="CAPÍTULO 2.5.14.3"/>
      <w:r>
        <w:rPr>
          <w:rFonts w:hAnsi="Arial"/>
          <w:rFonts w:ascii="Arial"/>
          <w:sz w:val="24"/>
          <w:color w:val="navy"/>
        </w:rPr>
        <w:t xml:space="preserve">CAPΝTULO 3. </w:t>
      </w:r>
    </w:p>
    <w:p>
      <w:pPr>
        <w:jc w:val="center"/>
        <w:outlineLvl w:val="1"/>
      </w:pPr>
      <w:r>
        <w:rPr>
          <w:rFonts w:hAnsi="Arial"/>
          <w:rFonts w:ascii="Arial"/>
          <w:sz w:val="24"/>
          <w:color w:val="navy"/>
        </w:rPr>
        <w:t xml:space="preserve">DERECHOS Y DEBERES DE LOS FUNCIONARIOS DE POLICΝA FRENTE AL USO DIFERENCIADO Y PROPORCIONAL DE LA FUERZA.</w:t>
      </w:r>
      <w:bookmarkEnd w:id="62046"/>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2047" w:name="2.5.14.3.1"/>
      <w:r>
        <w:rPr>
          <w:rFonts w:hAnsi="Arial"/>
          <w:rFonts w:ascii="Arial"/>
          <w:sz w:val="24"/>
          <w:color w:val="navy"/>
        </w:rPr>
        <w:t xml:space="preserve">ARTΝCULO 2.5.14.3.1. DERECHOS.</w:t>
      </w:r>
      <w:bookmarkEnd w:id="6204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En el ejercicio de las facultades relacionadas con el uso legal, diferenciado y proporcional de la fuerza, el personal uniformado de la Policνa Nacional tiene los siguientes derechos:</w:t>
      </w:r>
    </w:p>
    <w:p>
      <w:pPr>
        <w:jc w:val="both"/>
        <w:outlineLvl w:val="1"/>
      </w:pPr>
      <w:rPr>
        <w:sz w:val="24"/>
        <w:color w:val="black"/>
      </w:rPr>
    </w:p>
    <w:p>
      <w:pPr>
        <w:jc w:val="both"/>
        <w:outlineLvl w:val="1"/>
      </w:pPr>
      <w:r>
        <w:rPr>
          <w:rFonts w:hAnsi="Arial"/>
          <w:rFonts w:ascii="Arial"/>
          <w:sz w:val="24"/>
          <w:color w:val="black"/>
        </w:rPr>
        <w:t xml:space="preserve">1. A la protecciσn de sus derechos fundamentales, entre otros, el de su vida, integridad personal y dignidad.</w:t>
      </w:r>
    </w:p>
    <w:p>
      <w:pPr>
        <w:jc w:val="both"/>
        <w:outlineLvl w:val="1"/>
      </w:pPr>
      <w:rPr>
        <w:sz w:val="24"/>
        <w:color w:val="black"/>
      </w:rPr>
    </w:p>
    <w:p>
      <w:pPr>
        <w:jc w:val="both"/>
        <w:outlineLvl w:val="1"/>
      </w:pPr>
      <w:r>
        <w:rPr>
          <w:rFonts w:hAnsi="Arial"/>
          <w:rFonts w:ascii="Arial"/>
          <w:sz w:val="24"/>
          <w:color w:val="black"/>
        </w:rPr>
        <w:t xml:space="preserve">2. Recibir formaciσn, capacitaciσn y entrenamiento permanente sobre el uso diferenciado y proporcional de la fuerza en todos los niveles educativos conforme a los estαndares nacionales e internacionales en materia de Derechos Humanos.</w:t>
      </w:r>
    </w:p>
    <w:p>
      <w:pPr>
        <w:jc w:val="both"/>
        <w:outlineLvl w:val="1"/>
      </w:pPr>
      <w:rPr>
        <w:sz w:val="24"/>
        <w:color w:val="black"/>
      </w:rPr>
    </w:p>
    <w:p>
      <w:pPr>
        <w:jc w:val="both"/>
        <w:outlineLvl w:val="1"/>
      </w:pPr>
      <w:r>
        <w:rPr>
          <w:rFonts w:hAnsi="Arial"/>
          <w:rFonts w:ascii="Arial"/>
          <w:sz w:val="24"/>
          <w:color w:val="black"/>
        </w:rPr>
        <w:t xml:space="preserve">3. A la asignaciσn de armamento, vestuario, equipo de protecciσn, elementos y accesorios que garanticen el uso adecuado de la fuerza y el cumplimiento de su deber.</w:t>
      </w:r>
    </w:p>
    <w:p>
      <w:pPr>
        <w:jc w:val="both"/>
        <w:outlineLvl w:val="1"/>
      </w:pPr>
      <w:rPr>
        <w:sz w:val="24"/>
        <w:color w:val="black"/>
      </w:rPr>
    </w:p>
    <w:p>
      <w:pPr>
        <w:jc w:val="both"/>
        <w:outlineLvl w:val="1"/>
      </w:pPr>
      <w:r>
        <w:rPr>
          <w:rFonts w:hAnsi="Arial"/>
          <w:rFonts w:ascii="Arial"/>
          <w:sz w:val="24"/>
          <w:color w:val="black"/>
        </w:rPr>
        <w:t xml:space="preserve">4. Recibir tratamiento y asistencia mιdica, por cuenta de la Policνa Nacional, cuando resulte afectado en cumplimiento de su deber.</w:t>
      </w:r>
    </w:p>
    <w:p>
      <w:pPr>
        <w:jc w:val="both"/>
        <w:outlineLvl w:val="1"/>
      </w:pPr>
      <w:rPr>
        <w:sz w:val="24"/>
        <w:color w:val="black"/>
      </w:rPr>
    </w:p>
    <w:p>
      <w:pPr>
        <w:jc w:val="both"/>
        <w:outlineLvl w:val="1"/>
      </w:pPr>
      <w:r>
        <w:rPr>
          <w:rFonts w:hAnsi="Arial"/>
          <w:rFonts w:ascii="Arial"/>
          <w:sz w:val="24"/>
          <w:color w:val="black"/>
        </w:rPr>
        <w:t xml:space="preserve">5. Recibir orientaciσn psicolσgica por cuenta de la Policνa Nacional para sobrellevar las tensiones generadas por el uso diferenciado y proporcional de la fuerza o de hechos traumαticos asociados.</w:t>
      </w:r>
    </w:p>
    <w:p>
      <w:pPr>
        <w:jc w:val="both"/>
        <w:outlineLvl w:val="1"/>
      </w:pPr>
      <w:rPr>
        <w:sz w:val="24"/>
        <w:color w:val="black"/>
      </w:rPr>
    </w:p>
    <w:p>
      <w:pPr>
        <w:jc w:val="both"/>
        <w:outlineLvl w:val="1"/>
      </w:pPr>
      <w:r>
        <w:rPr>
          <w:rFonts w:hAnsi="Arial"/>
          <w:rFonts w:ascii="Arial"/>
          <w:sz w:val="24"/>
          <w:color w:val="black"/>
        </w:rPr>
        <w:t xml:space="preserve">6. Recibir asesoramiento y defensa legal, cuando se haya usado la fuerza en el contexto del presente reglamento o en el ejercicio regular de sus funciones.</w:t>
      </w:r>
    </w:p>
    <w:p>
      <w:pPr>
        <w:jc w:val="both"/>
        <w:outlineLvl w:val="1"/>
      </w:pPr>
      <w:rPr>
        <w:sz w:val="24"/>
        <w:color w:val="black"/>
      </w:rPr>
    </w:p>
    <w:p>
      <w:pPr>
        <w:jc w:val="both"/>
        <w:outlineLvl w:val="1"/>
      </w:pPr>
      <w:r>
        <w:rPr>
          <w:rFonts w:hAnsi="Arial"/>
          <w:rFonts w:ascii="Arial"/>
          <w:sz w:val="24"/>
          <w:color w:val="black"/>
        </w:rPr>
        <w:t xml:space="preserve">7. Los uniformados de la Policνa Nacional tienen derecho a que en las grabaciones efectuadas por los particulares en medio de las intervenciones de Policνa no se lesionen sus derechos humanos y fundamentales, ni los de terceros en condiciones de vulnerabilidad o desprotecciσn, cuya identidad deba mantenerse privada, como es el caso de los niρos, niρas y adolescentes. Esta disposiciσn, sin embargo, no podrα servir de fundamento para desconocer las faltas graves contempladas el numeral 1o del artνculo </w:t>
      </w:r>
      <w:r>
        <w:fldChar w:fldCharType="begin"/>
      </w:r>
      <w:r>
        <w:instrText>HYPERLINK "http://www.redjurista.com/document.aspx?ajcode=l2196022&amp;arts=46"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2196 de 2022.</w:t>
      </w:r>
    </w:p>
    <w:p>
      <w:pPr>
        <w:jc w:val="both"/>
        <w:outlineLvl w:val="1"/>
      </w:pPr>
      <w:rPr>
        <w:sz w:val="24"/>
        <w:color w:val="black"/>
      </w:rPr>
    </w:p>
    <w:p>
      <w:pPr>
        <w:jc w:val="both"/>
        <w:outlineLvl w:val="1"/>
      </w:pPr>
      <w:r>
        <w:rPr>
          <w:rFonts w:hAnsi="Arial"/>
          <w:rFonts w:ascii="Arial"/>
          <w:sz w:val="24"/>
          <w:color w:val="black"/>
        </w:rPr>
        <w:t xml:space="preserve">8. Desatender aquellos mandatos o demαs disposiciones de sus superiores que excedan el lνmite de la competencia o que ostensible y evidentemente, entraρan la ejecuciσn de una conducta antijurνdica. En todo caso, el uniformado deberα motivar y sustentar el incumplimiento de la orden.</w:t>
      </w:r>
    </w:p>
    <w:p>
      <w:pPr>
        <w:jc w:val="both"/>
        <w:outlineLvl w:val="1"/>
      </w:pPr>
      <w:rPr>
        <w:color w:val="black"/>
      </w:rPr>
    </w:p>
    <w:p>
      <w:pPr>
        <w:jc w:val="both"/>
        <w:outlineLvl w:val="1"/>
      </w:pPr>
      <w:r>
        <w:rPr>
          <w:rFonts w:hAnsi="Arial"/>
          <w:rFonts w:ascii="Arial"/>
          <w:sz w:val="24"/>
          <w:b/>
          <w:vanish/>
          <w:color w:val="black"/>
        </w:rPr>
        <w:t>&amp;$</w:t>
      </w:r>
      <w:bookmarkStart w:id="62048" w:name="2.5.14.3.2"/>
      <w:r>
        <w:rPr>
          <w:rFonts w:hAnsi="Arial"/>
          <w:rFonts w:ascii="Arial"/>
          <w:sz w:val="24"/>
          <w:color w:val="navy"/>
        </w:rPr>
        <w:t xml:space="preserve">ARTΝCULO 2.5.14.3.2. DEBERES.</w:t>
      </w:r>
      <w:bookmarkEnd w:id="6204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En el ejercicio a las facultades relacionadas con el uso legal, necesario y proporcional de la fuerza, el personal uniformado de la Policνa Nacional tiene los siguientes deberes:</w:t>
      </w:r>
    </w:p>
    <w:p>
      <w:pPr>
        <w:jc w:val="both"/>
        <w:outlineLvl w:val="1"/>
      </w:pPr>
      <w:rPr>
        <w:sz w:val="24"/>
        <w:color w:val="black"/>
      </w:rPr>
    </w:p>
    <w:p>
      <w:pPr>
        <w:jc w:val="both"/>
        <w:outlineLvl w:val="1"/>
      </w:pPr>
      <w:r>
        <w:rPr>
          <w:rFonts w:hAnsi="Arial"/>
          <w:rFonts w:ascii="Arial"/>
          <w:sz w:val="24"/>
          <w:color w:val="black"/>
        </w:rPr>
        <w:t xml:space="preserve">1. El uso diferenciado y proporcional de la fuerza como facultad excepcional otorgada a la Policνa Nacional, solo se podrα invocar para proteger los Derechos Humanos y generar un control suficiente que contribuya al mantenimiento de las condiciones necesarias para que los habitantes de Colombia convivan en paz.</w:t>
      </w:r>
    </w:p>
    <w:p>
      <w:pPr>
        <w:jc w:val="both"/>
        <w:outlineLvl w:val="1"/>
      </w:pPr>
      <w:rPr>
        <w:sz w:val="24"/>
        <w:color w:val="black"/>
      </w:rPr>
    </w:p>
    <w:p>
      <w:pPr>
        <w:jc w:val="both"/>
        <w:outlineLvl w:val="1"/>
      </w:pPr>
      <w:r>
        <w:rPr>
          <w:rFonts w:hAnsi="Arial"/>
          <w:rFonts w:ascii="Arial"/>
          <w:sz w:val="24"/>
          <w:color w:val="black"/>
        </w:rPr>
        <w:t xml:space="preserve">2. Cuando se use la fuerza, se deberα informar al superior jerαrquico y a quien hubiese dado la orden de usarla, una vez superados los hechos que dieron lugar a dicha medida, precisando las circunstancias de tiempo, modo y lugar, justificaciσn y modo de despliegue de uso de la fuerza. En caso de presentarse personas lesionadas o daρos, se remitirα informe escrito tanto al superior jerαrquico como al Ministerio Pϊblico.</w:t>
      </w:r>
    </w:p>
    <w:p>
      <w:pPr>
        <w:jc w:val="both"/>
        <w:outlineLvl w:val="1"/>
      </w:pPr>
      <w:rPr>
        <w:sz w:val="24"/>
        <w:color w:val="black"/>
      </w:rPr>
    </w:p>
    <w:p>
      <w:pPr>
        <w:jc w:val="both"/>
        <w:outlineLvl w:val="1"/>
      </w:pPr>
      <w:r>
        <w:rPr>
          <w:rFonts w:hAnsi="Arial"/>
          <w:rFonts w:ascii="Arial"/>
          <w:sz w:val="24"/>
          <w:color w:val="black"/>
        </w:rPr>
        <w:t xml:space="preserve">3. El personal uniformado de la Policνa Nacional solo podrα utilizar armas, dispositivos, municiones, elementos menos letales y, al hacer uso de ellos, siempre escogerα entre los mαs eficaces, aquellos que causen menor daρo a la integridad de las personas y de sus bienes, salvo las consideraciones previstas en la ley.</w:t>
      </w:r>
    </w:p>
    <w:p>
      <w:pPr>
        <w:jc w:val="both"/>
        <w:outlineLvl w:val="1"/>
      </w:pPr>
      <w:rPr>
        <w:sz w:val="24"/>
        <w:color w:val="black"/>
      </w:rPr>
    </w:p>
    <w:p>
      <w:pPr>
        <w:jc w:val="both"/>
        <w:outlineLvl w:val="1"/>
      </w:pPr>
      <w:r>
        <w:rPr>
          <w:rFonts w:hAnsi="Arial"/>
          <w:rFonts w:ascii="Arial"/>
          <w:sz w:val="24"/>
          <w:color w:val="black"/>
        </w:rPr>
        <w:t xml:space="preserve">4. El personal uniformado de la Policνa Nacional estα obligado a suministrar el apoyo de su fuerza por iniciativa propia o a peticiσn de persona que estι urgida de esa asistencia, para proteger su vida o la de terceros, sus bienes, domicilio y su libertad personal.</w:t>
      </w:r>
    </w:p>
    <w:p>
      <w:pPr>
        <w:jc w:val="both"/>
        <w:outlineLvl w:val="1"/>
      </w:pPr>
      <w:rPr>
        <w:sz w:val="24"/>
        <w:color w:val="black"/>
      </w:rPr>
    </w:p>
    <w:p>
      <w:pPr>
        <w:jc w:val="both"/>
        <w:outlineLvl w:val="1"/>
      </w:pPr>
      <w:r>
        <w:rPr>
          <w:rFonts w:hAnsi="Arial"/>
          <w:rFonts w:ascii="Arial"/>
          <w:sz w:val="24"/>
          <w:color w:val="black"/>
        </w:rPr>
        <w:t xml:space="preserve">5. El personal uniformado de la Policνa Nacional, cualquiera que sea su especialidad, modalidad, servicio o circunstancia en que se halle, tiene la obligaciσn de intervenir frente a los motivos de policνa, de acuerdo con la Constituciσn Polνtica, la ley y las demαs disposiciones legales.</w:t>
      </w:r>
    </w:p>
    <w:p>
      <w:pPr>
        <w:jc w:val="both"/>
        <w:outlineLvl w:val="1"/>
      </w:pPr>
      <w:rPr>
        <w:sz w:val="24"/>
        <w:color w:val="black"/>
      </w:rPr>
    </w:p>
    <w:p>
      <w:pPr>
        <w:jc w:val="both"/>
        <w:outlineLvl w:val="1"/>
      </w:pPr>
      <w:r>
        <w:rPr>
          <w:rFonts w:hAnsi="Arial"/>
          <w:rFonts w:ascii="Arial"/>
          <w:sz w:val="24"/>
          <w:color w:val="black"/>
        </w:rPr>
        <w:t xml:space="preserve">6. Estα prohibido emplear la fuerza contra las personas que ejerzan sus derechos en el marco de la Constituciσn y las leyes. El uso de la fuerza solo podrα recaer sobre quienes hayan infringido la Constituciσn y la ley, u opongan resistencia a la intervenciσn de policνa.</w:t>
      </w:r>
    </w:p>
    <w:p>
      <w:pPr>
        <w:jc w:val="both"/>
        <w:outlineLvl w:val="1"/>
      </w:pPr>
      <w:rPr>
        <w:sz w:val="24"/>
        <w:color w:val="black"/>
      </w:rPr>
    </w:p>
    <w:p>
      <w:pPr>
        <w:jc w:val="both"/>
        <w:outlineLvl w:val="1"/>
      </w:pPr>
      <w:r>
        <w:rPr>
          <w:rFonts w:hAnsi="Arial"/>
          <w:rFonts w:ascii="Arial"/>
          <w:sz w:val="24"/>
          <w:color w:val="black"/>
        </w:rPr>
        <w:t xml:space="preserve">7. El personal uniformado de la Policνa Nacional no puede prohibir, salvo las disposiciones contempladas en la ley, que se graben con tecnologνas de la informaciσn y las comunicaciones en todos los procedimientos donde se haga uso o no de la fuerza.</w:t>
      </w:r>
    </w:p>
    <w:p>
      <w:pPr>
        <w:jc w:val="both"/>
        <w:outlineLvl w:val="1"/>
      </w:pPr>
      <w:rPr>
        <w:sz w:val="24"/>
        <w:color w:val="black"/>
      </w:rPr>
    </w:p>
    <w:p>
      <w:pPr>
        <w:jc w:val="both"/>
        <w:outlineLvl w:val="1"/>
      </w:pPr>
      <w:r>
        <w:rPr>
          <w:rFonts w:hAnsi="Arial"/>
          <w:rFonts w:ascii="Arial"/>
          <w:sz w:val="24"/>
          <w:color w:val="black"/>
        </w:rPr>
        <w:t xml:space="preserve">8. El personal uniformado de la Policνa Nacional utilizarα los sistemas de identificaciσn visibles que se encuentren reglamentados, descubriendo en todo momento su rostro, salvo en aquellos eventos en los que sea necesario cubrirlo para la protecciσn de la integridad personal, o en aquellos servicios especνficos donde su uso no permita el logro razonable del objetivo legal que se persigue.</w:t>
      </w:r>
    </w:p>
    <w:p>
      <w:pPr>
        <w:jc w:val="both"/>
        <w:outlineLvl w:val="1"/>
      </w:pPr>
      <w:rPr>
        <w:sz w:val="24"/>
        <w:color w:val="black"/>
      </w:rPr>
    </w:p>
    <w:p>
      <w:pPr>
        <w:jc w:val="both"/>
        <w:outlineLvl w:val="1"/>
      </w:pPr>
      <w:r>
        <w:rPr>
          <w:rFonts w:hAnsi="Arial"/>
          <w:rFonts w:ascii="Arial"/>
          <w:sz w:val="24"/>
          <w:color w:val="black"/>
        </w:rPr>
        <w:t xml:space="preserve">9. Los funcionarios de policνa siempre actuarαn bajo el principio de la mνnima intervenciσn posible del Estado, buscando la garantνa de los derechos y libertades pϊblicas.</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Los anteriores deberes, se cumplirαn sin perjuicio de los consagrados a las autoridades de policνa, establecidos en el artνculo </w:t>
      </w:r>
      <w:r>
        <w:fldChar w:fldCharType="begin"/>
      </w:r>
      <w:r>
        <w:instrText>HYPERLINK "http://www.redjurista.com/document.aspx?ajcode=l1801016&amp;arts=10"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1801 del 2016 y las demαs normas que contengan otros deberes frente a los funcionarios de policνa.</w:t>
      </w:r>
    </w:p>
    <w:p>
      <w:pPr>
        <w:jc w:val="both"/>
        <w:outlineLvl w:val="1"/>
      </w:pPr>
      <w:rPr>
        <w:sz w:val="24"/>
        <w:color w:val="black"/>
      </w:rPr>
    </w:p>
    <w:p>
      <w:pPr>
        <w:jc w:val="center"/>
        <w:outlineLvl w:val="1"/>
      </w:pPr>
      <w:r>
        <w:rPr>
          <w:rFonts w:hAnsi="Arial"/>
          <w:rFonts w:ascii="Arial"/>
          <w:sz w:val="24"/>
          <w:vanish/>
          <w:color w:val="black"/>
        </w:rPr>
        <w:t>&amp;$</w:t>
      </w:r>
      <w:bookmarkStart w:id="62049" w:name="CAPÍTULO 2.5.14.4"/>
      <w:r>
        <w:rPr>
          <w:rFonts w:hAnsi="Arial"/>
          <w:rFonts w:ascii="Arial"/>
          <w:sz w:val="24"/>
          <w:color w:val="navy"/>
        </w:rPr>
        <w:t xml:space="preserve">CAPΝTULO 4.  </w:t>
      </w:r>
    </w:p>
    <w:p>
      <w:pPr>
        <w:jc w:val="center"/>
        <w:outlineLvl w:val="1"/>
      </w:pPr>
      <w:r>
        <w:rPr>
          <w:rFonts w:hAnsi="Arial"/>
          <w:rFonts w:ascii="Arial"/>
          <w:sz w:val="24"/>
          <w:color w:val="navy"/>
        </w:rPr>
        <w:t xml:space="preserve">EDUCACIΣN Y FORMACIΣN EN EL USO ADECUADO DE LA FUERZA.</w:t>
      </w:r>
      <w:bookmarkEnd w:id="62049"/>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62050" w:name="2.5.14.4.1"/>
      <w:r>
        <w:rPr>
          <w:rFonts w:hAnsi="Arial"/>
          <w:rFonts w:ascii="Arial"/>
          <w:sz w:val="24"/>
          <w:color w:val="navy"/>
        </w:rPr>
        <w:t xml:space="preserve">ARTΝCULO 2.5.14.4.1. EDUCACIΣN EN EL USO DIFERENCIADO Y PROPORCIONAL DE LA FUERZA.</w:t>
      </w:r>
      <w:bookmarkEnd w:id="62050"/>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dependencia competente dentro de la Policνa Nacional serα responsable de la formaciσn, capacitaciσn, entrenamiento y reentrenamiento en derechos humanos, uso diferenciado y proporcional de la fuerza, atenciσn al ciudadano, mecanismos alternativos al uso de la fuerza y en procedimientos policiales, para todo el personal uniformado de la Policνa Nacional, en corresponsabilidad con las demαs unidades de la Instituciσn, de tal manera que conduzcan al policνa a un actuar profesional soportado en la legislaciσn nacional y las normas internacionales vigentes.</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 dependencia competente dentro de la Policνa Nacional tendrα la responsabilidad de diseρar cursos mandatarios, obligatorios o recurrentes que permitan</w:t>
      </w:r>
    </w:p>
    <w:p>
      <w:pPr>
        <w:jc w:val="both"/>
        <w:outlineLvl w:val="1"/>
      </w:pPr>
      <w:rPr>
        <w:sz w:val="24"/>
        <w:color w:val="black"/>
      </w:rPr>
    </w:p>
    <w:p>
      <w:pPr>
        <w:jc w:val="both"/>
        <w:outlineLvl w:val="1"/>
      </w:pPr>
      <w:r>
        <w:rPr>
          <w:rFonts w:hAnsi="Arial"/>
          <w:rFonts w:ascii="Arial"/>
          <w:sz w:val="24"/>
          <w:color w:val="black"/>
        </w:rPr>
        <w:t xml:space="preserve">mantener vigente las competencias para el uso adecuado de la fuerza, medios sustitutivos al mismo y en general sobre los derechos y deberes humanos.</w:t>
      </w:r>
    </w:p>
    <w:p>
      <w:pPr>
        <w:jc w:val="both"/>
        <w:outlineLvl w:val="1"/>
      </w:pPr>
      <w:rPr>
        <w:color w:val="black"/>
      </w:rPr>
    </w:p>
    <w:p>
      <w:pPr>
        <w:jc w:val="both"/>
        <w:outlineLvl w:val="1"/>
      </w:pPr>
      <w:r>
        <w:rPr>
          <w:rFonts w:hAnsi="Arial"/>
          <w:rFonts w:ascii="Arial"/>
          <w:sz w:val="24"/>
          <w:vanish/>
          <w:color w:val="black"/>
        </w:rPr>
        <w:t>&amp;$</w:t>
      </w:r>
      <w:bookmarkStart w:id="62051" w:name="2.5.14.4.2"/>
      <w:r>
        <w:rPr>
          <w:rFonts w:hAnsi="Arial"/>
          <w:rFonts w:ascii="Arial"/>
          <w:sz w:val="24"/>
          <w:color w:val="navy"/>
        </w:rPr>
        <w:t xml:space="preserve">ARTΝCULO 2.5.14.4.2. OBJETIVOS DE LA EDUCACIΣN POLICIAL.</w:t>
      </w:r>
      <w:bookmarkEnd w:id="62051"/>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educaciσn policial, en relaciσn con el presente decreto, obedecerα a los siguientes objetivos: </w:t>
      </w:r>
    </w:p>
    <w:p>
      <w:pPr>
        <w:jc w:val="both"/>
        <w:outlineLvl w:val="1"/>
      </w:pPr>
      <w:rPr>
        <w:sz w:val="24"/>
        <w:color w:val="black"/>
      </w:rPr>
    </w:p>
    <w:p>
      <w:pPr>
        <w:jc w:val="both"/>
        <w:outlineLvl w:val="1"/>
      </w:pPr>
      <w:r>
        <w:rPr>
          <w:rFonts w:hAnsi="Arial"/>
          <w:rFonts w:ascii="Arial"/>
          <w:sz w:val="24"/>
          <w:color w:val="black"/>
        </w:rPr>
        <w:t xml:space="preserve">1. Desarrollar en el personal uniformado de policνa las competencias y habilidades tιcnicas y tαcticas para hacer uso diferenciado y proporcional de la fuerza, basados en los principios de necesidad, legalidad, diferenciaciσn y proporcionalidad, asν como en armas menos letales y armas de uso potencialmente letal.</w:t>
      </w:r>
    </w:p>
    <w:p>
      <w:pPr>
        <w:jc w:val="both"/>
        <w:outlineLvl w:val="1"/>
      </w:pPr>
      <w:rPr>
        <w:sz w:val="24"/>
        <w:color w:val="black"/>
      </w:rPr>
    </w:p>
    <w:p>
      <w:pPr>
        <w:jc w:val="both"/>
        <w:outlineLvl w:val="1"/>
      </w:pPr>
      <w:r>
        <w:rPr>
          <w:rFonts w:hAnsi="Arial"/>
          <w:rFonts w:ascii="Arial"/>
          <w:sz w:val="24"/>
          <w:color w:val="black"/>
        </w:rPr>
        <w:t xml:space="preserve">2. Fortalecer las competencias que permitan priorizar la comunicaciσn, disuasiσn, dialogo, persuasiσn, negociaciσn, defensa verbal, mediaciσn policial y verbalizaciσn, como recursos alternativos al uso de la fuerza contemplados en el modelo de actuaciσn policial establecido en el presente reglamento.</w:t>
      </w:r>
    </w:p>
    <w:p>
      <w:pPr>
        <w:jc w:val="both"/>
        <w:outlineLvl w:val="1"/>
      </w:pPr>
      <w:rPr>
        <w:sz w:val="24"/>
        <w:color w:val="black"/>
      </w:rPr>
    </w:p>
    <w:p>
      <w:pPr>
        <w:jc w:val="both"/>
        <w:outlineLvl w:val="1"/>
      </w:pPr>
      <w:r>
        <w:rPr>
          <w:rFonts w:hAnsi="Arial"/>
          <w:rFonts w:ascii="Arial"/>
          <w:sz w:val="24"/>
          <w:color w:val="black"/>
        </w:rPr>
        <w:t xml:space="preserve">3. Potenciar las competencias de comunicaciσn, lectoescritura y otras que les permitan a los funcionarios, redactar y sustentar de manera oral y escrita los informes de policνa, mediante una metodologνa y lenguaje tιcnico en el uso diferenciado y proporcional de la fuerza, expresado en los estαndares internacionales, la Constituciσn, la ley y el presente reglamento, logrando con esto seguridad jurνdica de las intervenciones policiales.</w:t>
      </w:r>
    </w:p>
    <w:p>
      <w:pPr>
        <w:jc w:val="both"/>
        <w:outlineLvl w:val="1"/>
      </w:pPr>
      <w:rPr>
        <w:color w:val="black"/>
      </w:rPr>
    </w:p>
    <w:p>
      <w:pPr>
        <w:jc w:val="both"/>
        <w:outlineLvl w:val="1"/>
      </w:pPr>
      <w:r>
        <w:rPr>
          <w:rFonts w:hAnsi="Arial"/>
          <w:rFonts w:ascii="Arial"/>
          <w:sz w:val="24"/>
          <w:vanish/>
          <w:color w:val="black"/>
        </w:rPr>
        <w:t>&amp;$</w:t>
      </w:r>
      <w:bookmarkStart w:id="62052" w:name="2.5.14.4.3"/>
      <w:r>
        <w:rPr>
          <w:rFonts w:hAnsi="Arial"/>
          <w:rFonts w:ascii="Arial"/>
          <w:sz w:val="24"/>
          <w:color w:val="navy"/>
        </w:rPr>
        <w:t xml:space="preserve">ARTΝCULO 2.5.14.4.3. METODOLOGΝA.</w:t>
      </w:r>
      <w:bookmarkEnd w:id="62052"/>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Las metodologνas educativas para emplear y tratar los temas expuestos en el presente decreto serαn teσricas y prαcticas, priorizando estas ϊltimas mediante una enseρanza basada en la soluciσn de problemas relacionados con la prαctica de casos concretos de la actividad de policνa, asν como otras habilidades relacionadas con inteligencia emocional, resiliencia, mediaciσn y manejo del estrιs.</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 metodologνa educativa para el empleo del uso diferenciado y proporcional de la fuerza debe basarse en las competencias, habilidades y destrezas adquiridas en los programas de formaciσn, capacitaciσn y entrenamiento ofertados por la Direcciσn de Educaciσn Policial. En especνfico, el uso de tιcnicas y tαcticas de defensa y control policial deben ser instruidas exclusivamente en dichos programas.</w:t>
      </w:r>
    </w:p>
    <w:p>
      <w:pPr>
        <w:jc w:val="both"/>
        <w:outlineLvl w:val="1"/>
      </w:pPr>
      <w:rPr>
        <w:color w:val="black"/>
      </w:rPr>
    </w:p>
    <w:p>
      <w:pPr>
        <w:jc w:val="both"/>
        <w:outlineLvl w:val="1"/>
      </w:pPr>
      <w:r>
        <w:rPr>
          <w:rFonts w:hAnsi="Arial"/>
          <w:rFonts w:ascii="Arial"/>
          <w:sz w:val="24"/>
          <w:vanish/>
          <w:color w:val="black"/>
        </w:rPr>
        <w:t>&amp;$</w:t>
      </w:r>
      <w:bookmarkStart w:id="62053" w:name="2.5.14.4.4"/>
      <w:r>
        <w:rPr>
          <w:rFonts w:hAnsi="Arial"/>
          <w:rFonts w:ascii="Arial"/>
          <w:sz w:val="24"/>
          <w:color w:val="navy"/>
        </w:rPr>
        <w:t xml:space="preserve">ARTICULO 2.5.14.4.4. IDONEIDAD.</w:t>
      </w:r>
      <w:bookmarkEnd w:id="62053"/>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dependencia competente dentro de la Policνa Nacional certificarα la idoneidad de los funcionarios de instituciσn frente al uso diferenciado y proporcional de la fuerza, las armas, elementos, municiones y dispositivos menos letales dotados por la Instituciσn, al igual que en los mecanismos y medios sustitutivos al uso diferenciado y proporcional de la fuerza.</w:t>
      </w:r>
    </w:p>
    <w:p>
      <w:pPr>
        <w:jc w:val="both"/>
        <w:outlineLvl w:val="1"/>
      </w:pPr>
      <w:rPr>
        <w:sz w:val="24"/>
        <w:color w:val="black"/>
      </w:rPr>
    </w:p>
    <w:p>
      <w:pPr>
        <w:jc w:val="both"/>
        <w:outlineLvl w:val="1"/>
      </w:pPr>
      <w:r>
        <w:rPr>
          <w:rFonts w:hAnsi="Arial"/>
          <w:rFonts w:ascii="Arial"/>
          <w:sz w:val="24"/>
          <w:color w:val="black"/>
        </w:rPr>
        <w:t xml:space="preserve">Esta idoneidad conlleva la formaciσn, capacitaciσn, entrenamiento y reentrenamiento en el conocimiento, equipamiento y las consecuencias que ello represente para la vida e integridad fνsica de las personas, asν como la capacidad de hacer uso adecuado de las mismas.</w:t>
      </w:r>
    </w:p>
    <w:p>
      <w:pPr>
        <w:jc w:val="both"/>
        <w:outlineLvl w:val="1"/>
      </w:pPr>
      <w:rPr>
        <w:sz w:val="24"/>
        <w:color w:val="black"/>
      </w:rPr>
    </w:p>
    <w:p>
      <w:pPr>
        <w:jc w:val="center"/>
        <w:outlineLvl w:val="1"/>
      </w:pPr>
      <w:r>
        <w:rPr>
          <w:rFonts w:hAnsi="Arial"/>
          <w:rFonts w:ascii="Arial"/>
          <w:sz w:val="24"/>
          <w:vanish/>
          <w:color w:val="black"/>
        </w:rPr>
        <w:t>&amp;$</w:t>
      </w:r>
      <w:bookmarkStart w:id="62054" w:name="CAPÍTULO 2.5.14.5"/>
      <w:r>
        <w:rPr>
          <w:rFonts w:hAnsi="Arial"/>
          <w:rFonts w:ascii="Arial"/>
          <w:sz w:val="24"/>
          <w:color w:val="navy"/>
        </w:rPr>
        <w:t xml:space="preserve">CAPΝTULO 5. </w:t>
      </w:r>
    </w:p>
    <w:p>
      <w:pPr>
        <w:jc w:val="center"/>
        <w:outlineLvl w:val="1"/>
      </w:pPr>
      <w:r>
        <w:rPr>
          <w:rFonts w:hAnsi="Arial"/>
          <w:rFonts w:ascii="Arial"/>
          <w:sz w:val="24"/>
          <w:color w:val="navy"/>
        </w:rPr>
        <w:t xml:space="preserve">GENERALIDADES SOBRE EL EMPLEO DE ARMAS, MUNICIONES, ELEMENTOS Y DISPOSITIVOS MENOS LETALES (AML).</w:t>
      </w:r>
      <w:bookmarkEnd w:id="62054"/>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62055" w:name="2.5.14.5.1"/>
      <w:r>
        <w:rPr>
          <w:rFonts w:hAnsi="Arial"/>
          <w:rFonts w:ascii="Arial"/>
          <w:sz w:val="24"/>
          <w:color w:val="navy"/>
        </w:rPr>
        <w:t xml:space="preserve">ARTΝCULO 2.5.14.5.1 DISPOSICIONES DE USO.</w:t>
      </w:r>
      <w:bookmarkEnd w:id="62055"/>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El uso de armas, municiones, elementos y dispositivos menos letales (AML) se debe circunscribir a los siguientes presupuestos:</w:t>
      </w:r>
    </w:p>
    <w:p>
      <w:pPr>
        <w:jc w:val="both"/>
        <w:outlineLvl w:val="1"/>
      </w:pPr>
      <w:rPr>
        <w:sz w:val="24"/>
        <w:color w:val="black"/>
      </w:rPr>
    </w:p>
    <w:p>
      <w:pPr>
        <w:jc w:val="both"/>
        <w:outlineLvl w:val="1"/>
      </w:pPr>
      <w:r>
        <w:rPr>
          <w:rFonts w:hAnsi="Arial"/>
          <w:rFonts w:ascii="Arial"/>
          <w:sz w:val="24"/>
          <w:color w:val="black"/>
        </w:rPr>
        <w:t xml:space="preserve">1. Las AML deben ser el ϊltimo recurso en la actividad de Policνa, y siempre debe priorizarse el diαlogo.</w:t>
      </w:r>
    </w:p>
    <w:p>
      <w:pPr>
        <w:jc w:val="both"/>
        <w:outlineLvl w:val="1"/>
      </w:pPr>
      <w:rPr>
        <w:sz w:val="24"/>
        <w:color w:val="black"/>
      </w:rPr>
    </w:p>
    <w:p>
      <w:pPr>
        <w:jc w:val="both"/>
        <w:outlineLvl w:val="1"/>
      </w:pPr>
      <w:r>
        <w:rPr>
          <w:rFonts w:hAnsi="Arial"/>
          <w:rFonts w:ascii="Arial"/>
          <w:sz w:val="24"/>
          <w:color w:val="black"/>
        </w:rPr>
        <w:t xml:space="preserve">2. Se emplearαn AML cuando: (i) exista una situaciσn que razonablemente permita deducir la presencia de un riesgo inminente para la integridad fνsica del policνa o de terceras personas, (ii) se genere grave amenaza para el orden pϊblico, la convivencia y la seguridad ciudadana, </w:t>
      </w:r>
      <w:r>
        <w:rPr>
          <w:rFonts w:hAnsi="Arial"/>
          <w:rFonts w:ascii="Arial"/>
          <w:sz w:val="24"/>
          <w:i/>
          <w:color w:val="black"/>
        </w:rPr>
        <w:t>y</w:t>
      </w:r>
      <w:r>
        <w:rPr>
          <w:rFonts w:hAnsi="Arial"/>
          <w:rFonts w:ascii="Arial"/>
          <w:sz w:val="24"/>
          <w:color w:val="black"/>
        </w:rPr>
        <w:t xml:space="preserve"> (iii) no se consiga desescalar la resistencia activa por otros medios legales de policνa. Todas estas situaciones sujetas a los principios de legalidad, necesidad, proporcionalidad y diferenciaciσn del uso de la fuerza.</w:t>
      </w:r>
    </w:p>
    <w:p>
      <w:pPr>
        <w:jc w:val="both"/>
        <w:outlineLvl w:val="1"/>
      </w:pPr>
      <w:rPr>
        <w:sz w:val="24"/>
        <w:color w:val="black"/>
      </w:rPr>
    </w:p>
    <w:p>
      <w:pPr>
        <w:jc w:val="both"/>
        <w:outlineLvl w:val="1"/>
      </w:pPr>
      <w:r>
        <w:rPr>
          <w:rFonts w:hAnsi="Arial"/>
          <w:rFonts w:ascii="Arial"/>
          <w:sz w:val="24"/>
          <w:color w:val="black"/>
        </w:rPr>
        <w:t xml:space="preserve">3. Siempre se procurarα advertir sobre la intenciσn de emplear AML, a menos de que dicha advertencia implique poner en peligro la vida e integridad del policνa o de terceras personas.</w:t>
      </w:r>
    </w:p>
    <w:p>
      <w:pPr>
        <w:jc w:val="both"/>
        <w:outlineLvl w:val="1"/>
      </w:pPr>
      <w:rPr>
        <w:sz w:val="24"/>
        <w:color w:val="black"/>
      </w:rPr>
    </w:p>
    <w:p>
      <w:pPr>
        <w:jc w:val="both"/>
        <w:outlineLvl w:val="1"/>
      </w:pPr>
      <w:r>
        <w:rPr>
          <w:rFonts w:hAnsi="Arial"/>
          <w:rFonts w:ascii="Arial"/>
          <w:sz w:val="24"/>
          <w:color w:val="black"/>
        </w:rPr>
        <w:t xml:space="preserve">4. Las AML deben ser proporcionadas por la instituciσn como parte de la dotaciσn oficial para la actividad policial. Antes de recibir estas armas, los profesionales de policνa deben contar con la formaciσn y entrenamiento necesarios para su uso adecuado.</w:t>
      </w:r>
    </w:p>
    <w:p>
      <w:pPr>
        <w:jc w:val="both"/>
        <w:outlineLvl w:val="1"/>
      </w:pPr>
      <w:rPr>
        <w:sz w:val="24"/>
        <w:color w:val="black"/>
      </w:rPr>
    </w:p>
    <w:p>
      <w:pPr>
        <w:jc w:val="both"/>
        <w:outlineLvl w:val="1"/>
      </w:pPr>
      <w:r>
        <w:rPr>
          <w:rFonts w:hAnsi="Arial"/>
          <w:rFonts w:ascii="Arial"/>
          <w:sz w:val="24"/>
          <w:color w:val="black"/>
        </w:rPr>
        <w:t xml:space="preserve">5. Segϊn la clasificaciσn tιcnica de las AML, debe evitarse su uso en entornos cerrados o con poca ventilaciσn, y garantizar que las personas intervenidas accedan a rutas de evacuaciσn claras, cuyo recorrido sea el menos difνcil posible.</w:t>
      </w:r>
    </w:p>
    <w:p>
      <w:pPr>
        <w:jc w:val="both"/>
        <w:outlineLvl w:val="1"/>
      </w:pPr>
      <w:rPr>
        <w:sz w:val="24"/>
        <w:color w:val="black"/>
      </w:rPr>
    </w:p>
    <w:p>
      <w:pPr>
        <w:jc w:val="both"/>
        <w:outlineLvl w:val="1"/>
      </w:pPr>
      <w:r>
        <w:rPr>
          <w:rFonts w:hAnsi="Arial"/>
          <w:rFonts w:ascii="Arial"/>
          <w:sz w:val="24"/>
          <w:color w:val="black"/>
        </w:rPr>
        <w:t xml:space="preserve">6. Se debe evitar en el uso de AML la afectaciσn de terceros, particularmente personas en especial situaciσn de vulnerabilidad.</w:t>
      </w:r>
    </w:p>
    <w:p>
      <w:pPr>
        <w:jc w:val="both"/>
        <w:outlineLvl w:val="1"/>
      </w:pPr>
      <w:rPr>
        <w:sz w:val="24"/>
        <w:color w:val="black"/>
      </w:rPr>
    </w:p>
    <w:p>
      <w:pPr>
        <w:jc w:val="both"/>
        <w:outlineLvl w:val="1"/>
      </w:pPr>
      <w:r>
        <w:rPr>
          <w:rFonts w:hAnsi="Arial"/>
          <w:rFonts w:ascii="Arial"/>
          <w:sz w:val="24"/>
          <w:color w:val="black"/>
        </w:rPr>
        <w:t xml:space="preserve">7. Se debe evitar al mαximo que el uso de AML impacten zonas sensibles del cuerpo como la cabeza, el cuello o los genitales.</w:t>
      </w:r>
    </w:p>
    <w:p>
      <w:pPr>
        <w:jc w:val="both"/>
        <w:outlineLvl w:val="1"/>
      </w:pPr>
      <w:rPr>
        <w:sz w:val="24"/>
        <w:color w:val="black"/>
      </w:rPr>
    </w:p>
    <w:p>
      <w:pPr>
        <w:jc w:val="both"/>
        <w:outlineLvl w:val="1"/>
      </w:pPr>
      <w:r>
        <w:rPr>
          <w:rFonts w:hAnsi="Arial"/>
          <w:rFonts w:ascii="Arial"/>
          <w:sz w:val="24"/>
          <w:color w:val="black"/>
        </w:rPr>
        <w:t xml:space="preserve">8. Todo funcionario de la Policνa al tιrmino del servicio estα obligado a entregar las armas, municiones, elementos y dispositivos dotados por la instituciσn, salvo las consideraciones establecidas por la reglamentaciσn vigente de la Policνa Nacional.</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Los superiores jerαrquicos de la instituciσn, estαn obligados a supervisar y controlar de manera integral el cumplimiento de las normas y disposiciones que rigen el uso de las AML.</w:t>
      </w:r>
    </w:p>
    <w:p>
      <w:pPr>
        <w:jc w:val="both"/>
        <w:outlineLvl w:val="1"/>
      </w:pPr>
      <w:rPr>
        <w:color w:val="black"/>
      </w:rPr>
    </w:p>
    <w:p>
      <w:pPr>
        <w:jc w:val="both"/>
        <w:outlineLvl w:val="1"/>
      </w:pPr>
      <w:r>
        <w:rPr>
          <w:rFonts w:hAnsi="Arial"/>
          <w:rFonts w:ascii="Arial"/>
          <w:sz w:val="24"/>
          <w:vanish/>
          <w:color w:val="black"/>
        </w:rPr>
        <w:t>&amp;$</w:t>
      </w:r>
      <w:bookmarkStart w:id="62056" w:name="2.5.14.5.2"/>
      <w:r>
        <w:rPr>
          <w:rFonts w:hAnsi="Arial"/>
          <w:rFonts w:ascii="Arial"/>
          <w:sz w:val="24"/>
          <w:color w:val="navy"/>
        </w:rPr>
        <w:t xml:space="preserve">ARTΝCULO 2.5.14.5.2. REGLAMENTACIΣN DE LA CLASIFICACIΣN TΙCNICA Y EMPLEO DE LAS ARMAS, MUNICIONES, ELEMENTOS Y DISPOSITIVOS MENOS LETALES.</w:t>
      </w:r>
      <w:bookmarkEnd w:id="62056"/>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Policνa Nacional determinarα, a travιs de resoluciσn, el manual sobre el empleo de armas, municiones, elementos y dispositivos menos letales (AML) y, su clasificaciσn tιcnica en virtud de la actividad de policνa de conformidad con los principios de uso de la fuerza y acorde con los preceptos y disposiciones del presente decreto.</w:t>
      </w:r>
    </w:p>
    <w:p>
      <w:pPr>
        <w:jc w:val="both"/>
        <w:outlineLvl w:val="1"/>
      </w:pPr>
      <w:rPr>
        <w:sz w:val="24"/>
        <w:color w:val="black"/>
      </w:rPr>
    </w:p>
    <w:p>
      <w:pPr>
        <w:jc w:val="center"/>
        <w:outlineLvl w:val="1"/>
      </w:pPr>
      <w:r>
        <w:rPr>
          <w:rFonts w:hAnsi="Arial"/>
          <w:rFonts w:ascii="Arial"/>
          <w:sz w:val="24"/>
          <w:vanish/>
          <w:color w:val="black"/>
        </w:rPr>
        <w:t>&amp;$</w:t>
      </w:r>
      <w:bookmarkStart w:id="62057" w:name="CAPÍTULO 2.5.14.6"/>
      <w:r>
        <w:rPr>
          <w:rFonts w:hAnsi="Arial"/>
          <w:rFonts w:ascii="Arial"/>
          <w:sz w:val="24"/>
          <w:color w:val="navy"/>
        </w:rPr>
        <w:t xml:space="preserve">CAPΝTULO 6. </w:t>
      </w:r>
    </w:p>
    <w:p>
      <w:pPr>
        <w:jc w:val="center"/>
        <w:outlineLvl w:val="1"/>
      </w:pPr>
      <w:r>
        <w:rPr>
          <w:rFonts w:hAnsi="Arial"/>
          <w:rFonts w:ascii="Arial"/>
          <w:sz w:val="24"/>
          <w:color w:val="navy"/>
        </w:rPr>
        <w:t xml:space="preserve">GENERALIDADES SOBRE EL USO DE LA FUERZA POTENCIALMENTE LETAL O EMPLEO DE ARMAS DE FUEGO.</w:t>
      </w:r>
      <w:bookmarkEnd w:id="62057"/>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vanish/>
          <w:color w:val="black"/>
        </w:rPr>
        <w:t>&amp;$</w:t>
      </w:r>
      <w:bookmarkStart w:id="62058" w:name="2.5.14.6.1"/>
      <w:r>
        <w:rPr>
          <w:rFonts w:hAnsi="Arial"/>
          <w:rFonts w:ascii="Arial"/>
          <w:sz w:val="24"/>
          <w:color w:val="navy"/>
        </w:rPr>
        <w:t xml:space="preserve">ARTΝCULO 2.5.14.6.1. DISPOSICIONES SOBRE EL USO DE LA FUERZA POTENCIALMENTE LETAL O EMPLEO DE ARMAS DE FUEGO.</w:t>
      </w:r>
      <w:bookmarkEnd w:id="62058"/>
      <w:r>
        <w:rPr>
          <w:rFonts w:hAnsi="Arial"/>
          <w:rFonts w:ascii="Arial"/>
          <w:sz w:val="24"/>
          <w:color w:val="black"/>
        </w:rPr>
        <w:t xml:space="preserve"> &lt;Artνculo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El uso de armas de fuego se considera como una medida extrema. Estas no se emplearαn en contra de las personas, salvo en ocasiones en que exista peligro inminente de muerte o de lesiones graves, o con el propσsito de evitar la comisiσn de un delito particularmente grave que entraρe una seria amenaza para la vida, o con el objeto de detener a una persona que represente ese peligro. En todo caso, se tendrαn en cuenta las siguientes disposiciones:</w:t>
      </w:r>
    </w:p>
    <w:p>
      <w:pPr>
        <w:jc w:val="both"/>
        <w:outlineLvl w:val="1"/>
      </w:pPr>
      <w:rPr>
        <w:sz w:val="24"/>
        <w:color w:val="black"/>
      </w:rPr>
    </w:p>
    <w:p>
      <w:pPr>
        <w:jc w:val="both"/>
        <w:outlineLvl w:val="1"/>
      </w:pPr>
      <w:r>
        <w:rPr>
          <w:rFonts w:hAnsi="Arial"/>
          <w:rFonts w:ascii="Arial"/>
          <w:sz w:val="24"/>
          <w:color w:val="black"/>
        </w:rPr>
        <w:t xml:space="preserve">a) En las circunstancias mencionadas y bajo los principios bαsicos del uso diferenciado y proporcional de la fuerza, los uniformados se identificarαn como Policνa Nacional y darαn una clara advertencia de su intenciσn de emplear armas de fuego o fuerza potencialmente letal, con tiempo suficiente para que se tome en cuenta, salvo que al dar esa advertencia se pusiera en peligro a los funcionarios o se creara un riesgo de muerte o daρos graves a otras personas, o resultara evidentemente inadecuada o inϊtil dadas las circunstancias del caso.</w:t>
      </w:r>
    </w:p>
    <w:p>
      <w:pPr>
        <w:jc w:val="both"/>
        <w:outlineLvl w:val="1"/>
      </w:pPr>
      <w:rPr>
        <w:sz w:val="24"/>
        <w:color w:val="black"/>
      </w:rPr>
    </w:p>
    <w:p>
      <w:pPr>
        <w:jc w:val="both"/>
        <w:outlineLvl w:val="1"/>
      </w:pPr>
      <w:r>
        <w:rPr>
          <w:rFonts w:hAnsi="Arial"/>
          <w:rFonts w:ascii="Arial"/>
          <w:sz w:val="24"/>
          <w:color w:val="black"/>
        </w:rPr>
        <w:t xml:space="preserve">b) Se podrα usar armas de fuego o fuerza potencialmente letal, solamente cuando otros medios resulten ineficaces o no garanticen de ninguna manera el logro del resultado legitimo previsto.</w:t>
      </w:r>
    </w:p>
    <w:p>
      <w:pPr>
        <w:jc w:val="both"/>
        <w:outlineLvl w:val="1"/>
      </w:pPr>
      <w:rPr>
        <w:sz w:val="24"/>
        <w:color w:val="black"/>
      </w:rPr>
    </w:p>
    <w:p>
      <w:pPr>
        <w:jc w:val="both"/>
        <w:outlineLvl w:val="1"/>
      </w:pPr>
      <w:r>
        <w:rPr>
          <w:rFonts w:hAnsi="Arial"/>
          <w:rFonts w:ascii="Arial"/>
          <w:sz w:val="24"/>
          <w:color w:val="black"/>
        </w:rPr>
        <w:t xml:space="preserve">c) Los funcionarios de la Policνa Nacional no podrαn usar medidas extremas, como la fuerza potencialmente letal, para salvaguardar un bien jurνdico o bienes materiales que resultan inferiores a la vida o integridad fνsica de las personas.</w:t>
      </w:r>
    </w:p>
    <w:p>
      <w:pPr>
        <w:jc w:val="both"/>
        <w:outlineLvl w:val="1"/>
      </w:pPr>
      <w:rPr>
        <w:sz w:val="24"/>
        <w:color w:val="black"/>
      </w:rPr>
    </w:p>
    <w:p>
      <w:pPr>
        <w:jc w:val="both"/>
        <w:outlineLvl w:val="1"/>
      </w:pPr>
      <w:r>
        <w:rPr>
          <w:rFonts w:hAnsi="Arial"/>
          <w:rFonts w:ascii="Arial"/>
          <w:sz w:val="24"/>
          <w:color w:val="black"/>
        </w:rPr>
        <w:t xml:space="preserve">d) Cuando sea inevitable el uso diferenciado y proporcional de la fuerza potencialmente letal o de armas de fuego, se harα con moderaciσn y se actuarα en proporciσn a las circunstancias de tiempo, modo y lugar y al objetivo legal que se persiga.</w:t>
      </w:r>
    </w:p>
    <w:p>
      <w:pPr>
        <w:jc w:val="both"/>
        <w:outlineLvl w:val="1"/>
      </w:pPr>
      <w:rPr>
        <w:sz w:val="24"/>
        <w:color w:val="black"/>
      </w:rPr>
    </w:p>
    <w:p>
      <w:pPr>
        <w:jc w:val="both"/>
        <w:outlineLvl w:val="1"/>
      </w:pPr>
      <w:r>
        <w:rPr>
          <w:rFonts w:hAnsi="Arial"/>
          <w:rFonts w:ascii="Arial"/>
          <w:sz w:val="24"/>
          <w:color w:val="black"/>
        </w:rPr>
        <w:t xml:space="preserve">e) Una vez usado este tipo de recursos policiales, y siempre que las circunstancias lo permitan, se procederα de la manera mαs expedita posible a prestar los servicios de asistencia o atenciσn mιdica a las personas heridas o afectadas.</w:t>
      </w:r>
    </w:p>
    <w:p>
      <w:pPr>
        <w:jc w:val="both"/>
        <w:outlineLvl w:val="1"/>
      </w:pPr>
      <w:rPr>
        <w:sz w:val="24"/>
        <w:color w:val="black"/>
      </w:rPr>
    </w:p>
    <w:p>
      <w:pPr>
        <w:jc w:val="both"/>
        <w:outlineLvl w:val="1"/>
      </w:pPr>
      <w:r>
        <w:rPr>
          <w:rFonts w:hAnsi="Arial"/>
          <w:rFonts w:ascii="Arial"/>
          <w:sz w:val="24"/>
          <w:color w:val="black"/>
        </w:rPr>
        <w:t xml:space="preserve">f) Se procurarα notificar lo sucedido, a la menor brevedad posible, a los parientes o amigos de las personas heridas o afectadas, y en caso de no ser posible se dejarα constancia de tal situaciσn en los documentos o medios establecidos para tal fin.</w:t>
      </w:r>
    </w:p>
    <w:p>
      <w:pPr>
        <w:jc w:val="both"/>
        <w:outlineLvl w:val="1"/>
      </w:pPr>
      <w:rPr>
        <w:sz w:val="24"/>
        <w:color w:val="black"/>
      </w:rPr>
    </w:p>
    <w:p>
      <w:pPr>
        <w:jc w:val="both"/>
        <w:outlineLvl w:val="1"/>
      </w:pPr>
      <w:r>
        <w:rPr>
          <w:rFonts w:hAnsi="Arial"/>
          <w:rFonts w:ascii="Arial"/>
          <w:sz w:val="24"/>
          <w:color w:val="black"/>
        </w:rPr>
        <w:t xml:space="preserve">g) Una vez ejecutado este tipo de fuerza potencialmente letal contra una persona, se comunicarα mediante los medios idσneos los hechos y consecuencias al superior jerαrquico. De igual forma, se presentarα un informe escrito, completo y detallado de los hechos y, se trasladarα a las autoridades competentes de la Policνa si se conoce que se transgredieron las circunstancias admisibles de uso de armas de fuego, asν como a los organismos previstos por la ley.</w:t>
      </w:r>
    </w:p>
    <w:p>
      <w:pPr>
        <w:jc w:val="both"/>
        <w:outlineLvl w:val="1"/>
      </w:pPr>
      <w:rPr>
        <w:color w:val="black"/>
      </w:rPr>
    </w:p>
    <w:p>
      <w:pPr>
        <w:jc w:val="both"/>
        <w:outlineLvl w:val="1"/>
      </w:pPr>
      <w:r>
        <w:rPr>
          <w:rFonts w:hAnsi="Arial"/>
          <w:rFonts w:ascii="Arial"/>
          <w:sz w:val="24"/>
          <w:b/>
          <w:vanish/>
          <w:color w:val="black"/>
        </w:rPr>
        <w:t>&amp;$</w:t>
      </w:r>
      <w:bookmarkStart w:id="62059" w:name="2.5.14.6.2"/>
      <w:r>
        <w:rPr>
          <w:rFonts w:hAnsi="Arial"/>
          <w:rFonts w:ascii="Arial"/>
          <w:sz w:val="24"/>
          <w:color w:val="navy"/>
        </w:rPr>
        <w:t xml:space="preserve">ARTΝCULO 2.5.14.6.2. REGLAMENTACIΣN DE LA CLASIFICACIΣN TΙCNICA Y EMPLEO DE ARMAS DE FUEGO.</w:t>
      </w:r>
      <w:bookmarkEnd w:id="6205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Policνa Nacional determinarα, a travιs de resoluciσn, el manual sobre el empleo de armas de fuego y, su clasificaciσn tιcnica en virtud de la actividad de policνa, bajo los principios de uso de la fuerza y acorde con los preceptos del presente decreto.</w:t>
      </w:r>
    </w:p>
    <w:p>
      <w:pPr>
        <w:jc w:val="center"/>
        <w:outlineLvl w:val="1"/>
      </w:pPr>
      <w:rPr>
        <w:sz w:val="24"/>
        <w:b/>
        <w:color w:val="black"/>
      </w:rPr>
    </w:p>
    <w:p>
      <w:pPr>
        <w:jc w:val="center"/>
        <w:outlineLvl w:val="1"/>
      </w:pPr>
      <w:r>
        <w:rPr>
          <w:rFonts w:hAnsi="Arial"/>
          <w:rFonts w:ascii="Arial"/>
          <w:sz w:val="24"/>
          <w:b/>
          <w:vanish/>
          <w:color w:val="black"/>
        </w:rPr>
        <w:t>&amp;$</w:t>
      </w:r>
      <w:bookmarkStart w:id="62060" w:name="CAPÍTULO 2.5.14.7"/>
      <w:r>
        <w:rPr>
          <w:rFonts w:hAnsi="Arial"/>
          <w:rFonts w:ascii="Arial"/>
          <w:sz w:val="24"/>
          <w:color w:val="navy"/>
        </w:rPr>
        <w:t xml:space="preserve">CAPΝTULO 7. </w:t>
      </w:r>
    </w:p>
    <w:p>
      <w:pPr>
        <w:jc w:val="center"/>
        <w:outlineLvl w:val="1"/>
      </w:pPr>
      <w:r>
        <w:rPr>
          <w:rFonts w:hAnsi="Arial"/>
          <w:rFonts w:ascii="Arial"/>
          <w:sz w:val="24"/>
          <w:color w:val="navy"/>
        </w:rPr>
        <w:t xml:space="preserve">DISPOSICIONES FINALES.</w:t>
      </w:r>
      <w:bookmarkEnd w:id="62060"/>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62061" w:name="2.5.14.7.1"/>
      <w:r>
        <w:rPr>
          <w:rFonts w:hAnsi="Arial"/>
          <w:rFonts w:ascii="Arial"/>
          <w:sz w:val="24"/>
          <w:color w:val="navy"/>
        </w:rPr>
        <w:t xml:space="preserve">ARTΝCULO 2.5.14.7.1. IMPLEMENTACIΣN.</w:t>
      </w:r>
      <w:bookmarkEnd w:id="6206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Policνa Nacional establecerα una estrategia permanente de instrucciσn en todas las unidades de la instituciσn sobre el presente decreto. Asimismo, se elaborarα un plan de actualizaciσn de alineaciσn doctrinaria sobre los lincamientos contenidos en el presente instrumento.</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 Policνa Nacional en un plazo de 18 meses contados a partir de la publicaciσn del presente Decreto realizarα una actualizaciσn o modificaciσn de los actos administrativos internos que contrarνen lo expresado en el presente decreto.</w:t>
      </w:r>
    </w:p>
    <w:p>
      <w:pPr>
        <w:jc w:val="both"/>
        <w:outlineLvl w:val="1"/>
      </w:pPr>
      <w:rPr>
        <w:color w:val="black"/>
      </w:rPr>
    </w:p>
    <w:p>
      <w:pPr>
        <w:jc w:val="both"/>
        <w:outlineLvl w:val="1"/>
      </w:pPr>
      <w:r>
        <w:rPr>
          <w:rFonts w:hAnsi="Arial"/>
          <w:rFonts w:ascii="Arial"/>
          <w:sz w:val="24"/>
          <w:b/>
          <w:vanish/>
          <w:color w:val="black"/>
        </w:rPr>
        <w:t>&amp;$</w:t>
      </w:r>
      <w:bookmarkStart w:id="62062" w:name="2.5.14.7.2"/>
      <w:r>
        <w:rPr>
          <w:rFonts w:hAnsi="Arial"/>
          <w:rFonts w:ascii="Arial"/>
          <w:sz w:val="24"/>
          <w:color w:val="navy"/>
        </w:rPr>
        <w:t xml:space="preserve">ARTΝCULO 2.5.14.7.2. SUPERVISIΣN.</w:t>
      </w:r>
      <w:bookmarkEnd w:id="6206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Corresponde a la Policνa Nacional y a todo el personal uniformado que cumple funciones de mando, supervisiσn y control, supervisar los riesgos asociados al incumplimiento de los preceptos establecidos en el presente reglamento.</w:t>
      </w:r>
    </w:p>
    <w:p>
      <w:pPr>
        <w:jc w:val="both"/>
        <w:outlineLvl w:val="1"/>
      </w:pPr>
      <w:rPr>
        <w:sz w:val="24"/>
        <w:color w:val="black"/>
      </w:rPr>
    </w:p>
    <w:p>
      <w:pPr>
        <w:jc w:val="both"/>
        <w:outlineLvl w:val="1"/>
      </w:pPr>
      <w:r>
        <w:rPr>
          <w:rFonts w:hAnsi="Arial"/>
          <w:rFonts w:ascii="Arial"/>
          <w:sz w:val="24"/>
          <w:color w:val="navy"/>
        </w:rPr>
        <w:t xml:space="preserve">PARΑGRAFO 1.</w:t>
      </w:r>
      <w:r>
        <w:rPr>
          <w:rFonts w:hAnsi="Arial"/>
          <w:rFonts w:ascii="Arial"/>
          <w:sz w:val="24"/>
          <w:color w:val="black"/>
        </w:rPr>
        <w:t xml:space="preserve"> La Policνa Nacional realizarα un constante anαlisis sobre el uso diferenciado y proporcional de la fuerza en la instituciσn estableciendo estrategias para disminuir al mαximo las posibles causas que puedan desencadenar en violaciones a los derechos humanos y fundamentales asociados la facultad legal reglamentada en el presente Decreto.</w:t>
      </w:r>
    </w:p>
    <w:p>
      <w:pPr>
        <w:jc w:val="both"/>
        <w:outlineLvl w:val="1"/>
      </w:pPr>
      <w:rPr>
        <w:sz w:val="24"/>
        <w:color w:val="black"/>
      </w:rPr>
    </w:p>
    <w:p>
      <w:pPr>
        <w:jc w:val="both"/>
        <w:outlineLvl w:val="1"/>
      </w:pPr>
      <w:r>
        <w:rPr>
          <w:rFonts w:hAnsi="Arial"/>
          <w:rFonts w:ascii="Arial"/>
          <w:sz w:val="24"/>
          <w:color w:val="navy"/>
        </w:rPr>
        <w:t xml:space="preserve">PARΑGRAFO 2.</w:t>
      </w:r>
      <w:r>
        <w:rPr>
          <w:rFonts w:hAnsi="Arial"/>
          <w:rFonts w:ascii="Arial"/>
          <w:sz w:val="24"/>
          <w:color w:val="black"/>
        </w:rPr>
        <w:t xml:space="preserve"> En ese mismo sentido, la Policνa Nacional realizarα un informe anual sobre los resultados cualitativos y cuantitativos en la implementaciσn del uso diferenciado y proporcional de la fuerza, el cual debe ser presentado en la rendiciσn de cuentas pϊblicas de la instituciσn y publicado en la pαgina web del Ministerio de Defensa y la Policνa Nacional.</w:t>
      </w:r>
    </w:p>
    <w:p>
      <w:pPr>
        <w:jc w:val="both"/>
        <w:outlineLvl w:val="1"/>
      </w:pPr>
      <w:rPr>
        <w:color w:val="black"/>
      </w:rPr>
    </w:p>
    <w:p>
      <w:pPr>
        <w:jc w:val="both"/>
        <w:outlineLvl w:val="1"/>
      </w:pPr>
      <w:r>
        <w:rPr>
          <w:rFonts w:hAnsi="Arial"/>
          <w:rFonts w:ascii="Arial"/>
          <w:sz w:val="24"/>
          <w:b/>
          <w:vanish/>
          <w:color w:val="black"/>
        </w:rPr>
        <w:t>&amp;$</w:t>
      </w:r>
      <w:bookmarkStart w:id="62063" w:name="2.5.14.7.3"/>
      <w:r>
        <w:rPr>
          <w:rFonts w:hAnsi="Arial"/>
          <w:rFonts w:ascii="Arial"/>
          <w:sz w:val="24"/>
          <w:color w:val="navy"/>
        </w:rPr>
        <w:t xml:space="preserve">ARTΝCULO 2.5.14.7.3. EVALUACIΣN.</w:t>
      </w:r>
      <w:bookmarkEnd w:id="6206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Corresponde al Centro de Estαndares de la Policνa Nacional o quien haga sus veces, validar periσdicamente las competencias funcionales relacionadas con el uso diferenciado y proporcional de la fuerza, la atenciσn al ciudadano, los derechos humanos, los procedimientos policiales y competencias fνsico-atlιticas, para mejorar de manera continua y permanente el servicio pϊblico de policνa.</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Centro de Estαndares de la Policνa Nacional o quien haga sus veces presentarα, cuando lo considere necesario, recomendaciones al mando institucional para mejorar las competencias funcionales que se validan frente al uso diferenciado y proporcional de la fuerza y las demαs establecidas en la ley y en los reglamentos vigentes.</w:t>
      </w:r>
    </w:p>
    <w:p>
      <w:pPr>
        <w:jc w:val="both"/>
        <w:outlineLvl w:val="1"/>
      </w:pPr>
      <w:rPr>
        <w:color w:val="black"/>
      </w:rPr>
    </w:p>
    <w:p>
      <w:pPr>
        <w:jc w:val="both"/>
        <w:outlineLvl w:val="1"/>
      </w:pPr>
      <w:r>
        <w:rPr>
          <w:rFonts w:hAnsi="Arial"/>
          <w:rFonts w:ascii="Arial"/>
          <w:sz w:val="24"/>
          <w:b/>
          <w:vanish/>
          <w:color w:val="black"/>
        </w:rPr>
        <w:t>&amp;$</w:t>
      </w:r>
      <w:bookmarkStart w:id="62064" w:name="2.5.14.7.4"/>
      <w:r>
        <w:rPr>
          <w:rFonts w:hAnsi="Arial"/>
          <w:rFonts w:ascii="Arial"/>
          <w:sz w:val="24"/>
          <w:color w:val="navy"/>
        </w:rPr>
        <w:t xml:space="preserve">ARTΝCULO 2.5.14.7.4. INFORMACIΣN Y ACCIΣN PREVENTIVA.</w:t>
      </w:r>
      <w:bookmarkEnd w:id="6206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"http://www.redjurista.com/document.aspx?ajcode=d1162024&amp;arts=1"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1231 de 2024. El nuevo texto es el siguiente:&gt; La Inspecciσn General y de Responsabilidad Policial o, la unidad que haga sus veces, en el marco de su gestiσn preventiva y disciplinaria en sus audiencias pϊblicas presentarα informes de las acciones, avances y resultados en materia disciplinaria y preventiva frente a las faltas de la Policνa Nacional en el empleo del uso diferenciado y proporcional de la fuerza, asν como en el cumplimento del presente reglamento por parte de la instituciσn.</w:t>
      </w:r>
    </w:p>
    <w:p>
      <w:pPr>
        <w:jc w:val="both"/>
        <w:outlineLvl w:val="1"/>
      </w:pPr>
      <w:rPr>
        <w:sz w:val="24"/>
        <w:color w:val="black"/>
      </w:rPr>
    </w:p>
    <w:p>
      <w:pPr>
        <w:jc w:val="center"/>
        <w:outlineLvl w:val="1"/>
      </w:pPr>
      <w:r>
        <w:rPr>
          <w:rFonts w:hAnsi="Arial"/>
          <w:rFonts w:ascii="Arial"/>
          <w:sz w:val="24"/>
          <w:vanish/>
          <w:color w:val="black"/>
        </w:rPr>
        <w:t>&amp;$</w:t>
      </w:r>
      <w:bookmarkStart w:id="62065" w:name="PARTE 2.6"/>
      <w:r>
        <w:rPr>
          <w:rFonts w:hAnsi="Arial"/>
          <w:rFonts w:ascii="Arial"/>
          <w:sz w:val="24"/>
          <w:color w:val="navy"/>
        </w:rPr>
        <w:t xml:space="preserve">PARTE 6. </w:t>
      </w:r>
    </w:p>
    <w:p>
      <w:pPr>
        <w:jc w:val="center"/>
        <w:outlineLvl w:val="1"/>
      </w:pPr>
      <w:r>
        <w:rPr>
          <w:rFonts w:hAnsi="Arial"/>
          <w:rFonts w:ascii="Arial"/>
          <w:sz w:val="24"/>
          <w:color w:val="navy"/>
        </w:rPr>
        <w:t xml:space="preserve">SECTOR DESCENTRALIZADO.</w:t>
      </w:r>
      <w:bookmarkEnd w:id="62065"/>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62066" w:name="TÍTULO 2.6.1"/>
      <w:r>
        <w:rPr>
          <w:rFonts w:hAnsi="Arial"/>
          <w:rFonts w:ascii="Arial"/>
          <w:sz w:val="24"/>
          <w:color w:val="navy"/>
        </w:rPr>
        <w:t xml:space="preserve">TΝTULO 1. </w:t>
      </w:r>
    </w:p>
    <w:p>
      <w:pPr>
        <w:jc w:val="center"/>
        <w:outlineLvl w:val="1"/>
      </w:pPr>
      <w:r>
        <w:rPr>
          <w:rFonts w:hAnsi="Arial"/>
          <w:rFonts w:ascii="Arial"/>
          <w:sz w:val="24"/>
          <w:color w:val="navy"/>
        </w:rPr>
        <w:t xml:space="preserve">ENTIDADES ADSCRITAS.</w:t>
      </w:r>
      <w:bookmarkEnd w:id="62066"/>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62067" w:name="CAPÍTULO 2.6.1.1"/>
      <w:r>
        <w:rPr>
          <w:rFonts w:hAnsi="Arial"/>
          <w:rFonts w:ascii="Arial"/>
          <w:sz w:val="24"/>
          <w:color w:val="navy"/>
        </w:rPr>
        <w:t xml:space="preserve">CAPΝTULO 1. </w:t>
      </w:r>
    </w:p>
    <w:p>
      <w:pPr>
        <w:jc w:val="center"/>
        <w:outlineLvl w:val="1"/>
      </w:pPr>
      <w:r>
        <w:rPr>
          <w:rFonts w:hAnsi="Arial"/>
          <w:rFonts w:ascii="Arial"/>
          <w:sz w:val="24"/>
          <w:color w:val="navy"/>
        </w:rPr>
        <w:t xml:space="preserve">SUPERINTENDENCIA DE VIGILANCIA Y SEGURIDAD PRIVADA.</w:t>
      </w:r>
      <w:bookmarkEnd w:id="62067"/>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62068" w:name="SECCIÓN 2.6.1.1.1"/>
      <w:r>
        <w:rPr>
          <w:rFonts w:hAnsi="Arial"/>
          <w:rFonts w:ascii="Arial"/>
          <w:sz w:val="24"/>
          <w:color w:val="navy"/>
        </w:rPr>
        <w:t xml:space="preserve">SECCIΣN 1. </w:t>
      </w:r>
    </w:p>
    <w:p>
      <w:pPr>
        <w:jc w:val="center"/>
        <w:outlineLvl w:val="1"/>
      </w:pPr>
      <w:r>
        <w:rPr>
          <w:rFonts w:hAnsi="Arial"/>
          <w:rFonts w:ascii="Arial"/>
          <w:sz w:val="24"/>
          <w:color w:val="navy"/>
        </w:rPr>
        <w:t xml:space="preserve">REGLAMENTACIΣN DE LOS SERVICIOS ESPECIALES Y LOS SERVICIOS COMUNITARIOS DE VIGILANCIA Y SEGURIDAD PRIVADA.</w:t>
      </w:r>
    </w:p>
    <w:p>
      <w:pPr>
        <w:jc w:val="center"/>
        <w:outlineLvl w:val="1"/>
      </w:pPr>
      <w:bookmarkEnd w:id="62068"/>
    </w:p>
    <w:p>
      <w:pPr>
        <w:jc w:val="center"/>
        <w:outlineLvl w:val="1"/>
      </w:pPr>
      <w:r>
        <w:rPr>
          <w:rFonts w:hAnsi="Arial"/>
          <w:rFonts w:ascii="Arial"/>
          <w:sz w:val="24"/>
          <w:vanish/>
          <w:color w:val="black"/>
        </w:rPr>
        <w:t>&amp;$</w:t>
      </w:r>
      <w:bookmarkStart w:id="62069" w:name="SUBSECCIÓN 2.6.1.1.1.1"/>
      <w:r>
        <w:rPr>
          <w:rFonts w:hAnsi="Arial"/>
          <w:rFonts w:ascii="Arial"/>
          <w:sz w:val="24"/>
          <w:color w:val="navy"/>
        </w:rPr>
        <w:t xml:space="preserve">SUBSECCIΣN 1. </w:t>
      </w:r>
    </w:p>
    <w:p>
      <w:pPr>
        <w:jc w:val="center"/>
        <w:outlineLvl w:val="1"/>
      </w:pPr>
      <w:r>
        <w:rPr>
          <w:rFonts w:hAnsi="Arial"/>
          <w:rFonts w:ascii="Arial"/>
          <w:sz w:val="24"/>
          <w:color w:val="navy"/>
        </w:rPr>
        <w:t xml:space="preserve">SERVICIOS ESPECIALES DE VIGILANCIA Y SEGURIDAD PRIVADA.</w:t>
      </w:r>
      <w:bookmarkEnd w:id="62069"/>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62070" w:name="2.6.1.1.1.1.1"/>
      <w:r>
        <w:rPr>
          <w:rFonts w:hAnsi="Arial"/>
          <w:rFonts w:ascii="Arial"/>
          <w:sz w:val="24"/>
          <w:color w:val="navy"/>
        </w:rPr>
        <w:t xml:space="preserve">ARTΝCULO 2.6.1.1.1.1.1. </w:t>
      </w:r>
      <w:r>
        <w:rPr>
          <w:rFonts w:hAnsi="Arial"/>
          <w:rFonts w:ascii="Arial"/>
          <w:sz w:val="24"/>
          <w:i/>
          <w:color w:val="navy"/>
        </w:rPr>
        <w:t>DEFINICIΣN</w:t>
      </w:r>
      <w:r>
        <w:rPr>
          <w:rFonts w:hAnsi="Arial"/>
          <w:rFonts w:ascii="Arial"/>
          <w:sz w:val="24"/>
          <w:color w:val="navy"/>
        </w:rPr>
        <w:t>.</w:t>
      </w:r>
      <w:bookmarkEnd w:id="62070"/>
      <w:r>
        <w:rPr>
          <w:rFonts w:hAnsi="Arial"/>
          <w:rFonts w:ascii="Arial"/>
          <w:sz w:val="24"/>
          <w:b/>
          <w:color w:val="black"/>
        </w:rPr>
        <w:t xml:space="preserve"> </w:t>
      </w:r>
      <w:r>
        <w:rPr>
          <w:rFonts w:hAnsi="Arial"/>
          <w:rFonts w:ascii="Arial"/>
          <w:sz w:val="24"/>
          <w:color w:val="black"/>
        </w:rPr>
        <w:t xml:space="preserve">Servicio especial de vigilancia y seguridad privada es aquel que en forma expresa, taxativa y transitoria puede autorizar la Superintendencia de Vigilancia y Seguridad Privada, a personas jurνdicas de derecho pϊblico o privado, con el objeto exclusivo de proveer su propia seguridad para desarrollar actividades en αreas de alto riesgo o de interιs pϊblico, que requieren un nivel de seguridad de alta capacidad.</w:t>
      </w:r>
    </w:p>
    <w:p>
      <w:pPr>
        <w:jc w:val="both"/>
        <w:outlineLvl w:val="1"/>
      </w:pPr>
      <w:rPr>
        <w:sz w:val="24"/>
        <w:color w:val="black"/>
      </w:rPr>
    </w:p>
    <w:p>
      <w:pPr>
        <w:jc w:val="both"/>
        <w:outlineLvl w:val="1"/>
      </w:pPr>
      <w:r>
        <w:rPr>
          <w:rFonts w:hAnsi="Arial"/>
          <w:rFonts w:ascii="Arial"/>
          <w:sz w:val="24"/>
          <w:i/>
          <w:color w:val="black"/>
        </w:rPr>
        <w:t xml:space="preserve">(Decreto 2974 de 1997 artνculo </w:t>
      </w:r>
      <w:r>
        <w:fldChar w:fldCharType="begin"/>
      </w:r>
      <w:r>
        <w:instrText>HYPERLINK "http://www.redjurista.com/document.aspx?ajcode=d2974_97&amp;arts=1"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1" w:name="2.6.1.1.1.1.2"/>
      <w:r>
        <w:rPr>
          <w:rFonts w:hAnsi="Arial"/>
          <w:rFonts w:ascii="Arial"/>
          <w:sz w:val="24"/>
          <w:color w:val="navy"/>
        </w:rPr>
        <w:t xml:space="preserve">ARTΝCULO 2.6.1.1.1.1.2. </w:t>
      </w:r>
      <w:r>
        <w:rPr>
          <w:rFonts w:hAnsi="Arial"/>
          <w:rFonts w:ascii="Arial"/>
          <w:sz w:val="24"/>
          <w:i/>
          <w:color w:val="navy"/>
        </w:rPr>
        <w:t xml:space="preserve">CRITERIOS PARA OTORGAR LICENCIA A LOS SERVICIOS ESPECIALES DE VIGILANCIA Y SEGURIDAD PRIVADA</w:t>
      </w:r>
      <w:r>
        <w:rPr>
          <w:rFonts w:hAnsi="Arial"/>
          <w:rFonts w:ascii="Arial"/>
          <w:sz w:val="24"/>
          <w:color w:val="navy"/>
        </w:rPr>
        <w:t>.</w:t>
      </w:r>
      <w:bookmarkEnd w:id="62071"/>
      <w:r>
        <w:rPr>
          <w:rFonts w:hAnsi="Arial"/>
          <w:rFonts w:ascii="Arial"/>
          <w:sz w:val="24"/>
          <w:b/>
          <w:color w:val="black"/>
        </w:rPr>
        <w:t xml:space="preserve"> </w:t>
      </w:r>
      <w:r>
        <w:rPr>
          <w:rFonts w:hAnsi="Arial"/>
          <w:rFonts w:ascii="Arial"/>
          <w:sz w:val="24"/>
          <w:color w:val="black"/>
        </w:rPr>
        <w:t xml:space="preserve">La Superintendencia de Vigilancia y Seguridad Privada para la expediciσn de la licencia tendrα en cuenta los siguientes criterios, sin perjuicio de su potestad discrecional.</w:t>
      </w:r>
    </w:p>
    <w:p>
      <w:pPr>
        <w:jc w:val="both"/>
        <w:outlineLvl w:val="1"/>
      </w:pPr>
      <w:rPr>
        <w:sz w:val="24"/>
        <w:color w:val="black"/>
      </w:rPr>
    </w:p>
    <w:p>
      <w:pPr>
        <w:jc w:val="both"/>
        <w:outlineLvl w:val="1"/>
      </w:pPr>
      <w:r>
        <w:rPr>
          <w:rFonts w:hAnsi="Arial"/>
          <w:rFonts w:ascii="Arial"/>
          <w:sz w:val="24"/>
          <w:color w:val="black"/>
        </w:rPr>
        <w:t xml:space="preserve">1. Que el solicitante sea una persona jurνdica de derecho pϊblico o privado previamente constituida;</w:t>
      </w:r>
    </w:p>
    <w:p>
      <w:pPr>
        <w:jc w:val="both"/>
        <w:outlineLvl w:val="1"/>
      </w:pPr>
      <w:rPr>
        <w:sz w:val="24"/>
        <w:color w:val="black"/>
      </w:rPr>
    </w:p>
    <w:p>
      <w:pPr>
        <w:jc w:val="both"/>
        <w:outlineLvl w:val="1"/>
      </w:pPr>
      <w:r>
        <w:rPr>
          <w:rFonts w:hAnsi="Arial"/>
          <w:rFonts w:ascii="Arial"/>
          <w:sz w:val="24"/>
          <w:color w:val="black"/>
        </w:rPr>
        <w:t xml:space="preserve">2. Que dicha persona jurνdica desarrolle actividades con o sin αnimo de lucro;</w:t>
      </w:r>
    </w:p>
    <w:p>
      <w:pPr>
        <w:jc w:val="both"/>
        <w:outlineLvl w:val="1"/>
      </w:pPr>
      <w:rPr>
        <w:sz w:val="24"/>
        <w:color w:val="black"/>
      </w:rPr>
    </w:p>
    <w:p>
      <w:pPr>
        <w:jc w:val="both"/>
        <w:outlineLvl w:val="1"/>
      </w:pPr>
      <w:r>
        <w:rPr>
          <w:rFonts w:hAnsi="Arial"/>
          <w:rFonts w:ascii="Arial"/>
          <w:sz w:val="24"/>
          <w:color w:val="black"/>
        </w:rPr>
        <w:t xml:space="preserve">3. Que el propσsito de la solicitud sea proveer la seguridad de las actividades que realiza la persona jurνdica solicitante en desarrollo de su objeto;</w:t>
      </w:r>
    </w:p>
    <w:p>
      <w:pPr>
        <w:jc w:val="both"/>
        <w:outlineLvl w:val="1"/>
      </w:pPr>
      <w:rPr>
        <w:sz w:val="24"/>
        <w:color w:val="black"/>
      </w:rPr>
    </w:p>
    <w:p>
      <w:pPr>
        <w:jc w:val="both"/>
        <w:outlineLvl w:val="1"/>
      </w:pPr>
      <w:r>
        <w:rPr>
          <w:rFonts w:hAnsi="Arial"/>
          <w:rFonts w:ascii="Arial"/>
          <w:sz w:val="24"/>
          <w:color w:val="black"/>
        </w:rPr>
        <w:t xml:space="preserve">4. Que la seguridad se brindarα en el αrea donde se desarrollen algunas de las actividades de la persona jurνdica solicitante.</w:t>
      </w:r>
    </w:p>
    <w:p>
      <w:pPr>
        <w:jc w:val="both"/>
        <w:outlineLvl w:val="1"/>
      </w:pPr>
      <w:rPr>
        <w:sz w:val="24"/>
        <w:color w:val="black"/>
      </w:rPr>
    </w:p>
    <w:p>
      <w:pPr>
        <w:jc w:val="both"/>
        <w:outlineLvl w:val="1"/>
      </w:pPr>
      <w:r>
        <w:rPr>
          <w:rFonts w:hAnsi="Arial"/>
          <w:rFonts w:ascii="Arial"/>
          <w:sz w:val="24"/>
          <w:i/>
          <w:color w:val="black"/>
        </w:rPr>
        <w:t xml:space="preserve">(Decreto 2974 de 1997 artνculo </w:t>
      </w:r>
      <w:r>
        <w:fldChar w:fldCharType="begin"/>
      </w:r>
      <w:r>
        <w:instrText>HYPERLINK "http://www.redjurista.com/document.aspx?ajcode=d2974_97&amp;arts=2"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2" w:name="2.6.1.1.1.1.3"/>
      <w:r>
        <w:rPr>
          <w:rFonts w:hAnsi="Arial"/>
          <w:rFonts w:ascii="Arial"/>
          <w:sz w:val="24"/>
          <w:color w:val="navy"/>
        </w:rPr>
        <w:t xml:space="preserve">ARTΝCULO 2.6.1.1.1.1.3. </w:t>
      </w:r>
      <w:r>
        <w:rPr>
          <w:rFonts w:hAnsi="Arial"/>
          <w:rFonts w:ascii="Arial"/>
          <w:sz w:val="24"/>
          <w:i/>
          <w:color w:val="navy"/>
        </w:rPr>
        <w:t xml:space="preserve">ZONAS DE CONFLICTO</w:t>
      </w:r>
      <w:r>
        <w:rPr>
          <w:rFonts w:hAnsi="Arial"/>
          <w:rFonts w:ascii="Arial"/>
          <w:sz w:val="24"/>
          <w:color w:val="navy"/>
        </w:rPr>
        <w:t>.</w:t>
      </w:r>
      <w:bookmarkEnd w:id="62072"/>
      <w:r>
        <w:rPr>
          <w:rFonts w:hAnsi="Arial"/>
          <w:rFonts w:ascii="Arial"/>
          <w:sz w:val="24"/>
          <w:b/>
          <w:color w:val="black"/>
        </w:rPr>
        <w:t xml:space="preserve"> </w:t>
      </w:r>
      <w:r>
        <w:rPr>
          <w:rFonts w:hAnsi="Arial"/>
          <w:rFonts w:ascii="Arial"/>
          <w:sz w:val="24"/>
          <w:color w:val="black"/>
        </w:rPr>
        <w:t xml:space="preserve">La Superintendencia de Vigilancia y Seguridad Privada no autorizarα servicios especiales de vigilancia en zonas de conflicto.</w:t>
      </w:r>
    </w:p>
    <w:p>
      <w:pPr>
        <w:jc w:val="both"/>
        <w:outlineLvl w:val="1"/>
      </w:pPr>
      <w:rPr>
        <w:sz w:val="24"/>
        <w:color w:val="black"/>
      </w:rPr>
    </w:p>
    <w:p>
      <w:pPr>
        <w:jc w:val="both"/>
        <w:outlineLvl w:val="1"/>
      </w:pPr>
      <w:r>
        <w:rPr>
          <w:rFonts w:hAnsi="Arial"/>
          <w:rFonts w:ascii="Arial"/>
          <w:sz w:val="24"/>
          <w:i/>
          <w:color w:val="black"/>
        </w:rPr>
        <w:t xml:space="preserve">(Decreto 2974 de 1997 artνculo </w:t>
      </w:r>
      <w:r>
        <w:fldChar w:fldCharType="begin"/>
      </w:r>
      <w:r>
        <w:instrText>HYPERLINK "http://www.redjurista.com/document.aspx?ajcode=d2974_97&amp;arts=3"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3" w:name="2.6.1.1.1.1.4"/>
      <w:r>
        <w:rPr>
          <w:rFonts w:hAnsi="Arial"/>
          <w:rFonts w:ascii="Arial"/>
          <w:sz w:val="24"/>
          <w:color w:val="navy"/>
        </w:rPr>
        <w:t xml:space="preserve">ARTΝCULO 2.6.1.1.1.1.4. </w:t>
      </w:r>
      <w:r>
        <w:rPr>
          <w:rFonts w:hAnsi="Arial"/>
          <w:rFonts w:ascii="Arial"/>
          <w:sz w:val="24"/>
          <w:i/>
          <w:color w:val="navy"/>
        </w:rPr>
        <w:t xml:space="preserve">DEBERES Y OBLIGACIONES</w:t>
      </w:r>
      <w:r>
        <w:rPr>
          <w:rFonts w:hAnsi="Arial"/>
          <w:rFonts w:ascii="Arial"/>
          <w:sz w:val="24"/>
          <w:color w:val="navy"/>
        </w:rPr>
        <w:t>.</w:t>
      </w:r>
      <w:bookmarkEnd w:id="62073"/>
      <w:r>
        <w:rPr>
          <w:rFonts w:hAnsi="Arial"/>
          <w:rFonts w:ascii="Arial"/>
          <w:sz w:val="24"/>
          <w:b/>
          <w:color w:val="black"/>
        </w:rPr>
        <w:t xml:space="preserve"> </w:t>
      </w:r>
      <w:r>
        <w:rPr>
          <w:rFonts w:hAnsi="Arial"/>
          <w:rFonts w:ascii="Arial"/>
          <w:sz w:val="24"/>
          <w:color w:val="black"/>
        </w:rPr>
        <w:t xml:space="preserve">Los servicios especiales de vigilancia y seguridad privada, deberαn desarrollar sus funciones de acuerdo con los siguientes deberes y obligaciones:</w:t>
      </w:r>
    </w:p>
    <w:p>
      <w:pPr>
        <w:jc w:val="both"/>
        <w:outlineLvl w:val="1"/>
      </w:pPr>
      <w:rPr>
        <w:sz w:val="24"/>
        <w:color w:val="black"/>
      </w:rPr>
    </w:p>
    <w:p>
      <w:pPr>
        <w:jc w:val="both"/>
        <w:outlineLvl w:val="1"/>
      </w:pPr>
      <w:r>
        <w:rPr>
          <w:rFonts w:hAnsi="Arial"/>
          <w:rFonts w:ascii="Arial"/>
          <w:sz w:val="24"/>
          <w:color w:val="black"/>
        </w:rPr>
        <w:t xml:space="preserve">1. Acatar la Constituciσn, la ley y la ιtica profesional.</w:t>
      </w:r>
    </w:p>
    <w:p>
      <w:pPr>
        <w:jc w:val="both"/>
        <w:outlineLvl w:val="1"/>
      </w:pPr>
      <w:rPr>
        <w:sz w:val="24"/>
        <w:color w:val="black"/>
      </w:rPr>
    </w:p>
    <w:p>
      <w:pPr>
        <w:jc w:val="both"/>
        <w:outlineLvl w:val="1"/>
      </w:pPr>
      <w:r>
        <w:rPr>
          <w:rFonts w:hAnsi="Arial"/>
          <w:rFonts w:ascii="Arial"/>
          <w:sz w:val="24"/>
          <w:color w:val="black"/>
        </w:rPr>
        <w:t xml:space="preserve">2. Respetar los derechos fundamentales y libertades de la comunidad, absteniιndose de asumir conductas reservadas a la Fuerza Pϊblica.</w:t>
      </w:r>
    </w:p>
    <w:p>
      <w:pPr>
        <w:jc w:val="both"/>
        <w:outlineLvl w:val="1"/>
      </w:pPr>
      <w:rPr>
        <w:sz w:val="24"/>
        <w:color w:val="black"/>
      </w:rPr>
    </w:p>
    <w:p>
      <w:pPr>
        <w:jc w:val="both"/>
        <w:outlineLvl w:val="1"/>
      </w:pPr>
      <w:r>
        <w:rPr>
          <w:rFonts w:hAnsi="Arial"/>
          <w:rFonts w:ascii="Arial"/>
          <w:sz w:val="24"/>
          <w:color w:val="black"/>
        </w:rPr>
        <w:t xml:space="preserve">3. Actuar de manera que se fortalezca la confianza pϊblica en los servicios que prestan.</w:t>
      </w:r>
    </w:p>
    <w:p>
      <w:pPr>
        <w:jc w:val="both"/>
        <w:outlineLvl w:val="1"/>
      </w:pPr>
      <w:rPr>
        <w:sz w:val="24"/>
        <w:color w:val="black"/>
      </w:rPr>
    </w:p>
    <w:p>
      <w:pPr>
        <w:jc w:val="both"/>
        <w:outlineLvl w:val="1"/>
      </w:pPr>
      <w:r>
        <w:rPr>
          <w:rFonts w:hAnsi="Arial"/>
          <w:rFonts w:ascii="Arial"/>
          <w:sz w:val="24"/>
          <w:color w:val="black"/>
        </w:rPr>
        <w:t xml:space="preserve">4. Adoptar medidas de prevenciσn y control apropiados y suficientes, orientados a evitar que sus servicios puedan ser utilizados como instrumento para la realizaciσn de actos ilegales, en cualquier forma o para dar apariencia de legalidad a actividades delictivas o a prestar servicios a delincuentes o a personas directa o indirectamente involucradas con el trαfico de estupefacientes o actividades terroristas.</w:t>
      </w:r>
    </w:p>
    <w:p>
      <w:pPr>
        <w:jc w:val="both"/>
        <w:outlineLvl w:val="1"/>
      </w:pPr>
      <w:rPr>
        <w:sz w:val="24"/>
        <w:color w:val="black"/>
      </w:rPr>
    </w:p>
    <w:p>
      <w:pPr>
        <w:jc w:val="both"/>
        <w:outlineLvl w:val="1"/>
      </w:pPr>
      <w:r>
        <w:rPr>
          <w:rFonts w:hAnsi="Arial"/>
          <w:rFonts w:ascii="Arial"/>
          <w:sz w:val="24"/>
          <w:color w:val="black"/>
        </w:rPr>
        <w:t xml:space="preserve">5. Mantener en forma permanente altos niveles de eficiencia tιcnica y profesional para atender sus obligaciones.</w:t>
      </w:r>
    </w:p>
    <w:p>
      <w:pPr>
        <w:jc w:val="both"/>
        <w:outlineLvl w:val="1"/>
      </w:pPr>
      <w:rPr>
        <w:sz w:val="24"/>
        <w:color w:val="black"/>
      </w:rPr>
    </w:p>
    <w:p>
      <w:pPr>
        <w:jc w:val="both"/>
        <w:outlineLvl w:val="1"/>
      </w:pPr>
      <w:r>
        <w:rPr>
          <w:rFonts w:hAnsi="Arial"/>
          <w:rFonts w:ascii="Arial"/>
          <w:sz w:val="24"/>
          <w:color w:val="black"/>
        </w:rPr>
        <w:t xml:space="preserve">6. Contribuir a la prevenciσn del delito, reduciendo las oportunidades para la actividad criminal y desalentando la acciσn de los criminales, en colaboraciσn con las autoridades de la repϊblica.</w:t>
      </w:r>
    </w:p>
    <w:p>
      <w:pPr>
        <w:jc w:val="both"/>
        <w:outlineLvl w:val="1"/>
      </w:pPr>
      <w:rPr>
        <w:sz w:val="24"/>
        <w:color w:val="black"/>
      </w:rPr>
    </w:p>
    <w:p>
      <w:pPr>
        <w:jc w:val="both"/>
        <w:outlineLvl w:val="1"/>
      </w:pPr>
      <w:r>
        <w:rPr>
          <w:rFonts w:hAnsi="Arial"/>
          <w:rFonts w:ascii="Arial"/>
          <w:sz w:val="24"/>
          <w:color w:val="black"/>
        </w:rPr>
        <w:t xml:space="preserve">7. Observar en ejercicio de sus funciones el cumplimiento de las normas legales y procedimientos establecidos por el Gobierno Nacional, asν como las σrdenes e instrucciones impartidas por la Superintendencia de Vigilancia y Seguridad Privada.</w:t>
      </w:r>
    </w:p>
    <w:p>
      <w:pPr>
        <w:jc w:val="both"/>
        <w:outlineLvl w:val="1"/>
      </w:pPr>
      <w:rPr>
        <w:sz w:val="24"/>
        <w:color w:val="black"/>
      </w:rPr>
    </w:p>
    <w:p>
      <w:pPr>
        <w:jc w:val="both"/>
        <w:outlineLvl w:val="1"/>
      </w:pPr>
      <w:r>
        <w:rPr>
          <w:rFonts w:hAnsi="Arial"/>
          <w:rFonts w:ascii="Arial"/>
          <w:sz w:val="24"/>
          <w:color w:val="black"/>
        </w:rPr>
        <w:t xml:space="preserve">8. Emplear las armas de acuerdo con el uso autorizado en los respectivos permisos y abstenerse de emplear armamento hechizo o no autorizado de acuerdo con la ley.</w:t>
      </w:r>
    </w:p>
    <w:p>
      <w:pPr>
        <w:jc w:val="both"/>
        <w:outlineLvl w:val="1"/>
      </w:pPr>
      <w:rPr>
        <w:sz w:val="24"/>
        <w:color w:val="black"/>
      </w:rPr>
    </w:p>
    <w:p>
      <w:pPr>
        <w:jc w:val="both"/>
        <w:outlineLvl w:val="1"/>
      </w:pPr>
      <w:r>
        <w:rPr>
          <w:rFonts w:hAnsi="Arial"/>
          <w:rFonts w:ascii="Arial"/>
          <w:sz w:val="24"/>
          <w:color w:val="black"/>
        </w:rPr>
        <w:t xml:space="preserve">9. Emplear los equipos y elementos autorizados por la Superintendencia de Vigilancia y Seguridad Privada, ϊnicamente para los fines previstos en la licencia de funcionamiento.</w:t>
      </w:r>
    </w:p>
    <w:p>
      <w:pPr>
        <w:jc w:val="both"/>
        <w:outlineLvl w:val="1"/>
      </w:pPr>
      <w:rPr>
        <w:sz w:val="24"/>
        <w:color w:val="black"/>
      </w:rPr>
    </w:p>
    <w:p>
      <w:pPr>
        <w:jc w:val="both"/>
        <w:outlineLvl w:val="1"/>
      </w:pPr>
      <w:r>
        <w:rPr>
          <w:rFonts w:hAnsi="Arial"/>
          <w:rFonts w:ascii="Arial"/>
          <w:sz w:val="24"/>
          <w:color w:val="black"/>
        </w:rPr>
        <w:t xml:space="preserve">10. Asumir actitudes disuasivas o de alerta, cuando observen la comisiσn de actos delictivos en los alrededores del lugar donde estαn prestando sus servicios, dando aviso inmediato a la autoridad de manera que pueda impedirse o disminuirse sus efectos.</w:t>
      </w:r>
    </w:p>
    <w:p>
      <w:pPr>
        <w:jc w:val="both"/>
        <w:outlineLvl w:val="1"/>
      </w:pPr>
      <w:rPr>
        <w:sz w:val="24"/>
        <w:color w:val="black"/>
      </w:rPr>
    </w:p>
    <w:p>
      <w:pPr>
        <w:jc w:val="both"/>
        <w:outlineLvl w:val="1"/>
      </w:pPr>
      <w:r>
        <w:rPr>
          <w:rFonts w:hAnsi="Arial"/>
          <w:rFonts w:ascii="Arial"/>
          <w:sz w:val="24"/>
          <w:color w:val="black"/>
        </w:rPr>
        <w:t xml:space="preserve">11. El personal integrante de los servicios especiales y comunitarios de vigilancia y seguridad privada que tenga conocimiento de la comisiσn de hechos punibles durante su servicio o fuera de ιl, deberα informar de inmediato a la autoridad competente y prestar toda la colaboraciσn que requieran las autoridades.</w:t>
      </w:r>
    </w:p>
    <w:p>
      <w:pPr>
        <w:jc w:val="both"/>
        <w:outlineLvl w:val="1"/>
      </w:pPr>
      <w:rPr>
        <w:sz w:val="24"/>
        <w:color w:val="black"/>
      </w:rPr>
    </w:p>
    <w:p>
      <w:pPr>
        <w:jc w:val="both"/>
        <w:outlineLvl w:val="1"/>
      </w:pPr>
      <w:r>
        <w:rPr>
          <w:rFonts w:hAnsi="Arial"/>
          <w:rFonts w:ascii="Arial"/>
          <w:sz w:val="24"/>
          <w:color w:val="black"/>
        </w:rPr>
        <w:t xml:space="preserve">12. Prestar apoyo cuando lo soliciten las autoridades, con el fin de atender casos de calamidad pϊblica.</w:t>
      </w:r>
    </w:p>
    <w:p>
      <w:pPr>
        <w:jc w:val="both"/>
        <w:outlineLvl w:val="1"/>
      </w:pPr>
      <w:rPr>
        <w:sz w:val="24"/>
        <w:color w:val="black"/>
      </w:rPr>
    </w:p>
    <w:p>
      <w:pPr>
        <w:jc w:val="both"/>
        <w:outlineLvl w:val="1"/>
      </w:pPr>
      <w:r>
        <w:rPr>
          <w:rFonts w:hAnsi="Arial"/>
          <w:rFonts w:ascii="Arial"/>
          <w:sz w:val="24"/>
          <w:color w:val="black"/>
        </w:rPr>
        <w:t xml:space="preserve">13. Mantener permanentemente actualizado los permisos, patentes, licencias, libros y registros, seguros y demαs requisitos que exige esta Secciσn.</w:t>
      </w:r>
    </w:p>
    <w:p>
      <w:pPr>
        <w:jc w:val="both"/>
        <w:outlineLvl w:val="1"/>
      </w:pPr>
      <w:rPr>
        <w:sz w:val="24"/>
        <w:color w:val="black"/>
      </w:rPr>
    </w:p>
    <w:p>
      <w:pPr>
        <w:jc w:val="both"/>
        <w:outlineLvl w:val="1"/>
      </w:pPr>
      <w:r>
        <w:rPr>
          <w:rFonts w:hAnsi="Arial"/>
          <w:rFonts w:ascii="Arial"/>
          <w:sz w:val="24"/>
          <w:color w:val="black"/>
        </w:rPr>
        <w:t xml:space="preserve">14. Pagar oportunamente la contribuciσn establecida por la Superintendencia de Vigilancia y Seguridad Privada debidamente aprobada por el Ministerio de Hacienda y Crιdito Pϊblico, asν como las multas y los costos por concepto de licencias y credenciales.</w:t>
      </w:r>
    </w:p>
    <w:p>
      <w:pPr>
        <w:jc w:val="both"/>
        <w:outlineLvl w:val="1"/>
      </w:pPr>
      <w:rPr>
        <w:sz w:val="24"/>
        <w:color w:val="black"/>
      </w:rPr>
    </w:p>
    <w:p>
      <w:pPr>
        <w:jc w:val="both"/>
        <w:outlineLvl w:val="1"/>
      </w:pPr>
      <w:r>
        <w:rPr>
          <w:rFonts w:hAnsi="Arial"/>
          <w:rFonts w:ascii="Arial"/>
          <w:sz w:val="24"/>
          <w:color w:val="black"/>
        </w:rPr>
        <w:t xml:space="preserve">15. Colaborar con la Superintendencia de Vigilancia y Seguridad Privada en la labor de inspecciσn, proporcionando toda la informaciσn operativa, administrativa y financiera que esta requiera para el desarrollo de sus funciones.</w:t>
      </w:r>
    </w:p>
    <w:p>
      <w:pPr>
        <w:jc w:val="both"/>
        <w:outlineLvl w:val="1"/>
      </w:pPr>
      <w:rPr>
        <w:sz w:val="24"/>
        <w:color w:val="black"/>
      </w:rPr>
    </w:p>
    <w:p>
      <w:pPr>
        <w:jc w:val="both"/>
        <w:outlineLvl w:val="1"/>
      </w:pPr>
      <w:r>
        <w:rPr>
          <w:rFonts w:hAnsi="Arial"/>
          <w:rFonts w:ascii="Arial"/>
          <w:sz w:val="24"/>
          <w:color w:val="black"/>
        </w:rPr>
        <w:t xml:space="preserve">16. Salvaguardar la informaciσn confidencial que obtengan en desarrollo de sus actividades profesionales, salvo requerimiento de autoridad competente.</w:t>
      </w:r>
    </w:p>
    <w:p>
      <w:pPr>
        <w:jc w:val="both"/>
        <w:outlineLvl w:val="1"/>
      </w:pPr>
      <w:rPr>
        <w:sz w:val="24"/>
        <w:color w:val="black"/>
      </w:rPr>
    </w:p>
    <w:p>
      <w:pPr>
        <w:jc w:val="both"/>
        <w:outlineLvl w:val="1"/>
      </w:pPr>
      <w:r>
        <w:rPr>
          <w:rFonts w:hAnsi="Arial"/>
          <w:rFonts w:ascii="Arial"/>
          <w:sz w:val="24"/>
          <w:color w:val="black"/>
        </w:rPr>
        <w:t xml:space="preserve">17. Desarrollar mecanismos de control interno, para prevenir que el personal del servicio, se involucre directa e indirectamente en actividades delictivas.</w:t>
      </w:r>
    </w:p>
    <w:p>
      <w:pPr>
        <w:jc w:val="both"/>
        <w:outlineLvl w:val="1"/>
      </w:pPr>
      <w:rPr>
        <w:sz w:val="24"/>
        <w:color w:val="black"/>
      </w:rPr>
    </w:p>
    <w:p>
      <w:pPr>
        <w:jc w:val="both"/>
        <w:outlineLvl w:val="1"/>
      </w:pPr>
      <w:r>
        <w:rPr>
          <w:rFonts w:hAnsi="Arial"/>
          <w:rFonts w:ascii="Arial"/>
          <w:sz w:val="24"/>
          <w:color w:val="black"/>
        </w:rPr>
        <w:t xml:space="preserve">18. Establecer mecanismos y reglas de conducta que deberαn observar representantes legales, directivos y empleados.</w:t>
      </w:r>
    </w:p>
    <w:p>
      <w:pPr>
        <w:jc w:val="both"/>
        <w:outlineLvl w:val="1"/>
      </w:pPr>
      <w:rPr>
        <w:sz w:val="24"/>
        <w:color w:val="black"/>
      </w:rPr>
    </w:p>
    <w:p>
      <w:pPr>
        <w:jc w:val="both"/>
        <w:outlineLvl w:val="1"/>
      </w:pPr>
      <w:r>
        <w:rPr>
          <w:rFonts w:hAnsi="Arial"/>
          <w:rFonts w:ascii="Arial"/>
          <w:sz w:val="24"/>
          <w:color w:val="black"/>
        </w:rPr>
        <w:t xml:space="preserve">19. Dar estricto cumplimiento a las normas que rigen las relaciones obrero patronales y reconocer en todos los casos los salarios y prestaciones sociales legales, asν como proveer a los trabajadores de la seguridad social establecida en la ley.</w:t>
      </w:r>
    </w:p>
    <w:p>
      <w:pPr>
        <w:jc w:val="both"/>
        <w:outlineLvl w:val="1"/>
      </w:pPr>
      <w:rPr>
        <w:sz w:val="24"/>
        <w:color w:val="black"/>
      </w:rPr>
    </w:p>
    <w:p>
      <w:pPr>
        <w:jc w:val="both"/>
        <w:outlineLvl w:val="1"/>
      </w:pPr>
      <w:r>
        <w:rPr>
          <w:rFonts w:hAnsi="Arial"/>
          <w:rFonts w:ascii="Arial"/>
          <w:sz w:val="24"/>
          <w:color w:val="black"/>
        </w:rPr>
        <w:t xml:space="preserve">20. Aplicar procesos de selecciσn de personal que garantice la idoneidad profesional y moral del personal que integra el servicio.</w:t>
      </w:r>
    </w:p>
    <w:p>
      <w:pPr>
        <w:jc w:val="both"/>
        <w:outlineLvl w:val="1"/>
      </w:pPr>
      <w:rPr>
        <w:sz w:val="24"/>
        <w:color w:val="black"/>
      </w:rPr>
    </w:p>
    <w:p>
      <w:pPr>
        <w:jc w:val="both"/>
        <w:outlineLvl w:val="1"/>
      </w:pPr>
      <w:r>
        <w:rPr>
          <w:rFonts w:hAnsi="Arial"/>
          <w:rFonts w:ascii="Arial"/>
          <w:sz w:val="24"/>
          <w:color w:val="black"/>
        </w:rPr>
        <w:t xml:space="preserve">21. Prestar el servicio con personal idσneo y entrenado y con los medios adecuados segϊn las caracterνsticas del servicio, para prevenir y contrarrestar la acciσn de la delincuencia.</w:t>
      </w:r>
    </w:p>
    <w:p>
      <w:pPr>
        <w:jc w:val="both"/>
        <w:outlineLvl w:val="1"/>
      </w:pPr>
      <w:rPr>
        <w:sz w:val="24"/>
        <w:color w:val="black"/>
      </w:rPr>
    </w:p>
    <w:p>
      <w:pPr>
        <w:jc w:val="both"/>
        <w:outlineLvl w:val="1"/>
      </w:pPr>
      <w:r>
        <w:rPr>
          <w:rFonts w:hAnsi="Arial"/>
          <w:rFonts w:ascii="Arial"/>
          <w:sz w:val="24"/>
          <w:color w:val="black"/>
        </w:rPr>
        <w:t xml:space="preserve">22. No exceder la jornada laboral y reconocer las horas extras, llevar el registro correspondiente y entregar copia a los trabajadores en la forma como lo establece la ley.</w:t>
      </w:r>
    </w:p>
    <w:p>
      <w:pPr>
        <w:jc w:val="both"/>
        <w:outlineLvl w:val="1"/>
      </w:pPr>
      <w:rPr>
        <w:sz w:val="24"/>
        <w:color w:val="black"/>
      </w:rPr>
    </w:p>
    <w:p>
      <w:pPr>
        <w:jc w:val="both"/>
        <w:outlineLvl w:val="1"/>
      </w:pPr>
      <w:r>
        <w:rPr>
          <w:rFonts w:hAnsi="Arial"/>
          <w:rFonts w:ascii="Arial"/>
          <w:sz w:val="24"/>
          <w:color w:val="black"/>
        </w:rPr>
        <w:t xml:space="preserve">23. Atender los reclamos que presenten los trabajadores y explicar en forma verbal o escrita a solicitud de los mismos, las condiciones de su vinculaciσn laboral, asν como entregar copia del contrato de trabajo en los tιrminos establecidos en la ley.</w:t>
      </w:r>
    </w:p>
    <w:p>
      <w:pPr>
        <w:jc w:val="both"/>
        <w:outlineLvl w:val="1"/>
      </w:pPr>
      <w:rPr>
        <w:sz w:val="24"/>
        <w:color w:val="black"/>
      </w:rPr>
    </w:p>
    <w:p>
      <w:pPr>
        <w:jc w:val="both"/>
        <w:outlineLvl w:val="1"/>
      </w:pPr>
      <w:r>
        <w:rPr>
          <w:rFonts w:hAnsi="Arial"/>
          <w:rFonts w:ascii="Arial"/>
          <w:sz w:val="24"/>
          <w:color w:val="black"/>
        </w:rPr>
        <w:t xml:space="preserve">24. Dar aviso inmediato a la Superintendencia de Vigilancia y Seguridad Privada y demαs autoridades competentes, y proporcionar toda la informaciσn relacionada con la ocurrencia de siniestros, en los cuales haya presencia de personas vinculadas a los servicios de vigilancia y seguridad privada.</w:t>
      </w:r>
    </w:p>
    <w:p>
      <w:pPr>
        <w:jc w:val="both"/>
        <w:outlineLvl w:val="1"/>
      </w:pPr>
      <w:rPr>
        <w:sz w:val="24"/>
        <w:color w:val="black"/>
      </w:rPr>
    </w:p>
    <w:p>
      <w:pPr>
        <w:jc w:val="both"/>
        <w:outlineLvl w:val="1"/>
      </w:pPr>
      <w:r>
        <w:rPr>
          <w:rFonts w:hAnsi="Arial"/>
          <w:rFonts w:ascii="Arial"/>
          <w:sz w:val="24"/>
          <w:color w:val="black"/>
        </w:rPr>
        <w:t xml:space="preserve">25. Los servicios especiales y comunitarios deben desarrollar mecanismos idσneos de supervisiσn y control internos que permitan prevenir y controlar actos de indisciplina del personal que presta los servicios.</w:t>
      </w:r>
    </w:p>
    <w:p>
      <w:pPr>
        <w:jc w:val="both"/>
        <w:outlineLvl w:val="1"/>
      </w:pPr>
      <w:rPr>
        <w:sz w:val="24"/>
        <w:color w:val="black"/>
      </w:rPr>
    </w:p>
    <w:p>
      <w:pPr>
        <w:jc w:val="both"/>
        <w:outlineLvl w:val="1"/>
      </w:pPr>
      <w:r>
        <w:rPr>
          <w:rFonts w:hAnsi="Arial"/>
          <w:rFonts w:ascii="Arial"/>
          <w:sz w:val="24"/>
          <w:color w:val="black"/>
        </w:rPr>
        <w:t xml:space="preserve">26. Los servicios especiales y comunitarios de vigilancia y seguridad privada, serαn responsables de proporcionar y exigir al personal una capacitaciσn y formaciσn humana y tιcnica, de acuerdo con las modalidades del servicio y cargo que desempeρa. La capacitaciσn del personal de estos servicios, deberα tener un especial acento en la prevenciσn del delito, en el respeto a los derechos humanos, en la colaboraciσn con las autoridades y en la valoraciσn del individuo.</w:t>
      </w:r>
    </w:p>
    <w:p>
      <w:pPr>
        <w:jc w:val="both"/>
        <w:outlineLvl w:val="1"/>
      </w:pPr>
      <w:rPr>
        <w:sz w:val="24"/>
        <w:color w:val="black"/>
      </w:rPr>
    </w:p>
    <w:p>
      <w:pPr>
        <w:jc w:val="both"/>
        <w:outlineLvl w:val="1"/>
      </w:pPr>
      <w:r>
        <w:rPr>
          <w:rFonts w:hAnsi="Arial"/>
          <w:rFonts w:ascii="Arial"/>
          <w:sz w:val="24"/>
          <w:color w:val="black"/>
        </w:rPr>
        <w:t xml:space="preserve">27. Abstenerse de desarrollar actividades diferentes a las establecidas en su objeto social.</w:t>
      </w:r>
    </w:p>
    <w:p>
      <w:pPr>
        <w:jc w:val="both"/>
        <w:outlineLvl w:val="1"/>
      </w:pPr>
      <w:rPr>
        <w:sz w:val="24"/>
        <w:color w:val="black"/>
      </w:rPr>
    </w:p>
    <w:p>
      <w:pPr>
        <w:jc w:val="both"/>
        <w:outlineLvl w:val="1"/>
      </w:pPr>
      <w:r>
        <w:rPr>
          <w:rFonts w:hAnsi="Arial"/>
          <w:rFonts w:ascii="Arial"/>
          <w:sz w:val="24"/>
          <w:color w:val="black"/>
        </w:rPr>
        <w:t xml:space="preserve">28. Informar oportunamente a las autoridades competentes, cuando en ejercicio de su actividad tengan conocimiento de la comisiσn de actos delictivos, violaciσn de Derechos Humanos o del Derecho Internacional Humanitario.</w:t>
      </w:r>
    </w:p>
    <w:p>
      <w:pPr>
        <w:jc w:val="both"/>
        <w:outlineLvl w:val="1"/>
      </w:pPr>
      <w:rPr>
        <w:sz w:val="24"/>
        <w:color w:val="black"/>
      </w:rPr>
    </w:p>
    <w:p>
      <w:pPr>
        <w:jc w:val="both"/>
        <w:outlineLvl w:val="1"/>
      </w:pPr>
      <w:r>
        <w:rPr>
          <w:rFonts w:hAnsi="Arial"/>
          <w:rFonts w:ascii="Arial"/>
          <w:sz w:val="24"/>
          <w:color w:val="black"/>
        </w:rPr>
        <w:t xml:space="preserve">29. Darle aviso inmediato a las autoridades competentes de toda situaciσn de peligro que se cierna sobre la comunidad.</w:t>
      </w:r>
    </w:p>
    <w:p>
      <w:pPr>
        <w:jc w:val="both"/>
        <w:outlineLvl w:val="1"/>
      </w:pPr>
      <w:rPr>
        <w:sz w:val="24"/>
        <w:color w:val="black"/>
      </w:rPr>
    </w:p>
    <w:p>
      <w:pPr>
        <w:jc w:val="both"/>
        <w:outlineLvl w:val="1"/>
      </w:pPr>
      <w:r>
        <w:rPr>
          <w:rFonts w:hAnsi="Arial"/>
          <w:rFonts w:ascii="Arial"/>
          <w:sz w:val="24"/>
          <w:i/>
          <w:color w:val="black"/>
        </w:rPr>
        <w:t xml:space="preserve">(Decreto 2974 de 1997 artνculo </w:t>
      </w:r>
      <w:r>
        <w:fldChar w:fldCharType="begin"/>
      </w:r>
      <w:r>
        <w:instrText>HYPERLINK "http://www.redjurista.com/document.aspx?ajcode=d2974_97&amp;arts=4"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4" w:name="2.6.1.1.1.1.5"/>
      <w:r>
        <w:rPr>
          <w:rFonts w:hAnsi="Arial"/>
          <w:rFonts w:ascii="Arial"/>
          <w:sz w:val="24"/>
          <w:color w:val="navy"/>
        </w:rPr>
        <w:t xml:space="preserve">ARTΝCULO 2.6.1.1.1.1.5. </w:t>
      </w:r>
      <w:r>
        <w:rPr>
          <w:rFonts w:hAnsi="Arial"/>
          <w:rFonts w:ascii="Arial"/>
          <w:sz w:val="24"/>
          <w:i/>
          <w:color w:val="navy"/>
        </w:rPr>
        <w:t>DURACIΣN.</w:t>
      </w:r>
      <w:bookmarkEnd w:id="62074"/>
      <w:r>
        <w:rPr>
          <w:rFonts w:hAnsi="Arial"/>
          <w:rFonts w:ascii="Arial"/>
          <w:sz w:val="24"/>
          <w:b/>
          <w:i/>
          <w:color w:val="black"/>
        </w:rPr>
        <w:t xml:space="preserve"> </w:t>
      </w:r>
      <w:r>
        <w:rPr>
          <w:rFonts w:hAnsi="Arial"/>
          <w:rFonts w:ascii="Arial"/>
          <w:sz w:val="24"/>
          <w:color w:val="black"/>
        </w:rPr>
        <w:t xml:space="preserve">El periodo de duraciσn del Consejo de Veedurνa Comunitaria, serα igual al tιrmino concedido por la Superintendencia de Vigilancia y Seguridad Privada, en la licencia de funcionamiento al servicio comunitario.</w:t>
      </w:r>
    </w:p>
    <w:p>
      <w:pPr>
        <w:jc w:val="both"/>
        <w:outlineLvl w:val="1"/>
      </w:pPr>
      <w:rPr>
        <w:sz w:val="24"/>
        <w:color w:val="black"/>
      </w:rPr>
    </w:p>
    <w:p>
      <w:pPr>
        <w:jc w:val="both"/>
        <w:outlineLvl w:val="1"/>
      </w:pPr>
      <w:r>
        <w:rPr>
          <w:rFonts w:hAnsi="Arial"/>
          <w:rFonts w:ascii="Arial"/>
          <w:sz w:val="24"/>
          <w:i/>
          <w:color w:val="black"/>
        </w:rPr>
        <w:t xml:space="preserve">(Decreto 1612 de 2002 artνculo </w:t>
      </w:r>
      <w:r>
        <w:fldChar w:fldCharType="begin"/>
      </w:r>
      <w:r>
        <w:instrText>HYPERLINK "http://www.redjurista.com/document.aspx?ajcode=d1612002&amp;arts=5"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5" w:name="2.6.1.1.1.1.6"/>
      <w:r>
        <w:rPr>
          <w:rFonts w:hAnsi="Arial"/>
          <w:rFonts w:ascii="Arial"/>
          <w:sz w:val="24"/>
          <w:color w:val="navy"/>
        </w:rPr>
        <w:t xml:space="preserve">ARTΝCULO 2.6.1.1.1.1.6. </w:t>
      </w:r>
      <w:r>
        <w:rPr>
          <w:rFonts w:hAnsi="Arial"/>
          <w:rFonts w:ascii="Arial"/>
          <w:sz w:val="24"/>
          <w:i/>
          <w:color w:val="navy"/>
        </w:rPr>
        <w:t xml:space="preserve">DIRECCIΣN DEL SERVICIO COMUNITARIO DE VIGILANCIA Y SEGURIDAD PRIVADA.</w:t>
      </w:r>
      <w:bookmarkEnd w:id="62075"/>
      <w:r>
        <w:rPr>
          <w:rFonts w:hAnsi="Arial"/>
          <w:rFonts w:ascii="Arial"/>
          <w:sz w:val="24"/>
          <w:b/>
          <w:i/>
          <w:color w:val="black"/>
        </w:rPr>
        <w:t xml:space="preserve"> </w:t>
      </w:r>
      <w:r>
        <w:rPr>
          <w:rFonts w:hAnsi="Arial"/>
          <w:rFonts w:ascii="Arial"/>
          <w:sz w:val="24"/>
          <w:color w:val="black"/>
        </w:rPr>
        <w:t xml:space="preserve">La direcciσn del servicio comunitario de vigilancia y seguridad privada, estarα a cargo del representante legal de la cooperativa, junta de acciσn comunal o empresa comunitaria.</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personal que preste el servicio de vigilancia y seguridad privada, serα vinculado por quien ejerza la direcciσn de la respectiva cooperativa, junta de acciσn comunal o empresa comunitaria y serα escogido de entre sus miembros, cooperados o personas particulares que ιl mismo seleccione debiendo cumplir con lo preceptuado en el artνculo </w:t>
      </w:r>
      <w:r>
        <w:fldChar w:fldCharType="begin"/>
      </w:r>
      <w:r>
        <w:instrText>HYPERLINK "http://www.redjurista.com/document.aspx?ajcode=d0356_94&amp;arts=64"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del Decreto-ley 356 de 1994.</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servicios comunitarios de vigilancia y seguridad privada estarαn sujetos a las disposiciones contempladas en 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y demαs normas que lo reglamenten, modifiquen o adicionen.</w:t>
      </w:r>
    </w:p>
    <w:p>
      <w:pPr>
        <w:jc w:val="both"/>
        <w:outlineLvl w:val="1"/>
      </w:pPr>
      <w:rPr>
        <w:sz w:val="24"/>
        <w:color w:val="black"/>
      </w:rPr>
    </w:p>
    <w:p>
      <w:pPr>
        <w:jc w:val="both"/>
        <w:outlineLvl w:val="1"/>
      </w:pPr>
      <w:r>
        <w:rPr>
          <w:rFonts w:hAnsi="Arial"/>
          <w:rFonts w:ascii="Arial"/>
          <w:sz w:val="24"/>
          <w:i/>
          <w:color w:val="black"/>
        </w:rPr>
        <w:t xml:space="preserve"> (Decreto 1612 de 2002 artνculo </w:t>
      </w:r>
      <w:r>
        <w:fldChar w:fldCharType="begin"/>
      </w:r>
      <w:r>
        <w:instrText>HYPERLINK "http://www.redjurista.com/document.aspx?ajcode=d1612002&amp;arts=6"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6" w:name="2.6.1.1.1.1.7"/>
      <w:r>
        <w:rPr>
          <w:rFonts w:hAnsi="Arial"/>
          <w:rFonts w:ascii="Arial"/>
          <w:sz w:val="24"/>
          <w:color w:val="navy"/>
        </w:rPr>
        <w:t xml:space="preserve">ARTΝCULO 2.6.1.1.1.1.7. </w:t>
      </w:r>
      <w:r>
        <w:rPr>
          <w:rFonts w:hAnsi="Arial"/>
          <w:rFonts w:ascii="Arial"/>
          <w:sz w:val="24"/>
          <w:i/>
          <w:color w:val="navy"/>
        </w:rPr>
        <w:t xml:space="preserve">LICENCIA DE FUNCIONAMIENTO TRANSITORIA</w:t>
      </w:r>
      <w:r>
        <w:rPr>
          <w:rFonts w:hAnsi="Arial"/>
          <w:rFonts w:ascii="Arial"/>
          <w:sz w:val="24"/>
          <w:color w:val="navy"/>
        </w:rPr>
        <w:t>.</w:t>
      </w:r>
      <w:bookmarkEnd w:id="62076"/>
      <w:r>
        <w:rPr>
          <w:rFonts w:hAnsi="Arial"/>
          <w:rFonts w:ascii="Arial"/>
          <w:sz w:val="24"/>
          <w:b/>
          <w:color w:val="black"/>
        </w:rPr>
        <w:t xml:space="preserve"> </w:t>
      </w:r>
      <w:r>
        <w:rPr>
          <w:rFonts w:hAnsi="Arial"/>
          <w:rFonts w:ascii="Arial"/>
          <w:sz w:val="24"/>
          <w:color w:val="black"/>
        </w:rPr>
        <w:t xml:space="preserve">La Superintendencia de Vigilancia y Seguridad Privada podrα otorgar licencia transitoria de funcionamiento como servicio especial de vigilancia y seguridad privada por un perνodo hasta de dos (2) aρos.</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Superintendencia de Vigilancia y Seguridad Privada solicitarα concepto previo a la mαxima autoridad civil y militar de la localidad acerca de la conveniencia de autorizar un servicio especial de vigilancia y seguridad privada.</w:t>
      </w:r>
    </w:p>
    <w:p>
      <w:pPr>
        <w:jc w:val="both"/>
        <w:outlineLvl w:val="1"/>
      </w:pPr>
      <w:rPr>
        <w:sz w:val="24"/>
        <w:color w:val="black"/>
      </w:rPr>
    </w:p>
    <w:p>
      <w:pPr>
        <w:jc w:val="both"/>
        <w:outlineLvl w:val="1"/>
      </w:pPr>
      <w:r>
        <w:rPr>
          <w:rFonts w:hAnsi="Arial"/>
          <w:rFonts w:ascii="Arial"/>
          <w:sz w:val="24"/>
          <w:color w:val="black"/>
        </w:rPr>
        <w:t xml:space="preserve">Tales autoridades deberαn conceptuar en un tιrmino mαximo de ocho (8) dνas corrientes, contados a partir del momento de la recepciσn de la solicitud, so pena de incurrir en causal de mala conducta.</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Si persisten las razones que dieron origen a la expediciσn de la licencia, previo el lleno de los requisitos de ley, la Superintendencia de Vigilancia y Seguridad Privada podrα expedir una nueva licencia.</w:t>
      </w:r>
    </w:p>
    <w:p>
      <w:pPr>
        <w:jc w:val="both"/>
        <w:outlineLvl w:val="1"/>
      </w:pPr>
      <w:rPr>
        <w:sz w:val="24"/>
        <w:color w:val="black"/>
      </w:rPr>
    </w:p>
    <w:p>
      <w:pPr>
        <w:jc w:val="both"/>
        <w:outlineLvl w:val="1"/>
      </w:pPr>
      <w:r>
        <w:rPr>
          <w:rFonts w:hAnsi="Arial"/>
          <w:rFonts w:ascii="Arial"/>
          <w:sz w:val="24"/>
          <w:i/>
          <w:color w:val="black"/>
        </w:rPr>
        <w:t xml:space="preserve">(Decreto 2974 de 1997 artνculo </w:t>
      </w:r>
      <w:r>
        <w:fldChar w:fldCharType="begin"/>
      </w:r>
      <w:r>
        <w:instrText>HYPERLINK "http://www.redjurista.com/document.aspx?ajcode=d2974_97&amp;arts=5"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62077" w:name="2.6.1.1.1.1.8"/>
      <w:r>
        <w:rPr>
          <w:rFonts w:hAnsi="Arial"/>
          <w:rFonts w:ascii="Arial"/>
          <w:sz w:val="24"/>
          <w:color w:val="navy"/>
        </w:rPr>
        <w:t xml:space="preserve">ARTΝCULO 2.6.1.1.1.1.8. </w:t>
      </w:r>
      <w:r>
        <w:rPr>
          <w:rFonts w:hAnsi="Arial"/>
          <w:rFonts w:ascii="Arial"/>
          <w:sz w:val="24"/>
          <w:i/>
          <w:color w:val="navy"/>
        </w:rPr>
        <w:t>REQUISITOS</w:t>
      </w:r>
      <w:r>
        <w:rPr>
          <w:rFonts w:hAnsi="Arial"/>
          <w:rFonts w:ascii="Arial"/>
          <w:sz w:val="24"/>
          <w:color w:val="navy"/>
        </w:rPr>
        <w:t>.</w:t>
      </w:r>
      <w:bookmarkEnd w:id="62077"/>
      <w:r>
        <w:rPr>
          <w:rFonts w:hAnsi="Arial"/>
          <w:rFonts w:ascii="Arial"/>
          <w:sz w:val="24"/>
          <w:b/>
          <w:color w:val="black"/>
        </w:rPr>
        <w:t xml:space="preserve"> </w:t>
      </w:r>
      <w:r>
        <w:rPr>
          <w:rFonts w:hAnsi="Arial"/>
          <w:rFonts w:ascii="Arial"/>
          <w:sz w:val="24"/>
          <w:color w:val="black"/>
        </w:rPr>
        <w:t xml:space="preserve">Para la obtenciσn de la licencia transitoria de funcionamiento de los servicios especiales de vigilancia y seguridad privada, los solicitantes deberαn acreditar los siguientes requisitos:</w:t>
      </w:r>
    </w:p>
    <w:p>
      <w:pPr>
        <w:jc w:val="both"/>
        <w:outlineLvl w:val="1"/>
      </w:pPr>
      <w:rPr>
        <w:sz w:val="24"/>
        <w:color w:val="black"/>
      </w:rPr>
    </w:p>
    <w:p>
      <w:pPr>
        <w:jc w:val="both"/>
        <w:outlineLvl w:val="1"/>
      </w:pPr>
      <w:r>
        <w:rPr>
          <w:rFonts w:hAnsi="Arial"/>
          <w:rFonts w:ascii="Arial"/>
          <w:sz w:val="24"/>
          <w:color w:val="black"/>
        </w:rPr>
        <w:t xml:space="preserve">1. Solicitud suscrita por el representante legal de la persona jurνdica de derecho pϊblico o privado, en la que conste lo siguiente:</w:t>
      </w:r>
    </w:p>
    <w:p>
      <w:pPr>
        <w:jc w:val="both"/>
        <w:outlineLvl w:val="1"/>
      </w:pPr>
      <w:rPr>
        <w:sz w:val="24"/>
        <w:color w:val="black"/>
      </w:rPr>
    </w:p>
    <w:p>
      <w:pPr>
        <w:jc w:val="both"/>
        <w:outlineLvl w:val="1"/>
      </w:pPr>
      <w:r>
        <w:rPr>
          <w:rFonts w:hAnsi="Arial"/>
          <w:rFonts w:ascii="Arial"/>
          <w:sz w:val="24"/>
          <w:color w:val="black"/>
        </w:rPr>
        <w:t xml:space="preserve">a) Nombre, documento de identidad y domicilio del representante legal, de los socios y de los asociados, segϊn el caso;</w:t>
      </w:r>
    </w:p>
    <w:p>
      <w:pPr>
        <w:jc w:val="both"/>
        <w:outlineLvl w:val="1"/>
      </w:pPr>
      <w:rPr>
        <w:sz w:val="24"/>
        <w:color w:val="black"/>
      </w:rPr>
    </w:p>
    <w:p>
      <w:pPr>
        <w:jc w:val="both"/>
        <w:outlineLvl w:val="1"/>
      </w:pPr>
      <w:r>
        <w:rPr>
          <w:rFonts w:hAnsi="Arial"/>
          <w:rFonts w:ascii="Arial"/>
          <w:sz w:val="24"/>
          <w:color w:val="black"/>
        </w:rPr>
        <w:t xml:space="preserve">b) Nombre, documento de identidad y domicilio de las personas que vayan a vincularse bajo cualquier clase de modalidad contractual para la prestaciσn del servicio especial de vigilancia y seguridad privada;</w:t>
      </w:r>
    </w:p>
    <w:p>
      <w:pPr>
        <w:jc w:val="both"/>
        <w:outlineLvl w:val="1"/>
      </w:pPr>
      <w:rPr>
        <w:sz w:val="24"/>
        <w:color w:val="black"/>
      </w:rPr>
    </w:p>
    <w:p>
      <w:pPr>
        <w:jc w:val="both"/>
        <w:outlineLvl w:val="1"/>
      </w:pPr>
      <w:r>
        <w:rPr>
          <w:rFonts w:hAnsi="Arial"/>
          <w:rFonts w:ascii="Arial"/>
          <w:sz w:val="24"/>
          <w:color w:val="black"/>
        </w:rPr>
        <w:t xml:space="preserve">c) Descripciσn y ubicaciσn precisa del αrea, bienes e instalaciones donde se desarrollarα la actividad de vigilancia y seguridad;</w:t>
      </w:r>
    </w:p>
    <w:p>
      <w:pPr>
        <w:jc w:val="both"/>
        <w:outlineLvl w:val="1"/>
      </w:pPr>
      <w:rPr>
        <w:sz w:val="24"/>
        <w:color w:val="black"/>
      </w:rPr>
    </w:p>
    <w:p>
      <w:pPr>
        <w:jc w:val="both"/>
        <w:outlineLvl w:val="1"/>
      </w:pPr>
      <w:r>
        <w:rPr>
          <w:rFonts w:hAnsi="Arial"/>
          <w:rFonts w:ascii="Arial"/>
          <w:sz w:val="24"/>
          <w:color w:val="black"/>
        </w:rPr>
        <w:t xml:space="preserve">d) Descripciσn de la organizaciσn, modalidad y medios del servicio especial de vigilancia y seguridad privada;</w:t>
      </w:r>
    </w:p>
    <w:p>
      <w:pPr>
        <w:jc w:val="both"/>
        <w:outlineLvl w:val="1"/>
      </w:pPr>
      <w:rPr>
        <w:sz w:val="24"/>
        <w:color w:val="black"/>
      </w:rPr>
    </w:p>
    <w:p>
      <w:pPr>
        <w:jc w:val="both"/>
        <w:outlineLvl w:val="1"/>
      </w:pPr>
      <w:r>
        <w:rPr>
          <w:rFonts w:hAnsi="Arial"/>
          <w:rFonts w:ascii="Arial"/>
          <w:sz w:val="24"/>
          <w:color w:val="black"/>
        </w:rPr>
        <w:t xml:space="preserve">e) Presupuesto asignado y recursos con que cuenta la persona jurνdica de derecho pϊblico o privado;</w:t>
      </w:r>
    </w:p>
    <w:p>
      <w:pPr>
        <w:jc w:val="both"/>
        <w:outlineLvl w:val="1"/>
      </w:pPr>
      <w:rPr>
        <w:sz w:val="24"/>
        <w:color w:val="black"/>
      </w:rPr>
    </w:p>
    <w:p>
      <w:pPr>
        <w:jc w:val="both"/>
        <w:outlineLvl w:val="1"/>
      </w:pPr>
      <w:r>
        <w:rPr>
          <w:rFonts w:hAnsi="Arial"/>
          <w:rFonts w:ascii="Arial"/>
          <w:sz w:val="24"/>
          <w:color w:val="black"/>
        </w:rPr>
        <w:t xml:space="preserve">f) Sustentaciσn de la necesidad del servicio especial de vigilancia y seguridad privada en el αrea descrita;</w:t>
      </w:r>
    </w:p>
    <w:p>
      <w:pPr>
        <w:jc w:val="both"/>
        <w:outlineLvl w:val="1"/>
      </w:pPr>
      <w:rPr>
        <w:sz w:val="24"/>
        <w:color w:val="black"/>
      </w:rPr>
    </w:p>
    <w:p>
      <w:pPr>
        <w:jc w:val="both"/>
        <w:outlineLvl w:val="1"/>
      </w:pPr>
      <w:r>
        <w:rPr>
          <w:rFonts w:hAnsi="Arial"/>
          <w:rFonts w:ascii="Arial"/>
          <w:sz w:val="24"/>
          <w:color w:val="black"/>
        </w:rPr>
        <w:t xml:space="preserve">g) Informaciσn detallada de las armas autorizadas a las personas que van a ejercer la actividad de vigilancia y seguridad.</w:t>
      </w:r>
    </w:p>
    <w:p>
      <w:pPr>
        <w:jc w:val="both"/>
        <w:outlineLvl w:val="1"/>
      </w:pPr>
      <w:rPr>
        <w:sz w:val="24"/>
        <w:color w:val="black"/>
      </w:rPr>
    </w:p>
    <w:p>
      <w:pPr>
        <w:jc w:val="both"/>
        <w:outlineLvl w:val="1"/>
      </w:pPr>
      <w:r>
        <w:rPr>
          <w:rFonts w:hAnsi="Arial"/>
          <w:rFonts w:ascii="Arial"/>
          <w:sz w:val="24"/>
          <w:color w:val="black"/>
        </w:rPr>
        <w:t xml:space="preserve">2. La solicitud deberα ir acompaρada de los siguientes documentos:</w:t>
      </w:r>
    </w:p>
    <w:p>
      <w:pPr>
        <w:jc w:val="both"/>
        <w:outlineLvl w:val="1"/>
      </w:pPr>
      <w:rPr>
        <w:sz w:val="24"/>
        <w:color w:val="black"/>
      </w:rPr>
    </w:p>
    <w:p>
      <w:pPr>
        <w:jc w:val="both"/>
        <w:outlineLvl w:val="1"/>
      </w:pPr>
      <w:r>
        <w:rPr>
          <w:rFonts w:hAnsi="Arial"/>
          <w:rFonts w:ascii="Arial"/>
          <w:sz w:val="24"/>
          <w:color w:val="black"/>
        </w:rPr>
        <w:t xml:space="preserve">a) Fotocopia de la identificaciσn tributaria de la persona jurνdica de derecho pϊblico o privado (NIT);</w:t>
      </w:r>
    </w:p>
    <w:p>
      <w:pPr>
        <w:jc w:val="both"/>
        <w:outlineLvl w:val="1"/>
      </w:pPr>
      <w:rPr>
        <w:sz w:val="24"/>
        <w:color w:val="black"/>
      </w:rPr>
    </w:p>
    <w:p>
      <w:pPr>
        <w:jc w:val="both"/>
        <w:outlineLvl w:val="1"/>
      </w:pPr>
      <w:r>
        <w:rPr>
          <w:rFonts w:hAnsi="Arial"/>
          <w:rFonts w:ascii="Arial"/>
          <w:sz w:val="24"/>
          <w:color w:val="black"/>
        </w:rPr>
        <w:t xml:space="preserve">b) Certificado vigente de existencia y representaciσn legal de la persona jurνdica de derecho pϊblico o privado;</w:t>
      </w:r>
    </w:p>
    <w:p>
      <w:pPr>
        <w:jc w:val="both"/>
        <w:outlineLvl w:val="1"/>
      </w:pPr>
      <w:rPr>
        <w:sz w:val="24"/>
        <w:color w:val="black"/>
      </w:rPr>
    </w:p>
    <w:p>
      <w:pPr>
        <w:jc w:val="both"/>
        <w:outlineLvl w:val="1"/>
      </w:pPr>
      <w:r>
        <w:rPr>
          <w:rFonts w:hAnsi="Arial"/>
          <w:rFonts w:ascii="Arial"/>
          <w:sz w:val="24"/>
          <w:color w:val="black"/>
        </w:rPr>
        <w:t xml:space="preserve">c) Hoja de vida, fotocopia de la cιdula de ciudadanνa, libreta militar y certificado judicial vigente de cada uno de los socios o asociados y del personal vinculado en la prestaciσn del servicio especial.</w:t>
      </w:r>
    </w:p>
    <w:p>
      <w:pPr>
        <w:jc w:val="both"/>
        <w:outlineLvl w:val="1"/>
      </w:pPr>
      <w:rPr>
        <w:sz w:val="24"/>
        <w:color w:val="black"/>
      </w:rPr>
    </w:p>
    <w:p>
      <w:pPr>
        <w:jc w:val="both"/>
        <w:outlineLvl w:val="1"/>
      </w:pPr>
      <w:r>
        <w:rPr>
          <w:rFonts w:hAnsi="Arial"/>
          <w:rFonts w:ascii="Arial"/>
          <w:sz w:val="24"/>
          <w:color w:val="black"/>
        </w:rPr>
        <w:t xml:space="preserve">Podrα autorizarse a la Superintendencia de Vigilancia y Seguridad para solicitar el certificado judicial;</w:t>
      </w:r>
    </w:p>
    <w:p>
      <w:pPr>
        <w:jc w:val="both"/>
      </w:pPr>
      <w:rPr>
        <w:color w:val="black"/>
      </w:rPr>
    </w:p>
    <w:p>
      <w:pPr>
        <w:jc w:val="both"/>
      </w:pPr>
      <w:r>
        <w:rPr>
          <w:rFonts w:hAnsi="Arial"/>
          <w:rFonts w:ascii="Arial"/>
          <w:sz w:val="24"/>
          <w:color w:val="black"/>
        </w:rPr>
        <w:t xml:space="preserve">d) Copia autιntica certificada por contador pϊblico de los estados financieros de la persona jurνdica solicitante, del aρo inmediatamente anterior;</w:t>
      </w:r>
    </w:p>
    <w:p>
      <w:pPr>
        <w:jc w:val="both"/>
      </w:pPr>
      <w:rPr>
        <w:sz w:val="24"/>
        <w:color w:val="black"/>
      </w:rPr>
    </w:p>
    <w:p>
      <w:pPr>
        <w:jc w:val="both"/>
      </w:pPr>
      <w:r>
        <w:rPr>
          <w:rFonts w:hAnsi="Arial"/>
          <w:rFonts w:ascii="Arial"/>
          <w:sz w:val="24"/>
          <w:color w:val="black"/>
        </w:rPr>
        <w:t xml:space="preserve">e) Pσliza de responsabilidad civil extracontractual constituida con compaρνa de seguros legalmente establecida en Colombia, con vigencia mνnima de un aρo, por una suma no inferior a mil quinientos (1.500) salarios mνnimos legales mensuales vigentes, que cubra los riesgos derivados del uso indebido de armas de fuego u otros elementos y del ejercicio mismo de las actividades especiales de vigilancia y seguridad privada.</w:t>
      </w:r>
    </w:p>
    <w:p>
      <w:pPr>
        <w:jc w:val="both"/>
      </w:pPr>
      <w:rPr>
        <w:sz w:val="24"/>
        <w:color w:val="black"/>
      </w:rPr>
    </w:p>
    <w:p>
      <w:pPr>
        <w:jc w:val="both"/>
      </w:pPr>
      <w:r>
        <w:rPr>
          <w:rFonts w:hAnsi="Arial"/>
          <w:rFonts w:ascii="Arial"/>
          <w:sz w:val="24"/>
          <w:color w:val="black"/>
        </w:rPr>
        <w:t xml:space="preserve">El solicitante estarα obligado a renovarla anualmente.</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informaciσn de que trata el presente artνculo se entiende prestada bajo la gravedad del juramento y su carencia de veracidad total o parcial acarrearα las consecuencias legales del caso.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servicios especiales de vigilancia y seguridad privada, sσlo podrαn actuar en la modalidad de vigilancia fija y/o mσvil, y limitada al αrea autorizada para el servicio.</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078" w:name="2.6.1.1.1.1.9"/>
      <w:r>
        <w:rPr>
          <w:rFonts w:hAnsi="Arial"/>
          <w:rFonts w:ascii="Arial"/>
          <w:sz w:val="24"/>
          <w:color w:val="navy"/>
        </w:rPr>
        <w:t xml:space="preserve">ARTΝCULO 2.6.1.1.1.1.9. </w:t>
      </w:r>
      <w:r>
        <w:rPr>
          <w:rFonts w:hAnsi="Arial"/>
          <w:rFonts w:ascii="Arial"/>
          <w:sz w:val="24"/>
          <w:i/>
          <w:color w:val="navy"/>
        </w:rPr>
        <w:t xml:space="preserve">COMITΙS DE SEGUIMIENTO DEPARTAMENTALES</w:t>
      </w:r>
      <w:r>
        <w:rPr>
          <w:rFonts w:hAnsi="Arial"/>
          <w:rFonts w:ascii="Arial"/>
          <w:sz w:val="24"/>
          <w:color w:val="navy"/>
        </w:rPr>
        <w:t>.</w:t>
      </w:r>
      <w:bookmarkEnd w:id="62078"/>
      <w:r>
        <w:rPr>
          <w:rFonts w:hAnsi="Arial"/>
          <w:rFonts w:ascii="Arial"/>
          <w:sz w:val="24"/>
          <w:b/>
          <w:color w:val="black"/>
        </w:rPr>
        <w:t xml:space="preserve"> </w:t>
      </w:r>
      <w:r>
        <w:rPr>
          <w:rFonts w:hAnsi="Arial"/>
          <w:rFonts w:ascii="Arial"/>
          <w:sz w:val="24"/>
          <w:color w:val="black"/>
        </w:rPr>
        <w:t xml:space="preserve">Sin perjuicio de las atribuciones y facultades de la Superintendencia de Vigilancia y Seguridad Privada, en los departamentos donde funcionen servicios especiales de vigilancia y seguridad privada los gobernadores conformarαn comitιs de seguimiento, que se encargarαn de evaluar e informar la manera como vienen funcionando estos servicios. Con base en dicha informaciσn la Superintendencia de Vigilancia y Seguridad Privada realizarα visitas y tomarα los correctivos que sean necesarios.</w:t>
      </w:r>
    </w:p>
    <w:p>
      <w:pPr>
        <w:jc w:val="both"/>
      </w:pPr>
      <w:rPr>
        <w:sz w:val="24"/>
        <w:color w:val="black"/>
      </w:rPr>
    </w:p>
    <w:p>
      <w:pPr>
        <w:jc w:val="both"/>
      </w:pPr>
      <w:r>
        <w:rPr>
          <w:rFonts w:hAnsi="Arial"/>
          <w:rFonts w:ascii="Arial"/>
          <w:sz w:val="24"/>
          <w:color w:val="black"/>
        </w:rPr>
        <w:t xml:space="preserve">El Comitι de Seguimiento estarα integrado por:</w:t>
      </w:r>
    </w:p>
    <w:p>
      <w:pPr>
        <w:jc w:val="both"/>
      </w:pPr>
      <w:rPr>
        <w:sz w:val="24"/>
        <w:color w:val="black"/>
      </w:rPr>
    </w:p>
    <w:p>
      <w:pPr>
        <w:jc w:val="both"/>
      </w:pPr>
      <w:r>
        <w:rPr>
          <w:rFonts w:hAnsi="Arial"/>
          <w:rFonts w:ascii="Arial"/>
          <w:sz w:val="24"/>
          <w:color w:val="black"/>
        </w:rPr>
        <w:t xml:space="preserve">1. El Gobernador o su delegado quien lo presidirα, convocarα y establecerα su funcionamiento.</w:t>
      </w:r>
    </w:p>
    <w:p>
      <w:pPr>
        <w:jc w:val="both"/>
      </w:pPr>
      <w:rPr>
        <w:sz w:val="24"/>
        <w:color w:val="black"/>
      </w:rPr>
    </w:p>
    <w:p>
      <w:pPr>
        <w:jc w:val="both"/>
      </w:pPr>
      <w:r>
        <w:rPr>
          <w:rFonts w:hAnsi="Arial"/>
          <w:rFonts w:ascii="Arial"/>
          <w:sz w:val="24"/>
          <w:color w:val="black"/>
        </w:rPr>
        <w:t xml:space="preserve">2. El Superintendente de Vigilancia y Seguridad Privada o su delegado.</w:t>
      </w:r>
    </w:p>
    <w:p>
      <w:pPr>
        <w:jc w:val="both"/>
      </w:pPr>
      <w:rPr>
        <w:sz w:val="24"/>
        <w:color w:val="black"/>
      </w:rPr>
    </w:p>
    <w:p>
      <w:pPr>
        <w:jc w:val="both"/>
      </w:pPr>
      <w:r>
        <w:rPr>
          <w:rFonts w:hAnsi="Arial"/>
          <w:rFonts w:ascii="Arial"/>
          <w:sz w:val="24"/>
          <w:color w:val="black"/>
        </w:rPr>
        <w:t xml:space="preserve">3. El Procurador Departamental.</w:t>
      </w:r>
    </w:p>
    <w:p>
      <w:pPr>
        <w:jc w:val="both"/>
      </w:pPr>
      <w:rPr>
        <w:sz w:val="24"/>
        <w:color w:val="black"/>
      </w:rPr>
    </w:p>
    <w:p>
      <w:pPr>
        <w:jc w:val="both"/>
      </w:pPr>
      <w:r>
        <w:rPr>
          <w:rFonts w:hAnsi="Arial"/>
          <w:rFonts w:ascii="Arial"/>
          <w:sz w:val="24"/>
          <w:color w:val="black"/>
        </w:rPr>
        <w:t xml:space="preserve">4. El Comandante de Brigada o su equivalente en la Armada Nacional.</w:t>
      </w:r>
    </w:p>
    <w:p>
      <w:pPr>
        <w:jc w:val="both"/>
      </w:pPr>
      <w:rPr>
        <w:sz w:val="24"/>
        <w:color w:val="black"/>
      </w:rPr>
    </w:p>
    <w:p>
      <w:pPr>
        <w:jc w:val="both"/>
      </w:pPr>
      <w:r>
        <w:rPr>
          <w:rFonts w:hAnsi="Arial"/>
          <w:rFonts w:ascii="Arial"/>
          <w:sz w:val="24"/>
          <w:color w:val="black"/>
        </w:rPr>
        <w:t xml:space="preserve">5. El Comandante del Departamento de Policνa.</w:t>
      </w:r>
    </w:p>
    <w:p>
      <w:pPr>
        <w:jc w:val="both"/>
      </w:pPr>
      <w:rPr>
        <w:sz w:val="24"/>
        <w:color w:val="black"/>
      </w:rPr>
    </w:p>
    <w:p>
      <w:pPr>
        <w:jc w:val="both"/>
      </w:pPr>
      <w:r>
        <w:rPr>
          <w:rFonts w:hAnsi="Arial"/>
          <w:rFonts w:ascii="Arial"/>
          <w:sz w:val="24"/>
          <w:color w:val="black"/>
        </w:rPr>
        <w:t xml:space="preserve">6. El Defensor del Pueblo Departamental.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los casos en que se amerite, este Comitι podrα invitar a los alcaldes distritales o municipales, al personero distrital o municipal y a representantes de la sociedad civil.</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079" w:name="SUBSECCIÓN 2.6.1.1.1.2"/>
      <w:r>
        <w:rPr>
          <w:rFonts w:hAnsi="Arial"/>
          <w:rFonts w:ascii="Arial"/>
          <w:sz w:val="24"/>
          <w:color w:val="navy"/>
        </w:rPr>
        <w:t xml:space="preserve">SUBSECCIΣN 2. </w:t>
      </w:r>
    </w:p>
    <w:p>
      <w:pPr>
        <w:jc w:val="center"/>
      </w:pPr>
      <w:r>
        <w:rPr>
          <w:rFonts w:hAnsi="Arial"/>
          <w:rFonts w:ascii="Arial"/>
          <w:sz w:val="24"/>
          <w:color w:val="navy"/>
        </w:rPr>
        <w:t xml:space="preserve">SERVICIOS COMUNITARIOS DE VIGILANCIA Y SEGURIDAD PRIVADA.</w:t>
      </w:r>
      <w:bookmarkEnd w:id="6207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080" w:name="2.6.1.1.1.2.1"/>
      <w:r>
        <w:rPr>
          <w:rFonts w:hAnsi="Arial"/>
          <w:rFonts w:ascii="Arial"/>
          <w:sz w:val="24"/>
          <w:color w:val="navy"/>
        </w:rPr>
        <w:t xml:space="preserve">ARTΝCULO 2.6.1.1.1.2.1. </w:t>
      </w:r>
      <w:r>
        <w:rPr>
          <w:rFonts w:hAnsi="Arial"/>
          <w:rFonts w:ascii="Arial"/>
          <w:sz w:val="24"/>
          <w:i/>
          <w:color w:val="navy"/>
        </w:rPr>
        <w:t>DEFINICIΣN</w:t>
      </w:r>
      <w:r>
        <w:rPr>
          <w:rFonts w:hAnsi="Arial"/>
          <w:rFonts w:ascii="Arial"/>
          <w:sz w:val="24"/>
          <w:color w:val="navy"/>
        </w:rPr>
        <w:t>.</w:t>
      </w:r>
      <w:bookmarkEnd w:id="62080"/>
      <w:r>
        <w:rPr>
          <w:rFonts w:hAnsi="Arial"/>
          <w:rFonts w:ascii="Arial"/>
          <w:sz w:val="24"/>
          <w:b/>
          <w:color w:val="black"/>
        </w:rPr>
        <w:t xml:space="preserve"> </w:t>
      </w:r>
      <w:r>
        <w:rPr>
          <w:rFonts w:hAnsi="Arial"/>
          <w:rFonts w:ascii="Arial"/>
          <w:sz w:val="24"/>
          <w:color w:val="black"/>
        </w:rPr>
        <w:t xml:space="preserve">Se entiende por servicio comunitario de vigilancia y seguridad privada, la organizaciσn de la comunidad en forma de cooperativa, junta de acciσn comunal o empresa comunitaria, con el objeto de proveer vigilancia y seguridad privada a sus cooperados o miembros, dentro del αrea donde tiene asiento la respectiva comunidad.</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servicios comunitarios de vigilancia y seguridad privada no podrαn prestar servicios de vigilancia y seguridad privada a ningϊn tνtulo a personas diferentes a los cooperados o miembros, o fuera del αrea autorizada.</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081" w:name="2.6.1.1.1.2.2"/>
      <w:r>
        <w:rPr>
          <w:rFonts w:hAnsi="Arial"/>
          <w:rFonts w:ascii="Arial"/>
          <w:sz w:val="24"/>
          <w:color w:val="navy"/>
        </w:rPr>
        <w:t xml:space="preserve">ARTΝCULO 2.6.1.1.1.2.2. </w:t>
      </w:r>
      <w:r>
        <w:rPr>
          <w:rFonts w:hAnsi="Arial"/>
          <w:rFonts w:ascii="Arial"/>
          <w:sz w:val="24"/>
          <w:i/>
          <w:color w:val="navy"/>
        </w:rPr>
        <w:t xml:space="preserve">CRITERIOS PARA OTORGAR LICENCIA A LOS SERVICIOS COMUNITARIOS DE VIGILANCIA Y SEGURIDAD PRIVADA</w:t>
      </w:r>
      <w:r>
        <w:rPr>
          <w:rFonts w:hAnsi="Arial"/>
          <w:rFonts w:ascii="Arial"/>
          <w:sz w:val="24"/>
          <w:color w:val="navy"/>
        </w:rPr>
        <w:t>.</w:t>
      </w:r>
      <w:bookmarkEnd w:id="62081"/>
      <w:r>
        <w:rPr>
          <w:rFonts w:hAnsi="Arial"/>
          <w:rFonts w:ascii="Arial"/>
          <w:sz w:val="24"/>
          <w:b/>
          <w:color w:val="black"/>
        </w:rPr>
        <w:t xml:space="preserve"> </w:t>
      </w:r>
      <w:r>
        <w:rPr>
          <w:rFonts w:hAnsi="Arial"/>
          <w:rFonts w:ascii="Arial"/>
          <w:sz w:val="24"/>
          <w:color w:val="black"/>
        </w:rPr>
        <w:t xml:space="preserve">La Superintendencia de Vigilancia y Seguridad Privada para la expediciσn de la licencia de funcionamiento tendrα en cuenta los siguientes criterios, sin perjuicio de su potestad discrecional:</w:t>
      </w:r>
    </w:p>
    <w:p>
      <w:pPr>
        <w:jc w:val="both"/>
      </w:pPr>
      <w:rPr>
        <w:sz w:val="24"/>
        <w:color w:val="black"/>
      </w:rPr>
    </w:p>
    <w:p>
      <w:pPr>
        <w:jc w:val="both"/>
      </w:pPr>
      <w:r>
        <w:rPr>
          <w:rFonts w:hAnsi="Arial"/>
          <w:rFonts w:ascii="Arial"/>
          <w:sz w:val="24"/>
          <w:color w:val="black"/>
        </w:rPr>
        <w:t xml:space="preserve">a) Que la solicitud sea formulada por parte de una cooperativa, junta de acciσn comunal o empresa comunitaria;</w:t>
      </w:r>
    </w:p>
    <w:p>
      <w:pPr>
        <w:jc w:val="both"/>
      </w:pPr>
      <w:rPr>
        <w:sz w:val="24"/>
        <w:color w:val="black"/>
      </w:rPr>
    </w:p>
    <w:p>
      <w:pPr>
        <w:jc w:val="both"/>
      </w:pPr>
      <w:r>
        <w:rPr>
          <w:rFonts w:hAnsi="Arial"/>
          <w:rFonts w:ascii="Arial"/>
          <w:sz w:val="24"/>
          <w:color w:val="black"/>
        </w:rPr>
        <w:t xml:space="preserve">b) Que el objeto de tal cooperativa, junta de acciσn comunal o empresa comunitaria sea el de proveer vigilancia y seguridad privada a sus cooperados o miembros, dentro del αrea donde tiene asiento la respectiva comunidad;</w:t>
      </w:r>
    </w:p>
    <w:p>
      <w:pPr>
        <w:jc w:val="both"/>
      </w:pPr>
      <w:rPr>
        <w:sz w:val="24"/>
        <w:color w:val="black"/>
      </w:rPr>
    </w:p>
    <w:p>
      <w:pPr>
        <w:jc w:val="both"/>
      </w:pPr>
      <w:r>
        <w:rPr>
          <w:rFonts w:hAnsi="Arial"/>
          <w:rFonts w:ascii="Arial"/>
          <w:sz w:val="24"/>
          <w:color w:val="black"/>
        </w:rPr>
        <w:t xml:space="preserve">c) Que los cooperados o miembros sean personas naturales o jurνdicas residentes en el αrea donde se prestarα el servicio comunitario de vigilancia y seguridad privada.</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082" w:name="2.6.1.1.1.2.3"/>
      <w:r>
        <w:rPr>
          <w:rFonts w:hAnsi="Arial"/>
          <w:rFonts w:ascii="Arial"/>
          <w:sz w:val="24"/>
          <w:color w:val="navy"/>
        </w:rPr>
        <w:t xml:space="preserve">ARTΝCULO 2.6.1.1.1.2.3. </w:t>
      </w:r>
      <w:r>
        <w:rPr>
          <w:rFonts w:hAnsi="Arial"/>
          <w:rFonts w:ascii="Arial"/>
          <w:sz w:val="24"/>
          <w:i/>
          <w:color w:val="navy"/>
        </w:rPr>
        <w:t xml:space="preserve">DEBERES Y OBLIGACIONES</w:t>
      </w:r>
      <w:r>
        <w:rPr>
          <w:rFonts w:hAnsi="Arial"/>
          <w:rFonts w:ascii="Arial"/>
          <w:sz w:val="24"/>
          <w:color w:val="navy"/>
        </w:rPr>
        <w:t>.</w:t>
      </w:r>
      <w:bookmarkEnd w:id="62082"/>
      <w:r>
        <w:rPr>
          <w:rFonts w:hAnsi="Arial"/>
          <w:rFonts w:ascii="Arial"/>
          <w:sz w:val="24"/>
          <w:b/>
          <w:color w:val="black"/>
        </w:rPr>
        <w:t xml:space="preserve"> </w:t>
      </w:r>
      <w:r>
        <w:rPr>
          <w:rFonts w:hAnsi="Arial"/>
          <w:rFonts w:ascii="Arial"/>
          <w:sz w:val="24"/>
          <w:color w:val="black"/>
        </w:rPr>
        <w:t xml:space="preserve">Los servicios comunitarios de vigilancia y seguridad privada deberαn observar y cumplir los principios, deberes y obligaciones contemplados en el artνculo </w:t>
      </w:r>
      <w:r>
        <w:fldChar w:fldCharType="begin"/>
      </w:r>
      <w:r>
        <w:instrText>HYPERLINK "http://www.redjurista.com/document.aspx?ajcode=d1070015&amp;arts=2.6.1.1.1.1.4"</w:instrText>
      </w:r>
      <w:r>
        <w:fldChar w:fldCharType="separate"/>
      </w:r>
      <w:r>
        <w:rPr>
          <w:rFonts w:hAnsi="Arial"/>
          <w:rFonts w:ascii="Arial"/>
          <w:sz w:val="24"/>
          <w:u w:val="single"/>
          <w:color w:val="black"/>
        </w:rPr>
        <w:t>2.6.1.1.1.1.4</w:t>
      </w:r>
      <w:r>
        <w:fldChar w:fldCharType="end"/>
      </w:r>
      <w:r>
        <w:rPr>
          <w:rFonts w:hAnsi="Arial"/>
          <w:rFonts w:ascii="Arial"/>
          <w:sz w:val="24"/>
          <w:u w:val="none"/>
          <w:color w:val="black"/>
        </w:rPr>
        <w:t xml:space="preserve">. </w:t>
      </w:r>
      <w:r>
        <w:rPr>
          <w:rFonts w:hAnsi="Arial"/>
          <w:rFonts w:ascii="Arial"/>
          <w:sz w:val="24"/>
          <w:b/>
          <w:u w:val="none"/>
          <w:color w:val="black"/>
        </w:rPr>
        <w:t xml:space="preserve">, </w:t>
      </w:r>
      <w:r>
        <w:rPr>
          <w:rFonts w:hAnsi="Arial"/>
          <w:rFonts w:ascii="Arial"/>
          <w:sz w:val="24"/>
          <w:u w:val="none"/>
          <w:color w:val="black"/>
        </w:rPr>
        <w:t xml:space="preserve">de la presente Secciσn. Ademαs deberαn:</w:t>
      </w:r>
    </w:p>
    <w:p>
      <w:pPr>
        <w:jc w:val="both"/>
      </w:pPr>
      <w:rPr>
        <w:sz w:val="24"/>
        <w:color w:val="black"/>
      </w:rPr>
    </w:p>
    <w:p>
      <w:pPr>
        <w:jc w:val="both"/>
      </w:pPr>
      <w:r>
        <w:rPr>
          <w:rFonts w:hAnsi="Arial"/>
          <w:rFonts w:ascii="Arial"/>
          <w:sz w:val="24"/>
          <w:color w:val="black"/>
        </w:rPr>
        <w:t xml:space="preserve">1. Promover la convivencia pacνfica y la solidaridad ciudadana en la comunidad donde desarrollan sus actividades.</w:t>
      </w:r>
    </w:p>
    <w:p>
      <w:pPr>
        <w:jc w:val="both"/>
      </w:pPr>
      <w:rPr>
        <w:sz w:val="24"/>
        <w:color w:val="black"/>
      </w:rPr>
    </w:p>
    <w:p>
      <w:pPr>
        <w:jc w:val="both"/>
      </w:pPr>
      <w:r>
        <w:rPr>
          <w:rFonts w:hAnsi="Arial"/>
          <w:rFonts w:ascii="Arial"/>
          <w:sz w:val="24"/>
          <w:color w:val="black"/>
        </w:rPr>
        <w:t xml:space="preserve">2. Acatar las recomendaciones y decisiones emanadas del Consejo de Veedurνa Comunitaria establecido para el efecto.</w:t>
      </w:r>
    </w:p>
    <w:p>
      <w:pPr>
        <w:jc w:val="both"/>
      </w:pPr>
      <w:rPr>
        <w:sz w:val="24"/>
        <w:color w:val="black"/>
      </w:rPr>
    </w:p>
    <w:p>
      <w:pPr>
        <w:jc w:val="both"/>
      </w:pPr>
      <w:r>
        <w:rPr>
          <w:rFonts w:hAnsi="Arial"/>
          <w:rFonts w:ascii="Arial"/>
          <w:sz w:val="24"/>
          <w:color w:val="black"/>
        </w:rPr>
        <w:t xml:space="preserve">3. Dar aviso inmediato a las autoridades competentes de toda situaciσn de peligro que se cierna sobre la comunidad.</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83" w:name="2.6.1.1.1.2.4"/>
      <w:r>
        <w:rPr>
          <w:rFonts w:hAnsi="Arial"/>
          <w:rFonts w:ascii="Arial"/>
          <w:sz w:val="24"/>
          <w:color w:val="navy"/>
        </w:rPr>
        <w:t xml:space="preserve">ARTΝCULO 2.6.1.1.1.2.4. </w:t>
      </w:r>
      <w:r>
        <w:rPr>
          <w:rFonts w:hAnsi="Arial"/>
          <w:rFonts w:ascii="Arial"/>
          <w:sz w:val="24"/>
          <w:i/>
          <w:color w:val="navy"/>
        </w:rPr>
        <w:t xml:space="preserve">LICENCIA DE FUNCIONAMIENTO</w:t>
      </w:r>
      <w:r>
        <w:rPr>
          <w:rFonts w:hAnsi="Arial"/>
          <w:rFonts w:ascii="Arial"/>
          <w:sz w:val="24"/>
          <w:color w:val="navy"/>
        </w:rPr>
        <w:t>.</w:t>
      </w:r>
      <w:bookmarkEnd w:id="62083"/>
      <w:r>
        <w:rPr>
          <w:rFonts w:hAnsi="Arial"/>
          <w:rFonts w:ascii="Arial"/>
          <w:sz w:val="24"/>
          <w:b/>
          <w:color w:val="black"/>
        </w:rPr>
        <w:t xml:space="preserve"> </w:t>
      </w:r>
      <w:r>
        <w:rPr>
          <w:rFonts w:hAnsi="Arial"/>
          <w:rFonts w:ascii="Arial"/>
          <w:sz w:val="24"/>
          <w:color w:val="black"/>
        </w:rPr>
        <w:t xml:space="preserve">La licencia de funcionamiento para los servicios comunitarios de que trata el artνculo </w:t>
      </w:r>
      <w:r>
        <w:fldChar w:fldCharType="begin"/>
      </w:r>
      <w:r>
        <w:instrText>HYPERLINK "http://www.redjurista.com/document.aspx?ajcode=d0356_94&amp;arts=42"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Decreto-ley 356 de 1994, se expedirα hasta por un tιrmino de cinco (5) aρos.</w:t>
      </w:r>
    </w:p>
    <w:p>
      <w:pPr>
        <w:jc w:val="both"/>
      </w:pPr>
      <w:rPr>
        <w:sz w:val="24"/>
        <w:color w:val="black"/>
      </w:rPr>
    </w:p>
    <w:p>
      <w:pPr>
        <w:jc w:val="both"/>
      </w:pPr>
      <w:r>
        <w:rPr>
          <w:rFonts w:hAnsi="Arial"/>
          <w:rFonts w:ascii="Arial"/>
          <w:sz w:val="24"/>
          <w:color w:val="black"/>
        </w:rPr>
        <w:t xml:space="preserve">Para la renovaciσn de la licencia de funcionamiento se darα cumplimiento a lo establecido en el parαgrafo 2o, artνculo </w:t>
      </w:r>
      <w:r>
        <w:fldChar w:fldCharType="begin"/>
      </w:r>
      <w:r>
        <w:instrText>HYPERLINK "http://www.redjurista.com/document.aspx?ajcode=d0356_94&amp;arts=45"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Decreto-ley 356 de 1994, previa solicitud con una antelaciσn de 60 dνas calendario.</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"http://www.redjurista.com/document.aspx?ajcode=d1612002&amp;arts=1"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1612 de 2002)</w:t>
      </w:r>
    </w:p>
    <w:p>
      <w:pPr>
        <w:jc w:val="both"/>
      </w:pPr>
      <w:rPr>
        <w:sz w:val="24"/>
        <w:color w:val="black"/>
      </w:rPr>
    </w:p>
    <w:p>
      <w:pPr>
        <w:jc w:val="both"/>
      </w:pPr>
      <w:r>
        <w:rPr>
          <w:rFonts w:hAnsi="Arial"/>
          <w:rFonts w:ascii="Arial"/>
          <w:sz w:val="24"/>
          <w:vanish/>
          <w:color w:val="black"/>
        </w:rPr>
        <w:t>&amp;$</w:t>
      </w:r>
      <w:bookmarkStart w:id="62084" w:name="2.6.1.1.1.2.5"/>
      <w:r>
        <w:rPr>
          <w:rFonts w:hAnsi="Arial"/>
          <w:rFonts w:ascii="Arial"/>
          <w:sz w:val="24"/>
          <w:color w:val="navy"/>
        </w:rPr>
        <w:t xml:space="preserve">ARTΝCULO 2.6.1.1.1.2.5. </w:t>
      </w:r>
      <w:r>
        <w:rPr>
          <w:rFonts w:hAnsi="Arial"/>
          <w:rFonts w:ascii="Arial"/>
          <w:sz w:val="24"/>
          <w:i/>
          <w:color w:val="navy"/>
        </w:rPr>
        <w:t>REQUISITOS</w:t>
      </w:r>
      <w:r>
        <w:rPr>
          <w:rFonts w:hAnsi="Arial"/>
          <w:rFonts w:ascii="Arial"/>
          <w:sz w:val="24"/>
          <w:color w:val="navy"/>
        </w:rPr>
        <w:t>.</w:t>
      </w:r>
      <w:bookmarkEnd w:id="62084"/>
      <w:r>
        <w:rPr>
          <w:rFonts w:hAnsi="Arial"/>
          <w:rFonts w:ascii="Arial"/>
          <w:sz w:val="24"/>
          <w:b/>
          <w:color w:val="black"/>
        </w:rPr>
        <w:t xml:space="preserve"> </w:t>
      </w:r>
      <w:r>
        <w:rPr>
          <w:rFonts w:hAnsi="Arial"/>
          <w:rFonts w:ascii="Arial"/>
          <w:sz w:val="24"/>
          <w:color w:val="black"/>
        </w:rPr>
        <w:t xml:space="preserve">Para la expediciσn de la licencia de funcionamiento a un Servicio Comunitario de vigilancia y seguridad privada por parte de la Superintendencia de Vigilancia y Seguridad Privada se darα cumplimiento a las exigencias establecidas en los artνculos </w:t>
      </w:r>
      <w:r>
        <w:fldChar w:fldCharType="begin"/>
      </w:r>
      <w:r>
        <w:instrText>HYPERLINK "http://www.redjurista.com/document.aspx?ajcode=d0356_94&amp;arts=45"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y </w:t>
      </w:r>
      <w:r>
        <w:fldChar w:fldCharType="begin"/>
      </w:r>
      <w:r>
        <w:instrText>HYPERLINK "http://www.redjurista.com/document.aspx?ajcode=d0356_94&amp;arts=46"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Decreto-ley 356 de 1994.</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"http://www.redjurista.com/document.aspx?ajcode=d1612002&amp;arts=2"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del Decreto 1612 de 2002)</w:t>
      </w:r>
    </w:p>
    <w:p>
      <w:pPr>
        <w:jc w:val="both"/>
      </w:pPr>
      <w:rPr>
        <w:sz w:val="24"/>
        <w:color w:val="black"/>
      </w:rPr>
    </w:p>
    <w:p>
      <w:pPr>
        <w:jc w:val="both"/>
      </w:pPr>
      <w:r>
        <w:rPr>
          <w:rFonts w:hAnsi="Arial"/>
          <w:rFonts w:ascii="Arial"/>
          <w:sz w:val="24"/>
          <w:vanish/>
          <w:color w:val="black"/>
        </w:rPr>
        <w:t>&amp;$</w:t>
      </w:r>
      <w:bookmarkStart w:id="62085" w:name="2.6.1.1.1.2.6"/>
      <w:r>
        <w:rPr>
          <w:rFonts w:hAnsi="Arial"/>
          <w:rFonts w:ascii="Arial"/>
          <w:sz w:val="24"/>
          <w:color w:val="navy"/>
        </w:rPr>
        <w:t xml:space="preserve">ARTΝCULO 2.6.1.1.1.2.6. </w:t>
      </w:r>
      <w:r>
        <w:rPr>
          <w:rFonts w:hAnsi="Arial"/>
          <w:rFonts w:ascii="Arial"/>
          <w:sz w:val="24"/>
          <w:i/>
          <w:color w:val="navy"/>
        </w:rPr>
        <w:t xml:space="preserve">CONSEJO DE VEEDURΝA COMUNITARIA</w:t>
      </w:r>
      <w:r>
        <w:rPr>
          <w:rFonts w:hAnsi="Arial"/>
          <w:rFonts w:ascii="Arial"/>
          <w:sz w:val="24"/>
          <w:color w:val="navy"/>
        </w:rPr>
        <w:t>.</w:t>
      </w:r>
      <w:bookmarkEnd w:id="62085"/>
      <w:r>
        <w:rPr>
          <w:rFonts w:hAnsi="Arial"/>
          <w:rFonts w:ascii="Arial"/>
          <w:sz w:val="24"/>
          <w:color w:val="black"/>
        </w:rPr>
        <w:t xml:space="preserve"> Todo servicio comunitario de vigilancia y seguridad privada, tendrα un Consejo de Veedurνa Comunitaria integrado por las siguientes personas:</w:t>
      </w:r>
    </w:p>
    <w:p>
      <w:pPr>
        <w:jc w:val="both"/>
      </w:pPr>
      <w:rPr>
        <w:sz w:val="24"/>
        <w:color w:val="black"/>
      </w:rPr>
    </w:p>
    <w:p>
      <w:pPr>
        <w:jc w:val="both"/>
      </w:pPr>
      <w:r>
        <w:rPr>
          <w:rFonts w:hAnsi="Arial"/>
          <w:rFonts w:ascii="Arial"/>
          <w:sz w:val="24"/>
          <w:color w:val="black"/>
        </w:rPr>
        <w:t xml:space="preserve">a) El Alcalde Municipal o Local, o su delegado respectivo, quien lo presidirα;</w:t>
      </w:r>
    </w:p>
    <w:p>
      <w:pPr>
        <w:jc w:val="both"/>
      </w:pPr>
      <w:rPr>
        <w:sz w:val="24"/>
        <w:color w:val="black"/>
      </w:rPr>
    </w:p>
    <w:p>
      <w:pPr>
        <w:jc w:val="both"/>
      </w:pPr>
      <w:r>
        <w:rPr>
          <w:rFonts w:hAnsi="Arial"/>
          <w:rFonts w:ascii="Arial"/>
          <w:sz w:val="24"/>
          <w:color w:val="black"/>
        </w:rPr>
        <w:t xml:space="preserve">b) El Personero Municipal o su delegado;</w:t>
      </w:r>
    </w:p>
    <w:p>
      <w:pPr>
        <w:jc w:val="both"/>
      </w:pPr>
      <w:rPr>
        <w:sz w:val="24"/>
        <w:color w:val="black"/>
      </w:rPr>
    </w:p>
    <w:p>
      <w:pPr>
        <w:jc w:val="both"/>
      </w:pPr>
      <w:r>
        <w:rPr>
          <w:rFonts w:hAnsi="Arial"/>
          <w:rFonts w:ascii="Arial"/>
          <w:sz w:val="24"/>
          <w:color w:val="black"/>
        </w:rPr>
        <w:t xml:space="preserve">c) El Comandante de policνa o su delegado;</w:t>
      </w:r>
    </w:p>
    <w:p>
      <w:pPr>
        <w:jc w:val="both"/>
      </w:pPr>
      <w:rPr>
        <w:sz w:val="24"/>
        <w:color w:val="black"/>
      </w:rPr>
    </w:p>
    <w:p>
      <w:pPr>
        <w:jc w:val="both"/>
      </w:pPr>
      <w:r>
        <w:rPr>
          <w:rFonts w:hAnsi="Arial"/>
          <w:rFonts w:ascii="Arial"/>
          <w:sz w:val="24"/>
          <w:color w:val="black"/>
        </w:rPr>
        <w:t xml:space="preserve">d) Tres (3) representantes del servicio comunitario, elegidos por la asamblea general del respectivo servicio comunitario, y distintos de los miembros de la junta directiva.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representante legal del respectivo servicio comunitario solicitarα al Alcalde Municipal o local respectivo, la constituciσn del Consejo de Veedurνa Comunitaria relacionado en el presente artνculo, remitiιndole copia del acta de la asamblea general donde conste la elecciσn de sus representantes. Para este efecto el Alcalde respectivo convocarα al Consejo dentro de los 10 dνas siguientes a la solicitud.</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"http://www.redjurista.com/document.aspx?ajcode=d1612002&amp;arts=3"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 del Decreto 1612 de 2002)</w:t>
      </w:r>
    </w:p>
    <w:p>
      <w:pPr>
        <w:jc w:val="both"/>
      </w:pPr>
      <w:rPr>
        <w:sz w:val="24"/>
        <w:color w:val="black"/>
      </w:rPr>
    </w:p>
    <w:p>
      <w:pPr>
        <w:jc w:val="both"/>
      </w:pPr>
      <w:r>
        <w:rPr>
          <w:rFonts w:hAnsi="Arial"/>
          <w:rFonts w:ascii="Arial"/>
          <w:sz w:val="24"/>
          <w:vanish/>
          <w:color w:val="black"/>
        </w:rPr>
        <w:t>&amp;$</w:t>
      </w:r>
      <w:bookmarkStart w:id="62086" w:name="2.6.1.1.1.2.7"/>
      <w:r>
        <w:rPr>
          <w:rFonts w:hAnsi="Arial"/>
          <w:rFonts w:ascii="Arial"/>
          <w:sz w:val="24"/>
          <w:color w:val="navy"/>
        </w:rPr>
        <w:t xml:space="preserve">ARTΝCULO 2.6.1.1.1.2.7. </w:t>
      </w:r>
      <w:r>
        <w:rPr>
          <w:rFonts w:hAnsi="Arial"/>
          <w:rFonts w:ascii="Arial"/>
          <w:sz w:val="24"/>
          <w:i/>
          <w:color w:val="navy"/>
        </w:rPr>
        <w:t xml:space="preserve">FUNCIONES DEL CONSEJO DE VEEDURΝA COMUNITARIA</w:t>
      </w:r>
      <w:r>
        <w:rPr>
          <w:rFonts w:hAnsi="Arial"/>
          <w:rFonts w:ascii="Arial"/>
          <w:sz w:val="24"/>
          <w:color w:val="navy"/>
        </w:rPr>
        <w:t>.</w:t>
      </w:r>
    </w:p>
    <w:p>
      <w:pPr>
        <w:jc w:val="both"/>
      </w:pPr>
      <w:bookmarkEnd w:id="62086"/>
    </w:p>
    <w:p>
      <w:pPr>
        <w:jc w:val="both"/>
      </w:pPr>
      <w:r>
        <w:rPr>
          <w:rFonts w:hAnsi="Arial"/>
          <w:rFonts w:ascii="Arial"/>
          <w:sz w:val="24"/>
          <w:color w:val="black"/>
        </w:rPr>
        <w:t xml:space="preserve">a) Remitir copia del acta de su constituciσn, dentro de los diez (10) dνas siguientes a la misma, a la Superintendencia de Vigilancia y Seguridad Privada;</w:t>
      </w:r>
    </w:p>
    <w:p>
      <w:pPr>
        <w:jc w:val="both"/>
      </w:pPr>
      <w:rPr>
        <w:sz w:val="24"/>
        <w:color w:val="black"/>
      </w:rPr>
    </w:p>
    <w:p>
      <w:pPr>
        <w:jc w:val="both"/>
      </w:pPr>
      <w:r>
        <w:rPr>
          <w:rFonts w:hAnsi="Arial"/>
          <w:rFonts w:ascii="Arial"/>
          <w:sz w:val="24"/>
          <w:color w:val="black"/>
        </w:rPr>
        <w:t xml:space="preserve">b) Conceptuar sobre la necesidad de autorizar el servicio comunitario de vigilancia y seguridad privada;</w:t>
      </w:r>
    </w:p>
    <w:p>
      <w:pPr>
        <w:jc w:val="both"/>
      </w:pPr>
      <w:rPr>
        <w:sz w:val="24"/>
        <w:color w:val="black"/>
      </w:rPr>
    </w:p>
    <w:p>
      <w:pPr>
        <w:jc w:val="both"/>
      </w:pPr>
      <w:r>
        <w:rPr>
          <w:rFonts w:hAnsi="Arial"/>
          <w:rFonts w:ascii="Arial"/>
          <w:sz w:val="24"/>
          <w:color w:val="black"/>
        </w:rPr>
        <w:t xml:space="preserve">c) Ejercer veedurνa permanente sobre las actividades desarrolladas por el servicio comunitario de vigilancia y seguridad privada;</w:t>
      </w:r>
    </w:p>
    <w:p>
      <w:pPr>
        <w:jc w:val="both"/>
      </w:pPr>
      <w:rPr>
        <w:sz w:val="24"/>
        <w:color w:val="black"/>
      </w:rPr>
    </w:p>
    <w:p>
      <w:pPr>
        <w:jc w:val="both"/>
      </w:pPr>
      <w:r>
        <w:rPr>
          <w:rFonts w:hAnsi="Arial"/>
          <w:rFonts w:ascii="Arial"/>
          <w:sz w:val="24"/>
          <w:color w:val="black"/>
        </w:rPr>
        <w:t xml:space="preserve">d) Enviar trimestralmente informe a la Superintendencia de Vigilancia y Seguridad Privada con las recomendaciones y medidas que considere pertinentes para el buen funcionamiento del servicio comunitario de vigilancia y seguridad privada;</w:t>
      </w:r>
    </w:p>
    <w:p>
      <w:pPr>
        <w:jc w:val="both"/>
      </w:pPr>
      <w:rPr>
        <w:sz w:val="24"/>
        <w:color w:val="black"/>
      </w:rPr>
    </w:p>
    <w:p>
      <w:pPr>
        <w:jc w:val="both"/>
      </w:pPr>
      <w:r>
        <w:rPr>
          <w:rFonts w:hAnsi="Arial"/>
          <w:rFonts w:ascii="Arial"/>
          <w:sz w:val="24"/>
          <w:color w:val="black"/>
        </w:rPr>
        <w:t xml:space="preserve">e) Recomendar a las Autoridades Municipales o Locales, acciones de fortalecimiento de la seguridad ciudadana y estimular la colaboraciσn con las autoridades en el αmbito de su respectiva jurisdicciσn;</w:t>
      </w:r>
    </w:p>
    <w:p>
      <w:pPr>
        <w:jc w:val="both"/>
      </w:pPr>
      <w:rPr>
        <w:sz w:val="24"/>
        <w:color w:val="black"/>
      </w:rPr>
    </w:p>
    <w:p>
      <w:pPr>
        <w:jc w:val="both"/>
      </w:pPr>
      <w:r>
        <w:rPr>
          <w:rFonts w:hAnsi="Arial"/>
          <w:rFonts w:ascii="Arial"/>
          <w:sz w:val="24"/>
          <w:color w:val="black"/>
        </w:rPr>
        <w:t xml:space="preserve">f) Emitir concepto previo ante la Superintendencia de Vigilancia y Seguridad Privada que justifique el porte o tenencia de Armas para el Servicio Comunitario;</w:t>
      </w:r>
    </w:p>
    <w:p>
      <w:pPr>
        <w:jc w:val="both"/>
      </w:pPr>
      <w:rPr>
        <w:sz w:val="24"/>
        <w:color w:val="black"/>
      </w:rPr>
    </w:p>
    <w:p>
      <w:pPr>
        <w:jc w:val="both"/>
      </w:pPr>
      <w:r>
        <w:rPr>
          <w:rFonts w:hAnsi="Arial"/>
          <w:rFonts w:ascii="Arial"/>
          <w:sz w:val="24"/>
          <w:color w:val="black"/>
        </w:rPr>
        <w:t xml:space="preserve">g) Conceptuar ante la Superintendencia de Vigilancia y Seguridad Privada, sobre la viabilidad de la renovaciσn de la licencia de funcionamiento;</w:t>
      </w:r>
    </w:p>
    <w:p>
      <w:pPr>
        <w:jc w:val="both"/>
      </w:pPr>
      <w:rPr>
        <w:sz w:val="24"/>
        <w:color w:val="black"/>
      </w:rPr>
    </w:p>
    <w:p>
      <w:pPr>
        <w:jc w:val="both"/>
      </w:pPr>
      <w:r>
        <w:rPr>
          <w:rFonts w:hAnsi="Arial"/>
          <w:rFonts w:ascii="Arial"/>
          <w:sz w:val="24"/>
          <w:color w:val="black"/>
        </w:rPr>
        <w:t xml:space="preserve">h) Adoptar su propio reglamento.</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"http://www.redjurista.com/document.aspx?ajcode=d1612002&amp;arts=4"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 del Decreto 1612 de 2002)</w:t>
      </w:r>
    </w:p>
    <w:p>
      <w:pPr>
        <w:jc w:val="both"/>
      </w:pPr>
      <w:rPr>
        <w:sz w:val="24"/>
        <w:color w:val="black"/>
      </w:rPr>
    </w:p>
    <w:p>
      <w:pPr>
        <w:jc w:val="center"/>
      </w:pPr>
      <w:r>
        <w:rPr>
          <w:rFonts w:hAnsi="Arial"/>
          <w:rFonts w:ascii="Arial"/>
          <w:sz w:val="24"/>
          <w:vanish/>
          <w:color w:val="black"/>
        </w:rPr>
        <w:t>&amp;$</w:t>
      </w:r>
      <w:bookmarkStart w:id="62087" w:name="SUBSECCIÓN 2.6.1.1.1.3"/>
      <w:r>
        <w:rPr>
          <w:rFonts w:hAnsi="Arial"/>
          <w:rFonts w:ascii="Arial"/>
          <w:sz w:val="24"/>
          <w:color w:val="navy"/>
        </w:rPr>
        <w:t xml:space="preserve">SUBSECCIΣN 3. </w:t>
      </w:r>
    </w:p>
    <w:p>
      <w:pPr>
        <w:jc w:val="center"/>
      </w:pPr>
      <w:r>
        <w:rPr>
          <w:rFonts w:hAnsi="Arial"/>
          <w:rFonts w:ascii="Arial"/>
          <w:sz w:val="24"/>
          <w:color w:val="navy"/>
        </w:rPr>
        <w:t xml:space="preserve">DISPOSICIONES COMUNES.</w:t>
      </w:r>
      <w:bookmarkEnd w:id="62087"/>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088" w:name="2.6.1.1.1.3.1"/>
      <w:r>
        <w:rPr>
          <w:rFonts w:hAnsi="Arial"/>
          <w:rFonts w:ascii="Arial"/>
          <w:sz w:val="24"/>
          <w:color w:val="navy"/>
        </w:rPr>
        <w:t xml:space="preserve">ARTΝCULO 2.6.1.1.1.3.1. </w:t>
      </w:r>
      <w:r>
        <w:rPr>
          <w:rFonts w:hAnsi="Arial"/>
          <w:rFonts w:ascii="Arial"/>
          <w:sz w:val="24"/>
          <w:i/>
          <w:color w:val="navy"/>
        </w:rPr>
        <w:t xml:space="preserve">SUSPENSIΣN O CANCELACIΣN DE LA LICENCIA DE FUNCIONAMIENTO</w:t>
      </w:r>
      <w:r>
        <w:rPr>
          <w:rFonts w:hAnsi="Arial"/>
          <w:rFonts w:ascii="Arial"/>
          <w:sz w:val="24"/>
          <w:color w:val="navy"/>
        </w:rPr>
        <w:t>.</w:t>
      </w:r>
      <w:bookmarkEnd w:id="62088"/>
      <w:r>
        <w:rPr>
          <w:rFonts w:hAnsi="Arial"/>
          <w:rFonts w:ascii="Arial"/>
          <w:sz w:val="24"/>
          <w:b/>
          <w:color w:val="black"/>
        </w:rPr>
        <w:t xml:space="preserve"> </w:t>
      </w:r>
      <w:r>
        <w:rPr>
          <w:rFonts w:hAnsi="Arial"/>
          <w:rFonts w:ascii="Arial"/>
          <w:sz w:val="24"/>
          <w:color w:val="black"/>
        </w:rPr>
        <w:t xml:space="preserve">El incumplimiento de los deberes y obligaciones asν como de las disposiciones establecidas en la presente Secciσn y demαs normas vigentes sobre la materia, acarrearα las sanciones previstas en 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sin perjuicio de las acciones penales, administrativas y disciplinarias a que hubiere lugar.</w:t>
      </w:r>
    </w:p>
    <w:p>
      <w:pPr>
        <w:jc w:val="both"/>
      </w:pPr>
      <w:rPr>
        <w:sz w:val="24"/>
        <w:color w:val="black"/>
      </w:rPr>
    </w:p>
    <w:p>
      <w:pPr>
        <w:jc w:val="both"/>
      </w:pPr>
      <w:r>
        <w:rPr>
          <w:rFonts w:hAnsi="Arial"/>
          <w:rFonts w:ascii="Arial"/>
          <w:sz w:val="24"/>
          <w:color w:val="black"/>
        </w:rPr>
        <w:t xml:space="preserve">La Superintendencia de Vigilancia y Seguridad Privada regularα lo pertinente.</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089" w:name="2.6.1.1.1.3.2"/>
      <w:r>
        <w:rPr>
          <w:rFonts w:hAnsi="Arial"/>
          <w:rFonts w:ascii="Arial"/>
          <w:sz w:val="24"/>
          <w:color w:val="navy"/>
        </w:rPr>
        <w:t xml:space="preserve">ARTΝCULO 2.6.1.1.1.3.2. </w:t>
      </w:r>
      <w:r>
        <w:rPr>
          <w:rFonts w:hAnsi="Arial"/>
          <w:rFonts w:ascii="Arial"/>
          <w:sz w:val="24"/>
          <w:i/>
          <w:color w:val="navy"/>
        </w:rPr>
        <w:t xml:space="preserve">REVOCATORIA DE LA LICENCIA DE FUNCIONAMIENTO</w:t>
      </w:r>
      <w:r>
        <w:rPr>
          <w:rFonts w:hAnsi="Arial"/>
          <w:rFonts w:ascii="Arial"/>
          <w:sz w:val="24"/>
          <w:color w:val="navy"/>
        </w:rPr>
        <w:t>.</w:t>
      </w:r>
      <w:bookmarkEnd w:id="62089"/>
      <w:r>
        <w:rPr>
          <w:rFonts w:hAnsi="Arial"/>
          <w:rFonts w:ascii="Arial"/>
          <w:sz w:val="24"/>
          <w:b/>
          <w:color w:val="black"/>
        </w:rPr>
        <w:t xml:space="preserve"> </w:t>
      </w:r>
      <w:r>
        <w:rPr>
          <w:rFonts w:hAnsi="Arial"/>
          <w:rFonts w:ascii="Arial"/>
          <w:sz w:val="24"/>
          <w:color w:val="black"/>
        </w:rPr>
        <w:t xml:space="preserve">El Superintendente de Vigilancia y Seguridad Privada podrα revocar las licencias de funcionamiento otorgadas a los servicios especiales de vigilancia y comunitarios de vigilancia y seguridad privada, de conformidad con lo dispuesto en el Cσdigo Contencioso Administrativo.</w:t>
      </w:r>
    </w:p>
    <w:p>
      <w:pPr>
        <w:jc w:val="both"/>
      </w:pPr>
      <w:rPr>
        <w:sz w:val="24"/>
        <w:color w:val="black"/>
      </w:rPr>
    </w:p>
    <w:p>
      <w:pPr>
        <w:jc w:val="both"/>
      </w:pPr>
      <w:r>
        <w:rPr>
          <w:rFonts w:hAnsi="Arial"/>
          <w:rFonts w:ascii="Arial"/>
          <w:sz w:val="24"/>
          <w:color w:val="black"/>
        </w:rPr>
        <w:t xml:space="preserve">Cuando se revoque la licencia, las armas autorizadas deberαn ser devueltas en los tιrminos previstos en la ley.</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0" w:name="2.6.1.1.1.3.3"/>
      <w:r>
        <w:rPr>
          <w:rFonts w:hAnsi="Arial"/>
          <w:rFonts w:ascii="Arial"/>
          <w:sz w:val="24"/>
          <w:color w:val="navy"/>
        </w:rPr>
        <w:t xml:space="preserve">ARTΝCULO 2.6.1.1.1.3.3. </w:t>
      </w:r>
      <w:r>
        <w:rPr>
          <w:rFonts w:hAnsi="Arial"/>
          <w:rFonts w:ascii="Arial"/>
          <w:sz w:val="24"/>
          <w:i/>
          <w:color w:val="navy"/>
        </w:rPr>
        <w:t xml:space="preserve">ARMAS Y MUNICIONES AUTORIZADAS</w:t>
      </w:r>
      <w:r>
        <w:rPr>
          <w:rFonts w:hAnsi="Arial"/>
          <w:rFonts w:ascii="Arial"/>
          <w:sz w:val="24"/>
          <w:color w:val="navy"/>
        </w:rPr>
        <w:t>.</w:t>
      </w:r>
      <w:bookmarkEnd w:id="62090"/>
      <w:r>
        <w:rPr>
          <w:rFonts w:hAnsi="Arial"/>
          <w:rFonts w:ascii="Arial"/>
          <w:sz w:val="24"/>
          <w:b/>
          <w:color w:val="black"/>
        </w:rPr>
        <w:t xml:space="preserve"> </w:t>
      </w:r>
      <w:r>
        <w:rPr>
          <w:rFonts w:hAnsi="Arial"/>
          <w:rFonts w:ascii="Arial"/>
          <w:sz w:val="24"/>
          <w:color w:val="black"/>
        </w:rPr>
        <w:t xml:space="preserve">En el desempeρo de su actividad los servicios especiales y comunitarios de vigilancia y seguridad privada sσlo podrαn hacer uso de armas de defensa personal.</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091" w:name="2.6.1.1.1.3.4"/>
      <w:r>
        <w:rPr>
          <w:rFonts w:hAnsi="Arial"/>
          <w:rFonts w:ascii="Arial"/>
          <w:sz w:val="24"/>
          <w:color w:val="navy"/>
        </w:rPr>
        <w:t xml:space="preserve">ARTΝCULO 2.6.1.1.1.3.4. </w:t>
      </w:r>
      <w:r>
        <w:rPr>
          <w:rFonts w:hAnsi="Arial"/>
          <w:rFonts w:ascii="Arial"/>
          <w:sz w:val="24"/>
          <w:i/>
          <w:color w:val="navy"/>
        </w:rPr>
        <w:t xml:space="preserve">CONCEPTO PREVIO PARA ARMAS</w:t>
      </w:r>
      <w:r>
        <w:rPr>
          <w:rFonts w:hAnsi="Arial"/>
          <w:rFonts w:ascii="Arial"/>
          <w:sz w:val="24"/>
          <w:color w:val="navy"/>
        </w:rPr>
        <w:t>.</w:t>
      </w:r>
      <w:bookmarkEnd w:id="62091"/>
      <w:r>
        <w:rPr>
          <w:rFonts w:hAnsi="Arial"/>
          <w:rFonts w:ascii="Arial"/>
          <w:sz w:val="24"/>
          <w:b/>
          <w:color w:val="black"/>
        </w:rPr>
        <w:t xml:space="preserve"> </w:t>
      </w:r>
      <w:r>
        <w:rPr>
          <w:rFonts w:hAnsi="Arial"/>
          <w:rFonts w:ascii="Arial"/>
          <w:sz w:val="24"/>
          <w:color w:val="black"/>
        </w:rPr>
        <w:t xml:space="preserve">La Superintendencia de Vigilancia y Seguridad Privada emitirα concepto previo con destino al departamento control comercio armas municiones y explosivos de Ministerio de Defensa Nacional para la obtenciσn del permiso de porte o tenencia de armas.</w:t>
      </w:r>
    </w:p>
    <w:p>
      <w:pPr>
        <w:jc w:val="both"/>
      </w:pPr>
      <w:rPr>
        <w:sz w:val="24"/>
        <w:color w:val="black"/>
      </w:rPr>
    </w:p>
    <w:p>
      <w:pPr>
        <w:jc w:val="both"/>
      </w:pPr>
      <w:r>
        <w:rPr>
          <w:rFonts w:hAnsi="Arial"/>
          <w:rFonts w:ascii="Arial"/>
          <w:sz w:val="24"/>
          <w:color w:val="black"/>
        </w:rPr>
        <w:t xml:space="preserve">Para tal efecto, los servicios especiales y los servicios comunitarios de vigilancia y seguridad privada deberαn reunir los siguientes requisitos:</w:t>
      </w:r>
    </w:p>
    <w:p>
      <w:pPr>
        <w:jc w:val="both"/>
      </w:pPr>
      <w:rPr>
        <w:sz w:val="24"/>
        <w:color w:val="black"/>
      </w:rPr>
    </w:p>
    <w:p>
      <w:pPr>
        <w:jc w:val="both"/>
      </w:pPr>
      <w:r>
        <w:rPr>
          <w:rFonts w:hAnsi="Arial"/>
          <w:rFonts w:ascii="Arial"/>
          <w:sz w:val="24"/>
          <w:color w:val="black"/>
        </w:rPr>
        <w:t xml:space="preserve">1. Solicitud escrita donde se indique la cantidad y tipo de armas requeridas.</w:t>
      </w:r>
    </w:p>
    <w:p>
      <w:pPr>
        <w:jc w:val="both"/>
      </w:pPr>
      <w:rPr>
        <w:sz w:val="24"/>
        <w:color w:val="black"/>
      </w:rPr>
    </w:p>
    <w:p>
      <w:pPr>
        <w:jc w:val="both"/>
      </w:pPr>
      <w:r>
        <w:rPr>
          <w:rFonts w:hAnsi="Arial"/>
          <w:rFonts w:ascii="Arial"/>
          <w:sz w:val="24"/>
          <w:color w:val="black"/>
        </w:rPr>
        <w:t xml:space="preserve">2. Relaciσn detallada del nϊmero de personas que las van a utilizar, con sus respectivos datos de identificaciσn, libreta militar, certificado judicial y domicilio.</w:t>
      </w:r>
    </w:p>
    <w:p>
      <w:pPr>
        <w:jc w:val="both"/>
      </w:pPr>
      <w:rPr>
        <w:sz w:val="24"/>
        <w:color w:val="black"/>
      </w:rPr>
    </w:p>
    <w:p>
      <w:pPr>
        <w:jc w:val="both"/>
      </w:pPr>
      <w:r>
        <w:rPr>
          <w:rFonts w:hAnsi="Arial"/>
          <w:rFonts w:ascii="Arial"/>
          <w:sz w:val="24"/>
          <w:color w:val="black"/>
        </w:rPr>
        <w:t xml:space="preserve">3. Visto bueno de la autoridad militar de la zona donde desarrollen la actividad, que justifique el porte o tenencia de armas.</w:t>
      </w:r>
    </w:p>
    <w:p>
      <w:pPr>
        <w:jc w:val="both"/>
      </w:pPr>
      <w:rPr>
        <w:sz w:val="24"/>
        <w:color w:val="black"/>
      </w:rPr>
    </w:p>
    <w:p>
      <w:pPr>
        <w:jc w:val="both"/>
      </w:pPr>
      <w:r>
        <w:rPr>
          <w:rFonts w:hAnsi="Arial"/>
          <w:rFonts w:ascii="Arial"/>
          <w:sz w:val="24"/>
          <w:color w:val="black"/>
        </w:rPr>
        <w:t xml:space="preserve">4. Cuando se trate de servicios comunitarios de vigilancia y seguridad privada, concepto favorable del Consejo de Veedurνa Comunitaria respectivo.</w:t>
      </w:r>
    </w:p>
    <w:p>
      <w:pPr>
        <w:jc w:val="both"/>
      </w:pPr>
      <w:rPr>
        <w:sz w:val="24"/>
        <w:color w:val="black"/>
      </w:rPr>
    </w:p>
    <w:p>
      <w:pPr>
        <w:jc w:val="both"/>
      </w:pPr>
      <w:r>
        <w:rPr>
          <w:rFonts w:hAnsi="Arial"/>
          <w:rFonts w:ascii="Arial"/>
          <w:sz w:val="24"/>
          <w:color w:val="black"/>
        </w:rPr>
        <w:t xml:space="preserve">5. Los demαs que consagren las normas pertinentes.</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2" w:name="2.6.1.1.1.3.5"/>
      <w:r>
        <w:rPr>
          <w:rFonts w:hAnsi="Arial"/>
          <w:rFonts w:ascii="Arial"/>
          <w:sz w:val="24"/>
          <w:color w:val="navy"/>
        </w:rPr>
        <w:t xml:space="preserve">ARTΝCULO 2.6.1.1.1.3.5. </w:t>
      </w:r>
      <w:r>
        <w:rPr>
          <w:rFonts w:hAnsi="Arial"/>
          <w:rFonts w:ascii="Arial"/>
          <w:sz w:val="24"/>
          <w:i/>
          <w:color w:val="navy"/>
        </w:rPr>
        <w:t>MEDIOS</w:t>
      </w:r>
      <w:r>
        <w:rPr>
          <w:rFonts w:hAnsi="Arial"/>
          <w:rFonts w:ascii="Arial"/>
          <w:sz w:val="24"/>
          <w:color w:val="navy"/>
        </w:rPr>
        <w:t>.</w:t>
      </w:r>
      <w:bookmarkEnd w:id="62092"/>
      <w:r>
        <w:rPr>
          <w:rFonts w:hAnsi="Arial"/>
          <w:rFonts w:ascii="Arial"/>
          <w:sz w:val="24"/>
          <w:b/>
          <w:color w:val="black"/>
        </w:rPr>
        <w:t xml:space="preserve"> </w:t>
      </w:r>
      <w:r>
        <w:rPr>
          <w:rFonts w:hAnsi="Arial"/>
          <w:rFonts w:ascii="Arial"/>
          <w:sz w:val="24"/>
          <w:color w:val="black"/>
        </w:rPr>
        <w:t xml:space="preserve">Los servicios especiales y los servicios comunitarios de vigilancia y seguridad privada podrαn hacer uso de equipos de seguridad, comunicaciones, transporte e instalaciones necesarios para desarrollar su actividad, con las licencias y autorizaciones correspondientes.</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3" w:name="2.6.1.1.1.3.6"/>
      <w:r>
        <w:rPr>
          <w:rFonts w:hAnsi="Arial"/>
          <w:rFonts w:ascii="Arial"/>
          <w:sz w:val="24"/>
          <w:color w:val="navy"/>
        </w:rPr>
        <w:t xml:space="preserve">ARTΝCULO 2.6.1.1.1.3.6. </w:t>
      </w:r>
      <w:r>
        <w:rPr>
          <w:rFonts w:hAnsi="Arial"/>
          <w:rFonts w:ascii="Arial"/>
          <w:sz w:val="24"/>
          <w:i/>
          <w:color w:val="navy"/>
        </w:rPr>
        <w:t xml:space="preserve">CONTROL, INSPECCIΣN Y VIGILANCIA</w:t>
      </w:r>
      <w:r>
        <w:rPr>
          <w:rFonts w:hAnsi="Arial"/>
          <w:rFonts w:ascii="Arial"/>
          <w:sz w:val="24"/>
          <w:color w:val="navy"/>
        </w:rPr>
        <w:t>.</w:t>
      </w:r>
      <w:bookmarkEnd w:id="62093"/>
      <w:r>
        <w:rPr>
          <w:rFonts w:hAnsi="Arial"/>
          <w:rFonts w:ascii="Arial"/>
          <w:sz w:val="24"/>
          <w:b/>
          <w:color w:val="black"/>
        </w:rPr>
        <w:t xml:space="preserve"> </w:t>
      </w:r>
      <w:r>
        <w:rPr>
          <w:rFonts w:hAnsi="Arial"/>
          <w:rFonts w:ascii="Arial"/>
          <w:sz w:val="24"/>
          <w:color w:val="black"/>
        </w:rPr>
        <w:t xml:space="preserve">Los servicios especiales y los servicios comunitarios de vigilancia y seguridad privada estαn sometidos al control, inspecciσn y vigilancia de la Superintendencia de Vigilancia y Seguridad Privada, conforme con lo establecido en </w:t>
      </w:r>
      <w:r>
        <w:rPr>
          <w:rFonts w:hAnsi="Arial"/>
          <w:rFonts w:ascii="Arial"/>
          <w:sz w:val="24"/>
          <w:strike w:val="1"/>
          <w:color w:val="black"/>
        </w:rPr>
        <w:t xml:space="preserve">el </w:t>
      </w:r>
      <w:r>
        <w:rPr>
          <w:rFonts w:hAnsi="Arial"/>
          <w:rFonts w:ascii="Arial"/>
          <w:sz w:val="24"/>
          <w:color w:val="black"/>
        </w:rPr>
        <w:t xml:space="preserve">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y el Decreto </w:t>
      </w:r>
      <w:r>
        <w:fldChar w:fldCharType="begin"/>
      </w:r>
      <w:r>
        <w:instrText>HYPERLINK "http://www.redjurista.com/document.aspx?ajcode=d2355006&amp;arts=INICIO"</w:instrText>
      </w:r>
      <w:r>
        <w:fldChar w:fldCharType="separate"/>
      </w:r>
      <w:r>
        <w:rPr>
          <w:rFonts w:hAnsi="Arial"/>
          <w:rFonts w:ascii="Arial"/>
          <w:sz w:val="24"/>
          <w:u w:val="single"/>
          <w:color w:val="black"/>
        </w:rPr>
        <w:t>2355</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4" w:name="2.6.1.1.1.3.7"/>
      <w:r>
        <w:rPr>
          <w:rFonts w:hAnsi="Arial"/>
          <w:rFonts w:ascii="Arial"/>
          <w:sz w:val="24"/>
          <w:color w:val="navy"/>
        </w:rPr>
        <w:t xml:space="preserve">ARTΝCULO 2.6.1.1.1.3.7. </w:t>
      </w:r>
      <w:r>
        <w:rPr>
          <w:rFonts w:hAnsi="Arial"/>
          <w:rFonts w:ascii="Arial"/>
          <w:sz w:val="24"/>
          <w:i/>
          <w:color w:val="navy"/>
        </w:rPr>
        <w:t>CAPACITACIΣN</w:t>
      </w:r>
      <w:r>
        <w:rPr>
          <w:rFonts w:hAnsi="Arial"/>
          <w:rFonts w:ascii="Arial"/>
          <w:sz w:val="24"/>
          <w:color w:val="navy"/>
        </w:rPr>
        <w:t>.</w:t>
      </w:r>
      <w:bookmarkEnd w:id="62094"/>
      <w:r>
        <w:rPr>
          <w:rFonts w:hAnsi="Arial"/>
          <w:rFonts w:ascii="Arial"/>
          <w:sz w:val="24"/>
          <w:b/>
          <w:color w:val="black"/>
        </w:rPr>
        <w:t xml:space="preserve"> </w:t>
      </w:r>
      <w:r>
        <w:rPr>
          <w:rFonts w:hAnsi="Arial"/>
          <w:rFonts w:ascii="Arial"/>
          <w:sz w:val="24"/>
          <w:color w:val="black"/>
        </w:rPr>
        <w:t xml:space="preserve">El Gobierno Nacional promoverα programas especiales de formaciσn en Derechos Humanos, convivencia y participaciσn ciudadana y Derecho Internacional Humanitario, orientados a los miembros y asociados de los servicios especiales y comunitarios de vigilancia y seguridad privada.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Consejerνa Presidencial de Derechos Humanos serα la entidad encargada de impulsar y coordinar las actividades previstas en este artνculo.</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5" w:name="2.6.1.1.1.3.8"/>
      <w:r>
        <w:rPr>
          <w:rFonts w:hAnsi="Arial"/>
          <w:rFonts w:ascii="Arial"/>
          <w:sz w:val="24"/>
          <w:color w:val="navy"/>
        </w:rPr>
        <w:t xml:space="preserve">ARTΝCULO 2.6.1.1.1.3.8. </w:t>
      </w:r>
      <w:r>
        <w:rPr>
          <w:rFonts w:hAnsi="Arial"/>
          <w:rFonts w:ascii="Arial"/>
          <w:sz w:val="24"/>
          <w:i/>
          <w:color w:val="navy"/>
        </w:rPr>
        <w:t>PROHIBICIONES</w:t>
      </w:r>
      <w:r>
        <w:rPr>
          <w:rFonts w:hAnsi="Arial"/>
          <w:rFonts w:ascii="Arial"/>
          <w:sz w:val="24"/>
          <w:color w:val="navy"/>
        </w:rPr>
        <w:t>.</w:t>
      </w:r>
      <w:bookmarkEnd w:id="62095"/>
      <w:r>
        <w:rPr>
          <w:rFonts w:hAnsi="Arial"/>
          <w:rFonts w:ascii="Arial"/>
          <w:sz w:val="24"/>
          <w:b/>
          <w:color w:val="black"/>
        </w:rPr>
        <w:t xml:space="preserve"> </w:t>
      </w:r>
      <w:r>
        <w:rPr>
          <w:rFonts w:hAnsi="Arial"/>
          <w:rFonts w:ascii="Arial"/>
          <w:sz w:val="24"/>
          <w:color w:val="black"/>
        </w:rPr>
        <w:t xml:space="preserve">Queda prohibido a los servicios especiales de vigilancia y seguridad privada y a los servicios comunitarios de vigilancia y seguridad privada:</w:t>
      </w:r>
    </w:p>
    <w:p>
      <w:pPr>
        <w:jc w:val="both"/>
      </w:pPr>
      <w:rPr>
        <w:sz w:val="24"/>
        <w:color w:val="black"/>
      </w:rPr>
    </w:p>
    <w:p>
      <w:pPr>
        <w:jc w:val="both"/>
      </w:pPr>
      <w:r>
        <w:rPr>
          <w:rFonts w:hAnsi="Arial"/>
          <w:rFonts w:ascii="Arial"/>
          <w:sz w:val="24"/>
          <w:color w:val="black"/>
        </w:rPr>
        <w:t xml:space="preserve">1. Prestar sus servicios a terceros.</w:t>
      </w:r>
    </w:p>
    <w:p>
      <w:pPr>
        <w:jc w:val="both"/>
      </w:pPr>
      <w:rPr>
        <w:sz w:val="24"/>
        <w:color w:val="black"/>
      </w:rPr>
    </w:p>
    <w:p>
      <w:pPr>
        <w:jc w:val="both"/>
      </w:pPr>
      <w:r>
        <w:rPr>
          <w:rFonts w:hAnsi="Arial"/>
          <w:rFonts w:ascii="Arial"/>
          <w:sz w:val="24"/>
          <w:color w:val="black"/>
        </w:rPr>
        <w:t xml:space="preserve">2. Desarrollar labores de inteligencia.</w:t>
      </w:r>
    </w:p>
    <w:p>
      <w:pPr>
        <w:jc w:val="both"/>
      </w:pPr>
      <w:rPr>
        <w:sz w:val="24"/>
        <w:color w:val="black"/>
      </w:rPr>
    </w:p>
    <w:p>
      <w:pPr>
        <w:jc w:val="both"/>
      </w:pPr>
      <w:r>
        <w:rPr>
          <w:rFonts w:hAnsi="Arial"/>
          <w:rFonts w:ascii="Arial"/>
          <w:sz w:val="24"/>
          <w:color w:val="black"/>
        </w:rPr>
        <w:t xml:space="preserve">3. Capacitar o recibir capacitaciσn en tαcticas de combate.</w:t>
      </w:r>
    </w:p>
    <w:p>
      <w:pPr>
        <w:jc w:val="both"/>
      </w:pPr>
      <w:rPr>
        <w:sz w:val="24"/>
        <w:color w:val="black"/>
      </w:rPr>
    </w:p>
    <w:p>
      <w:pPr>
        <w:jc w:val="both"/>
      </w:pPr>
      <w:r>
        <w:rPr>
          <w:rFonts w:hAnsi="Arial"/>
          <w:rFonts w:ascii="Arial"/>
          <w:sz w:val="24"/>
          <w:color w:val="black"/>
        </w:rPr>
        <w:t xml:space="preserve">4. Realizar seguimientos, requisas, allanamientos, interceptaciones, o cualquier otra actividad ilνcita o atentatoria contra los derechos a la intimidad, al domicilio y a la libre locomociσn de las personas.</w:t>
      </w:r>
    </w:p>
    <w:p>
      <w:pPr>
        <w:jc w:val="both"/>
      </w:pPr>
      <w:rPr>
        <w:sz w:val="24"/>
        <w:color w:val="black"/>
      </w:rPr>
    </w:p>
    <w:p>
      <w:pPr>
        <w:jc w:val="both"/>
      </w:pPr>
      <w:r>
        <w:rPr>
          <w:rFonts w:hAnsi="Arial"/>
          <w:rFonts w:ascii="Arial"/>
          <w:sz w:val="24"/>
          <w:color w:val="black"/>
        </w:rPr>
        <w:t xml:space="preserve">5. Organizar acciones ofensivas o constituirse en organizaciones de choque o enfrentamiento contra organizaciones criminales.</w:t>
      </w:r>
    </w:p>
    <w:p>
      <w:pPr>
        <w:jc w:val="both"/>
      </w:pPr>
      <w:rPr>
        <w:sz w:val="24"/>
        <w:color w:val="black"/>
      </w:rPr>
    </w:p>
    <w:p>
      <w:pPr>
        <w:jc w:val="both"/>
      </w:pPr>
      <w:r>
        <w:rPr>
          <w:rFonts w:hAnsi="Arial"/>
          <w:rFonts w:ascii="Arial"/>
          <w:sz w:val="24"/>
          <w:color w:val="black"/>
        </w:rPr>
        <w:t xml:space="preserve">6. Emplear armas de uso restringido o de uso privativo de las Fuerzas Militares.</w:t>
      </w:r>
    </w:p>
    <w:p>
      <w:pPr>
        <w:jc w:val="both"/>
      </w:pPr>
      <w:rPr>
        <w:sz w:val="24"/>
        <w:color w:val="black"/>
      </w:rPr>
    </w:p>
    <w:p>
      <w:pPr>
        <w:jc w:val="both"/>
      </w:pPr>
      <w:r>
        <w:rPr>
          <w:rFonts w:hAnsi="Arial"/>
          <w:rFonts w:ascii="Arial"/>
          <w:sz w:val="24"/>
          <w:color w:val="black"/>
        </w:rPr>
        <w:t xml:space="preserve">7. Contratar o aceptar como miembros a personas menores de edad.</w:t>
      </w:r>
    </w:p>
    <w:p>
      <w:pPr>
        <w:jc w:val="both"/>
      </w:pPr>
      <w:rPr>
        <w:sz w:val="24"/>
        <w:color w:val="black"/>
      </w:rPr>
    </w:p>
    <w:p>
      <w:pPr>
        <w:jc w:val="both"/>
      </w:pPr>
      <w:r>
        <w:rPr>
          <w:rFonts w:hAnsi="Arial"/>
          <w:rFonts w:ascii="Arial"/>
          <w:sz w:val="24"/>
          <w:color w:val="black"/>
        </w:rPr>
        <w:t xml:space="preserve">8. Alterar o perturbar las condiciones para el ejercicio de los derechos y libertades pϊblicas de la ciudadanνa.</w:t>
      </w:r>
    </w:p>
    <w:p>
      <w:pPr>
        <w:jc w:val="both"/>
      </w:pPr>
      <w:rPr>
        <w:sz w:val="24"/>
        <w:color w:val="black"/>
      </w:rPr>
    </w:p>
    <w:p>
      <w:pPr>
        <w:jc w:val="both"/>
      </w:pPr>
      <w:r>
        <w:rPr>
          <w:rFonts w:hAnsi="Arial"/>
          <w:rFonts w:ascii="Arial"/>
          <w:sz w:val="24"/>
          <w:color w:val="black"/>
        </w:rPr>
        <w:t xml:space="preserve">9. Invadir la σrbita de la competencia reservada a las autoridades legνtimas.</w:t>
      </w:r>
    </w:p>
    <w:p>
      <w:pPr>
        <w:jc w:val="both"/>
      </w:pPr>
      <w:rPr>
        <w:sz w:val="24"/>
        <w:color w:val="black"/>
      </w:rPr>
    </w:p>
    <w:p>
      <w:pPr>
        <w:jc w:val="both"/>
      </w:pPr>
      <w:r>
        <w:rPr>
          <w:rFonts w:hAnsi="Arial"/>
          <w:rFonts w:ascii="Arial"/>
          <w:sz w:val="24"/>
          <w:color w:val="black"/>
        </w:rPr>
        <w:t xml:space="preserve">10. Destinar las armas autorizadas a tνtulo personal para uso de estos servicios.</w:t>
      </w:r>
    </w:p>
    <w:p>
      <w:pPr>
        <w:jc w:val="both"/>
      </w:pPr>
      <w:rPr>
        <w:sz w:val="24"/>
        <w:color w:val="black"/>
      </w:rPr>
    </w:p>
    <w:p>
      <w:pPr>
        <w:jc w:val="both"/>
      </w:pPr>
      <w:r>
        <w:rPr>
          <w:rFonts w:hAnsi="Arial"/>
          <w:rFonts w:ascii="Arial"/>
          <w:sz w:val="24"/>
          <w:color w:val="black"/>
        </w:rPr>
        <w:t xml:space="preserve">11. Utilizar los servicios como medio de coacciσn para cualquier fin.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A las comunidades que hayan constituido cooperativas, juntas de acciσn comunal o empresas comunitarias con el propσsito de proveer vigilancia y seguridad privada a sus miembros o cooperados, no se les podrα otorgar licencia como servicios especiales de vigilancia y seguridad privada.</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096" w:name="2.6.1.1.1.3.9"/>
      <w:r>
        <w:rPr>
          <w:rFonts w:hAnsi="Arial"/>
          <w:rFonts w:ascii="Arial"/>
          <w:sz w:val="24"/>
          <w:color w:val="navy"/>
        </w:rPr>
        <w:t xml:space="preserve">ARTΝCULO 2.6.1.1.1.3.9. </w:t>
      </w:r>
      <w:r>
        <w:rPr>
          <w:rFonts w:hAnsi="Arial"/>
          <w:rFonts w:ascii="Arial"/>
          <w:sz w:val="24"/>
          <w:i/>
          <w:color w:val="navy"/>
        </w:rPr>
        <w:t>SANCIONES</w:t>
      </w:r>
      <w:r>
        <w:rPr>
          <w:rFonts w:hAnsi="Arial"/>
          <w:rFonts w:ascii="Arial"/>
          <w:sz w:val="24"/>
          <w:color w:val="navy"/>
        </w:rPr>
        <w:t>.</w:t>
      </w:r>
      <w:bookmarkEnd w:id="62096"/>
      <w:r>
        <w:rPr>
          <w:rFonts w:hAnsi="Arial"/>
          <w:rFonts w:ascii="Arial"/>
          <w:sz w:val="24"/>
          <w:b/>
          <w:color w:val="black"/>
        </w:rPr>
        <w:t xml:space="preserve"> </w:t>
      </w:r>
      <w:r>
        <w:rPr>
          <w:rFonts w:hAnsi="Arial"/>
          <w:rFonts w:ascii="Arial"/>
          <w:sz w:val="24"/>
          <w:color w:val="black"/>
        </w:rPr>
        <w:t xml:space="preserve">El incumplimiento de cualquiera de las anteriores disposiciones serα sancionado por la Superintendencia de Vigilancia y Seguridad Privada, sin perjuicio de las acciones penales, administrativas y disciplinarias a que hubiere lugar.</w:t>
      </w:r>
    </w:p>
    <w:p>
      <w:pPr>
        <w:jc w:val="both"/>
      </w:pPr>
      <w:rPr>
        <w:sz w:val="24"/>
        <w:color w:val="black"/>
      </w:rPr>
    </w:p>
    <w:p>
      <w:pPr>
        <w:jc w:val="both"/>
      </w:pPr>
      <w:r>
        <w:rPr>
          <w:rFonts w:hAnsi="Arial"/>
          <w:rFonts w:ascii="Arial"/>
          <w:sz w:val="24"/>
          <w:i/>
          <w:color w:val="black"/>
        </w:rPr>
        <w:t xml:space="preserve">(Decreto 2974 de 1997 artνculo </w:t>
      </w:r>
      <w:r>
        <w:fldChar w:fldCharType="begin"/>
      </w:r>
      <w:r>
        <w:instrText>HYPERLINK "http://www.redjurista.com/document.aspx?ajcode=d2974_97&amp;arts=23"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2097" w:name="SECCIÓN 2.6.1.1.2"/>
      <w:r>
        <w:rPr>
          <w:rFonts w:hAnsi="Arial"/>
          <w:rFonts w:ascii="Arial"/>
          <w:sz w:val="24"/>
          <w:color w:val="navy"/>
        </w:rPr>
        <w:t xml:space="preserve">SECCIΣN 2. </w:t>
      </w:r>
    </w:p>
    <w:p>
      <w:pPr>
        <w:jc w:val="center"/>
      </w:pPr>
      <w:r>
        <w:rPr>
          <w:rFonts w:hAnsi="Arial"/>
          <w:rFonts w:ascii="Arial"/>
          <w:sz w:val="24"/>
          <w:color w:val="navy"/>
        </w:rPr>
        <w:t xml:space="preserve">POR EL CUAL SE EXPIDE EL MANUAL DE UNIFORMES Y EQUIPOS PARA EL PERSONAL DE LOS SERVICIOS DE LA VIGILANCIA Y SEGURIDAD PRIVADA GENERALIDADES.</w:t>
      </w:r>
      <w:bookmarkEnd w:id="62097"/>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2098" w:name="SUBSECCIÓN 2.6.1.1.2.1"/>
      <w:r>
        <w:rPr>
          <w:rFonts w:hAnsi="Arial"/>
          <w:rFonts w:ascii="Arial"/>
          <w:sz w:val="24"/>
          <w:color w:val="navy"/>
        </w:rPr>
        <w:t xml:space="preserve">SUBSECCIΣN 1. </w:t>
      </w:r>
    </w:p>
    <w:p>
      <w:pPr>
        <w:jc w:val="center"/>
      </w:pPr>
      <w:r>
        <w:rPr>
          <w:rFonts w:hAnsi="Arial"/>
          <w:rFonts w:ascii="Arial"/>
          <w:sz w:val="24"/>
          <w:color w:val="navy"/>
        </w:rPr>
        <w:t>GENERALIDADES.</w:t>
      </w:r>
      <w:bookmarkEnd w:id="620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099" w:name="2.6.1.1.2.1.1"/>
      <w:r>
        <w:rPr>
          <w:rFonts w:hAnsi="Arial"/>
          <w:rFonts w:ascii="Arial"/>
          <w:sz w:val="24"/>
          <w:color w:val="navy"/>
        </w:rPr>
        <w:t xml:space="preserve">ARTΝCULO 2.6.1.1.2.1.1. </w:t>
      </w:r>
      <w:r>
        <w:rPr>
          <w:rFonts w:hAnsi="Arial"/>
          <w:rFonts w:ascii="Arial"/>
          <w:sz w:val="24"/>
          <w:i/>
          <w:color w:val="navy"/>
        </w:rPr>
        <w:t>OBJETO.</w:t>
      </w:r>
      <w:bookmarkEnd w:id="62099"/>
      <w:r>
        <w:rPr>
          <w:rFonts w:hAnsi="Arial"/>
          <w:rFonts w:ascii="Arial"/>
          <w:sz w:val="24"/>
          <w:b/>
          <w:i/>
          <w:color w:val="black"/>
        </w:rPr>
        <w:t xml:space="preserve"> </w:t>
      </w:r>
      <w:r>
        <w:rPr>
          <w:rFonts w:hAnsi="Arial"/>
          <w:rFonts w:ascii="Arial"/>
          <w:sz w:val="24"/>
          <w:color w:val="black"/>
        </w:rPr>
        <w:t xml:space="preserve">La presente Secciσn tiene por objeto, establecer el Manual de Uniformes y Equipos para el personal que preste servicios de Vigilancia y Seguridad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00" w:name="2.6.1.1.2.1.2"/>
      <w:r>
        <w:rPr>
          <w:rFonts w:hAnsi="Arial"/>
          <w:rFonts w:ascii="Arial"/>
          <w:sz w:val="24"/>
          <w:color w:val="navy"/>
        </w:rPr>
        <w:t xml:space="preserve">ARTΝCULO 2.6.1.1.2.1.2. </w:t>
      </w:r>
      <w:r>
        <w:rPr>
          <w:rFonts w:hAnsi="Arial"/>
          <w:rFonts w:ascii="Arial"/>
          <w:sz w:val="24"/>
          <w:i/>
          <w:color w:val="navy"/>
        </w:rPr>
        <w:t xml:space="preserve">CAMPO DE APLICACIΣN.</w:t>
      </w:r>
      <w:bookmarkEnd w:id="62100"/>
      <w:r>
        <w:rPr>
          <w:rFonts w:hAnsi="Arial"/>
          <w:rFonts w:ascii="Arial"/>
          <w:sz w:val="24"/>
          <w:b/>
          <w:i/>
          <w:color w:val="black"/>
        </w:rPr>
        <w:t xml:space="preserve"> </w:t>
      </w:r>
      <w:r>
        <w:rPr>
          <w:rFonts w:hAnsi="Arial"/>
          <w:rFonts w:ascii="Arial"/>
          <w:sz w:val="24"/>
          <w:color w:val="black"/>
        </w:rPr>
        <w:t xml:space="preserve">Quedan sometidos a la presente Secciσn, los servicios de vigilancia y seguridad privada que utilicen para el desarrollo de sus actividades armas de fuego, recursos humanos, animales, tecnolσgicos o materiales, vehνculos y cualquier otro medio autorizado por la Superintendencia de Vigilancia y Seguridad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101" w:name="SUBSECCIÓN 2.6.1.1.2.2"/>
      <w:r>
        <w:rPr>
          <w:rFonts w:hAnsi="Arial"/>
          <w:rFonts w:ascii="Arial"/>
          <w:sz w:val="24"/>
          <w:color w:val="navy"/>
        </w:rPr>
        <w:t xml:space="preserve">SUBSECCIΣN 2. </w:t>
      </w:r>
    </w:p>
    <w:p>
      <w:pPr>
        <w:jc w:val="center"/>
      </w:pPr>
      <w:r>
        <w:rPr>
          <w:rFonts w:hAnsi="Arial"/>
          <w:rFonts w:ascii="Arial"/>
          <w:sz w:val="24"/>
          <w:color w:val="navy"/>
        </w:rPr>
        <w:t xml:space="preserve">UNIFORMES E IDENTIFICACIONES.</w:t>
      </w:r>
      <w:bookmarkEnd w:id="62101"/>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02" w:name="2.6.1.1.2.2.1"/>
      <w:r>
        <w:rPr>
          <w:rFonts w:hAnsi="Arial"/>
          <w:rFonts w:ascii="Arial"/>
          <w:sz w:val="24"/>
          <w:color w:val="navy"/>
        </w:rPr>
        <w:t xml:space="preserve">ARTΝCULO 2.6.1.1.2.2.1. </w:t>
      </w:r>
      <w:r>
        <w:rPr>
          <w:rFonts w:hAnsi="Arial"/>
          <w:rFonts w:ascii="Arial"/>
          <w:sz w:val="24"/>
          <w:i/>
          <w:color w:val="navy"/>
        </w:rPr>
        <w:t xml:space="preserve">DEFINICIΣN UNIFORMES.</w:t>
      </w:r>
      <w:bookmarkEnd w:id="62102"/>
      <w:r>
        <w:rPr>
          <w:rFonts w:hAnsi="Arial"/>
          <w:rFonts w:ascii="Arial"/>
          <w:sz w:val="24"/>
          <w:b/>
          <w:i/>
          <w:color w:val="black"/>
        </w:rPr>
        <w:t xml:space="preserve"> </w:t>
      </w:r>
      <w:r>
        <w:rPr>
          <w:rFonts w:hAnsi="Arial"/>
          <w:rFonts w:ascii="Arial"/>
          <w:sz w:val="24"/>
          <w:color w:val="black"/>
        </w:rPr>
        <w:t xml:space="preserve">Se considera uniforme, el conjunto de prendas establecidas para el uso obligatorio durante el tiempo y el lugar de prestaciσn del servicio, del personal de vigilancia y seguridad privada masculino y femenino.</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3" w:name="2.6.1.1.2.2.2"/>
      <w:r>
        <w:rPr>
          <w:rFonts w:hAnsi="Arial"/>
          <w:rFonts w:ascii="Arial"/>
          <w:sz w:val="24"/>
          <w:color w:val="navy"/>
        </w:rPr>
        <w:t xml:space="preserve">ARTΝCULO 2.6.1.1.2.2.2. </w:t>
      </w:r>
      <w:r>
        <w:rPr>
          <w:rFonts w:hAnsi="Arial"/>
          <w:rFonts w:ascii="Arial"/>
          <w:sz w:val="24"/>
          <w:i/>
          <w:color w:val="navy"/>
        </w:rPr>
        <w:t>OBLIGATORIEDAD.</w:t>
      </w:r>
      <w:bookmarkEnd w:id="62103"/>
      <w:r>
        <w:rPr>
          <w:rFonts w:hAnsi="Arial"/>
          <w:rFonts w:ascii="Arial"/>
          <w:sz w:val="24"/>
          <w:b/>
          <w:i/>
          <w:color w:val="black"/>
        </w:rPr>
        <w:t xml:space="preserve"> </w:t>
      </w:r>
      <w:r>
        <w:rPr>
          <w:rFonts w:hAnsi="Arial"/>
          <w:rFonts w:ascii="Arial"/>
          <w:sz w:val="24"/>
          <w:color w:val="black"/>
        </w:rPr>
        <w:t xml:space="preserve">Los diseρos, colores, materiales, condiciones de uso y demαs especificaciones de los uniformes y distintivos utilizados por el personal de vigilancia y seguridad privada, serαn establecidos por la Superintendencia de Vigilancia y Seguridad Privada mediante resoluciσn, que serα de obligatorio cumplimiento.</w:t>
      </w:r>
    </w:p>
    <w:p>
      <w:pPr>
        <w:jc w:val="both"/>
      </w:pPr>
      <w:rPr>
        <w:sz w:val="24"/>
        <w:color w:val="black"/>
      </w:rPr>
    </w:p>
    <w:p>
      <w:pPr>
        <w:jc w:val="both"/>
      </w:pPr>
      <w:r>
        <w:rPr>
          <w:rFonts w:hAnsi="Arial"/>
          <w:rFonts w:ascii="Arial"/>
          <w:sz w:val="24"/>
          <w:color w:val="black"/>
        </w:rPr>
        <w:t xml:space="preserve">Quedan excluidos del inciso anterior, los escoltas a personas, mercancνas y vehνculos.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todo caso, las caracterνsticas de los uniformes siempre deberαn ser diferentes a los de la Fuerza Pϊblica y otros cuerpos oficiales armados.</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4" w:name="2.6.1.1.2.2.3"/>
      <w:r>
        <w:rPr>
          <w:rFonts w:hAnsi="Arial"/>
          <w:rFonts w:ascii="Arial"/>
          <w:sz w:val="24"/>
          <w:color w:val="navy"/>
        </w:rPr>
        <w:t xml:space="preserve">ARTΝCULO 2.6.1.1.2.2.3. </w:t>
      </w:r>
      <w:r>
        <w:rPr>
          <w:rFonts w:hAnsi="Arial"/>
          <w:rFonts w:ascii="Arial"/>
          <w:sz w:val="24"/>
          <w:i/>
          <w:color w:val="navy"/>
        </w:rPr>
        <w:t xml:space="preserve">COLOR BΑSICO.</w:t>
      </w:r>
      <w:bookmarkEnd w:id="62104"/>
      <w:r>
        <w:rPr>
          <w:rFonts w:hAnsi="Arial"/>
          <w:rFonts w:ascii="Arial"/>
          <w:sz w:val="24"/>
          <w:b/>
          <w:i/>
          <w:color w:val="black"/>
        </w:rPr>
        <w:t xml:space="preserve"> </w:t>
      </w:r>
      <w:r>
        <w:rPr>
          <w:rFonts w:hAnsi="Arial"/>
          <w:rFonts w:ascii="Arial"/>
          <w:sz w:val="24"/>
          <w:color w:val="black"/>
        </w:rPr>
        <w:t xml:space="preserve">Se denomina color bαsico, aquel que el respectivo servicio de vigilancia y seguridad privada escoge para las prendas principales del uniforme, tales como: saco, falda, pantalσn, overol y gorra.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5" w:name="2.6.1.1.2.2.4"/>
      <w:r>
        <w:rPr>
          <w:rFonts w:hAnsi="Arial"/>
          <w:rFonts w:ascii="Arial"/>
          <w:sz w:val="24"/>
          <w:color w:val="navy"/>
        </w:rPr>
        <w:t xml:space="preserve">ARTΝCULO 2.6.1.1.2.2.4. </w:t>
      </w:r>
      <w:r>
        <w:rPr>
          <w:rFonts w:hAnsi="Arial"/>
          <w:rFonts w:ascii="Arial"/>
          <w:sz w:val="24"/>
          <w:i/>
          <w:color w:val="navy"/>
        </w:rPr>
        <w:t>EXCLUSIVIDAD.</w:t>
      </w:r>
      <w:bookmarkEnd w:id="62105"/>
      <w:r>
        <w:rPr>
          <w:rFonts w:hAnsi="Arial"/>
          <w:rFonts w:ascii="Arial"/>
          <w:sz w:val="24"/>
          <w:b/>
          <w:i/>
          <w:color w:val="black"/>
        </w:rPr>
        <w:t xml:space="preserve"> </w:t>
      </w:r>
      <w:r>
        <w:rPr>
          <w:rFonts w:hAnsi="Arial"/>
          <w:rFonts w:ascii="Arial"/>
          <w:sz w:val="24"/>
          <w:color w:val="black"/>
        </w:rPr>
        <w:t xml:space="preserve">Los uniformes, distintivos e identificaciones establecidos para los servicios de vigilancia y seguridad privada, son exclusivos y no podrαn ser utilizados por personal de empresas o entidades diferentes a las de vigilancia y seguridad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6" w:name="2.6.1.1.2.2.5"/>
      <w:r>
        <w:rPr>
          <w:rFonts w:hAnsi="Arial"/>
          <w:rFonts w:ascii="Arial"/>
          <w:sz w:val="24"/>
          <w:color w:val="navy"/>
        </w:rPr>
        <w:t xml:space="preserve">ARTΝCULO 2.6.1.1.2.2.5. </w:t>
      </w:r>
      <w:r>
        <w:rPr>
          <w:rFonts w:hAnsi="Arial"/>
          <w:rFonts w:ascii="Arial"/>
          <w:sz w:val="24"/>
          <w:i/>
          <w:color w:val="navy"/>
        </w:rPr>
        <w:t>SUMINISTRO.</w:t>
      </w:r>
      <w:bookmarkEnd w:id="62106"/>
      <w:r>
        <w:rPr>
          <w:rFonts w:hAnsi="Arial"/>
          <w:rFonts w:ascii="Arial"/>
          <w:sz w:val="24"/>
          <w:b/>
          <w:i/>
          <w:color w:val="black"/>
        </w:rPr>
        <w:t xml:space="preserve"> </w:t>
      </w:r>
      <w:r>
        <w:rPr>
          <w:rFonts w:hAnsi="Arial"/>
          <w:rFonts w:ascii="Arial"/>
          <w:sz w:val="24"/>
          <w:color w:val="black"/>
        </w:rPr>
        <w:t xml:space="preserve">Los uniformes para el personal de Vigilancia y Seguridad Privada a que se refiere la presente Secciσn, serαn suministrados en forma gratuita por el respectivo servicio de vigilancia y seguridad privada, de conformidad con lo dispuesto por el Cσdigo Sustantivo del Trabajo.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Los servicios de vigilancia y seguridad privada, estαn obligados a llevar un control de entrega de dotaciones al personal a su cargo, que debe ser suscrito por el empleado en el momento de recibirlas. Este control podrα ser objeto de inspecciσn en cualquier momento y lugar, por parte de la Superintendencia de Vigilancia y Seguridad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7" w:name="2.6.1.1.2.2.6"/>
      <w:r>
        <w:rPr>
          <w:rFonts w:hAnsi="Arial"/>
          <w:rFonts w:ascii="Arial"/>
          <w:sz w:val="24"/>
          <w:color w:val="navy"/>
        </w:rPr>
        <w:t xml:space="preserve">ARTΝCULO 2.6.1.1.2.2.6. </w:t>
      </w:r>
      <w:r>
        <w:rPr>
          <w:rFonts w:hAnsi="Arial"/>
          <w:rFonts w:ascii="Arial"/>
          <w:sz w:val="24"/>
          <w:i/>
          <w:color w:val="navy"/>
        </w:rPr>
        <w:t xml:space="preserve">UTILIZACIΣN DE UNIFORMES.</w:t>
      </w:r>
      <w:bookmarkEnd w:id="62107"/>
      <w:r>
        <w:rPr>
          <w:rFonts w:hAnsi="Arial"/>
          <w:rFonts w:ascii="Arial"/>
          <w:sz w:val="24"/>
          <w:b/>
          <w:i/>
          <w:color w:val="black"/>
        </w:rPr>
        <w:t xml:space="preserve"> </w:t>
      </w:r>
      <w:r>
        <w:rPr>
          <w:rFonts w:hAnsi="Arial"/>
          <w:rFonts w:ascii="Arial"/>
          <w:sz w:val="24"/>
          <w:color w:val="black"/>
        </w:rPr>
        <w:t xml:space="preserve">Los uniformes, distintivos, identificaciones y demαs elementos del personal de vigilancia y seguridad privada a que se refiere la presente Secciσn, solo podrαn ser utilizados durante las horas y en los lugares o sitios en los que se presta el servicio y deberαn ser devueltos al servicio de vigilancia y seguridad privada cuando el personal salga de vacaciones, licencia, permiso, incapacidad o retiro.</w:t>
      </w:r>
    </w:p>
    <w:p>
      <w:pPr>
        <w:jc w:val="both"/>
      </w:pPr>
      <w:rPr>
        <w:sz w:val="24"/>
        <w:color w:val="black"/>
      </w:rPr>
    </w:p>
    <w:p>
      <w:pPr>
        <w:jc w:val="both"/>
      </w:pPr>
      <w:r>
        <w:rPr>
          <w:rFonts w:hAnsi="Arial"/>
          <w:rFonts w:ascii="Arial"/>
          <w:sz w:val="24"/>
          <w:i/>
          <w:color w:val="black"/>
        </w:rPr>
        <w:t xml:space="preserve"> (Decreto 1979 de 2001 artνculo </w:t>
      </w:r>
      <w:r>
        <w:fldChar w:fldCharType="begin"/>
      </w:r>
      <w:r>
        <w:instrText>HYPERLINK "http://www.redjurista.com/document.aspx?ajcode=d1979001&amp;arts=8"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8" w:name="2.6.1.1.2.2.7"/>
      <w:r>
        <w:rPr>
          <w:rFonts w:hAnsi="Arial"/>
          <w:rFonts w:ascii="Arial"/>
          <w:sz w:val="24"/>
          <w:color w:val="navy"/>
        </w:rPr>
        <w:t xml:space="preserve">ARTΝCULO 2.6.1.1.2.2.7. </w:t>
      </w:r>
      <w:r>
        <w:rPr>
          <w:rFonts w:hAnsi="Arial"/>
          <w:rFonts w:ascii="Arial"/>
          <w:sz w:val="24"/>
          <w:i/>
          <w:color w:val="navy"/>
        </w:rPr>
        <w:t xml:space="preserve">CONDICIΣN DE LOS UNIFORMES.</w:t>
      </w:r>
      <w:bookmarkEnd w:id="62108"/>
      <w:r>
        <w:rPr>
          <w:rFonts w:hAnsi="Arial"/>
          <w:rFonts w:ascii="Arial"/>
          <w:sz w:val="24"/>
          <w:b/>
          <w:i/>
          <w:color w:val="black"/>
        </w:rPr>
        <w:t xml:space="preserve"> </w:t>
      </w:r>
      <w:r>
        <w:rPr>
          <w:rFonts w:hAnsi="Arial"/>
          <w:rFonts w:ascii="Arial"/>
          <w:sz w:val="24"/>
          <w:color w:val="black"/>
        </w:rPr>
        <w:t xml:space="preserve">Los servicios de vigilancia y seguridad privada, deberαn mantener a su personal con los uniformes y demαs elementos de dotaciσn en condiciones σptimas de presentaciσn y en sus reglamentos internos tomarαn las medidas de control pertinentes. No se podrαn reutilizar uniformes.</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09" w:name="2.6.1.1.2.2.8"/>
      <w:r>
        <w:rPr>
          <w:rFonts w:hAnsi="Arial"/>
          <w:rFonts w:ascii="Arial"/>
          <w:sz w:val="24"/>
          <w:color w:val="navy"/>
        </w:rPr>
        <w:t xml:space="preserve">ARTΝCULO 2.6.1.1.2.2.8. UNIFORME DEL PERSONAL.</w:t>
      </w:r>
      <w:bookmarkEnd w:id="62109"/>
      <w:r>
        <w:rPr>
          <w:rFonts w:hAnsi="Arial"/>
          <w:rFonts w:ascii="Arial"/>
          <w:sz w:val="24"/>
          <w:b/>
          <w:color w:val="black"/>
        </w:rPr>
        <w:t xml:space="preserve"> </w:t>
      </w:r>
      <w:r>
        <w:rPr>
          <w:rFonts w:hAnsi="Arial"/>
          <w:rFonts w:ascii="Arial"/>
          <w:sz w:val="24"/>
          <w:color w:val="black"/>
        </w:rPr>
        <w:t xml:space="preserve">Los uniformes que deberα utilizar el personal masculino y femenino de los servicios de vigilancia y seguridad privada, se clasifican, en uniforme de diario y overol. Las caracterνsticas serαn establecidas por la Superintendencia de Vigilancia y Seguridad Privada, de acuerdo con la labor a realizar.</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0" w:name="2.6.1.1.2.2.9"/>
      <w:r>
        <w:rPr>
          <w:rFonts w:hAnsi="Arial"/>
          <w:rFonts w:ascii="Arial"/>
          <w:sz w:val="24"/>
          <w:color w:val="navy"/>
        </w:rPr>
        <w:t xml:space="preserve">ARTΝCULO 2.6.1.1.2.2.9. </w:t>
      </w:r>
      <w:r>
        <w:rPr>
          <w:rFonts w:hAnsi="Arial"/>
          <w:rFonts w:ascii="Arial"/>
          <w:sz w:val="24"/>
          <w:i/>
          <w:color w:val="navy"/>
        </w:rPr>
        <w:t xml:space="preserve">SUPERVISORES, CONDUCTORES, TRIPULANTES Y DEMΑS CARGOS OPERATIVOS.</w:t>
      </w:r>
      <w:bookmarkEnd w:id="62110"/>
      <w:r>
        <w:rPr>
          <w:rFonts w:hAnsi="Arial"/>
          <w:rFonts w:ascii="Arial"/>
          <w:sz w:val="24"/>
          <w:b/>
          <w:i/>
          <w:color w:val="black"/>
        </w:rPr>
        <w:t xml:space="preserve"> </w:t>
      </w:r>
      <w:r>
        <w:rPr>
          <w:rFonts w:hAnsi="Arial"/>
          <w:rFonts w:ascii="Arial"/>
          <w:sz w:val="24"/>
          <w:color w:val="black"/>
        </w:rPr>
        <w:t xml:space="preserve">El personal de supervisores, conductores, tripulantes y demαs cargos operativos deberαn usar los uniformes con los distintivos, credenciales e identificaciones seρalados mediante acto administrativo que se expida para dicho fin por la Superintendencia de Vigilancia y Seguridad Privada y que correspondan a la labor que desempeρan.</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1" w:name="2.6.1.1.2.2.10"/>
      <w:r>
        <w:rPr>
          <w:rFonts w:hAnsi="Arial"/>
          <w:rFonts w:ascii="Arial"/>
          <w:sz w:val="24"/>
          <w:color w:val="navy"/>
        </w:rPr>
        <w:t xml:space="preserve">ARTΝCULO 2.6.1.1.2.2.10. </w:t>
      </w:r>
      <w:r>
        <w:rPr>
          <w:rFonts w:hAnsi="Arial"/>
          <w:rFonts w:ascii="Arial"/>
          <w:sz w:val="24"/>
          <w:i/>
          <w:color w:val="navy"/>
        </w:rPr>
        <w:t>AUTORIZACIΣN.</w:t>
      </w:r>
      <w:bookmarkEnd w:id="62111"/>
      <w:r>
        <w:rPr>
          <w:rFonts w:hAnsi="Arial"/>
          <w:rFonts w:ascii="Arial"/>
          <w:sz w:val="24"/>
          <w:b/>
          <w:i/>
          <w:color w:val="black"/>
        </w:rPr>
        <w:t xml:space="preserve"> </w:t>
      </w:r>
      <w:r>
        <w:rPr>
          <w:rFonts w:hAnsi="Arial"/>
          <w:rFonts w:ascii="Arial"/>
          <w:sz w:val="24"/>
          <w:color w:val="black"/>
        </w:rPr>
        <w:t xml:space="preserve">Los servicios de vigilancia y seguridad privada deberαn enviar a la Superintendencia de Vigilancia y Seguridad Privada, la informaciσn y las fotografνas correspondientes al material, diseρo, combinaciσn y color escogidos para el uniforme del personal vinculado a ellos con el fin de que la Superintendencia proceda a su autorizaciσn y registro.</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2" w:name="2.6.1.1.2.2.11"/>
      <w:r>
        <w:rPr>
          <w:rFonts w:hAnsi="Arial"/>
          <w:rFonts w:ascii="Arial"/>
          <w:sz w:val="24"/>
          <w:color w:val="navy"/>
        </w:rPr>
        <w:t xml:space="preserve">ARTΝCULO 2.6.1.1.2.2.11. </w:t>
      </w:r>
      <w:r>
        <w:rPr>
          <w:rFonts w:hAnsi="Arial"/>
          <w:rFonts w:ascii="Arial"/>
          <w:sz w:val="24"/>
          <w:i/>
          <w:color w:val="navy"/>
        </w:rPr>
        <w:t>PROHIBICIΣN.</w:t>
      </w:r>
      <w:bookmarkEnd w:id="62112"/>
      <w:r>
        <w:rPr>
          <w:rFonts w:hAnsi="Arial"/>
          <w:rFonts w:ascii="Arial"/>
          <w:sz w:val="24"/>
          <w:b/>
          <w:i/>
          <w:color w:val="black"/>
        </w:rPr>
        <w:t xml:space="preserve"> </w:t>
      </w:r>
      <w:r>
        <w:rPr>
          <w:rFonts w:hAnsi="Arial"/>
          <w:rFonts w:ascii="Arial"/>
          <w:sz w:val="24"/>
          <w:color w:val="black"/>
        </w:rPr>
        <w:t xml:space="preserve">El diseρo de uniformes, colores y combinaciones que autorice la Superintendencia de Vigilancia y Seguridad Privada, en ningϊn caso podrα ser modificado sin su previa autorizaciσn. Se prohνbe el uso de universales de cuero, tapas, fuelles, galones, brazaletes, banderas, reatas, herαldicas, banderines, arnιs y cualquier otro elemento, diseρo o distintivo reservado a los uniformes de la Fuerza Pϊblica y otros cuerpos oficiales armados.</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3" w:name="2.6.1.1.2.2.12"/>
      <w:r>
        <w:rPr>
          <w:rFonts w:hAnsi="Arial"/>
          <w:rFonts w:ascii="Arial"/>
          <w:sz w:val="24"/>
          <w:color w:val="navy"/>
        </w:rPr>
        <w:t xml:space="preserve">ARTΝCULO 2.6.1.1.2.2.12. </w:t>
      </w:r>
      <w:r>
        <w:rPr>
          <w:rFonts w:hAnsi="Arial"/>
          <w:rFonts w:ascii="Arial"/>
          <w:sz w:val="24"/>
          <w:i/>
          <w:color w:val="navy"/>
        </w:rPr>
        <w:t xml:space="preserve">DEFINICIΣN DISTINTIVOS E IDENTIFICACIONES.</w:t>
      </w:r>
      <w:bookmarkEnd w:id="62113"/>
      <w:r>
        <w:rPr>
          <w:rFonts w:hAnsi="Arial"/>
          <w:rFonts w:ascii="Arial"/>
          <w:sz w:val="24"/>
          <w:b/>
          <w:i/>
          <w:color w:val="black"/>
        </w:rPr>
        <w:t xml:space="preserve"> </w:t>
      </w:r>
      <w:r>
        <w:rPr>
          <w:rFonts w:hAnsi="Arial"/>
          <w:rFonts w:ascii="Arial"/>
          <w:sz w:val="24"/>
          <w:color w:val="black"/>
        </w:rPr>
        <w:t xml:space="preserve">Los distintivos e identificaciones son los elementos que se utilizan en el uniforme por parte del personal de los servicios de vigilancia y seguridad privada para su identificaciσn y la del respectivo servicio, los cuales son: escudo, aplique, placa, y credenciales de identificaciσn. Las especificaciones de estos serαn determinadas por acto administrativo, expedido por la Superintendencia de Vigilancia y Seguridad Privada y no podrαn ser modificados sin previa autorizaciσn.</w:t>
      </w:r>
    </w:p>
    <w:p>
      <w:pPr>
        <w:jc w:val="both"/>
      </w:pPr>
      <w:rPr>
        <w:sz w:val="24"/>
        <w:color w:val="black"/>
      </w:rPr>
    </w:p>
    <w:p>
      <w:pPr>
        <w:jc w:val="both"/>
      </w:pPr>
      <w:r>
        <w:rPr>
          <w:rFonts w:hAnsi="Arial"/>
          <w:rFonts w:ascii="Arial"/>
          <w:sz w:val="24"/>
          <w:color w:val="black"/>
        </w:rPr>
        <w:t xml:space="preserve">Cuando se presente retiro definitivo de personal, las empresas de vigilancia y seguridad privada deberαn devolver las credenciales a la Superintendencia de Vigilancia y seguridad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114" w:name="SUBSECCIÓN 2.6.1.1.2.3"/>
      <w:r>
        <w:rPr>
          <w:rFonts w:hAnsi="Arial"/>
          <w:rFonts w:ascii="Arial"/>
          <w:sz w:val="24"/>
          <w:color w:val="navy"/>
        </w:rPr>
        <w:t xml:space="preserve">SUBSECCIΣN 3. </w:t>
      </w:r>
    </w:p>
    <w:p>
      <w:pPr>
        <w:jc w:val="center"/>
      </w:pPr>
      <w:r>
        <w:rPr>
          <w:rFonts w:hAnsi="Arial"/>
          <w:rFonts w:ascii="Arial"/>
          <w:sz w:val="24"/>
          <w:color w:val="navy"/>
        </w:rPr>
        <w:t xml:space="preserve">EQUIPO AUTOMOTOR, ARMAMENTO Y COMUNICACIONES.</w:t>
      </w:r>
      <w:bookmarkEnd w:id="6211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15" w:name="2.6.1.1.2.3.1"/>
      <w:r>
        <w:rPr>
          <w:rFonts w:hAnsi="Arial"/>
          <w:rFonts w:ascii="Arial"/>
          <w:sz w:val="24"/>
          <w:color w:val="navy"/>
        </w:rPr>
        <w:t xml:space="preserve">ARTΝCULO 2.6.1.1.2.3.1. </w:t>
      </w:r>
      <w:r>
        <w:rPr>
          <w:rFonts w:hAnsi="Arial"/>
          <w:rFonts w:ascii="Arial"/>
          <w:sz w:val="24"/>
          <w:i/>
          <w:color w:val="navy"/>
        </w:rPr>
        <w:t xml:space="preserve">CLASIFICACIΣN EQUIPO AUTOMOTOR.</w:t>
      </w:r>
      <w:bookmarkEnd w:id="62115"/>
      <w:r>
        <w:rPr>
          <w:rFonts w:hAnsi="Arial"/>
          <w:rFonts w:ascii="Arial"/>
          <w:sz w:val="24"/>
          <w:b/>
          <w:i/>
          <w:color w:val="black"/>
        </w:rPr>
        <w:t xml:space="preserve"> </w:t>
      </w:r>
      <w:r>
        <w:rPr>
          <w:rFonts w:hAnsi="Arial"/>
          <w:rFonts w:ascii="Arial"/>
          <w:sz w:val="24"/>
          <w:color w:val="black"/>
        </w:rPr>
        <w:t xml:space="preserve">Para efectos de la presente Secciσn, los vehνculos automotores para la vigilancia y seguridad privada se clasifican en:</w:t>
      </w:r>
    </w:p>
    <w:p>
      <w:pPr>
        <w:jc w:val="both"/>
      </w:pPr>
      <w:rPr>
        <w:sz w:val="24"/>
        <w:color w:val="black"/>
      </w:rPr>
    </w:p>
    <w:p>
      <w:pPr>
        <w:jc w:val="both"/>
      </w:pPr>
      <w:r>
        <w:rPr>
          <w:rFonts w:hAnsi="Arial"/>
          <w:rFonts w:ascii="Arial"/>
          <w:sz w:val="24"/>
          <w:color w:val="black"/>
        </w:rPr>
        <w:t xml:space="preserve">a) De control y vigilancia: Son aquellos destinados a satisfacer las necesidades propias de dicha labor;</w:t>
      </w:r>
    </w:p>
    <w:p>
      <w:pPr>
        <w:jc w:val="both"/>
      </w:pPr>
      <w:rPr>
        <w:sz w:val="24"/>
        <w:color w:val="black"/>
      </w:rPr>
    </w:p>
    <w:p>
      <w:pPr>
        <w:jc w:val="both"/>
      </w:pPr>
      <w:r>
        <w:rPr>
          <w:rFonts w:hAnsi="Arial"/>
          <w:rFonts w:ascii="Arial"/>
          <w:sz w:val="24"/>
          <w:color w:val="black"/>
        </w:rPr>
        <w:t xml:space="preserve">b) De transporte de valores: Son aquellos destinados al transporte, custodia, manejo de valores y sus actividades conexas los cuales deben ser blindados;</w:t>
      </w:r>
    </w:p>
    <w:p>
      <w:pPr>
        <w:jc w:val="both"/>
      </w:pPr>
      <w:rPr>
        <w:sz w:val="24"/>
        <w:color w:val="black"/>
      </w:rPr>
    </w:p>
    <w:p>
      <w:pPr>
        <w:jc w:val="both"/>
      </w:pPr>
      <w:r>
        <w:rPr>
          <w:rFonts w:hAnsi="Arial"/>
          <w:rFonts w:ascii="Arial"/>
          <w:sz w:val="24"/>
          <w:color w:val="black"/>
        </w:rPr>
        <w:t xml:space="preserve">c) Vehνculos blindados. Automotores con protecciσn antibalas, con el fin de garantizar la mαxima seguridad de los ocupantes y material transportado.</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6" w:name="2.6.1.1.2.3.2"/>
      <w:r>
        <w:rPr>
          <w:rFonts w:hAnsi="Arial"/>
          <w:rFonts w:ascii="Arial"/>
          <w:sz w:val="24"/>
          <w:color w:val="navy"/>
        </w:rPr>
        <w:t xml:space="preserve">ARTΝCULO 2.6.1.1.2.3.2. </w:t>
      </w:r>
      <w:r>
        <w:rPr>
          <w:rFonts w:hAnsi="Arial"/>
          <w:rFonts w:ascii="Arial"/>
          <w:sz w:val="24"/>
          <w:i/>
          <w:color w:val="navy"/>
        </w:rPr>
        <w:t>IDENTIFICACIΣN.</w:t>
      </w:r>
      <w:bookmarkEnd w:id="62116"/>
      <w:r>
        <w:rPr>
          <w:rFonts w:hAnsi="Arial"/>
          <w:rFonts w:ascii="Arial"/>
          <w:sz w:val="24"/>
          <w:b/>
          <w:i/>
          <w:color w:val="black"/>
        </w:rPr>
        <w:t xml:space="preserve"> </w:t>
      </w:r>
      <w:r>
        <w:rPr>
          <w:rFonts w:hAnsi="Arial"/>
          <w:rFonts w:ascii="Arial"/>
          <w:sz w:val="24"/>
          <w:color w:val="black"/>
        </w:rPr>
        <w:t xml:space="preserve">Los vehνculos de los servicios de vigilancia y seguridad privada destinados al control y vigilancia, se identificarαn con los signos tιcnicos registrados, asν como por el color, inscripciones, emblemas y siglas de las empresas, los cuales serαn determinados por la Superintendencia de Vigilancia y Seguridad Privada.</w:t>
      </w:r>
    </w:p>
    <w:p>
      <w:pPr>
        <w:jc w:val="both"/>
      </w:pPr>
      <w:rPr>
        <w:sz w:val="24"/>
        <w:color w:val="black"/>
      </w:rPr>
    </w:p>
    <w:p>
      <w:pPr>
        <w:jc w:val="both"/>
      </w:pPr>
      <w:r>
        <w:rPr>
          <w:rFonts w:hAnsi="Arial"/>
          <w:rFonts w:ascii="Arial"/>
          <w:sz w:val="24"/>
          <w:color w:val="black"/>
        </w:rPr>
        <w:t xml:space="preserve">Los vehνculos blindados pertenecientes a las transportadoras de valores se identificarαn despuιs de su razσn social, como transportadora de valores.</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7" w:name="2.6.1.1.2.3.3"/>
      <w:r>
        <w:rPr>
          <w:rFonts w:hAnsi="Arial"/>
          <w:rFonts w:ascii="Arial"/>
          <w:sz w:val="24"/>
          <w:color w:val="navy"/>
        </w:rPr>
        <w:t xml:space="preserve">ARTΝCULO 2.6.1.1.2.3.3. </w:t>
      </w:r>
      <w:r>
        <w:rPr>
          <w:rFonts w:hAnsi="Arial"/>
          <w:rFonts w:ascii="Arial"/>
          <w:sz w:val="24"/>
          <w:i/>
          <w:color w:val="navy"/>
        </w:rPr>
        <w:t>PROHIBICIΣN.</w:t>
      </w:r>
      <w:bookmarkEnd w:id="62117"/>
      <w:r>
        <w:rPr>
          <w:rFonts w:hAnsi="Arial"/>
          <w:rFonts w:ascii="Arial"/>
          <w:sz w:val="24"/>
          <w:b/>
          <w:i/>
          <w:color w:val="black"/>
        </w:rPr>
        <w:t xml:space="preserve"> </w:t>
      </w:r>
      <w:r>
        <w:rPr>
          <w:rFonts w:hAnsi="Arial"/>
          <w:rFonts w:ascii="Arial"/>
          <w:sz w:val="24"/>
          <w:color w:val="black"/>
        </w:rPr>
        <w:t xml:space="preserve">Los vehνculos de vigilancia y seguridad privada no pueden llevar avisos, propagandas, leyendas o cualquier otro motivo distintos a los seρalados por la Superintendencia de Vigilancia y Seguridad Privada. Asν mismo, se prohνbe en los vehνculos de vigilancia privada, el empleo de sirenas, campanas o seρales similares audibles o faros de luz intermitentes.</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8" w:name="2.6.1.1.2.3.4"/>
      <w:r>
        <w:rPr>
          <w:rFonts w:hAnsi="Arial"/>
          <w:rFonts w:ascii="Arial"/>
          <w:sz w:val="24"/>
          <w:color w:val="navy"/>
        </w:rPr>
        <w:t xml:space="preserve">ARTΝCULO 2.6.1.1.2.3.4. </w:t>
      </w:r>
      <w:r>
        <w:rPr>
          <w:rFonts w:hAnsi="Arial"/>
          <w:rFonts w:ascii="Arial"/>
          <w:sz w:val="24"/>
          <w:i/>
          <w:color w:val="navy"/>
        </w:rPr>
        <w:t>CAPACITACIΣN.</w:t>
      </w:r>
      <w:bookmarkEnd w:id="62118"/>
      <w:r>
        <w:rPr>
          <w:rFonts w:hAnsi="Arial"/>
          <w:rFonts w:ascii="Arial"/>
          <w:sz w:val="24"/>
          <w:b/>
          <w:i/>
          <w:color w:val="black"/>
        </w:rPr>
        <w:t xml:space="preserve"> </w:t>
      </w:r>
      <w:r>
        <w:rPr>
          <w:rFonts w:hAnsi="Arial"/>
          <w:rFonts w:ascii="Arial"/>
          <w:sz w:val="24"/>
          <w:color w:val="black"/>
        </w:rPr>
        <w:t xml:space="preserve">Los servicios de vigilancia y seguridad privada estαn en la obligaciσn de capacitar y entrenar a los conductores en misiones propias de su servicio y exigirles la observancia de las normas y seρales de trαnsito.</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19" w:name="2.6.1.1.2.3.5"/>
      <w:r>
        <w:rPr>
          <w:rFonts w:hAnsi="Arial"/>
          <w:rFonts w:ascii="Arial"/>
          <w:sz w:val="24"/>
          <w:color w:val="navy"/>
        </w:rPr>
        <w:t xml:space="preserve">ARTΝCULO 2.6.1.1.2.3.5. </w:t>
      </w:r>
      <w:r>
        <w:rPr>
          <w:rFonts w:hAnsi="Arial"/>
          <w:rFonts w:ascii="Arial"/>
          <w:sz w:val="24"/>
          <w:i/>
          <w:color w:val="navy"/>
        </w:rPr>
        <w:t xml:space="preserve">ARMAS Y MUNICIONES.</w:t>
      </w:r>
      <w:bookmarkEnd w:id="62119"/>
      <w:r>
        <w:rPr>
          <w:rFonts w:hAnsi="Arial"/>
          <w:rFonts w:ascii="Arial"/>
          <w:sz w:val="24"/>
          <w:b/>
          <w:i/>
          <w:color w:val="black"/>
        </w:rPr>
        <w:t xml:space="preserve"> </w:t>
      </w:r>
      <w:r>
        <w:rPr>
          <w:rFonts w:hAnsi="Arial"/>
          <w:rFonts w:ascii="Arial"/>
          <w:sz w:val="24"/>
          <w:color w:val="black"/>
        </w:rPr>
        <w:t xml:space="preserve">Las armas y municiones para el servicio de vigilancia y seguridad privada estarαn sujetas a lo dispuesto en el Decreto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y demαs normas que lo modifiquen o reglamenten.</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20" w:name="2.6.1.1.2.3.6"/>
      <w:r>
        <w:rPr>
          <w:rFonts w:hAnsi="Arial"/>
          <w:rFonts w:ascii="Arial"/>
          <w:sz w:val="24"/>
          <w:color w:val="navy"/>
        </w:rPr>
        <w:t xml:space="preserve">ARTΝCULO 2.6.1.1.2.3.6. </w:t>
      </w:r>
      <w:r>
        <w:rPr>
          <w:rFonts w:hAnsi="Arial"/>
          <w:rFonts w:ascii="Arial"/>
          <w:sz w:val="24"/>
          <w:i/>
          <w:color w:val="navy"/>
        </w:rPr>
        <w:t>COMUNICACIONES.</w:t>
      </w:r>
      <w:bookmarkEnd w:id="62120"/>
      <w:r>
        <w:rPr>
          <w:rFonts w:hAnsi="Arial"/>
          <w:rFonts w:ascii="Arial"/>
          <w:sz w:val="24"/>
          <w:b/>
          <w:i/>
          <w:color w:val="black"/>
        </w:rPr>
        <w:t xml:space="preserve"> </w:t>
      </w:r>
      <w:r>
        <w:rPr>
          <w:rFonts w:hAnsi="Arial"/>
          <w:rFonts w:ascii="Arial"/>
          <w:sz w:val="24"/>
          <w:color w:val="black"/>
        </w:rPr>
        <w:t xml:space="preserve">Los servicios de vigilancia y seguridad privada que utilicen medios de comunicaciσn deben cumplir las disposiciones del Ministerio de Comunicaciones, en lo relativo a asignaciσn de frecuencias y licencias para operar.</w:t>
      </w:r>
    </w:p>
    <w:p>
      <w:pPr>
        <w:jc w:val="both"/>
      </w:pPr>
      <w:rPr>
        <w:sz w:val="24"/>
        <w:color w:val="black"/>
      </w:rPr>
    </w:p>
    <w:p>
      <w:pPr>
        <w:jc w:val="both"/>
      </w:pPr>
      <w:r>
        <w:rPr>
          <w:rFonts w:hAnsi="Arial"/>
          <w:rFonts w:ascii="Arial"/>
          <w:sz w:val="24"/>
          <w:color w:val="black"/>
        </w:rPr>
        <w:t xml:space="preserve">No obstante, los equipos de comunicaciones deberαn registrarse ante la Superintendencia de Vigilancia y Seguridad Privada.</w:t>
      </w:r>
    </w:p>
    <w:p>
      <w:pPr>
        <w:jc w:val="both"/>
      </w:pPr>
      <w:rPr>
        <w:sz w:val="24"/>
        <w:color w:val="black"/>
      </w:rPr>
    </w:p>
    <w:p>
      <w:pPr>
        <w:jc w:val="both"/>
      </w:pPr>
      <w:r>
        <w:rPr>
          <w:rFonts w:hAnsi="Arial"/>
          <w:rFonts w:ascii="Arial"/>
          <w:sz w:val="24"/>
          <w:color w:val="black"/>
        </w:rPr>
        <w:t xml:space="preserve">Los equipos de comunicaciones, ϊnicamente podrαn ser utilizados en las actividades propias de la vigilancia privada.</w:t>
      </w:r>
    </w:p>
    <w:p>
      <w:pPr>
        <w:jc w:val="both"/>
      </w:pPr>
      <w:rPr>
        <w:sz w:val="24"/>
        <w:color w:val="black"/>
      </w:rPr>
    </w:p>
    <w:p>
      <w:pPr>
        <w:jc w:val="both"/>
      </w:pPr>
      <w:r>
        <w:rPr>
          <w:rFonts w:hAnsi="Arial"/>
          <w:rFonts w:ascii="Arial"/>
          <w:sz w:val="24"/>
          <w:i/>
          <w:color w:val="black"/>
        </w:rPr>
        <w:t xml:space="preserve">(Decreto 1979 de 2001 artνculo </w:t>
      </w:r>
      <w:r>
        <w:fldChar w:fldCharType="begin"/>
      </w:r>
      <w:r>
        <w:instrText>HYPERLINK "http://www.redjurista.com/document.aspx?ajcode=d1979001&amp;arts=20"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121" w:name="SECCIÓN 2.6.1.1.3"/>
      <w:r>
        <w:rPr>
          <w:rFonts w:hAnsi="Arial"/>
          <w:rFonts w:ascii="Arial"/>
          <w:sz w:val="24"/>
          <w:color w:val="navy"/>
        </w:rPr>
        <w:t xml:space="preserve">SECCIΣN 3. </w:t>
      </w:r>
    </w:p>
    <w:p>
      <w:pPr>
        <w:jc w:val="center"/>
      </w:pPr>
      <w:r>
        <w:rPr>
          <w:rFonts w:hAnsi="Arial"/>
          <w:rFonts w:ascii="Arial"/>
          <w:sz w:val="24"/>
          <w:color w:val="navy"/>
        </w:rPr>
        <w:t xml:space="preserve">REGLAMENTACIΣN DEL ESTATUTO DE VIGILANCIA Y SEGURIDAD PRIVADA CONTENIDO EN EL DECRETO-LEY 356 DEL 11 DE FEBRERO DE 1994.</w:t>
      </w:r>
      <w:bookmarkEnd w:id="62121"/>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2122" w:name="SUBSECCIÓN 2.6.1.1.3.1"/>
      <w:r>
        <w:rPr>
          <w:rFonts w:hAnsi="Arial"/>
          <w:rFonts w:ascii="Arial"/>
          <w:sz w:val="24"/>
          <w:color w:val="navy"/>
        </w:rPr>
        <w:t xml:space="preserve">SUBSECCIΣN 1. </w:t>
      </w:r>
    </w:p>
    <w:p>
      <w:pPr>
        <w:jc w:val="center"/>
      </w:pPr>
      <w:r>
        <w:rPr>
          <w:rFonts w:hAnsi="Arial"/>
          <w:rFonts w:ascii="Arial"/>
          <w:sz w:val="24"/>
          <w:color w:val="navy"/>
        </w:rPr>
        <w:t xml:space="preserve">ASPECTOS GENERALES.</w:t>
      </w:r>
      <w:bookmarkEnd w:id="6212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23" w:name="2.6.1.1.3.1.1"/>
      <w:r>
        <w:rPr>
          <w:rFonts w:hAnsi="Arial"/>
          <w:rFonts w:ascii="Arial"/>
          <w:sz w:val="24"/>
          <w:color w:val="navy"/>
        </w:rPr>
        <w:t xml:space="preserve">ARTΝCULO 2.6.1.1.3.1.1. </w:t>
      </w:r>
      <w:r>
        <w:rPr>
          <w:rFonts w:hAnsi="Arial"/>
          <w:rFonts w:ascii="Arial"/>
          <w:sz w:val="24"/>
          <w:i/>
          <w:color w:val="navy"/>
        </w:rPr>
        <w:t xml:space="preserve">ACCIONES ESENCIALES DE LA VIGILANCIA Y SEGURIDAD PRIVADA.</w:t>
      </w:r>
      <w:bookmarkEnd w:id="62123"/>
      <w:r>
        <w:rPr>
          <w:rFonts w:hAnsi="Arial"/>
          <w:rFonts w:ascii="Arial"/>
          <w:sz w:val="24"/>
          <w:b/>
          <w:i/>
          <w:color w:val="black"/>
        </w:rPr>
        <w:t xml:space="preserve"> </w:t>
      </w:r>
      <w:r>
        <w:rPr>
          <w:rFonts w:hAnsi="Arial"/>
          <w:rFonts w:ascii="Arial"/>
          <w:sz w:val="24"/>
          <w:color w:val="black"/>
        </w:rPr>
        <w:t xml:space="preserve">Son acciones esenciales de la vigilancia y seguridad privada las actividades que tienden a prevenir, detener, disminuir o disuadir las amenazas que afecten o puedan afectar la vida, integridad personal y bienes de las personas que reciban la protecciσn o custodia que les brindan los servicios de vigilancia y seguridad privada, asν adquieran estos una denominaciσn diferente y cuenten o no con licencia o credencial expedida por la Superintendencia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24" w:name="2.6.1.1.3.1.2"/>
      <w:r>
        <w:rPr>
          <w:rFonts w:hAnsi="Arial"/>
          <w:rFonts w:ascii="Arial"/>
          <w:sz w:val="24"/>
          <w:color w:val="navy"/>
        </w:rPr>
        <w:t xml:space="preserve">ARTΝCULO 2.6.1.1.3.1.2. </w:t>
      </w:r>
      <w:r>
        <w:rPr>
          <w:rFonts w:hAnsi="Arial"/>
          <w:rFonts w:ascii="Arial"/>
          <w:sz w:val="24"/>
          <w:i/>
          <w:color w:val="navy"/>
        </w:rPr>
        <w:t xml:space="preserve">VIGILANTE Y ESCOLTA DE SEGURIDAD.</w:t>
      </w:r>
      <w:bookmarkEnd w:id="62124"/>
      <w:r>
        <w:rPr>
          <w:rFonts w:hAnsi="Arial"/>
          <w:rFonts w:ascii="Arial"/>
          <w:sz w:val="24"/>
          <w:b/>
          <w:i/>
          <w:color w:val="black"/>
        </w:rPr>
        <w:t xml:space="preserve"> </w:t>
      </w:r>
      <w:r>
        <w:rPr>
          <w:rFonts w:hAnsi="Arial"/>
          <w:rFonts w:ascii="Arial"/>
          <w:sz w:val="24"/>
          <w:color w:val="black"/>
        </w:rPr>
        <w:t xml:space="preserve">Se entiende por Vigilante, la persona natural que en la prestaciσn del servicio se le ha encomendado como labor proteger, custodiar, efectuar controles de identidad en el acceso o en el interior de inmuebles determinados y vigilar bienes muebles e inmuebles de cualquier naturaleza, de personas naturales o jurνdicas, de derecho pϊblico o privado a fin de prevenir, detener, disminuir o disuadir los atentados o amenazas que puedan afectarlos en su seguridad.</w:t>
      </w:r>
    </w:p>
    <w:p>
      <w:pPr>
        <w:jc w:val="both"/>
      </w:pPr>
      <w:rPr>
        <w:sz w:val="24"/>
        <w:color w:val="black"/>
      </w:rPr>
    </w:p>
    <w:p>
      <w:pPr>
        <w:jc w:val="both"/>
      </w:pPr>
      <w:r>
        <w:rPr>
          <w:rFonts w:hAnsi="Arial"/>
          <w:rFonts w:ascii="Arial"/>
          <w:sz w:val="24"/>
          <w:color w:val="black"/>
        </w:rPr>
        <w:t xml:space="preserve">El vigilante asν considerado en el desempeρo de su labor, puede utilizar cualquier medio que sirva para lograr la finalidad de la actividad que se le encomendσ, trαtese de armas de fuego, medios tecnolσgicos, caninos, bastones de mando, vehνculos, comunicaciones, armas no letales y cualquier otro elemento debidamente autorizado por la Superintendencia de Vigilancia y Seguridad Privada.</w:t>
      </w:r>
    </w:p>
    <w:p>
      <w:pPr>
        <w:jc w:val="both"/>
      </w:pPr>
      <w:rPr>
        <w:sz w:val="24"/>
        <w:color w:val="black"/>
      </w:rPr>
    </w:p>
    <w:p>
      <w:pPr>
        <w:jc w:val="both"/>
      </w:pPr>
      <w:r>
        <w:rPr>
          <w:rFonts w:hAnsi="Arial"/>
          <w:rFonts w:ascii="Arial"/>
          <w:sz w:val="24"/>
          <w:color w:val="black"/>
        </w:rPr>
        <w:t xml:space="preserve">La prestaciσn del servicio puede cobijar un lugar fijo o un αrea delimitada del sitio en donde se encuentren los bienes y personas que se pretenden proteger o custodiar.</w:t>
      </w:r>
    </w:p>
    <w:p>
      <w:pPr>
        <w:jc w:val="both"/>
      </w:pPr>
      <w:rPr>
        <w:sz w:val="24"/>
        <w:color w:val="black"/>
      </w:rPr>
    </w:p>
    <w:p>
      <w:pPr>
        <w:jc w:val="both"/>
      </w:pPr>
      <w:r>
        <w:rPr>
          <w:rFonts w:hAnsi="Arial"/>
          <w:rFonts w:ascii="Arial"/>
          <w:sz w:val="24"/>
          <w:color w:val="black"/>
        </w:rPr>
        <w:t xml:space="preserve">Escolta. Es la protecciσn que se presta a travιs de escoltas con armas de fuego o de servicios de vigilancia y seguridad privada no armados a personas, vehνculos, mercancνas o cualquier otro objeto, durante su desplazamiento.</w:t>
      </w:r>
    </w:p>
    <w:p>
      <w:pPr>
        <w:jc w:val="both"/>
      </w:pPr>
      <w:rPr>
        <w:sz w:val="24"/>
        <w:color w:val="black"/>
      </w:rPr>
    </w:p>
    <w:p>
      <w:pPr>
        <w:jc w:val="both"/>
      </w:pPr>
      <w:r>
        <w:rPr>
          <w:rFonts w:hAnsi="Arial"/>
          <w:rFonts w:ascii="Arial"/>
          <w:sz w:val="24"/>
          <w:color w:val="black"/>
        </w:rPr>
        <w:t xml:space="preserve">Esa persona natural, denominada vigilante o escolta de seguridad, debe prestar su labor necesariamente a travιs de un servicio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25" w:name="2.6.1.1.3.1.3"/>
      <w:r>
        <w:rPr>
          <w:rFonts w:hAnsi="Arial"/>
          <w:rFonts w:ascii="Arial"/>
          <w:sz w:val="24"/>
          <w:color w:val="navy"/>
        </w:rPr>
        <w:t xml:space="preserve">ARTΝCULO 2.6.1.1.3.1.3. </w:t>
      </w:r>
      <w:r>
        <w:rPr>
          <w:rFonts w:hAnsi="Arial"/>
          <w:rFonts w:ascii="Arial"/>
          <w:sz w:val="24"/>
          <w:i/>
          <w:color w:val="navy"/>
        </w:rPr>
        <w:t xml:space="preserve">RENOVACIΣN DE LA LICENCIA DE FUNCIONAMIENTO.</w:t>
      </w:r>
      <w:bookmarkEnd w:id="62125"/>
      <w:r>
        <w:rPr>
          <w:rFonts w:hAnsi="Arial"/>
          <w:rFonts w:ascii="Arial"/>
          <w:sz w:val="24"/>
          <w:b/>
          <w:i/>
          <w:color w:val="black"/>
        </w:rPr>
        <w:t xml:space="preserve"> </w:t>
      </w:r>
      <w:r>
        <w:rPr>
          <w:rFonts w:hAnsi="Arial"/>
          <w:rFonts w:ascii="Arial"/>
          <w:sz w:val="24"/>
          <w:color w:val="black"/>
        </w:rPr>
        <w:t xml:space="preserve">Para efectos de lo estipulado en 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en tratαndose de la renovaciσn de las licencias de funcionamiento para los servicios de vigilancia y seguridad privada, deberαn estar a paz y salvo con la Superintendencia por multas y demαs conceptos, sin perjuicio del cumplimiento de los requisitos exigidos para este fin.</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26" w:name="2.6.1.1.3.1.4"/>
      <w:r>
        <w:rPr>
          <w:rFonts w:hAnsi="Arial"/>
          <w:rFonts w:ascii="Arial"/>
          <w:sz w:val="24"/>
          <w:color w:val="navy"/>
        </w:rPr>
        <w:t xml:space="preserve">ARTΝCULO 2.6.1.1.3.1.4. </w:t>
      </w:r>
      <w:r>
        <w:rPr>
          <w:rFonts w:hAnsi="Arial"/>
          <w:rFonts w:ascii="Arial"/>
          <w:sz w:val="24"/>
          <w:i/>
          <w:color w:val="navy"/>
        </w:rPr>
        <w:t xml:space="preserve">SUCURSALES O AGENCIAS.</w:t>
      </w:r>
      <w:bookmarkEnd w:id="62126"/>
      <w:r>
        <w:rPr>
          <w:rFonts w:hAnsi="Arial"/>
          <w:rFonts w:ascii="Arial"/>
          <w:sz w:val="24"/>
          <w:b/>
          <w:i/>
          <w:color w:val="black"/>
        </w:rPr>
        <w:t xml:space="preserve"> </w:t>
      </w:r>
      <w:r>
        <w:rPr>
          <w:rFonts w:hAnsi="Arial"/>
          <w:rFonts w:ascii="Arial"/>
          <w:sz w:val="24"/>
          <w:color w:val="black"/>
        </w:rPr>
        <w:t xml:space="preserve">En desarrollo del artνculo </w:t>
      </w:r>
      <w:r>
        <w:fldChar w:fldCharType="begin"/>
      </w:r>
      <w:r>
        <w:instrText>HYPERLINK "http://www.redjurista.com/document.aspx?ajcode=d0356_94&amp;arts=13"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Decreto-ley 356 de 1994, las empresas de vigilancia y seguridad privada debidamente autorizadas que requieran establecer una sucursal o agencia dentro del territorio nacional, deberαn solicitar autorizaciσn ante la Superintendencia de Vigilancia y Seguridad Privada, en la cual se solicitarα visita de instalaciones y medios en donde funcionarαn como sucursal o agencia las que deberαn estar acorde con lo dispuesto en el artνculo 16 del Estatuto de Vigilancia y Seguridad Privada.</w:t>
      </w:r>
    </w:p>
    <w:p>
      <w:pPr>
        <w:jc w:val="both"/>
      </w:pPr>
      <w:rPr>
        <w:sz w:val="24"/>
        <w:color w:val="black"/>
      </w:rPr>
    </w:p>
    <w:p>
      <w:pPr>
        <w:jc w:val="both"/>
      </w:pPr>
      <w:r>
        <w:rPr>
          <w:rFonts w:hAnsi="Arial"/>
          <w:rFonts w:ascii="Arial"/>
          <w:sz w:val="24"/>
          <w:color w:val="black"/>
        </w:rPr>
        <w:t xml:space="preserve">Para obtener la autorizaciσn se deberα acreditar los requisitos a que se refiere el artνculo </w:t>
      </w:r>
      <w:r>
        <w:fldChar w:fldCharType="begin"/>
      </w:r>
      <w:r>
        <w:instrText>HYPERLINK "http://www.redjurista.com/document.aspx?ajcode=d0356_94&amp;arts=13"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Decreto-ley 356 de 1994.</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tratαndose de agencia o sucursal, su apertura obedecerα a la complejidad operativa administrativa y financiera de la misma, para el cumplimiento de su objeto.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Aquellos servicios de vigilancia y seguridad privada que requieran establecer sucursal o agencia deberαn dar cumplimiento a lo dispuesto en el presente artνculo.</w:t>
      </w:r>
    </w:p>
    <w:p>
      <w:pPr>
        <w:jc w:val="both"/>
      </w:pPr>
      <w:rPr>
        <w:sz w:val="24"/>
        <w:color w:val="black"/>
      </w:rPr>
    </w:p>
    <w:p>
      <w:pPr>
        <w:jc w:val="both"/>
      </w:pPr>
      <w:r>
        <w:rPr>
          <w:rFonts w:hAnsi="Arial"/>
          <w:rFonts w:ascii="Arial"/>
          <w:sz w:val="24"/>
          <w:i/>
          <w:color w:val="navy"/>
        </w:rPr>
        <w:t xml:space="preserve">PARΑGRAFO 3o.</w:t>
      </w:r>
      <w:r>
        <w:rPr>
          <w:rFonts w:hAnsi="Arial"/>
          <w:rFonts w:ascii="Arial"/>
          <w:sz w:val="24"/>
          <w:b/>
          <w:color w:val="black"/>
        </w:rPr>
        <w:t xml:space="preserve"> </w:t>
      </w:r>
      <w:r>
        <w:rPr>
          <w:rFonts w:hAnsi="Arial"/>
          <w:rFonts w:ascii="Arial"/>
          <w:sz w:val="24"/>
          <w:color w:val="black"/>
        </w:rPr>
        <w:t xml:space="preserve">El servicio de vigilancia y seguridad privada que disponga del cierre o sucursal o agencia, deberαn informar a la Superintendencia de Vigilancia y Seguridad Privada, para efectos de su registro.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27" w:name="2.6.1.1.3.1.5"/>
      <w:r>
        <w:rPr>
          <w:rFonts w:hAnsi="Arial"/>
          <w:rFonts w:ascii="Arial"/>
          <w:sz w:val="24"/>
          <w:color w:val="navy"/>
        </w:rPr>
        <w:t xml:space="preserve">ARTΝCULO 2.6.1.1.3.1.5. </w:t>
      </w:r>
      <w:r>
        <w:rPr>
          <w:rFonts w:hAnsi="Arial"/>
          <w:rFonts w:ascii="Arial"/>
          <w:sz w:val="24"/>
          <w:i/>
          <w:color w:val="navy"/>
        </w:rPr>
        <w:t>INSTALACIONES.</w:t>
      </w:r>
      <w:bookmarkEnd w:id="62127"/>
      <w:r>
        <w:rPr>
          <w:rFonts w:hAnsi="Arial"/>
          <w:rFonts w:ascii="Arial"/>
          <w:sz w:val="24"/>
          <w:b/>
          <w:i/>
          <w:color w:val="black"/>
        </w:rPr>
        <w:t xml:space="preserve"> </w:t>
      </w:r>
      <w:r>
        <w:rPr>
          <w:rFonts w:hAnsi="Arial"/>
          <w:rFonts w:ascii="Arial"/>
          <w:sz w:val="24"/>
          <w:color w:val="black"/>
        </w:rPr>
        <w:t xml:space="preserve">Los servicios de vigilancia y seguridad privada deberαn contar con instalaciones para uso exclusivo y especνfico de la actividad a desarrollar, de tal manera que brinden protecciσn a las personas, las armas de fuego, municiones, equipos de comunicaciσn, medios y demαs elementos para la vigilancia y seguridad privada, autorizados por la Superintendencia y utilizados para el desarrollo de su actividad. Las empresas transportadoras de valores deberαn contar con vehνculos blindados, bσvedas y sistemas de seguridad.</w:t>
      </w:r>
    </w:p>
    <w:p>
      <w:pPr>
        <w:jc w:val="both"/>
      </w:pPr>
      <w:rPr>
        <w:sz w:val="24"/>
        <w:color w:val="black"/>
      </w:rPr>
    </w:p>
    <w:p>
      <w:pPr>
        <w:jc w:val="both"/>
      </w:pPr>
      <w:r>
        <w:rPr>
          <w:rFonts w:hAnsi="Arial"/>
          <w:rFonts w:ascii="Arial"/>
          <w:sz w:val="24"/>
          <w:color w:val="black"/>
        </w:rPr>
        <w:t xml:space="preserve">Las escuelas de capacitaciσn no podrαn compartir su espacio de trabajo para otras actividades, asν sean similares.</w:t>
      </w:r>
    </w:p>
    <w:p>
      <w:pPr>
        <w:jc w:val="both"/>
      </w:pPr>
      <w:rPr>
        <w:sz w:val="24"/>
        <w:color w:val="black"/>
      </w:rPr>
    </w:p>
    <w:p>
      <w:pPr>
        <w:jc w:val="both"/>
      </w:pPr>
      <w:r>
        <w:rPr>
          <w:rFonts w:hAnsi="Arial"/>
          <w:rFonts w:ascii="Arial"/>
          <w:sz w:val="24"/>
          <w:i/>
          <w:color w:val="black"/>
        </w:rPr>
        <w:t xml:space="preserve"> (Decreto 2187 de 2001 artνculo </w:t>
      </w:r>
      <w:r>
        <w:fldChar w:fldCharType="begin"/>
      </w:r>
      <w:r>
        <w:instrText>HYPERLINK "http://www.redjurista.com/document.aspx?ajcode=d2187001&amp;arts=6"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128" w:name="SUBSECCIÓN 2.6.1.1.3.2"/>
      <w:r>
        <w:rPr>
          <w:rFonts w:hAnsi="Arial"/>
          <w:rFonts w:ascii="Arial"/>
          <w:sz w:val="24"/>
          <w:color w:val="navy"/>
        </w:rPr>
        <w:t xml:space="preserve">SUBSECCIΣN 2. </w:t>
      </w:r>
    </w:p>
    <w:p>
      <w:pPr>
        <w:jc w:val="center"/>
      </w:pPr>
      <w:r>
        <w:rPr>
          <w:rFonts w:hAnsi="Arial"/>
          <w:rFonts w:ascii="Arial"/>
          <w:sz w:val="24"/>
          <w:color w:val="navy"/>
        </w:rPr>
        <w:t xml:space="preserve">DE LOS SERVICIOS DE VIGILANCIA Y SEGURIDAD PRIVADA CON ARMAS.</w:t>
      </w:r>
      <w:bookmarkEnd w:id="6212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29" w:name="2.6.1.1.3.2.1"/>
      <w:r>
        <w:rPr>
          <w:rFonts w:hAnsi="Arial"/>
          <w:rFonts w:ascii="Arial"/>
          <w:sz w:val="24"/>
          <w:color w:val="navy"/>
        </w:rPr>
        <w:t xml:space="preserve">ARTΝCULO 2.6.1.1.3.2.1. </w:t>
      </w:r>
      <w:r>
        <w:rPr>
          <w:rFonts w:hAnsi="Arial"/>
          <w:rFonts w:ascii="Arial"/>
          <w:sz w:val="24"/>
          <w:i/>
          <w:color w:val="navy"/>
        </w:rPr>
        <w:t xml:space="preserve">MODALIDAD DE ESCOLTA.</w:t>
      </w:r>
      <w:bookmarkEnd w:id="62129"/>
      <w:r>
        <w:rPr>
          <w:rFonts w:hAnsi="Arial"/>
          <w:rFonts w:ascii="Arial"/>
          <w:sz w:val="24"/>
          <w:b/>
          <w:i/>
          <w:color w:val="black"/>
        </w:rPr>
        <w:t xml:space="preserve"> </w:t>
      </w:r>
      <w:r>
        <w:rPr>
          <w:rFonts w:hAnsi="Arial"/>
          <w:rFonts w:ascii="Arial"/>
          <w:sz w:val="24"/>
          <w:i/>
          <w:color w:val="black"/>
        </w:rPr>
        <w:t xml:space="preserve">Para los efectos de la modalidad de escolta de que trata el inciso segundo del parαgrafo </w:t>
      </w:r>
      <w:r>
        <w:rPr>
          <w:rFonts w:hAnsi="Arial"/>
          <w:rFonts w:ascii="Arial"/>
          <w:sz w:val="24"/>
          <w:color w:val="black"/>
        </w:rPr>
        <w:t xml:space="preserve">del artνculo </w:t>
      </w:r>
      <w:r>
        <w:fldChar w:fldCharType="begin"/>
      </w:r>
      <w:r>
        <w:instrText>HYPERLINK "http://www.redjurista.com/document.aspx?ajcode=d0356_94&amp;arts=19"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356 de 1994, la Superintendencia de Vigilancia y Seguridad Privada asignarα el nϊmero mαximo de escolta por persona a proteger y para la protecciσn de vehνculos y mercancνas o cualquier otro objeto durante su desplazamiento. Para tal efecto, se tendrα en cuenta lo siguiente:</w:t>
      </w:r>
    </w:p>
    <w:p>
      <w:pPr>
        <w:jc w:val="both"/>
      </w:pPr>
      <w:rPr>
        <w:sz w:val="24"/>
        <w:color w:val="black"/>
      </w:rPr>
    </w:p>
    <w:p>
      <w:pPr>
        <w:jc w:val="both"/>
      </w:pPr>
      <w:r>
        <w:rPr>
          <w:rFonts w:hAnsi="Arial"/>
          <w:rFonts w:ascii="Arial"/>
          <w:sz w:val="24"/>
          <w:color w:val="black"/>
        </w:rPr>
        <w:t xml:space="preserve">1. Cuando se trate de protecciσn a personas, se justificarα su solicitud indicando el personal a proteger y las circunstancias de peligro, de muerte o grave daρo personal por especiales circunstancias de su profesiσn, oficio, cargo que desempeρa o actividad econσmica que desarrolla.</w:t>
      </w:r>
    </w:p>
    <w:p>
      <w:pPr>
        <w:jc w:val="both"/>
      </w:pPr>
      <w:rPr>
        <w:sz w:val="24"/>
        <w:color w:val="black"/>
      </w:rPr>
    </w:p>
    <w:p>
      <w:pPr>
        <w:jc w:val="both"/>
      </w:pPr>
      <w:r>
        <w:rPr>
          <w:rFonts w:hAnsi="Arial"/>
          <w:rFonts w:ascii="Arial"/>
          <w:sz w:val="24"/>
          <w:color w:val="black"/>
        </w:rPr>
        <w:t xml:space="preserve">2. Cuando se trate de escolta a vehνculos y/o mercancνas, esta modalidad se justificarα de acuerdo con las circunstancias de modo, tiempo y lugar en que se realicen los desplazamientos, la que deberα estar acorde con el objeto social que desarrolla la persona jurνdica de derecho privado o pϊblico o la persona natural.</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30" w:name="2.6.1.1.3.2.2"/>
      <w:r>
        <w:rPr>
          <w:rFonts w:hAnsi="Arial"/>
          <w:rFonts w:ascii="Arial"/>
          <w:sz w:val="24"/>
          <w:color w:val="navy"/>
        </w:rPr>
        <w:t xml:space="preserve">ARTΝCULO 2.6.1.1.3.2.2. </w:t>
      </w:r>
      <w:r>
        <w:rPr>
          <w:rFonts w:hAnsi="Arial"/>
          <w:rFonts w:ascii="Arial"/>
          <w:sz w:val="24"/>
          <w:i/>
          <w:color w:val="navy"/>
        </w:rPr>
        <w:t xml:space="preserve">DE LOS DEPARTAMENTOS DE SEGURIDAD.</w:t>
      </w:r>
      <w:bookmarkEnd w:id="62130"/>
      <w:r>
        <w:rPr>
          <w:rFonts w:hAnsi="Arial"/>
          <w:rFonts w:ascii="Arial"/>
          <w:sz w:val="24"/>
          <w:b/>
          <w:i/>
          <w:color w:val="black"/>
        </w:rPr>
        <w:t xml:space="preserve"> </w:t>
      </w:r>
      <w:r>
        <w:rPr>
          <w:rFonts w:hAnsi="Arial"/>
          <w:rFonts w:ascii="Arial"/>
          <w:sz w:val="24"/>
          <w:color w:val="black"/>
        </w:rPr>
        <w:t xml:space="preserve">Toda solicitud de trαmites inherentes a los departamentos de seguridad, tales como: Concepto para adquisiciσn o cesiσn de armas de fuego, revalidaciσn de permisos, cambio de tenencia a porte, carnetizaciσn, que se dirija ante la Superintendencia de Vigilancia y Seguridad Privada, deberα efectuarse por la persona natural en cuyo favor se otorga la licencia, por el representante legal de las personas jurνdicas o quienes hagan sus veces, por sus apoderados.</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31" w:name="2.6.1.1.3.2.3"/>
      <w:r>
        <w:rPr>
          <w:rFonts w:hAnsi="Arial"/>
          <w:rFonts w:ascii="Arial"/>
          <w:sz w:val="24"/>
          <w:color w:val="navy"/>
        </w:rPr>
        <w:t xml:space="preserve">ARTΝCULO 2.6.1.1.3.2.3. </w:t>
      </w:r>
      <w:r>
        <w:rPr>
          <w:rFonts w:hAnsi="Arial"/>
          <w:rFonts w:ascii="Arial"/>
          <w:sz w:val="24"/>
          <w:i/>
          <w:color w:val="navy"/>
        </w:rPr>
        <w:t xml:space="preserve">TΙRMINO PARA TOMAR LA PΣLIZA.</w:t>
      </w:r>
      <w:bookmarkEnd w:id="62131"/>
      <w:r>
        <w:rPr>
          <w:rFonts w:hAnsi="Arial"/>
          <w:rFonts w:ascii="Arial"/>
          <w:sz w:val="24"/>
          <w:b/>
          <w:i/>
          <w:color w:val="black"/>
        </w:rPr>
        <w:t xml:space="preserve"> </w:t>
      </w:r>
      <w:r>
        <w:rPr>
          <w:rFonts w:hAnsi="Arial"/>
          <w:rFonts w:ascii="Arial"/>
          <w:sz w:val="24"/>
          <w:color w:val="black"/>
        </w:rPr>
        <w:t xml:space="preserve">La pσliza de seguro de responsabilidad civil extracontractual exigida por el artνculo </w:t>
      </w:r>
      <w:r>
        <w:fldChar w:fldCharType="begin"/>
      </w:r>
      <w:r>
        <w:instrText>HYPERLINK "http://www.redjurista.com/document.aspx?ajcode=d0356_94&amp;arts=18"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356 de 1994, se adjuntarα dentro de los diez (10) dνas siguientes a la notificaciσn de la Resoluciσn que concede licencia de funcionamiento.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32" w:name="2.6.1.1.3.2.4"/>
      <w:r>
        <w:rPr>
          <w:rFonts w:hAnsi="Arial"/>
          <w:rFonts w:ascii="Arial"/>
          <w:sz w:val="24"/>
          <w:color w:val="navy"/>
        </w:rPr>
        <w:t xml:space="preserve">ARTΝCULO 2.6.1.1.3.2.4. </w:t>
      </w:r>
      <w:r>
        <w:rPr>
          <w:rFonts w:hAnsi="Arial"/>
          <w:rFonts w:ascii="Arial"/>
          <w:sz w:val="24"/>
          <w:i/>
          <w:color w:val="navy"/>
        </w:rPr>
        <w:t xml:space="preserve">ORGANIZACIΣN EMPRESARIAL.</w:t>
      </w:r>
      <w:bookmarkEnd w:id="62132"/>
      <w:r>
        <w:rPr>
          <w:rFonts w:hAnsi="Arial"/>
          <w:rFonts w:ascii="Arial"/>
          <w:sz w:val="24"/>
          <w:b/>
          <w:i/>
          <w:color w:val="black"/>
        </w:rPr>
        <w:t xml:space="preserve"> </w:t>
      </w:r>
      <w:r>
        <w:rPr>
          <w:rFonts w:hAnsi="Arial"/>
          <w:rFonts w:ascii="Arial"/>
          <w:sz w:val="24"/>
          <w:color w:val="black"/>
        </w:rPr>
        <w:t xml:space="preserve">Para efecto de lo expresado en el artνculo </w:t>
      </w:r>
      <w:r>
        <w:fldChar w:fldCharType="begin"/>
      </w:r>
      <w:r>
        <w:instrText>HYPERLINK "http://www.redjurista.com/document.aspx?ajcode=d0356_94&amp;arts=17"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356 de 1994, se entiende por organizaciσn empresarial, la reuniσn de personas jurνdicas de derecho privado entre sν o con personas naturales, cuyos socios o accionistas poseen aportes o acciones en todas ellas y estαn ligadas por la realizaciσn de operaciones mercantiles, en cuyo favor se pretende prestar los servicios de vigilancia y seguridad privada.</w:t>
      </w:r>
    </w:p>
    <w:p>
      <w:pPr>
        <w:jc w:val="both"/>
      </w:pPr>
      <w:rPr>
        <w:sz w:val="24"/>
        <w:color w:val="black"/>
      </w:rPr>
    </w:p>
    <w:p>
      <w:pPr>
        <w:jc w:val="both"/>
      </w:pPr>
      <w:r>
        <w:rPr>
          <w:rFonts w:hAnsi="Arial"/>
          <w:rFonts w:ascii="Arial"/>
          <w:sz w:val="24"/>
          <w:color w:val="black"/>
        </w:rPr>
        <w:t xml:space="preserve">En la solicitud del Departamento de Seguridad de una organizaciσn empresarial, se indicarα la persona jurνdica responsable del servicio de vigilancia y seguridad privada y se deberαn acreditar los requisitos establecidos en el artνculo </w:t>
      </w:r>
      <w:r>
        <w:fldChar w:fldCharType="begin"/>
      </w:r>
      <w:r>
        <w:instrText>HYPERLINK "http://www.redjurista.com/document.aspx?ajcode=d0356_94&amp;arts=19"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356 de 1994.</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concepto de organizaciσn empresarial aquν expresado, sσlo tendrα efecto para las labores de vigilancia y seguridad privada.</w:t>
      </w:r>
    </w:p>
    <w:p>
      <w:pPr>
        <w:jc w:val="both"/>
      </w:pPr>
      <w:rPr>
        <w:sz w:val="24"/>
        <w:color w:val="black"/>
      </w:rPr>
    </w:p>
    <w:p>
      <w:pPr>
        <w:jc w:val="both"/>
      </w:pPr>
      <w:r>
        <w:rPr>
          <w:rFonts w:hAnsi="Arial"/>
          <w:rFonts w:ascii="Arial"/>
          <w:sz w:val="24"/>
          <w:color w:val="black"/>
        </w:rPr>
        <w:t xml:space="preserve">No obstante lo anterior, las personas que conforman la organizaciσn empresarial serαn responsables ante terceros, ante el personal de la vigilancia y seguridad privada y ante las autoridades pϊblicas de sus actividades en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133" w:name="SUBSECCIÓN 2.6.1.1.3.3"/>
      <w:r>
        <w:rPr>
          <w:rFonts w:hAnsi="Arial"/>
          <w:rFonts w:ascii="Arial"/>
          <w:sz w:val="24"/>
          <w:color w:val="navy"/>
        </w:rPr>
        <w:t xml:space="preserve">SUBSECCIΣN 3. </w:t>
      </w:r>
    </w:p>
    <w:p>
      <w:pPr>
        <w:jc w:val="center"/>
      </w:pPr>
      <w:r>
        <w:rPr>
          <w:rFonts w:hAnsi="Arial"/>
          <w:rFonts w:ascii="Arial"/>
          <w:sz w:val="24"/>
          <w:color w:val="navy"/>
        </w:rPr>
        <w:t xml:space="preserve">DE LOS SERVICIOS DE VIGILANCIA Y SEGURIDAD PRIVADA SIN ARMAS.</w:t>
      </w:r>
      <w:bookmarkEnd w:id="62133"/>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34" w:name="2.6.1.1.3.3.1"/>
      <w:r>
        <w:rPr>
          <w:rFonts w:hAnsi="Arial"/>
          <w:rFonts w:ascii="Arial"/>
          <w:sz w:val="24"/>
          <w:color w:val="navy"/>
        </w:rPr>
        <w:t xml:space="preserve">ARTΝCULO 2.6.1.1.3.3.1. </w:t>
      </w:r>
      <w:r>
        <w:rPr>
          <w:rFonts w:hAnsi="Arial"/>
          <w:rFonts w:ascii="Arial"/>
          <w:sz w:val="24"/>
          <w:i/>
          <w:color w:val="navy"/>
        </w:rPr>
        <w:t xml:space="preserve">EMPRESAS DE VIGILANCIA Y SEGURIDAD PRIVADA CON MEDIOS CANINOS.</w:t>
      </w:r>
      <w:bookmarkEnd w:id="62134"/>
      <w:r>
        <w:rPr>
          <w:rFonts w:hAnsi="Arial"/>
          <w:rFonts w:ascii="Arial"/>
          <w:sz w:val="24"/>
          <w:b/>
          <w:i/>
          <w:color w:val="black"/>
        </w:rPr>
        <w:t xml:space="preserve"> </w:t>
      </w:r>
      <w:r>
        <w:rPr>
          <w:rFonts w:hAnsi="Arial"/>
          <w:rFonts w:ascii="Arial"/>
          <w:sz w:val="24"/>
          <w:color w:val="black"/>
        </w:rPr>
        <w:t xml:space="preserve">Los servicios de vigilancia y seguridad privada que pretendan desarrollar su actividad con la utilizaciσn del medio canino, deberαn obtener autorizaciσn de la Superintendencia de Vigilancia y Seguridad Privada, de conformidad con el artνculo </w:t>
      </w:r>
      <w:r>
        <w:fldChar w:fldCharType="begin"/>
      </w:r>
      <w:r>
        <w:instrText>HYPERLINK "http://www.redjurista.com/document.aspx?ajcode=d0356_94&amp;arts=48"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356 de 1994.</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35" w:name="2.6.1.1.3.3.2"/>
      <w:r>
        <w:rPr>
          <w:rFonts w:hAnsi="Arial"/>
          <w:rFonts w:ascii="Arial"/>
          <w:sz w:val="24"/>
          <w:color w:val="navy"/>
        </w:rPr>
        <w:t xml:space="preserve">ARTΝCULO 2.6.1.1.3.3.2. </w:t>
      </w:r>
      <w:r>
        <w:rPr>
          <w:rFonts w:hAnsi="Arial"/>
          <w:rFonts w:ascii="Arial"/>
          <w:sz w:val="24"/>
          <w:i/>
          <w:color w:val="navy"/>
        </w:rPr>
        <w:t>DEFINICIONES.</w:t>
      </w:r>
      <w:bookmarkEnd w:id="62135"/>
      <w:r>
        <w:rPr>
          <w:rFonts w:hAnsi="Arial"/>
          <w:rFonts w:ascii="Arial"/>
          <w:sz w:val="24"/>
          <w:b/>
          <w:i/>
          <w:color w:val="black"/>
        </w:rPr>
        <w:t xml:space="preserve"> </w:t>
      </w:r>
      <w:r>
        <w:rPr>
          <w:rFonts w:hAnsi="Arial"/>
          <w:rFonts w:ascii="Arial"/>
          <w:sz w:val="24"/>
          <w:color w:val="black"/>
        </w:rPr>
        <w:t xml:space="preserve">Para efectos del parαgrafo del artνculo </w:t>
      </w:r>
      <w:r>
        <w:fldChar w:fldCharType="begin"/>
      </w:r>
      <w:r>
        <w:instrText>HYPERLINK "http://www.redjurista.com/document.aspx?ajcode=d0356_94&amp;arts=50"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del Decreto 356 de 1994, se deberα tener en cuenta las siguientes definiciones:</w:t>
      </w:r>
    </w:p>
    <w:p>
      <w:pPr>
        <w:jc w:val="both"/>
      </w:pPr>
      <w:rPr>
        <w:sz w:val="24"/>
        <w:color w:val="black"/>
      </w:rPr>
    </w:p>
    <w:p>
      <w:pPr>
        <w:jc w:val="both"/>
      </w:pPr>
      <w:r>
        <w:rPr>
          <w:rFonts w:hAnsi="Arial"/>
          <w:rFonts w:ascii="Arial"/>
          <w:sz w:val="24"/>
          <w:color w:val="black"/>
        </w:rPr>
        <w:t xml:space="preserve">Instructor: Persona idσnea y acreditada en el αrea canina que imparte instrucciσn al personal seleccionado, con el fin de transmitir conocimientos adquiridos por capacitaciσn y experiencia en el trabajo con caninos.</w:t>
      </w:r>
    </w:p>
    <w:p>
      <w:pPr>
        <w:jc w:val="both"/>
      </w:pPr>
      <w:rPr>
        <w:sz w:val="24"/>
        <w:color w:val="black"/>
      </w:rPr>
    </w:p>
    <w:p>
      <w:pPr>
        <w:jc w:val="both"/>
      </w:pPr>
      <w:r>
        <w:rPr>
          <w:rFonts w:hAnsi="Arial"/>
          <w:rFonts w:ascii="Arial"/>
          <w:sz w:val="24"/>
          <w:color w:val="black"/>
        </w:rPr>
        <w:t xml:space="preserve">Guνa: Persona que posee conocimientos generales acerca del manejo y trabajo con perros y que tiene una formaciσn acreditada y certificada.</w:t>
      </w:r>
    </w:p>
    <w:p>
      <w:pPr>
        <w:jc w:val="both"/>
      </w:pPr>
      <w:rPr>
        <w:sz w:val="24"/>
        <w:color w:val="black"/>
      </w:rPr>
    </w:p>
    <w:p>
      <w:pPr>
        <w:jc w:val="both"/>
      </w:pPr>
      <w:r>
        <w:rPr>
          <w:rFonts w:hAnsi="Arial"/>
          <w:rFonts w:ascii="Arial"/>
          <w:sz w:val="24"/>
          <w:color w:val="black"/>
        </w:rPr>
        <w:t xml:space="preserve">Manejador: Persona que ha recibido una inducciσn bαsica y estα debidamente capacitada para el manejo y control de los perros. En ningϊn caso el manejador podrα ser reemplazado por vigilantes y/o escoltas.</w:t>
      </w:r>
    </w:p>
    <w:p>
      <w:pPr>
        <w:jc w:val="both"/>
      </w:pPr>
      <w:rPr>
        <w:sz w:val="24"/>
        <w:color w:val="black"/>
      </w:rPr>
    </w:p>
    <w:p>
      <w:pPr>
        <w:jc w:val="both"/>
      </w:pPr>
      <w:r>
        <w:rPr>
          <w:rFonts w:hAnsi="Arial"/>
          <w:rFonts w:ascii="Arial"/>
          <w:sz w:val="24"/>
          <w:color w:val="black"/>
        </w:rPr>
        <w:t xml:space="preserve">Unidad Canina: Es la estructura que posee medios fνsicos como instalaciones, recursos humanos, programas de capacitaciσn para el binomio manejador-perro, conformada con un mνnimo de diez (10) perros.</w:t>
      </w:r>
    </w:p>
    <w:p>
      <w:pPr>
        <w:jc w:val="both"/>
      </w:pPr>
      <w:rPr>
        <w:sz w:val="24"/>
        <w:color w:val="black"/>
      </w:rPr>
    </w:p>
    <w:p>
      <w:pPr>
        <w:jc w:val="both"/>
      </w:pPr>
      <w:r>
        <w:rPr>
          <w:rFonts w:hAnsi="Arial"/>
          <w:rFonts w:ascii="Arial"/>
          <w:sz w:val="24"/>
          <w:color w:val="black"/>
        </w:rPr>
        <w:t xml:space="preserve">Adiestramiento bαsico: Es la enseρanza que recibe el canino durante las fases de formaciσn.</w:t>
      </w:r>
    </w:p>
    <w:p>
      <w:pPr>
        <w:jc w:val="both"/>
      </w:pPr>
      <w:rPr>
        <w:sz w:val="24"/>
        <w:color w:val="black"/>
      </w:rPr>
    </w:p>
    <w:p>
      <w:pPr>
        <w:jc w:val="both"/>
      </w:pPr>
      <w:r>
        <w:rPr>
          <w:rFonts w:hAnsi="Arial"/>
          <w:rFonts w:ascii="Arial"/>
          <w:sz w:val="24"/>
          <w:color w:val="black"/>
        </w:rPr>
        <w:t xml:space="preserve">Guacal: Elemento utilizado para el transporte de caninos de un lugar a otro.</w:t>
      </w:r>
    </w:p>
    <w:p>
      <w:pPr>
        <w:jc w:val="both"/>
      </w:pPr>
      <w:rPr>
        <w:sz w:val="24"/>
        <w:color w:val="black"/>
      </w:rPr>
    </w:p>
    <w:p>
      <w:pPr>
        <w:jc w:val="both"/>
      </w:pPr>
      <w:r>
        <w:rPr>
          <w:rFonts w:hAnsi="Arial"/>
          <w:rFonts w:ascii="Arial"/>
          <w:sz w:val="24"/>
          <w:color w:val="black"/>
        </w:rPr>
        <w:t xml:space="preserve">Collar de ahogo: Elemento conformado en eslabσn de adiestramiento, unido a la traνlla, utilizado para el control del canino, en el sitio de la prestaciσn del servicio.</w:t>
      </w:r>
    </w:p>
    <w:p>
      <w:pPr>
        <w:jc w:val="both"/>
      </w:pPr>
      <w:rPr>
        <w:sz w:val="24"/>
        <w:color w:val="black"/>
      </w:rPr>
    </w:p>
    <w:p>
      <w:pPr>
        <w:jc w:val="both"/>
      </w:pPr>
      <w:r>
        <w:rPr>
          <w:rFonts w:hAnsi="Arial"/>
          <w:rFonts w:ascii="Arial"/>
          <w:sz w:val="24"/>
          <w:color w:val="black"/>
        </w:rPr>
        <w:t xml:space="preserve">Canil: Lugar adecuado para el alojamiento de los caninos con especificaciones especiales como espacios para la cama, pozuelo para el agua y con suficientes corrientes de aire.</w:t>
      </w:r>
    </w:p>
    <w:p>
      <w:pPr>
        <w:jc w:val="both"/>
      </w:pPr>
      <w:rPr>
        <w:sz w:val="24"/>
        <w:color w:val="black"/>
      </w:rPr>
    </w:p>
    <w:p>
      <w:pPr>
        <w:jc w:val="both"/>
      </w:pPr>
      <w:r>
        <w:rPr>
          <w:rFonts w:hAnsi="Arial"/>
          <w:rFonts w:ascii="Arial"/>
          <w:sz w:val="24"/>
          <w:color w:val="black"/>
        </w:rPr>
        <w:t xml:space="preserve">Pared: Es la divisiσn en madera u otra estructura que se utiliza para acondicionar el descanso de los caninos, que debe separar otras perreras o caniles.</w:t>
      </w:r>
    </w:p>
    <w:p>
      <w:pPr>
        <w:jc w:val="both"/>
      </w:pPr>
      <w:rPr>
        <w:sz w:val="24"/>
        <w:color w:val="black"/>
      </w:rPr>
    </w:p>
    <w:p>
      <w:pPr>
        <w:jc w:val="both"/>
      </w:pPr>
      <w:r>
        <w:rPr>
          <w:rFonts w:hAnsi="Arial"/>
          <w:rFonts w:ascii="Arial"/>
          <w:sz w:val="24"/>
          <w:color w:val="black"/>
        </w:rPr>
        <w:t xml:space="preserve">Traνlla: Elemento utilizado para el control y manejo del canino en las αreas de trabajo, siendo este el principal medio de comunicaciσn entre el manejador y el perro.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36" w:name="2.6.1.1.3.3.3"/>
      <w:r>
        <w:rPr>
          <w:rFonts w:hAnsi="Arial"/>
          <w:rFonts w:ascii="Arial"/>
          <w:sz w:val="24"/>
          <w:color w:val="navy"/>
        </w:rPr>
        <w:t xml:space="preserve">ARTΝCULO 2.6.1.1.3.3.3. </w:t>
      </w:r>
      <w:r>
        <w:rPr>
          <w:rFonts w:hAnsi="Arial"/>
          <w:rFonts w:ascii="Arial"/>
          <w:sz w:val="24"/>
          <w:i/>
          <w:color w:val="navy"/>
        </w:rPr>
        <w:t>MODALIDADES.</w:t>
      </w:r>
      <w:bookmarkEnd w:id="62136"/>
      <w:r>
        <w:rPr>
          <w:rFonts w:hAnsi="Arial"/>
          <w:rFonts w:ascii="Arial"/>
          <w:sz w:val="24"/>
          <w:b/>
          <w:i/>
          <w:color w:val="black"/>
        </w:rPr>
        <w:t xml:space="preserve"> </w:t>
      </w:r>
      <w:r>
        <w:rPr>
          <w:rFonts w:hAnsi="Arial"/>
          <w:rFonts w:ascii="Arial"/>
          <w:sz w:val="24"/>
          <w:color w:val="black"/>
        </w:rPr>
        <w:t xml:space="preserve">Los servicios de vigilancia y seguridad privada con medios caninos, podrαn operar en las modalidades de vigilancia fija y mσvil.</w:t>
      </w:r>
    </w:p>
    <w:p>
      <w:pPr>
        <w:jc w:val="both"/>
      </w:pPr>
      <w:rPr>
        <w:sz w:val="24"/>
        <w:color w:val="black"/>
      </w:rPr>
    </w:p>
    <w:p>
      <w:pPr>
        <w:jc w:val="both"/>
      </w:pPr>
      <w:r>
        <w:rPr>
          <w:rFonts w:hAnsi="Arial"/>
          <w:rFonts w:ascii="Arial"/>
          <w:sz w:val="24"/>
          <w:color w:val="black"/>
        </w:rPr>
        <w:t xml:space="preserve">1. Modalidad fija. Es la que se presta por el binomio manejador-perro, con objeto de proteger a personas o bienes muebles o inmuebles en un lugar determinado. La vigilancia con perro en riel o guaya, se considera como vigilancia fija para todos los efectos.</w:t>
      </w:r>
    </w:p>
    <w:p>
      <w:pPr>
        <w:jc w:val="both"/>
      </w:pPr>
      <w:rPr>
        <w:sz w:val="24"/>
        <w:color w:val="black"/>
      </w:rPr>
    </w:p>
    <w:p>
      <w:pPr>
        <w:jc w:val="both"/>
      </w:pPr>
      <w:r>
        <w:rPr>
          <w:rFonts w:hAnsi="Arial"/>
          <w:rFonts w:ascii="Arial"/>
          <w:sz w:val="24"/>
          <w:color w:val="black"/>
        </w:rPr>
        <w:t xml:space="preserve">2. Modalidad mσvil. Es la que se presta por el binomio manejador-perro, con objeto de dar protecciσn a personas, bienes muebles o inmuebles en αrea o sector determinado.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37" w:name="2.6.1.1.3.3.4"/>
      <w:r>
        <w:rPr>
          <w:rFonts w:hAnsi="Arial"/>
          <w:rFonts w:ascii="Arial"/>
          <w:sz w:val="24"/>
          <w:color w:val="navy"/>
        </w:rPr>
        <w:t xml:space="preserve">ARTΝCULO 2.6.1.1.3.3.4. </w:t>
      </w:r>
      <w:r>
        <w:rPr>
          <w:rFonts w:hAnsi="Arial"/>
          <w:rFonts w:ascii="Arial"/>
          <w:sz w:val="24"/>
          <w:i/>
          <w:color w:val="navy"/>
        </w:rPr>
        <w:t>OBLIGACIONES.</w:t>
      </w:r>
      <w:bookmarkEnd w:id="62137"/>
      <w:r>
        <w:rPr>
          <w:rFonts w:hAnsi="Arial"/>
          <w:rFonts w:ascii="Arial"/>
          <w:sz w:val="24"/>
          <w:b/>
          <w:i/>
          <w:color w:val="black"/>
        </w:rPr>
        <w:t xml:space="preserve"> </w:t>
      </w:r>
      <w:r>
        <w:rPr>
          <w:rFonts w:hAnsi="Arial"/>
          <w:rFonts w:ascii="Arial"/>
          <w:sz w:val="24"/>
          <w:color w:val="black"/>
        </w:rPr>
        <w:t xml:space="preserve">Para efectos de la prestaciσn del servicio con medios caninos, el personal deberα portar:</w:t>
      </w:r>
    </w:p>
    <w:p>
      <w:pPr>
        <w:jc w:val="both"/>
      </w:pPr>
      <w:rPr>
        <w:sz w:val="24"/>
        <w:color w:val="black"/>
      </w:rPr>
    </w:p>
    <w:p>
      <w:pPr>
        <w:jc w:val="both"/>
      </w:pPr>
      <w:r>
        <w:rPr>
          <w:rFonts w:hAnsi="Arial"/>
          <w:rFonts w:ascii="Arial"/>
          <w:sz w:val="24"/>
          <w:color w:val="black"/>
        </w:rPr>
        <w:t xml:space="preserve">1. El uniforme respectivo.</w:t>
      </w:r>
    </w:p>
    <w:p>
      <w:pPr>
        <w:jc w:val="both"/>
      </w:pPr>
      <w:rPr>
        <w:sz w:val="24"/>
        <w:color w:val="black"/>
      </w:rPr>
    </w:p>
    <w:p>
      <w:pPr>
        <w:jc w:val="both"/>
      </w:pPr>
      <w:r>
        <w:rPr>
          <w:rFonts w:hAnsi="Arial"/>
          <w:rFonts w:ascii="Arial"/>
          <w:sz w:val="24"/>
          <w:color w:val="black"/>
        </w:rPr>
        <w:t xml:space="preserve">2. La credencial de identificaciσn que para tal efecto expida la Superintendencia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i/>
        <w:color w:val="black"/>
      </w:rPr>
    </w:p>
    <w:p>
      <w:pPr>
        <w:jc w:val="both"/>
      </w:pPr>
      <w:r>
        <w:rPr>
          <w:rFonts w:hAnsi="Arial"/>
          <w:rFonts w:ascii="Arial"/>
          <w:sz w:val="24"/>
          <w:vanish/>
          <w:color w:val="black"/>
        </w:rPr>
        <w:t>&amp;$</w:t>
      </w:r>
      <w:bookmarkStart w:id="62138" w:name="2.6.1.1.3.3.5"/>
      <w:r>
        <w:rPr>
          <w:rFonts w:hAnsi="Arial"/>
          <w:rFonts w:ascii="Arial"/>
          <w:sz w:val="24"/>
          <w:color w:val="navy"/>
        </w:rPr>
        <w:t xml:space="preserve">ARTΝCULO 2.6.1.1.3.3.5. </w:t>
      </w:r>
      <w:r>
        <w:rPr>
          <w:rFonts w:hAnsi="Arial"/>
          <w:rFonts w:ascii="Arial"/>
          <w:sz w:val="24"/>
          <w:i/>
          <w:color w:val="navy"/>
        </w:rPr>
        <w:t>PROHIBICIONES.</w:t>
      </w:r>
      <w:bookmarkEnd w:id="62138"/>
      <w:r>
        <w:rPr>
          <w:rFonts w:hAnsi="Arial"/>
          <w:rFonts w:ascii="Arial"/>
          <w:sz w:val="24"/>
          <w:b/>
          <w:i/>
          <w:color w:val="black"/>
        </w:rPr>
        <w:t xml:space="preserve"> </w:t>
      </w:r>
      <w:r>
        <w:rPr>
          <w:rFonts w:hAnsi="Arial"/>
          <w:rFonts w:ascii="Arial"/>
          <w:sz w:val="24"/>
          <w:color w:val="black"/>
        </w:rPr>
        <w:t xml:space="preserve">Se prohνbe a todos los servicios de vigilancia y seguridad privada que tengan autorizados medios caninos, prestar el servicio en lugares cerrados, tales como centros comerciales, conjuntos residenciales, estadios y demαs sitios, que a criterio de la Superintendencia de Vigilancia y Seguridad Privada, ofrezcan riesgo para la seguridad ciudadana.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Se entiende por lugares cerrados las αreas delimitadas que tengan controladas sus salidas y/o con una alta concentraciσn de personas.</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39" w:name="2.6.1.1.3.3.6"/>
      <w:r>
        <w:rPr>
          <w:rFonts w:hAnsi="Arial"/>
          <w:rFonts w:ascii="Arial"/>
          <w:sz w:val="24"/>
          <w:color w:val="navy"/>
        </w:rPr>
        <w:t xml:space="preserve">ARTΝCULO 2.6.1.1.3.3.6. </w:t>
      </w:r>
      <w:r>
        <w:rPr>
          <w:rFonts w:hAnsi="Arial"/>
          <w:rFonts w:ascii="Arial"/>
          <w:sz w:val="24"/>
          <w:i/>
          <w:color w:val="navy"/>
        </w:rPr>
        <w:t xml:space="preserve">JORNADA DE TRABAJO.</w:t>
      </w:r>
      <w:bookmarkEnd w:id="62139"/>
      <w:r>
        <w:rPr>
          <w:rFonts w:hAnsi="Arial"/>
          <w:rFonts w:ascii="Arial"/>
          <w:sz w:val="24"/>
          <w:b/>
          <w:i/>
          <w:color w:val="black"/>
        </w:rPr>
        <w:t xml:space="preserve"> </w:t>
      </w:r>
      <w:r>
        <w:rPr>
          <w:rFonts w:hAnsi="Arial"/>
          <w:rFonts w:ascii="Arial"/>
          <w:sz w:val="24"/>
          <w:color w:val="black"/>
        </w:rPr>
        <w:t xml:space="preserve">La jornada de trabajo de los caninos no podrα exceder de ocho (8) horas por turno.</w:t>
      </w:r>
    </w:p>
    <w:p>
      <w:pPr>
        <w:jc w:val="both"/>
      </w:pPr>
      <w:rPr>
        <w:sz w:val="24"/>
        <w:color w:val="black"/>
      </w:rPr>
    </w:p>
    <w:p>
      <w:pPr>
        <w:jc w:val="both"/>
      </w:pPr>
      <w:r>
        <w:rPr>
          <w:rFonts w:hAnsi="Arial"/>
          <w:rFonts w:ascii="Arial"/>
          <w:sz w:val="24"/>
          <w:color w:val="black"/>
        </w:rPr>
        <w:t xml:space="preserve">Los servicios de vigilancia y seguridad privada con caninos, que no puedan trasladar los animales para el cambio de turno dentro de los puestos de trabajo, deberαn acondicionar sitios especiales de descanso adecuados para los animales, excluyendo los guacales de transporte; proveyιndose de caniles o jaulas portαtiles, de tal forma que le permita al canino moverse y/o desplazarse dentro de los mismos, con la posibilidad de alimentarlos y darles de beber.</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40" w:name="2.6.1.1.3.3.7"/>
      <w:r>
        <w:rPr>
          <w:rFonts w:hAnsi="Arial"/>
          <w:rFonts w:ascii="Arial"/>
          <w:sz w:val="24"/>
          <w:color w:val="navy"/>
        </w:rPr>
        <w:t xml:space="preserve">ARTΝCULO 2.6.1.1.3.3.7. </w:t>
      </w:r>
      <w:r>
        <w:rPr>
          <w:rFonts w:hAnsi="Arial"/>
          <w:rFonts w:ascii="Arial"/>
          <w:sz w:val="24"/>
          <w:i/>
          <w:color w:val="navy"/>
        </w:rPr>
        <w:t xml:space="preserve">INSTALACIONES FΝSICAS.</w:t>
      </w:r>
      <w:bookmarkEnd w:id="62140"/>
      <w:r>
        <w:rPr>
          <w:rFonts w:hAnsi="Arial"/>
          <w:rFonts w:ascii="Arial"/>
          <w:sz w:val="24"/>
          <w:b/>
          <w:i/>
          <w:color w:val="black"/>
        </w:rPr>
        <w:t xml:space="preserve"> </w:t>
      </w:r>
      <w:r>
        <w:rPr>
          <w:rFonts w:hAnsi="Arial"/>
          <w:rFonts w:ascii="Arial"/>
          <w:sz w:val="24"/>
          <w:color w:val="black"/>
        </w:rPr>
        <w:t xml:space="preserve">Los servicios de vigilancia y seguridad privada con caninos, deberαn contar dentro de sus instalaciones fνsicas, con un sitio apropiado para la atenciσn mιdico-veterinaria en primeros auxilios, con las debidas condiciones de higiene y salubridad para atender enfermedades o accidentes que sufran los perros. Para el cumplimiento de lo dispuesto se podrαn realizar convenios con clνnicas veterinarias legalmente autorizadas, anexando fotocopia del convenio vigente.</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41" w:name="2.6.1.1.3.3.8"/>
      <w:r>
        <w:rPr>
          <w:rFonts w:hAnsi="Arial"/>
          <w:rFonts w:ascii="Arial"/>
          <w:sz w:val="24"/>
          <w:color w:val="navy"/>
        </w:rPr>
        <w:t xml:space="preserve">ARTΝCULO 2.6.1.1.3.3.8. </w:t>
      </w:r>
      <w:r>
        <w:rPr>
          <w:rFonts w:hAnsi="Arial"/>
          <w:rFonts w:ascii="Arial"/>
          <w:sz w:val="24"/>
          <w:i/>
          <w:color w:val="navy"/>
        </w:rPr>
        <w:t xml:space="preserve">CANINOS DE RESERVA.</w:t>
      </w:r>
      <w:bookmarkEnd w:id="62141"/>
      <w:r>
        <w:rPr>
          <w:rFonts w:hAnsi="Arial"/>
          <w:rFonts w:ascii="Arial"/>
          <w:sz w:val="24"/>
          <w:b/>
          <w:i/>
          <w:color w:val="black"/>
        </w:rPr>
        <w:t xml:space="preserve"> </w:t>
      </w:r>
      <w:r>
        <w:rPr>
          <w:rFonts w:hAnsi="Arial"/>
          <w:rFonts w:ascii="Arial"/>
          <w:sz w:val="24"/>
          <w:color w:val="black"/>
        </w:rPr>
        <w:t xml:space="preserve">Los servicios de vigilancia y seguridad privada con medios caninos, estαn obligados a mantener perros de reserva en caso de enfermedad o accidente de algϊn animal, en proporciσn de uno (1) a cinco (5).</w:t>
      </w:r>
    </w:p>
    <w:p>
      <w:pPr>
        <w:jc w:val="both"/>
      </w:pPr>
      <w:rPr>
        <w:sz w:val="24"/>
        <w:color w:val="black"/>
      </w:rPr>
    </w:p>
    <w:p>
      <w:pPr>
        <w:jc w:val="both"/>
      </w:pPr>
      <w:r>
        <w:rPr>
          <w:rFonts w:hAnsi="Arial"/>
          <w:rFonts w:ascii="Arial"/>
          <w:sz w:val="24"/>
          <w:color w:val="black"/>
        </w:rPr>
        <w:t xml:space="preserve">Para los casos especiales de accidente o enfermedad de los caninos, la empresa deberα dejar constancia escrita de este hecho y de la utilizaciσn de otro canino para la prestaciσn del servicio, con su respectivo manejador.</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42" w:name="2.6.1.1.3.3.9"/>
      <w:r>
        <w:rPr>
          <w:rFonts w:hAnsi="Arial"/>
          <w:rFonts w:ascii="Arial"/>
          <w:sz w:val="24"/>
          <w:color w:val="navy"/>
        </w:rPr>
        <w:t xml:space="preserve">ARTΝCULO 2.6.1.1.3.3.9. </w:t>
      </w:r>
      <w:r>
        <w:rPr>
          <w:rFonts w:hAnsi="Arial"/>
          <w:rFonts w:ascii="Arial"/>
          <w:sz w:val="24"/>
          <w:i/>
          <w:color w:val="navy"/>
        </w:rPr>
        <w:t xml:space="preserve">PROHIBICIΣN DE ALQUILER O ARRENDAMIENTO DE CANINOS.</w:t>
      </w:r>
      <w:bookmarkEnd w:id="62142"/>
      <w:r>
        <w:rPr>
          <w:rFonts w:hAnsi="Arial"/>
          <w:rFonts w:ascii="Arial"/>
          <w:sz w:val="24"/>
          <w:b/>
          <w:i/>
          <w:color w:val="black"/>
        </w:rPr>
        <w:t xml:space="preserve"> </w:t>
      </w:r>
      <w:r>
        <w:rPr>
          <w:rFonts w:hAnsi="Arial"/>
          <w:rFonts w:ascii="Arial"/>
          <w:sz w:val="24"/>
          <w:color w:val="black"/>
        </w:rPr>
        <w:t xml:space="preserve">Los servicios de vigilancia y seguridad privada que utilicen medios caninos para prestar el servicio, deberαn ser propietarios exclusivos de los animales que se destinen para el desarrollo de esta actividad; se excluye por tanto el alquiler o arrendamiento de caninos. La transgresiσn a lo dispuesto en esta norma acarrearα las sanciones a que se refiere el artνculo </w:t>
      </w:r>
      <w:r>
        <w:fldChar w:fldCharType="begin"/>
      </w:r>
      <w:r>
        <w:instrText>HYPERLINK "http://www.redjurista.com/document.aspx?ajcode=d0356_94&amp;arts=76"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del Decreto 356 de 1994.</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43" w:name="2.6.1.1.3.3.10"/>
      <w:r>
        <w:rPr>
          <w:rFonts w:hAnsi="Arial"/>
          <w:rFonts w:ascii="Arial"/>
          <w:sz w:val="24"/>
          <w:color w:val="navy"/>
        </w:rPr>
        <w:t xml:space="preserve">ARTΝCULO 2.6.1.1.3.3.10. </w:t>
      </w:r>
      <w:r>
        <w:rPr>
          <w:rFonts w:hAnsi="Arial"/>
          <w:rFonts w:ascii="Arial"/>
          <w:sz w:val="24"/>
          <w:i/>
          <w:color w:val="navy"/>
        </w:rPr>
        <w:t xml:space="preserve">CERTIFICADOS DE PROPIEDAD.</w:t>
      </w:r>
      <w:bookmarkEnd w:id="62143"/>
      <w:r>
        <w:rPr>
          <w:rFonts w:hAnsi="Arial"/>
          <w:rFonts w:ascii="Arial"/>
          <w:sz w:val="24"/>
          <w:b/>
          <w:i/>
          <w:color w:val="black"/>
        </w:rPr>
        <w:t xml:space="preserve"> </w:t>
      </w:r>
      <w:r>
        <w:rPr>
          <w:rFonts w:hAnsi="Arial"/>
          <w:rFonts w:ascii="Arial"/>
          <w:sz w:val="24"/>
          <w:color w:val="black"/>
        </w:rPr>
        <w:t xml:space="preserve">Los servicios de vigilancia y seguridad privada que a partir de la fecha de vigencia de la presente Secciσn deseen operar con medios caninos, deberαn acreditar al momento de solicitar su aprobaciσn ante la Superintendencia de Vigilancia y Seguridad Privada, las pruebas documentales que certifiquen que son propietarios de un nϊmero no inferior a diez (10) perros adiestrados de las razas autorizadas por esta entidad.</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Mediante acto administrativo expedido por el Superintendente de Vigilancia y Seguridad Privada, se determinarαn las razas de caninos y condiciones para la prestaciσn de los servicios de vigilancia y seguridad privada, asν como el uso de bozal cuando las circunstancias lo requieran.</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44" w:name="2.6.1.1.3.3.11"/>
      <w:r>
        <w:rPr>
          <w:rFonts w:hAnsi="Arial"/>
          <w:rFonts w:ascii="Arial"/>
          <w:sz w:val="24"/>
          <w:color w:val="navy"/>
        </w:rPr>
        <w:t xml:space="preserve">ARTΝCULO 2.6.1.1.3.3.11. </w:t>
      </w:r>
      <w:r>
        <w:rPr>
          <w:rFonts w:hAnsi="Arial"/>
          <w:rFonts w:ascii="Arial"/>
          <w:sz w:val="24"/>
          <w:i/>
          <w:color w:val="navy"/>
        </w:rPr>
        <w:t xml:space="preserve">CARNETIZACIΣN PERSONAL DE MANEJADORES.</w:t>
      </w:r>
      <w:bookmarkEnd w:id="62144"/>
      <w:r>
        <w:rPr>
          <w:rFonts w:hAnsi="Arial"/>
          <w:rFonts w:ascii="Arial"/>
          <w:sz w:val="24"/>
          <w:b/>
          <w:i/>
          <w:color w:val="black"/>
        </w:rPr>
        <w:t xml:space="preserve"> </w:t>
      </w:r>
      <w:r>
        <w:rPr>
          <w:rFonts w:hAnsi="Arial"/>
          <w:rFonts w:ascii="Arial"/>
          <w:sz w:val="24"/>
          <w:color w:val="black"/>
        </w:rPr>
        <w:t xml:space="preserve">La Superintendencia de Vigilancia y Seguridad Privada, determinarα el trαmite para la carnetizaciσn de los manejadores o personal de los perros.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caso de retiro del personal de manejadores del servicio respectivo, deberα devolverse la credencial a la Superintendencia.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45" w:name="2.6.1.1.3.3.12"/>
      <w:r>
        <w:rPr>
          <w:rFonts w:hAnsi="Arial"/>
          <w:rFonts w:ascii="Arial"/>
          <w:sz w:val="24"/>
          <w:color w:val="navy"/>
        </w:rPr>
        <w:t xml:space="preserve">ARTΝCULO 2.6.1.1.3.3.12. </w:t>
      </w:r>
      <w:r>
        <w:rPr>
          <w:rFonts w:hAnsi="Arial"/>
          <w:rFonts w:ascii="Arial"/>
          <w:sz w:val="24"/>
          <w:i/>
          <w:color w:val="navy"/>
        </w:rPr>
        <w:t xml:space="preserve">CΣDIGO DE IDENTIFICACIΣN.</w:t>
      </w:r>
      <w:bookmarkEnd w:id="62145"/>
      <w:r>
        <w:rPr>
          <w:rFonts w:hAnsi="Arial"/>
          <w:rFonts w:ascii="Arial"/>
          <w:sz w:val="24"/>
          <w:b/>
          <w:i/>
          <w:color w:val="black"/>
        </w:rPr>
        <w:t xml:space="preserve"> </w:t>
      </w:r>
      <w:r>
        <w:rPr>
          <w:rFonts w:hAnsi="Arial"/>
          <w:rFonts w:ascii="Arial"/>
          <w:sz w:val="24"/>
          <w:color w:val="black"/>
        </w:rPr>
        <w:t xml:space="preserve">La Superintendencia de Vigilancia y Seguridad Privada, por intermedio de la Direcciσn de Registro e identificaciσn, asignarα un cσdigo de identificaciσn al servicio de vigilancia y seguridad privada que utilice caninos y uno a cada perro. Para tal efecto la Superintendencia emitirα las instrucciones pertinentes.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el evento de que existan servicios con medios caninos autorizados y que con anterioridad al 30 de octubre de 2001 (entrada en vigencia del Decreto </w:t>
      </w:r>
      <w:r>
        <w:fldChar w:fldCharType="begin"/>
      </w:r>
      <w:r>
        <w:instrText>HYPERLINK "http://www.redjurista.com/document.aspx?ajcode=d2187001&amp;arts=INICIO"</w:instrText>
      </w:r>
      <w:r>
        <w:fldChar w:fldCharType="separate"/>
      </w:r>
      <w:r>
        <w:rPr>
          <w:rFonts w:hAnsi="Arial"/>
          <w:rFonts w:ascii="Arial"/>
          <w:sz w:val="24"/>
          <w:u w:val="single"/>
          <w:color w:val="black"/>
        </w:rPr>
        <w:t>2187</w:t>
      </w:r>
      <w:r>
        <w:fldChar w:fldCharType="end"/>
      </w:r>
      <w:r>
        <w:rPr>
          <w:rFonts w:hAnsi="Arial"/>
          <w:rFonts w:ascii="Arial"/>
          <w:sz w:val="24"/>
          <w:u w:val="none"/>
          <w:color w:val="black"/>
        </w:rPr>
        <w:t xml:space="preserve"> de 2001), hayan adoptado un registro interno y un tatuaje de los caninos, previa solicitud, la Superintendencia de Vigilancia y Seguridad Privada podrα avalar dicho registro y tatuaje.</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46" w:name="2.6.1.1.3.3.13"/>
      <w:r>
        <w:rPr>
          <w:rFonts w:hAnsi="Arial"/>
          <w:rFonts w:ascii="Arial"/>
          <w:sz w:val="24"/>
          <w:color w:val="navy"/>
        </w:rPr>
        <w:t xml:space="preserve">ARTΝCULO 2.6.1.1.3.3.13. </w:t>
      </w:r>
      <w:r>
        <w:rPr>
          <w:rFonts w:hAnsi="Arial"/>
          <w:rFonts w:ascii="Arial"/>
          <w:sz w:val="24"/>
          <w:i/>
          <w:color w:val="navy"/>
        </w:rPr>
        <w:t xml:space="preserve">CURSO EN EJERCICIO BΑSICO DE DEFENSA CONTROLADA.</w:t>
      </w:r>
      <w:bookmarkEnd w:id="62146"/>
      <w:r>
        <w:rPr>
          <w:rFonts w:hAnsi="Arial"/>
          <w:rFonts w:ascii="Arial"/>
          <w:sz w:val="24"/>
          <w:b/>
          <w:i/>
          <w:color w:val="black"/>
        </w:rPr>
        <w:t xml:space="preserve"> </w:t>
      </w:r>
      <w:r>
        <w:rPr>
          <w:rFonts w:hAnsi="Arial"/>
          <w:rFonts w:ascii="Arial"/>
          <w:sz w:val="24"/>
          <w:color w:val="black"/>
        </w:rPr>
        <w:t xml:space="preserve">Los perros asignados para vigilancia y seguridad privada, deben ser previamente entrenados en el ejercicio bαsico de defensa controlada, con un curso no inferior a cuatro (4) meses, el cual se demostrarα con las certificaciones que para tal efecto expida la Policνa Nacional-Escuela de Formaciσn de Guνas y Adiestramiento de Perros, el Centro de Adiestramiento Canino del Ejιrcito Nacional o por entidades debidamente autorizadas por la Superintendencia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47" w:name="2.6.1.1.3.3.14"/>
      <w:r>
        <w:rPr>
          <w:rFonts w:hAnsi="Arial"/>
          <w:rFonts w:ascii="Arial"/>
          <w:sz w:val="24"/>
          <w:color w:val="navy"/>
        </w:rPr>
        <w:t xml:space="preserve">ARTΝCULO 2.6.1.1.3.3.14. </w:t>
      </w:r>
      <w:r>
        <w:rPr>
          <w:rFonts w:hAnsi="Arial"/>
          <w:rFonts w:ascii="Arial"/>
          <w:sz w:val="24"/>
          <w:i/>
          <w:color w:val="navy"/>
        </w:rPr>
        <w:t xml:space="preserve">CAPACITACIΣN MANEJADORES.</w:t>
      </w:r>
      <w:bookmarkEnd w:id="62147"/>
      <w:r>
        <w:rPr>
          <w:rFonts w:hAnsi="Arial"/>
          <w:rFonts w:ascii="Arial"/>
          <w:sz w:val="24"/>
          <w:b/>
          <w:i/>
          <w:color w:val="black"/>
        </w:rPr>
        <w:t xml:space="preserve"> </w:t>
      </w:r>
      <w:r>
        <w:rPr>
          <w:rFonts w:hAnsi="Arial"/>
          <w:rFonts w:ascii="Arial"/>
          <w:sz w:val="24"/>
          <w:color w:val="black"/>
        </w:rPr>
        <w:t xml:space="preserve">Las Escuelas y Departamentos de Capacitaciσn autorizados por la Superintendencia de Vigilancia y Seguridad Privada, podrαn brindar capacitaciσn a manejadores caninos, siempre y cuando esta especializaciσn les sea concedida.</w:t>
      </w:r>
    </w:p>
    <w:p>
      <w:pPr>
        <w:jc w:val="both"/>
      </w:pPr>
      <w:rPr>
        <w:sz w:val="24"/>
        <w:color w:val="black"/>
      </w:rPr>
    </w:p>
    <w:p>
      <w:pPr>
        <w:jc w:val="both"/>
      </w:pPr>
      <w:r>
        <w:rPr>
          <w:rFonts w:hAnsi="Arial"/>
          <w:rFonts w:ascii="Arial"/>
          <w:sz w:val="24"/>
          <w:color w:val="black"/>
        </w:rPr>
        <w:t xml:space="preserve">La Superintendencia de Vigilancia y Seguridad Privada, ejercerα el control sobre el desarrollo de los programas de capacitaciσn en la especialidad canina y para tal efecto establecerα el pensum sobre los programas y fijarα los criterios tιcnicos y operativos para su desarrollo, requisitos para manejadores caninos, homologaciones y demαs circunstancias que ataρen con la materia.</w:t>
      </w:r>
    </w:p>
    <w:p>
      <w:pPr>
        <w:jc w:val="both"/>
      </w:pPr>
      <w:rPr>
        <w:sz w:val="24"/>
        <w:color w:val="black"/>
      </w:rPr>
    </w:p>
    <w:p>
      <w:pPr>
        <w:jc w:val="both"/>
      </w:pPr>
      <w:r>
        <w:rPr>
          <w:rFonts w:hAnsi="Arial"/>
          <w:rFonts w:ascii="Arial"/>
          <w:sz w:val="24"/>
          <w:color w:val="black"/>
        </w:rPr>
        <w:t xml:space="preserve">Mientras se aprueban los programas de especializaciσn en el αrea canina para las Escuelas y Departamentos de Capacitaciσn por parte de la Superintendencia, la Escuela de Formaciσn de Guνas y Adiestramiento de perros de la Policνa Nacional y el Centro de Adiestramiento Canino del Ejιrcito Nacional, dictarαn los cursos de capacitaciσn y entrenamiento e informarαn a la Superintendencia de Vigilancia y Seguridad Privada sobre el desarrollo de los mismos, relacionando el personal capacitado.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48" w:name="2.6.1.1.3.3.15"/>
      <w:r>
        <w:rPr>
          <w:rFonts w:hAnsi="Arial"/>
          <w:rFonts w:ascii="Arial"/>
          <w:sz w:val="24"/>
          <w:color w:val="navy"/>
        </w:rPr>
        <w:t xml:space="preserve">ARTΝCULO 2.6.1.1.3.3.15. </w:t>
      </w:r>
      <w:r>
        <w:rPr>
          <w:rFonts w:hAnsi="Arial"/>
          <w:rFonts w:ascii="Arial"/>
          <w:sz w:val="24"/>
          <w:i/>
          <w:color w:val="navy"/>
        </w:rPr>
        <w:t>REENTRENAMIENTOS.</w:t>
      </w:r>
      <w:bookmarkEnd w:id="62148"/>
      <w:r>
        <w:rPr>
          <w:rFonts w:hAnsi="Arial"/>
          <w:rFonts w:ascii="Arial"/>
          <w:sz w:val="24"/>
          <w:b/>
          <w:i/>
          <w:color w:val="black"/>
        </w:rPr>
        <w:t xml:space="preserve"> </w:t>
      </w:r>
      <w:r>
        <w:rPr>
          <w:rFonts w:hAnsi="Arial"/>
          <w:rFonts w:ascii="Arial"/>
          <w:sz w:val="24"/>
          <w:color w:val="black"/>
        </w:rPr>
        <w:t xml:space="preserve">Los caninos deberαn ser reentrenados con su manejador cada cuatro (4) meses en todos los ejercicios bαsicos de defensa controlada, durante un lapso de diez (10) dνas hαbiles en la Escuela de Formaciσn de Guνas y Adiestramiento de perros de la Policνa Nacional, en el Centro de Adiestramiento Canino del Ejιrcito Nacional o en entidades autorizadas por la Superintendencia de Vigilancia y Seguridad Privada, y demostrar el cumplimiento de lo aquν dispuesto.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49" w:name="2.6.1.1.3.3.16"/>
      <w:r>
        <w:rPr>
          <w:rFonts w:hAnsi="Arial"/>
          <w:rFonts w:ascii="Arial"/>
          <w:sz w:val="24"/>
          <w:color w:val="navy"/>
        </w:rPr>
        <w:t xml:space="preserve">ARTΝCULO 2.6.1.1.3.3.16. </w:t>
      </w:r>
      <w:r>
        <w:rPr>
          <w:rFonts w:hAnsi="Arial"/>
          <w:rFonts w:ascii="Arial"/>
          <w:sz w:val="24"/>
          <w:i/>
          <w:color w:val="navy"/>
        </w:rPr>
        <w:t xml:space="preserve">RELEVOS MANEJADORES.</w:t>
      </w:r>
      <w:bookmarkEnd w:id="62149"/>
      <w:r>
        <w:rPr>
          <w:rFonts w:hAnsi="Arial"/>
          <w:rFonts w:ascii="Arial"/>
          <w:sz w:val="24"/>
          <w:b/>
          <w:i/>
          <w:color w:val="black"/>
        </w:rPr>
        <w:t xml:space="preserve"> </w:t>
      </w:r>
      <w:r>
        <w:rPr>
          <w:rFonts w:hAnsi="Arial"/>
          <w:rFonts w:ascii="Arial"/>
          <w:sz w:val="24"/>
          <w:color w:val="black"/>
        </w:rPr>
        <w:t xml:space="preserve">Si el manejador es retirado temporal o definitivamente del servicio de vigilancia y seguridad privada, el nuevo manejador deberα recibir el mismo entrenamiento de trabajo con el perro, por un perνodo no inferior a quince (15) dνas, el cual deberα ser acreditado ante esta entidad adjuntando la certificaciσn correspondiente.</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50" w:name="2.6.1.1.3.3.17"/>
      <w:r>
        <w:rPr>
          <w:rFonts w:hAnsi="Arial"/>
          <w:rFonts w:ascii="Arial"/>
          <w:sz w:val="24"/>
          <w:color w:val="navy"/>
        </w:rPr>
        <w:t xml:space="preserve">ARTΝCULO 2.6.1.1.3.3.17. </w:t>
      </w:r>
      <w:r>
        <w:rPr>
          <w:rFonts w:hAnsi="Arial"/>
          <w:rFonts w:ascii="Arial"/>
          <w:sz w:val="24"/>
          <w:i/>
          <w:color w:val="navy"/>
        </w:rPr>
        <w:t>SUPERVISIΣN.</w:t>
      </w:r>
      <w:bookmarkEnd w:id="62150"/>
      <w:r>
        <w:rPr>
          <w:rFonts w:hAnsi="Arial"/>
          <w:rFonts w:ascii="Arial"/>
          <w:sz w:val="24"/>
          <w:b/>
          <w:i/>
          <w:color w:val="black"/>
        </w:rPr>
        <w:t xml:space="preserve"> </w:t>
      </w:r>
      <w:r>
        <w:rPr>
          <w:rFonts w:hAnsi="Arial"/>
          <w:rFonts w:ascii="Arial"/>
          <w:sz w:val="24"/>
          <w:color w:val="black"/>
        </w:rPr>
        <w:t xml:space="preserve">La Superintendencia de Vigilancia y Seguridad Privada, podrα realizar operativos en los sitios de prestaciσn de los servicios de vigilancia y en las unidades caninas, con apoyo de la Escuela de Formaciσn de Guνas y Adiestramiento de Perros de la Policνa Nacional, el Centro de Adiestramiento Canino del Ejιrcito Nacional y los servicios seccionales o locales de salud y sociedades protectoras de animales, a fin de verificar el cumplimiento de las disposiciones legales contenidas en esta Secciσn.</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Superintendencia de Vigilancia y Seguridad Privada, impondrα las medidas cautelares y sanciones previstas en el Decreto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y demαs normas pertinentes, a los servicios de vigilancia y seguridad privada que no cumplan lo dispuesto en la presente Secciσn y procederα a realizar el decomiso de los caninos, los cuales serαn puestos a σrdenes de la autoridad competente.</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51" w:name="2.6.1.1.3.3.18"/>
      <w:r>
        <w:rPr>
          <w:rFonts w:hAnsi="Arial"/>
          <w:rFonts w:ascii="Arial"/>
          <w:sz w:val="24"/>
          <w:color w:val="navy"/>
        </w:rPr>
        <w:t xml:space="preserve">ARTΝCULO 2.6.1.1.3.3.18. </w:t>
      </w:r>
      <w:r>
        <w:rPr>
          <w:rFonts w:hAnsi="Arial"/>
          <w:rFonts w:ascii="Arial"/>
          <w:sz w:val="24"/>
          <w:i/>
          <w:color w:val="navy"/>
        </w:rPr>
        <w:t xml:space="preserve">MEDIDAS CAUTELARES.</w:t>
      </w:r>
      <w:bookmarkEnd w:id="62151"/>
      <w:r>
        <w:rPr>
          <w:rFonts w:hAnsi="Arial"/>
          <w:rFonts w:ascii="Arial"/>
          <w:sz w:val="24"/>
          <w:b/>
          <w:i/>
          <w:color w:val="black"/>
        </w:rPr>
        <w:t xml:space="preserve"> </w:t>
      </w:r>
      <w:r>
        <w:rPr>
          <w:rFonts w:hAnsi="Arial"/>
          <w:rFonts w:ascii="Arial"/>
          <w:sz w:val="24"/>
          <w:color w:val="black"/>
        </w:rPr>
        <w:t xml:space="preserve">A las personas naturales o jurνdicas que estιn realizando actividades de vigilancia y seguridad privada con medios caninos sin contar con licencia de funcionamiento y/o permiso expedido por la Superintendencia de Vigilancia y Seguridad Privada, se les impondrαn las medidas cautelares de que trata el artνculo </w:t>
      </w:r>
      <w:r>
        <w:fldChar w:fldCharType="begin"/>
      </w:r>
      <w:r>
        <w:instrText>HYPERLINK "http://www.redjurista.com/document.aspx?ajcode=d0356_94&amp;arts=75"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del Decreto 356 de 1994, sin perjuicio del decomiso de los perros que estιn siendo utilizados en tales actividades.</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52" w:name="2.6.1.1.3.3.19"/>
      <w:r>
        <w:rPr>
          <w:rFonts w:hAnsi="Arial"/>
          <w:rFonts w:ascii="Arial"/>
          <w:sz w:val="24"/>
          <w:color w:val="navy"/>
        </w:rPr>
        <w:t xml:space="preserve">ARTΝCULO 2.6.1.1.3.3.19. </w:t>
      </w:r>
      <w:r>
        <w:rPr>
          <w:rFonts w:hAnsi="Arial"/>
          <w:rFonts w:ascii="Arial"/>
          <w:sz w:val="24"/>
          <w:i/>
          <w:color w:val="navy"/>
        </w:rPr>
        <w:t xml:space="preserve">PROHIBICIΣN PORTE DE ARMAS PARA MANEJADORES.</w:t>
      </w:r>
      <w:bookmarkEnd w:id="62152"/>
      <w:r>
        <w:rPr>
          <w:rFonts w:hAnsi="Arial"/>
          <w:rFonts w:ascii="Arial"/>
          <w:sz w:val="24"/>
          <w:b/>
          <w:i/>
          <w:color w:val="black"/>
        </w:rPr>
        <w:t xml:space="preserve"> </w:t>
      </w:r>
      <w:r>
        <w:rPr>
          <w:rFonts w:hAnsi="Arial"/>
          <w:rFonts w:ascii="Arial"/>
          <w:sz w:val="24"/>
          <w:color w:val="black"/>
        </w:rPr>
        <w:t xml:space="preserve">El personal de manejadores caninos no podrα portar armas de fuego en la prestaciσn de su servicio.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53" w:name="2.6.1.1.3.3.20"/>
      <w:r>
        <w:rPr>
          <w:rFonts w:hAnsi="Arial"/>
          <w:rFonts w:ascii="Arial"/>
          <w:sz w:val="24"/>
          <w:color w:val="navy"/>
        </w:rPr>
        <w:t xml:space="preserve">ARTΝCULO 2.6.1.1.3.3.20. </w:t>
      </w:r>
      <w:r>
        <w:rPr>
          <w:rFonts w:hAnsi="Arial"/>
          <w:rFonts w:ascii="Arial"/>
          <w:sz w:val="24"/>
          <w:i/>
          <w:color w:val="navy"/>
        </w:rPr>
        <w:t xml:space="preserve">SERVICIOS CON MEDIOS TECNOLΣGICOS.</w:t>
      </w:r>
      <w:bookmarkEnd w:id="62153"/>
      <w:r>
        <w:rPr>
          <w:rFonts w:hAnsi="Arial"/>
          <w:rFonts w:ascii="Arial"/>
          <w:sz w:val="24"/>
          <w:b/>
          <w:i/>
          <w:color w:val="black"/>
        </w:rPr>
        <w:t xml:space="preserve"> </w:t>
      </w:r>
      <w:r>
        <w:rPr>
          <w:rFonts w:hAnsi="Arial"/>
          <w:rFonts w:ascii="Arial"/>
          <w:sz w:val="24"/>
          <w:color w:val="black"/>
        </w:rPr>
        <w:t xml:space="preserve">Sin perjuicio de los requisitos establecidos para los servicios de vigilancia y seguridad privada sin armas, los que se presten con medios tecnolσgicos, deberαn describir y relacionar ante la Superintendencia de Vigilancia y Seguridad Privada, los equipos a utilizar, la ubicaciσn de los mismos, caracterνsticas generales, posibles riesgos fνsicos, adjuntar catαlogos e indicar su procedencia u origen de fabricaciσn, dentro de los plazos establecidos por la Superintendencia de Vigilancia y Seguridad Privada.</w:t>
      </w:r>
    </w:p>
    <w:p>
      <w:pPr>
        <w:jc w:val="both"/>
      </w:pPr>
      <w:rPr>
        <w:sz w:val="24"/>
        <w:color w:val="black"/>
      </w:rPr>
    </w:p>
    <w:p>
      <w:pPr>
        <w:jc w:val="both"/>
      </w:pPr>
      <w:r>
        <w:rPr>
          <w:rFonts w:hAnsi="Arial"/>
          <w:rFonts w:ascii="Arial"/>
          <w:sz w:val="24"/>
          <w:color w:val="black"/>
        </w:rPr>
        <w:t xml:space="preserve">Ademαs se deberαn indicar el personal de vigilancia y seguridad privada que operarα estos medios tecnolσgicos, acreditando la capacitaciσn especνfica en el manejo adecuado de dichos equipos que protejan la seguridad ciudadana.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54" w:name="2.6.1.1.3.3.21"/>
      <w:r>
        <w:rPr>
          <w:rFonts w:hAnsi="Arial"/>
          <w:rFonts w:ascii="Arial"/>
          <w:sz w:val="24"/>
          <w:color w:val="navy"/>
        </w:rPr>
        <w:t xml:space="preserve">ARTΝCULO 2.6.1.1.3.3.21. </w:t>
      </w:r>
      <w:r>
        <w:rPr>
          <w:rFonts w:hAnsi="Arial"/>
          <w:rFonts w:ascii="Arial"/>
          <w:sz w:val="24"/>
          <w:i/>
          <w:color w:val="navy"/>
        </w:rPr>
        <w:t xml:space="preserve">SERVICIOS DE CONSULTORΝA.</w:t>
      </w:r>
      <w:bookmarkEnd w:id="62154"/>
      <w:r>
        <w:rPr>
          <w:rFonts w:hAnsi="Arial"/>
          <w:rFonts w:ascii="Arial"/>
          <w:sz w:val="24"/>
          <w:b/>
          <w:i/>
          <w:color w:val="black"/>
        </w:rPr>
        <w:t xml:space="preserve"> </w:t>
      </w:r>
      <w:r>
        <w:rPr>
          <w:rFonts w:hAnsi="Arial"/>
          <w:rFonts w:ascii="Arial"/>
          <w:sz w:val="24"/>
          <w:color w:val="black"/>
        </w:rPr>
        <w:t xml:space="preserve">Comprende la identificaciσn e investigaciσn de riesgos e incidentes en seguridad privada; la elaboraciσn de estudios y consultorνas en seguridad privada integral; la formulaciσn, recomendaciσn y adopciσn de una estrategia contenida en planes y programas relacionados con polνticas, organizaciσn, mιtodos y procedimientos de vigilancia y seguridad privada, y la prestaciσn de la asistencia necesaria, con el fin de ejecutar dichas estrategias, planes, programas y acciones preventivas o correctivas para satisfacer las necesidades identificadas y propender a los objetivos indicados en el Estatuto para la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55" w:name="2.6.1.1.3.3.22"/>
      <w:r>
        <w:rPr>
          <w:rFonts w:hAnsi="Arial"/>
          <w:rFonts w:ascii="Arial"/>
          <w:sz w:val="24"/>
          <w:color w:val="navy"/>
        </w:rPr>
        <w:t xml:space="preserve">ARTΝCULO 2.6.1.1.3.3.22. </w:t>
      </w:r>
      <w:r>
        <w:rPr>
          <w:rFonts w:hAnsi="Arial"/>
          <w:rFonts w:ascii="Arial"/>
          <w:sz w:val="24"/>
          <w:i/>
          <w:color w:val="navy"/>
        </w:rPr>
        <w:t xml:space="preserve">SERVICIOS DE ASESORΝA.</w:t>
      </w:r>
      <w:bookmarkEnd w:id="62155"/>
      <w:r>
        <w:rPr>
          <w:rFonts w:hAnsi="Arial"/>
          <w:rFonts w:ascii="Arial"/>
          <w:sz w:val="24"/>
          <w:b/>
          <w:i/>
          <w:color w:val="black"/>
        </w:rPr>
        <w:t xml:space="preserve"> </w:t>
      </w:r>
      <w:r>
        <w:rPr>
          <w:rFonts w:hAnsi="Arial"/>
          <w:rFonts w:ascii="Arial"/>
          <w:sz w:val="24"/>
          <w:color w:val="black"/>
        </w:rPr>
        <w:t xml:space="preserve">Consiste en la elaboraciσn de estudios en seguridad privada integral, mediante la formulaciσn de una estrategia contenida en planes y programas relacionados con polνticas, organizaciσn, mιtodos y procedimientos de vigilancia y seguridad privada. Dentro de la consultorνa se realiza previamente un trabajo de identificaciσn e investigaciσn en riesgos e incidentes en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56" w:name="2.6.1.1.3.3.23"/>
      <w:r>
        <w:rPr>
          <w:rFonts w:hAnsi="Arial"/>
          <w:rFonts w:ascii="Arial"/>
          <w:sz w:val="24"/>
          <w:color w:val="navy"/>
        </w:rPr>
        <w:t xml:space="preserve">ARTΝCULO 2.6.1.1.3.3.23. </w:t>
      </w:r>
      <w:r>
        <w:rPr>
          <w:rFonts w:hAnsi="Arial"/>
          <w:rFonts w:ascii="Arial"/>
          <w:sz w:val="24"/>
          <w:i/>
          <w:color w:val="navy"/>
        </w:rPr>
        <w:t xml:space="preserve">SERVICIOS DE INVESTIGACIΣN.</w:t>
      </w:r>
      <w:bookmarkEnd w:id="62156"/>
      <w:r>
        <w:rPr>
          <w:rFonts w:hAnsi="Arial"/>
          <w:rFonts w:ascii="Arial"/>
          <w:sz w:val="24"/>
          <w:b/>
          <w:i/>
          <w:color w:val="black"/>
        </w:rPr>
        <w:t xml:space="preserve"> </w:t>
      </w:r>
      <w:r>
        <w:rPr>
          <w:rFonts w:hAnsi="Arial"/>
          <w:rFonts w:ascii="Arial"/>
          <w:sz w:val="24"/>
          <w:color w:val="black"/>
        </w:rPr>
        <w:t xml:space="preserve">Comprende el estudio y anαlisis preventivo de riesgos y/o de las causas y fundamentos de los incidentes presentados al interior de una empresa o de quien desarrolla una determinada actividad, a fin de proveer por el cumplimiento de las finalidades y objetivos que persigue la seguridad privada.</w:t>
      </w:r>
    </w:p>
    <w:p>
      <w:pPr>
        <w:jc w:val="both"/>
      </w:pPr>
      <w:rPr>
        <w:sz w:val="24"/>
        <w:color w:val="black"/>
      </w:rPr>
    </w:p>
    <w:p>
      <w:pPr>
        <w:jc w:val="both"/>
      </w:pPr>
      <w:r>
        <w:rPr>
          <w:rFonts w:hAnsi="Arial"/>
          <w:rFonts w:ascii="Arial"/>
          <w:sz w:val="24"/>
          <w:color w:val="black"/>
        </w:rPr>
        <w:t xml:space="preserve">En ningϊn caso los investigadores en seguridad privada podrαn prestar servicios como detectives privados o ejercer labores de investigaciσn judicial o realizar actividades de competencia de las entidades estatales; tampoco pueden efectuar estudios de consultorνa ni asesorνa en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57" w:name="2.6.1.1.3.3.24"/>
      <w:r>
        <w:rPr>
          <w:rFonts w:hAnsi="Arial"/>
          <w:rFonts w:ascii="Arial"/>
          <w:sz w:val="24"/>
          <w:color w:val="navy"/>
        </w:rPr>
        <w:t xml:space="preserve">ARTΝCULO 2.6.1.1.3.3.24. </w:t>
      </w:r>
      <w:r>
        <w:rPr>
          <w:rFonts w:hAnsi="Arial"/>
          <w:rFonts w:ascii="Arial"/>
          <w:sz w:val="24"/>
          <w:i/>
          <w:color w:val="navy"/>
        </w:rPr>
        <w:t xml:space="preserve">OBTENCIΣN DE CREDENCIALES.</w:t>
      </w:r>
      <w:bookmarkEnd w:id="62157"/>
      <w:r>
        <w:rPr>
          <w:rFonts w:hAnsi="Arial"/>
          <w:rFonts w:ascii="Arial"/>
          <w:sz w:val="24"/>
          <w:b/>
          <w:i/>
          <w:color w:val="black"/>
        </w:rPr>
        <w:t xml:space="preserve"> </w:t>
      </w:r>
      <w:r>
        <w:rPr>
          <w:rFonts w:hAnsi="Arial"/>
          <w:rFonts w:ascii="Arial"/>
          <w:sz w:val="24"/>
          <w:color w:val="black"/>
        </w:rPr>
        <w:t xml:space="preserve">Para obtener la credencial de consultor, asesor, o investigador en seguridad privada, se requiere acreditar uno de los siguientes requisitos:</w:t>
      </w:r>
    </w:p>
    <w:p>
      <w:pPr>
        <w:jc w:val="both"/>
      </w:pPr>
      <w:rPr>
        <w:sz w:val="24"/>
        <w:color w:val="black"/>
      </w:rPr>
    </w:p>
    <w:p>
      <w:pPr>
        <w:jc w:val="both"/>
      </w:pPr>
      <w:r>
        <w:rPr>
          <w:rFonts w:hAnsi="Arial"/>
          <w:rFonts w:ascii="Arial"/>
          <w:sz w:val="24"/>
          <w:b/>
          <w:color w:val="black"/>
        </w:rPr>
        <w:t xml:space="preserve">a) </w:t>
      </w:r>
      <w:r>
        <w:rPr>
          <w:rFonts w:hAnsi="Arial"/>
          <w:rFonts w:ascii="Arial"/>
          <w:sz w:val="24"/>
          <w:color w:val="black"/>
        </w:rPr>
        <w:t xml:space="preserve">Consultor en Seguridad Privada:</w:t>
      </w:r>
    </w:p>
    <w:p>
      <w:pPr>
        <w:jc w:val="both"/>
      </w:pPr>
      <w:rPr>
        <w:sz w:val="24"/>
        <w:color w:val="black"/>
      </w:rPr>
    </w:p>
    <w:p>
      <w:pPr>
        <w:jc w:val="both"/>
      </w:pPr>
      <w:r>
        <w:rPr>
          <w:rFonts w:hAnsi="Arial"/>
          <w:rFonts w:ascii="Arial"/>
          <w:sz w:val="24"/>
          <w:color w:val="black"/>
        </w:rPr>
        <w:t xml:space="preserve">- Ser Oficial Superior de la Fuerza Pϊblica en retiro y postgrado en αreas de la Seguridad o la Defensa.</w:t>
      </w:r>
    </w:p>
    <w:p>
      <w:pPr>
        <w:jc w:val="both"/>
      </w:pPr>
      <w:rPr>
        <w:sz w:val="24"/>
        <w:color w:val="black"/>
      </w:rPr>
    </w:p>
    <w:p>
      <w:pPr>
        <w:jc w:val="both"/>
      </w:pPr>
      <w:r>
        <w:rPr>
          <w:rFonts w:hAnsi="Arial"/>
          <w:rFonts w:ascii="Arial"/>
          <w:sz w:val="24"/>
          <w:color w:val="black"/>
        </w:rPr>
        <w:t xml:space="preserve">- Tνtulo de formaciσn universitaria o ser oficial Superior de la Fuerza Pϊblica en retiro y dos (2) aρos de experiencia en cargos administrativos u operativos en Seguridad Privada.</w:t>
      </w:r>
    </w:p>
    <w:p>
      <w:pPr>
        <w:jc w:val="both"/>
      </w:pPr>
      <w:rPr>
        <w:sz w:val="24"/>
        <w:color w:val="black"/>
      </w:rPr>
    </w:p>
    <w:p>
      <w:pPr>
        <w:jc w:val="both"/>
      </w:pPr>
      <w:r>
        <w:rPr>
          <w:rFonts w:hAnsi="Arial"/>
          <w:rFonts w:ascii="Arial"/>
          <w:sz w:val="24"/>
          <w:color w:val="black"/>
        </w:rPr>
        <w:t xml:space="preserve">- Tνtulo de formaciσn universitaria y postgrado en αreas de Seguridad Privada o Seguridad Integral.</w:t>
      </w:r>
    </w:p>
    <w:p>
      <w:pPr>
        <w:jc w:val="both"/>
      </w:pPr>
      <w:rPr>
        <w:sz w:val="24"/>
        <w:color w:val="black"/>
      </w:rPr>
    </w:p>
    <w:p>
      <w:pPr>
        <w:jc w:val="both"/>
      </w:pPr>
      <w:r>
        <w:rPr>
          <w:rFonts w:hAnsi="Arial"/>
          <w:rFonts w:ascii="Arial"/>
          <w:sz w:val="24"/>
          <w:color w:val="black"/>
        </w:rPr>
        <w:t xml:space="preserve">- Experiencia especνfica o relacionada con el manejo de servicios de Vigilancia y Seguridad Privada, en calidad de Jefe de Operaciones o Director de Seguridad por un tiempo no inferior a siete (7) aρos.</w:t>
      </w:r>
    </w:p>
    <w:p>
      <w:pPr>
        <w:jc w:val="both"/>
      </w:pPr>
      <w:rPr>
        <w:sz w:val="24"/>
        <w:color w:val="black"/>
      </w:rPr>
    </w:p>
    <w:p>
      <w:pPr>
        <w:jc w:val="both"/>
      </w:pPr>
      <w:r>
        <w:rPr>
          <w:rFonts w:hAnsi="Arial"/>
          <w:rFonts w:ascii="Arial"/>
          <w:sz w:val="24"/>
          <w:color w:val="black"/>
        </w:rPr>
        <w:t xml:space="preserve">- Los ex funcionarios del Departamento Administrativo de Seguridad DAS que hubieren ejercido cargos por un perνodo no inferior a tres (3) aρos como Director, Subdirector,</w:t>
      </w:r>
    </w:p>
    <w:p>
      <w:pPr>
        <w:jc w:val="both"/>
      </w:pPr>
      <w:rPr>
        <w:sz w:val="24"/>
        <w:color w:val="black"/>
      </w:rPr>
    </w:p>
    <w:p>
      <w:pPr>
        <w:jc w:val="both"/>
      </w:pPr>
      <w:r>
        <w:rPr>
          <w:rFonts w:hAnsi="Arial"/>
          <w:rFonts w:ascii="Arial"/>
          <w:sz w:val="24"/>
          <w:color w:val="black"/>
        </w:rPr>
        <w:t xml:space="preserve">Secretario General, Director General de Inteligencia, Director General Operativo y Subdirectores, Directores Seccionales y Subdirectores Seccionales y Director Tιcnico de Academia y Jefe Oficina de Protecciσn Especial.</w:t>
      </w:r>
    </w:p>
    <w:p>
      <w:pPr>
        <w:jc w:val="both"/>
      </w:pPr>
      <w:rPr>
        <w:sz w:val="24"/>
        <w:color w:val="black"/>
      </w:rPr>
    </w:p>
    <w:p>
      <w:pPr>
        <w:jc w:val="both"/>
      </w:pPr>
      <w:r>
        <w:rPr>
          <w:rFonts w:hAnsi="Arial"/>
          <w:rFonts w:ascii="Arial"/>
          <w:sz w:val="24"/>
          <w:color w:val="black"/>
        </w:rPr>
        <w:t xml:space="preserve">- Las personas que acrediten tνtulo universitario como Administrador Policial conforme a la Ley </w:t>
      </w:r>
      <w:r>
        <w:fldChar w:fldCharType="begin"/>
      </w:r>
      <w:r>
        <w:instrText>HYPERLINK "http://www.redjurista.com/document.aspx?ajcode=l1249008&amp;arts=INICIO"</w:instrText>
      </w:r>
      <w:r>
        <w:fldChar w:fldCharType="separate"/>
      </w:r>
      <w:r>
        <w:rPr>
          <w:rFonts w:hAnsi="Arial"/>
          <w:rFonts w:ascii="Arial"/>
          <w:sz w:val="24"/>
          <w:u w:val="single"/>
          <w:color w:val="black"/>
        </w:rPr>
        <w:t>1249</w:t>
      </w:r>
      <w:r>
        <w:fldChar w:fldCharType="end"/>
      </w:r>
      <w:r>
        <w:rPr>
          <w:rFonts w:hAnsi="Arial"/>
          <w:rFonts w:ascii="Arial"/>
          <w:sz w:val="24"/>
          <w:u w:val="none"/>
          <w:color w:val="black"/>
        </w:rPr>
        <w:t xml:space="preserve"> de 2008 y demαs normas que la desarrollen o reglamenten.</w:t>
      </w:r>
    </w:p>
    <w:p>
      <w:pPr>
        <w:jc w:val="both"/>
      </w:pPr>
      <w:rPr>
        <w:sz w:val="24"/>
        <w:color w:val="black"/>
      </w:rPr>
    </w:p>
    <w:p>
      <w:pPr>
        <w:jc w:val="both"/>
      </w:pPr>
      <w:r>
        <w:rPr>
          <w:rFonts w:hAnsi="Arial"/>
          <w:rFonts w:ascii="Arial"/>
          <w:sz w:val="24"/>
          <w:b/>
          <w:color w:val="black"/>
        </w:rPr>
        <w:t xml:space="preserve">b) </w:t>
      </w:r>
      <w:r>
        <w:rPr>
          <w:rFonts w:hAnsi="Arial"/>
          <w:rFonts w:ascii="Arial"/>
          <w:sz w:val="24"/>
          <w:color w:val="black"/>
        </w:rPr>
        <w:t xml:space="preserve">Asesor en Seguridad Privada:</w:t>
      </w:r>
    </w:p>
    <w:p>
      <w:pPr>
        <w:jc w:val="both"/>
      </w:pPr>
      <w:rPr>
        <w:sz w:val="24"/>
        <w:color w:val="black"/>
      </w:rPr>
    </w:p>
    <w:p>
      <w:pPr>
        <w:jc w:val="both"/>
      </w:pPr>
      <w:r>
        <w:rPr>
          <w:rFonts w:hAnsi="Arial"/>
          <w:rFonts w:ascii="Arial"/>
          <w:sz w:val="24"/>
          <w:color w:val="black"/>
        </w:rPr>
        <w:t xml:space="preserve">- Tνtulo de formaciσn universitaria o ser oficial de la Fuerza Pϊblica en retiro y un (1) aρo de experiencia en cargos administrativos u operativos en Seguridad Privada.</w:t>
      </w:r>
    </w:p>
    <w:p>
      <w:pPr>
        <w:jc w:val="both"/>
      </w:pPr>
      <w:rPr>
        <w:sz w:val="24"/>
        <w:color w:val="black"/>
      </w:rPr>
    </w:p>
    <w:p>
      <w:pPr>
        <w:jc w:val="both"/>
      </w:pPr>
      <w:r>
        <w:rPr>
          <w:rFonts w:hAnsi="Arial"/>
          <w:rFonts w:ascii="Arial"/>
          <w:sz w:val="24"/>
          <w:color w:val="black"/>
        </w:rPr>
        <w:t xml:space="preserve">- Posgrado en αreas de seguridad privada o seguridad integral.</w:t>
      </w:r>
    </w:p>
    <w:p>
      <w:pPr>
        <w:jc w:val="both"/>
      </w:pPr>
      <w:rPr>
        <w:sz w:val="24"/>
        <w:color w:val="black"/>
      </w:rPr>
    </w:p>
    <w:p>
      <w:pPr>
        <w:jc w:val="both"/>
      </w:pPr>
      <w:r>
        <w:rPr>
          <w:rFonts w:hAnsi="Arial"/>
          <w:rFonts w:ascii="Arial"/>
          <w:sz w:val="24"/>
          <w:color w:val="black"/>
        </w:rPr>
        <w:t xml:space="preserve">- Diplomado en αreas de vigilancia y seguridad privada y tres (3) aρos de experiencia especνfica o relacionada con el manejo de servicios de vigilancia y seguridad privada, en calidad de jefe de operaciones o director de seguridad privada.</w:t>
      </w:r>
    </w:p>
    <w:p>
      <w:pPr>
        <w:jc w:val="both"/>
      </w:pPr>
      <w:rPr>
        <w:sz w:val="24"/>
        <w:color w:val="black"/>
      </w:rPr>
    </w:p>
    <w:p>
      <w:pPr>
        <w:jc w:val="both"/>
      </w:pPr>
      <w:r>
        <w:rPr>
          <w:rFonts w:hAnsi="Arial"/>
          <w:rFonts w:ascii="Arial"/>
          <w:sz w:val="24"/>
          <w:color w:val="black"/>
        </w:rPr>
        <w:t xml:space="preserve">- Cinco (5) aρos de experiencia especνfica o relacionada con el manejo de servicios de Vigilancia y Seguridad Privada en calidad de Jefe de Operaciones o Director de Seguridad.</w:t>
      </w:r>
    </w:p>
    <w:p>
      <w:pPr>
        <w:jc w:val="both"/>
      </w:pPr>
      <w:rPr>
        <w:sz w:val="24"/>
        <w:color w:val="black"/>
      </w:rPr>
    </w:p>
    <w:p>
      <w:pPr>
        <w:jc w:val="both"/>
      </w:pPr>
      <w:r>
        <w:rPr>
          <w:rFonts w:hAnsi="Arial"/>
          <w:rFonts w:ascii="Arial"/>
          <w:sz w:val="24"/>
          <w:color w:val="black"/>
        </w:rPr>
        <w:t xml:space="preserve">- Los ex funcionarios del Departamento Administrativo de Seguridad DAS, que hubieren ocupado por un perνodo no inferior a tres (3) aρos como Profesional Operativo, Criminalνstico Especializado, Subdirector de academia o ejercido como Coordinadores en la Oficina de Protecciσn Especial.</w:t>
      </w:r>
    </w:p>
    <w:p>
      <w:pPr>
        <w:jc w:val="both"/>
      </w:pPr>
      <w:rPr>
        <w:sz w:val="24"/>
        <w:color w:val="black"/>
      </w:rPr>
    </w:p>
    <w:p>
      <w:pPr>
        <w:jc w:val="both"/>
      </w:pPr>
      <w:r>
        <w:rPr>
          <w:rFonts w:hAnsi="Arial"/>
          <w:rFonts w:ascii="Arial"/>
          <w:sz w:val="24"/>
          <w:color w:val="black"/>
        </w:rPr>
        <w:t xml:space="preserve">- Miembros de la Fuerza Pϊblica en retiro, que se hubiesen desempeρado como Oficiales, mandos medios o Suboficiales por un perνodo no inferior a tres (3) aρos y postgrado en αreas de seguridad privada o seguridad integral.</w:t>
      </w:r>
    </w:p>
    <w:p>
      <w:pPr>
        <w:jc w:val="both"/>
      </w:pPr>
      <w:rPr>
        <w:sz w:val="24"/>
        <w:color w:val="black"/>
      </w:rPr>
    </w:p>
    <w:p>
      <w:pPr>
        <w:jc w:val="both"/>
      </w:pPr>
      <w:r>
        <w:rPr>
          <w:rFonts w:hAnsi="Arial"/>
          <w:rFonts w:ascii="Arial"/>
          <w:sz w:val="24"/>
          <w:color w:val="black"/>
        </w:rPr>
        <w:t xml:space="preserve">- Cumplir con cualquiera de los requisitos establecidos en el literal a) del presente artνculo.</w:t>
      </w:r>
    </w:p>
    <w:p>
      <w:pPr>
        <w:jc w:val="both"/>
      </w:pPr>
      <w:rPr>
        <w:sz w:val="24"/>
        <w:color w:val="black"/>
      </w:rPr>
    </w:p>
    <w:p>
      <w:pPr>
        <w:jc w:val="both"/>
      </w:pPr>
      <w:r>
        <w:rPr>
          <w:rFonts w:hAnsi="Arial"/>
          <w:rFonts w:ascii="Arial"/>
          <w:sz w:val="24"/>
          <w:b/>
          <w:color w:val="black"/>
        </w:rPr>
        <w:t xml:space="preserve">c) </w:t>
      </w:r>
      <w:r>
        <w:rPr>
          <w:rFonts w:hAnsi="Arial"/>
          <w:rFonts w:ascii="Arial"/>
          <w:sz w:val="24"/>
          <w:color w:val="black"/>
        </w:rPr>
        <w:t xml:space="preserve">Investigador en Seguridad Privada:</w:t>
      </w:r>
    </w:p>
    <w:p>
      <w:pPr>
        <w:jc w:val="both"/>
      </w:pPr>
      <w:rPr>
        <w:sz w:val="24"/>
        <w:color w:val="black"/>
      </w:rPr>
    </w:p>
    <w:p>
      <w:pPr>
        <w:jc w:val="both"/>
      </w:pPr>
      <w:r>
        <w:rPr>
          <w:rFonts w:hAnsi="Arial"/>
          <w:rFonts w:ascii="Arial"/>
          <w:sz w:val="24"/>
          <w:color w:val="black"/>
        </w:rPr>
        <w:t xml:space="preserve">- Diplomado en αreas relacionadas con Vigilancia y Seguridad Privada y Experiencia especνfica o relacionada con el manejo de servicios de Vigilancia y Seguridad Privada, en calidad de Jefe de Operaciones o Director de Seguridad por un tiempo no inferior a un (1) aρo.</w:t>
      </w:r>
    </w:p>
    <w:p>
      <w:pPr>
        <w:jc w:val="both"/>
      </w:pPr>
      <w:rPr>
        <w:sz w:val="24"/>
        <w:color w:val="black"/>
      </w:rPr>
    </w:p>
    <w:p>
      <w:pPr>
        <w:jc w:val="both"/>
      </w:pPr>
      <w:r>
        <w:rPr>
          <w:rFonts w:hAnsi="Arial"/>
          <w:rFonts w:ascii="Arial"/>
          <w:sz w:val="24"/>
          <w:color w:val="black"/>
        </w:rPr>
        <w:t xml:space="preserve">- Tres (3) aρos de experiencia especνfica o relacionada con el manejo de servicios de Vigilancia y Seguridad Privada en calidad de Jefe de Operaciones o Director de Seguridad.</w:t>
      </w:r>
    </w:p>
    <w:p>
      <w:pPr>
        <w:jc w:val="both"/>
      </w:pPr>
      <w:rPr>
        <w:sz w:val="24"/>
        <w:color w:val="black"/>
      </w:rPr>
    </w:p>
    <w:p>
      <w:pPr>
        <w:jc w:val="both"/>
      </w:pPr>
      <w:r>
        <w:rPr>
          <w:rFonts w:hAnsi="Arial"/>
          <w:rFonts w:ascii="Arial"/>
          <w:sz w:val="24"/>
          <w:color w:val="black"/>
        </w:rPr>
        <w:t xml:space="preserve">- Los ex funcionarios del Departamento Administrativo de Seguridad DAS que hubieren ocupado por un perνodo no inferior a tres (3) aρos como Detectives o empleos del αrea Operativa.</w:t>
      </w:r>
    </w:p>
    <w:p>
      <w:pPr>
        <w:jc w:val="both"/>
      </w:pPr>
      <w:rPr>
        <w:sz w:val="24"/>
        <w:color w:val="black"/>
      </w:rPr>
    </w:p>
    <w:p>
      <w:pPr>
        <w:jc w:val="both"/>
      </w:pPr>
      <w:r>
        <w:rPr>
          <w:rFonts w:hAnsi="Arial"/>
          <w:rFonts w:ascii="Arial"/>
          <w:sz w:val="24"/>
          <w:color w:val="black"/>
        </w:rPr>
        <w:t xml:space="preserve">- Miembros de la Fuerza Pϊblica en retiro, que se hubiesen desempeρado como Oficiales o Suboficiales por un perνodo no inferior a un (1) aρo.</w:t>
      </w:r>
    </w:p>
    <w:p>
      <w:pPr>
        <w:jc w:val="both"/>
      </w:pPr>
      <w:rPr>
        <w:sz w:val="24"/>
        <w:color w:val="black"/>
      </w:rPr>
    </w:p>
    <w:p>
      <w:pPr>
        <w:jc w:val="both"/>
      </w:pPr>
      <w:r>
        <w:rPr>
          <w:rFonts w:hAnsi="Arial"/>
          <w:rFonts w:ascii="Arial"/>
          <w:sz w:val="24"/>
          <w:color w:val="black"/>
        </w:rPr>
        <w:t xml:space="preserve">- Cumplir con cualquiera de los requisitos para ser consultor y/o asesor de los establecidos en los literales a) y b) respectivamente, del presente artνculo.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credencial de consultor tambiιn habilita para realizar asesorνas e investigaciones en Seguridad Privada, la de asesor tambiιn habilita para efectuar investigaciones en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"http://www.redjurista.com/document.aspx?ajcode=d2885009&amp;arts=3"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 Decreto 2885 de 2009)</w:t>
      </w:r>
    </w:p>
    <w:p>
      <w:pPr>
        <w:jc w:val="both"/>
      </w:pPr>
      <w:rPr>
        <w:color w:val="black"/>
      </w:rPr>
    </w:p>
    <w:p>
      <w:pPr>
        <w:jc w:val="both"/>
      </w:pPr>
      <w:r>
        <w:rPr>
          <w:rFonts w:hAnsi="Arial"/>
          <w:rFonts w:ascii="Arial"/>
          <w:sz w:val="24"/>
          <w:vanish/>
          <w:color w:val="black"/>
        </w:rPr>
        <w:t>&amp;$</w:t>
      </w:r>
      <w:bookmarkStart w:id="62158" w:name="2.6.1.1.3.3.25"/>
      <w:r>
        <w:rPr>
          <w:rFonts w:hAnsi="Arial"/>
          <w:rFonts w:ascii="Arial"/>
          <w:sz w:val="24"/>
          <w:color w:val="navy"/>
        </w:rPr>
        <w:t xml:space="preserve">ARTΝCULO 2.6.1.1.3.3.25. </w:t>
      </w:r>
      <w:r>
        <w:rPr>
          <w:rFonts w:hAnsi="Arial"/>
          <w:rFonts w:ascii="Arial"/>
          <w:sz w:val="24"/>
          <w:i/>
          <w:color w:val="navy"/>
        </w:rPr>
        <w:t>PRUEBAS.</w:t>
      </w:r>
      <w:bookmarkEnd w:id="62158"/>
      <w:r>
        <w:rPr>
          <w:rFonts w:hAnsi="Arial"/>
          <w:rFonts w:ascii="Arial"/>
          <w:sz w:val="24"/>
          <w:b/>
          <w:i/>
          <w:color w:val="black"/>
        </w:rPr>
        <w:t xml:space="preserve"> </w:t>
      </w:r>
      <w:r>
        <w:rPr>
          <w:rFonts w:hAnsi="Arial"/>
          <w:rFonts w:ascii="Arial"/>
          <w:sz w:val="24"/>
          <w:color w:val="black"/>
        </w:rPr>
        <w:t xml:space="preserve">La Superintendencia de Vigilancia y Seguridad Privada podrα aplicar pruebas y evaluaciones para la expediciσn de las licencias y credenciales de los servicios de asesorνa, consultorνa e investigaciσn en seguridad.</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59" w:name="2.6.1.1.3.3.26"/>
      <w:r>
        <w:rPr>
          <w:rFonts w:hAnsi="Arial"/>
          <w:rFonts w:ascii="Arial"/>
          <w:sz w:val="24"/>
          <w:color w:val="navy"/>
        </w:rPr>
        <w:t xml:space="preserve">ARTΝCULO 2.6.1.1.3.3.26. </w:t>
      </w:r>
      <w:r>
        <w:rPr>
          <w:rFonts w:hAnsi="Arial"/>
          <w:rFonts w:ascii="Arial"/>
          <w:sz w:val="24"/>
          <w:i/>
          <w:color w:val="navy"/>
        </w:rPr>
        <w:t xml:space="preserve">ACTIVIDAD BLINDADORA PARA LA VIGILANCIA Y SEGURIDAD PRIVADA.</w:t>
      </w:r>
      <w:bookmarkEnd w:id="62159"/>
      <w:r>
        <w:rPr>
          <w:rFonts w:hAnsi="Arial"/>
          <w:rFonts w:ascii="Arial"/>
          <w:sz w:val="24"/>
          <w:b/>
          <w:i/>
          <w:color w:val="black"/>
        </w:rPr>
        <w:t xml:space="preserve"> </w:t>
      </w:r>
      <w:r>
        <w:rPr>
          <w:rFonts w:hAnsi="Arial"/>
          <w:rFonts w:ascii="Arial"/>
          <w:sz w:val="24"/>
          <w:color w:val="black"/>
        </w:rPr>
        <w:t xml:space="preserve">Entiιndese por actividad blindadora en los servicios de vigilancia y seguridad privada, los servicios de blindaje que comprenden cualquiera de los siguientes tipos:</w:t>
      </w:r>
    </w:p>
    <w:p>
      <w:pPr>
        <w:jc w:val="both"/>
      </w:pPr>
      <w:rPr>
        <w:sz w:val="24"/>
        <w:color w:val="black"/>
      </w:rPr>
    </w:p>
    <w:p>
      <w:pPr>
        <w:jc w:val="both"/>
      </w:pPr>
      <w:r>
        <w:rPr>
          <w:rFonts w:hAnsi="Arial"/>
          <w:rFonts w:ascii="Arial"/>
          <w:sz w:val="24"/>
          <w:color w:val="black"/>
        </w:rPr>
        <w:t xml:space="preserve">1. Fabricaciσn, producciσn, ensamblaje o elaboraciσn de equipos, elementos, productos o automotores blindados para la vigilancia y seguridad privada.</w:t>
      </w:r>
    </w:p>
    <w:p>
      <w:pPr>
        <w:jc w:val="both"/>
      </w:pPr>
      <w:rPr>
        <w:sz w:val="24"/>
        <w:color w:val="black"/>
      </w:rPr>
    </w:p>
    <w:p>
      <w:pPr>
        <w:jc w:val="both"/>
      </w:pPr>
      <w:r>
        <w:rPr>
          <w:rFonts w:hAnsi="Arial"/>
          <w:rFonts w:ascii="Arial"/>
          <w:sz w:val="24"/>
          <w:color w:val="black"/>
        </w:rPr>
        <w:t xml:space="preserve">2. Importaciσn de equipos, bienes, productos o automotores blindados o para el blindaje en la actividad de vigilancia y seguridad privada.</w:t>
      </w:r>
    </w:p>
    <w:p>
      <w:pPr>
        <w:jc w:val="both"/>
      </w:pPr>
      <w:rPr>
        <w:color w:val="black"/>
      </w:rPr>
    </w:p>
    <w:p>
      <w:pPr>
        <w:jc w:val="both"/>
      </w:pPr>
      <w:r>
        <w:rPr>
          <w:rFonts w:hAnsi="Arial"/>
          <w:rFonts w:ascii="Arial"/>
          <w:sz w:val="24"/>
          <w:color w:val="black"/>
        </w:rPr>
        <w:t xml:space="preserve">3. Comercializaciσn de blindajes para la vigilancia y seguridad privada.</w:t>
      </w:r>
    </w:p>
    <w:p>
      <w:pPr>
        <w:jc w:val="both"/>
      </w:pPr>
      <w:rPr>
        <w:sz w:val="24"/>
        <w:color w:val="black"/>
      </w:rPr>
    </w:p>
    <w:p>
      <w:pPr>
        <w:jc w:val="both"/>
      </w:pPr>
      <w:r>
        <w:rPr>
          <w:rFonts w:hAnsi="Arial"/>
          <w:rFonts w:ascii="Arial"/>
          <w:sz w:val="24"/>
          <w:color w:val="black"/>
        </w:rPr>
        <w:t xml:space="preserve">4. Alquiler, arrendamiento, leasing o comodato de equipos, elementos o automotores blindados para la vigilancia y seguridad privada.</w:t>
      </w:r>
    </w:p>
    <w:p>
      <w:pPr>
        <w:jc w:val="both"/>
      </w:pPr>
      <w:rPr>
        <w:color w:val="black"/>
      </w:rPr>
    </w:p>
    <w:p>
      <w:pPr>
        <w:jc w:val="both"/>
      </w:pPr>
      <w:r>
        <w:rPr>
          <w:rFonts w:hAnsi="Arial"/>
          <w:rFonts w:ascii="Arial"/>
          <w:sz w:val="24"/>
          <w:color w:val="black"/>
        </w:rPr>
        <w:t xml:space="preserve">5. Instalaciσn y/o acondicionamiento de elementos, equipos o automotores blindados.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caracterνsticas tιcnicas mνnimas de los diferentes tipos de blindaje serαn establecidas mediante resoluciσn, expedida por la Superintendencia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60" w:name="2.6.1.1.3.3.27"/>
      <w:r>
        <w:rPr>
          <w:rFonts w:hAnsi="Arial"/>
          <w:rFonts w:ascii="Arial"/>
          <w:sz w:val="24"/>
          <w:color w:val="navy"/>
        </w:rPr>
        <w:t xml:space="preserve">ARTΝCULO 2.6.1.1.3.3.27. </w:t>
      </w:r>
      <w:r>
        <w:rPr>
          <w:rFonts w:hAnsi="Arial"/>
          <w:rFonts w:ascii="Arial"/>
          <w:sz w:val="24"/>
          <w:i/>
          <w:color w:val="navy"/>
        </w:rPr>
        <w:t xml:space="preserve">EMPRESAS BLINDADORAS.</w:t>
      </w:r>
      <w:bookmarkEnd w:id="62160"/>
      <w:r>
        <w:rPr>
          <w:rFonts w:hAnsi="Arial"/>
          <w:rFonts w:ascii="Arial"/>
          <w:sz w:val="24"/>
          <w:b/>
          <w:i/>
          <w:color w:val="black"/>
        </w:rPr>
        <w:t xml:space="preserve"> </w:t>
      </w:r>
      <w:r>
        <w:rPr>
          <w:rFonts w:hAnsi="Arial"/>
          <w:rFonts w:ascii="Arial"/>
          <w:sz w:val="24"/>
          <w:color w:val="black"/>
        </w:rPr>
        <w:t xml:space="preserve">Entiιndese por empresas blindadoras las sociedades legalmente constituidas cuyo objeto social consiste en la prestaciσn remunerada de servicios de vigilancia y seguridad privada, a travιs de la adecuaciσn de los tipos de blindajes seρalados en el artνculo anterior, para lo cual deberαn obtener la licencia de funcionamiento de que trata el artνculo </w:t>
      </w:r>
      <w:r>
        <w:fldChar w:fldCharType="begin"/>
      </w:r>
      <w:r>
        <w:instrText>HYPERLINK "http://www.redjurista.com/document.aspx?ajcode=d0356_94&amp;arts=3"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del Decreto 356 de 1994, cuyo capital para su constituciσn no podrα ser inferior a 500 salarios mνnimos legales mensuales vigentes.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constituir una empresa blindadora, se deberα dar cumplimiento a los requisitos del artνculo </w:t>
      </w:r>
      <w:r>
        <w:fldChar w:fldCharType="begin"/>
      </w:r>
      <w:r>
        <w:instrText>HYPERLINK "http://www.redjurista.com/document.aspx?ajcode=d0356_94&amp;arts=9"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356 de 1994.</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61" w:name="2.6.1.1.3.3.28"/>
      <w:r>
        <w:rPr>
          <w:rFonts w:hAnsi="Arial"/>
          <w:rFonts w:ascii="Arial"/>
          <w:sz w:val="24"/>
          <w:color w:val="navy"/>
        </w:rPr>
        <w:t xml:space="preserve">ARTΝCULO 2.6.1.1.3.3.28. </w:t>
      </w:r>
      <w:r>
        <w:rPr>
          <w:rFonts w:hAnsi="Arial"/>
          <w:rFonts w:ascii="Arial"/>
          <w:sz w:val="24"/>
          <w:i/>
          <w:color w:val="navy"/>
        </w:rPr>
        <w:t xml:space="preserve">LICENCIAS DE FUNCIONAMIENTO.</w:t>
      </w:r>
      <w:bookmarkEnd w:id="62161"/>
      <w:r>
        <w:rPr>
          <w:rFonts w:hAnsi="Arial"/>
          <w:rFonts w:ascii="Arial"/>
          <w:sz w:val="24"/>
          <w:b/>
          <w:i/>
          <w:color w:val="black"/>
        </w:rPr>
        <w:t xml:space="preserve"> </w:t>
      </w:r>
      <w:r>
        <w:rPr>
          <w:rFonts w:hAnsi="Arial"/>
          <w:rFonts w:ascii="Arial"/>
          <w:sz w:val="24"/>
          <w:color w:val="black"/>
        </w:rPr>
        <w:t xml:space="preserve">La Superintendencia de Vigilancia y Seguridad Privada, podrα expedir licencia de funcionamiento, para ejercer la actividad blindadora, previo el cumplimiento de los siguientes requisitos por parte del solicitante:</w:t>
      </w:r>
    </w:p>
    <w:p>
      <w:pPr>
        <w:jc w:val="both"/>
      </w:pPr>
      <w:rPr>
        <w:sz w:val="24"/>
        <w:color w:val="black"/>
      </w:rPr>
    </w:p>
    <w:p>
      <w:pPr>
        <w:jc w:val="both"/>
      </w:pPr>
      <w:r>
        <w:rPr>
          <w:rFonts w:hAnsi="Arial"/>
          <w:rFonts w:ascii="Arial"/>
          <w:sz w:val="24"/>
          <w:color w:val="black"/>
        </w:rPr>
        <w:t xml:space="preserve">1. Solicitud dirigida a la Superintendencia de Vigilancia y Seguridad Privada, suscrita por el representante legal, en la cual se informe:</w:t>
      </w:r>
    </w:p>
    <w:p>
      <w:pPr>
        <w:jc w:val="both"/>
      </w:pPr>
      <w:rPr>
        <w:sz w:val="24"/>
        <w:color w:val="black"/>
      </w:rPr>
    </w:p>
    <w:p>
      <w:pPr>
        <w:jc w:val="both"/>
      </w:pPr>
      <w:r>
        <w:rPr>
          <w:rFonts w:hAnsi="Arial"/>
          <w:rFonts w:ascii="Arial"/>
          <w:sz w:val="24"/>
          <w:color w:val="black"/>
        </w:rPr>
        <w:t xml:space="preserve">a) La direcciσn de la sede principal y de las sucursales o agencias en donde pretende desarrollar su actividad, indicando las caracterνsticas, condiciones y medidas de seguridad con las que cuenta para cumplir las finalidades y objetivos sociales;</w:t>
      </w:r>
    </w:p>
    <w:p>
      <w:pPr>
        <w:jc w:val="both"/>
      </w:pPr>
      <w:rPr>
        <w:sz w:val="24"/>
        <w:color w:val="black"/>
      </w:rPr>
    </w:p>
    <w:p>
      <w:pPr>
        <w:jc w:val="both"/>
      </w:pPr>
      <w:r>
        <w:rPr>
          <w:rFonts w:hAnsi="Arial"/>
          <w:rFonts w:ascii="Arial"/>
          <w:sz w:val="24"/>
          <w:color w:val="black"/>
        </w:rPr>
        <w:t xml:space="preserve">b) Sustentaciσn de la capacidad para desarrollar las diferentes actividades de blindaje y cumplir a cabalidad con sus objetivos y finalidades;</w:t>
      </w:r>
    </w:p>
    <w:p>
      <w:pPr>
        <w:jc w:val="both"/>
      </w:pPr>
      <w:rPr>
        <w:sz w:val="24"/>
        <w:color w:val="black"/>
      </w:rPr>
    </w:p>
    <w:p>
      <w:pPr>
        <w:jc w:val="both"/>
      </w:pPr>
      <w:r>
        <w:rPr>
          <w:rFonts w:hAnsi="Arial"/>
          <w:rFonts w:ascii="Arial"/>
          <w:sz w:val="24"/>
          <w:color w:val="black"/>
        </w:rPr>
        <w:t xml:space="preserve">c) Las instalaciones y los medios que pretende utilizar para la prestaciσn del servicio con sus caracterνsticas tιcnicas si es del caso;</w:t>
      </w:r>
    </w:p>
    <w:p>
      <w:pPr>
        <w:jc w:val="both"/>
      </w:pPr>
      <w:rPr>
        <w:sz w:val="24"/>
        <w:color w:val="black"/>
      </w:rPr>
    </w:p>
    <w:p>
      <w:pPr>
        <w:jc w:val="both"/>
      </w:pPr>
      <w:r>
        <w:rPr>
          <w:rFonts w:hAnsi="Arial"/>
          <w:rFonts w:ascii="Arial"/>
          <w:sz w:val="24"/>
          <w:color w:val="black"/>
        </w:rPr>
        <w:t xml:space="preserve">d) Los tipos de blindaje que desarrollarα y su nivel.</w:t>
      </w:r>
    </w:p>
    <w:p>
      <w:pPr>
        <w:jc w:val="both"/>
      </w:pPr>
      <w:rPr>
        <w:sz w:val="24"/>
        <w:color w:val="black"/>
      </w:rPr>
    </w:p>
    <w:p>
      <w:pPr>
        <w:jc w:val="both"/>
      </w:pPr>
      <w:r>
        <w:rPr>
          <w:rFonts w:hAnsi="Arial"/>
          <w:rFonts w:ascii="Arial"/>
          <w:sz w:val="24"/>
          <w:color w:val="black"/>
        </w:rPr>
        <w:t xml:space="preserve">2. Adjuntar los siguientes documentos:</w:t>
      </w:r>
    </w:p>
    <w:p>
      <w:pPr>
        <w:jc w:val="both"/>
      </w:pPr>
      <w:rPr>
        <w:sz w:val="24"/>
        <w:color w:val="black"/>
      </w:rPr>
    </w:p>
    <w:p>
      <w:pPr>
        <w:jc w:val="both"/>
      </w:pPr>
      <w:r>
        <w:rPr>
          <w:rFonts w:hAnsi="Arial"/>
          <w:rFonts w:ascii="Arial"/>
          <w:sz w:val="24"/>
          <w:color w:val="black"/>
        </w:rPr>
        <w:t xml:space="preserve">a) Copia autιntica de la escritura de constituciσn y/o reformas de la misma;</w:t>
      </w:r>
    </w:p>
    <w:p>
      <w:pPr>
        <w:jc w:val="both"/>
      </w:pPr>
      <w:rPr>
        <w:sz w:val="24"/>
        <w:color w:val="black"/>
      </w:rPr>
    </w:p>
    <w:p>
      <w:pPr>
        <w:jc w:val="both"/>
      </w:pPr>
      <w:r>
        <w:rPr>
          <w:rFonts w:hAnsi="Arial"/>
          <w:rFonts w:ascii="Arial"/>
          <w:sz w:val="24"/>
          <w:color w:val="black"/>
        </w:rPr>
        <w:t xml:space="preserve">b) Certificado vigente de existencia y representaciσn legal de la sociedad;</w:t>
      </w:r>
    </w:p>
    <w:p>
      <w:pPr>
        <w:jc w:val="both"/>
      </w:pPr>
      <w:rPr>
        <w:sz w:val="24"/>
        <w:color w:val="black"/>
      </w:rPr>
    </w:p>
    <w:p>
      <w:pPr>
        <w:jc w:val="both"/>
      </w:pPr>
      <w:r>
        <w:rPr>
          <w:rFonts w:hAnsi="Arial"/>
          <w:rFonts w:ascii="Arial"/>
          <w:sz w:val="24"/>
          <w:color w:val="black"/>
        </w:rPr>
        <w:t xml:space="preserve">c) Fotocopia de la pσliza de seguros de responsabilidad civil extracontractual, por un valor no inferior a cuatrocientos (400) salarios mνnimos legales mensuales vigentes, que cubra los riesgos de uso indebido de equipos, medios e instalaciones utilizados en la actividad blindadora para la vigilancia y seguridad privada;</w:t>
      </w:r>
    </w:p>
    <w:p>
      <w:pPr>
        <w:jc w:val="both"/>
      </w:pPr>
      <w:rPr>
        <w:sz w:val="24"/>
        <w:color w:val="black"/>
      </w:rPr>
    </w:p>
    <w:p>
      <w:pPr>
        <w:jc w:val="both"/>
      </w:pPr>
      <w:r>
        <w:rPr>
          <w:rFonts w:hAnsi="Arial"/>
          <w:rFonts w:ascii="Arial"/>
          <w:sz w:val="24"/>
          <w:color w:val="black"/>
        </w:rPr>
        <w:t xml:space="preserve">d) Solicitud de aprobaciσn de instalaciones y medios por parte de la Superintendencia de Vigilancia y Seguridad Privada, visita que se realizarα de manera previa a la expediciσn de la licencia de funcionamiento, efecto para el cual el representante legal o personal autorizado pondrα a disposiciσn de la entidad todo lo necesario para tal fin.</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62" w:name="2.6.1.1.3.3.29"/>
      <w:r>
        <w:rPr>
          <w:rFonts w:hAnsi="Arial"/>
          <w:rFonts w:ascii="Arial"/>
          <w:sz w:val="24"/>
          <w:color w:val="navy"/>
        </w:rPr>
        <w:t xml:space="preserve">ARTΝCULO 2.6.1.1.3.3.29. </w:t>
      </w:r>
      <w:r>
        <w:rPr>
          <w:rFonts w:hAnsi="Arial"/>
          <w:rFonts w:ascii="Arial"/>
          <w:sz w:val="24"/>
          <w:i/>
          <w:color w:val="navy"/>
        </w:rPr>
        <w:t xml:space="preserve">REGISTRO DE USUARIOS.</w:t>
      </w:r>
      <w:bookmarkEnd w:id="62162"/>
      <w:r>
        <w:rPr>
          <w:rFonts w:hAnsi="Arial"/>
          <w:rFonts w:ascii="Arial"/>
          <w:sz w:val="24"/>
          <w:b/>
          <w:i/>
          <w:color w:val="black"/>
        </w:rPr>
        <w:t xml:space="preserve"> </w:t>
      </w:r>
      <w:r>
        <w:rPr>
          <w:rFonts w:hAnsi="Arial"/>
          <w:rFonts w:ascii="Arial"/>
          <w:sz w:val="24"/>
          <w:color w:val="black"/>
        </w:rPr>
        <w:t xml:space="preserve">En cumplimiento del artνculo </w:t>
      </w:r>
      <w:r>
        <w:fldChar w:fldCharType="begin"/>
      </w:r>
      <w:r>
        <w:instrText>HYPERLINK "http://www.redjurista.com/document.aspx?ajcode=d0356_94&amp;arts=55"</w:instrText>
      </w:r>
      <w:r>
        <w:fldChar w:fldCharType="separate"/>
      </w:r>
      <w:r>
        <w:rPr>
          <w:rFonts w:hAnsi="Arial"/>
          <w:rFonts w:ascii="Arial"/>
          <w:sz w:val="24"/>
          <w:u w:val="single"/>
          <w:color w:val="black"/>
        </w:rPr>
        <w:t>55</w:t>
      </w:r>
      <w:r>
        <w:fldChar w:fldCharType="end"/>
      </w:r>
      <w:r>
        <w:rPr>
          <w:rFonts w:hAnsi="Arial"/>
          <w:rFonts w:ascii="Arial"/>
          <w:sz w:val="24"/>
          <w:u w:val="none"/>
          <w:color w:val="black"/>
        </w:rPr>
        <w:t xml:space="preserve"> del Decreto 356 de 1994, las empresas blindadoras deberαn elaborar y mantener un registro de sus usuarios y compradores, el cual contendrα la siguiente informaciσn: Nombre, documento de identidad, objeto a blindar, direcciσn y telιfono. Esta informaciσn se mantendrα actualizada y podrα ser solicitada por la Superintendencia de Vigilancia y Seguridad Privada, en cualquier momento.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63" w:name="2.6.1.1.3.3.30"/>
      <w:r>
        <w:rPr>
          <w:rFonts w:hAnsi="Arial"/>
          <w:rFonts w:ascii="Arial"/>
          <w:sz w:val="24"/>
          <w:color w:val="navy"/>
        </w:rPr>
        <w:t xml:space="preserve">ARTΝCULO 2.6.1.1.3.3.30. </w:t>
      </w:r>
      <w:r>
        <w:rPr>
          <w:rFonts w:hAnsi="Arial"/>
          <w:rFonts w:ascii="Arial"/>
          <w:sz w:val="24"/>
          <w:i/>
          <w:color w:val="navy"/>
        </w:rPr>
        <w:t xml:space="preserve">REQUISITOS PARA USUARIOS Y COMPRADORES DE EQUIPOS, ELEMENTOS Y AUTOMOTORES BLINDADOS.</w:t>
      </w:r>
      <w:bookmarkEnd w:id="62163"/>
      <w:r>
        <w:rPr>
          <w:rFonts w:hAnsi="Arial"/>
          <w:rFonts w:ascii="Arial"/>
          <w:sz w:val="24"/>
          <w:b/>
          <w:i/>
          <w:color w:val="black"/>
        </w:rPr>
        <w:t xml:space="preserve"> </w:t>
      </w:r>
      <w:r>
        <w:rPr>
          <w:rFonts w:hAnsi="Arial"/>
          <w:rFonts w:ascii="Arial"/>
          <w:sz w:val="24"/>
          <w:color w:val="black"/>
        </w:rPr>
        <w:t xml:space="preserve">En desarrollo del artνculo </w:t>
      </w:r>
      <w:r>
        <w:fldChar w:fldCharType="begin"/>
      </w:r>
      <w:r>
        <w:instrText>HYPERLINK "http://www.redjurista.com/document.aspx?ajcode=d0356_94&amp;arts=80"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del Decreto-ley 356 de 1994, las personas naturales o jurνdicas de derecho pϊblico o privado interesadas en la adquisiciσn, instalaciσn, importaciσn, acondicionamiento, arrendamiento, uso o empleo de blindajes para la vigilancia y seguridad privada, elevarαn una solicitud previa de autorizaciσn, adjuntando la siguiente informaciσn y documentos:</w:t>
      </w:r>
    </w:p>
    <w:p>
      <w:pPr>
        <w:jc w:val="both"/>
      </w:pPr>
      <w:rPr>
        <w:sz w:val="24"/>
        <w:color w:val="black"/>
      </w:rPr>
    </w:p>
    <w:p>
      <w:pPr>
        <w:jc w:val="both"/>
      </w:pPr>
      <w:r>
        <w:rPr>
          <w:rFonts w:hAnsi="Arial"/>
          <w:rFonts w:ascii="Arial"/>
          <w:sz w:val="24"/>
          <w:color w:val="black"/>
        </w:rPr>
        <w:t xml:space="preserve">a) Acreditar los requisitos a que se refiere el literal c) del artνculo </w:t>
      </w:r>
      <w:r>
        <w:fldChar w:fldCharType="begin"/>
      </w:r>
      <w:r>
        <w:instrText>HYPERLINK "http://www.redjurista.com/document.aspx?ajcode=d2535_93&amp;arts=34"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2535 de 1993;</w:t>
      </w:r>
    </w:p>
    <w:p>
      <w:pPr>
        <w:jc w:val="both"/>
      </w:pPr>
      <w:rPr>
        <w:color w:val="black"/>
      </w:rPr>
    </w:p>
    <w:p>
      <w:pPr>
        <w:jc w:val="both"/>
      </w:pPr>
      <w:r>
        <w:rPr>
          <w:rFonts w:hAnsi="Arial"/>
          <w:rFonts w:ascii="Arial"/>
          <w:sz w:val="24"/>
          <w:color w:val="black"/>
        </w:rPr>
        <w:t xml:space="preserve">b) Nombre y direcciσn de la empresa donde trabaja o actividad que desarrolla, asν como la direcciσn de los propietarios y usuarios de los blindajes para vigilancia y seguridad privada;</w:t>
      </w:r>
    </w:p>
    <w:p>
      <w:pPr>
        <w:jc w:val="both"/>
      </w:pPr>
      <w:rPr>
        <w:sz w:val="24"/>
        <w:color w:val="black"/>
      </w:rPr>
    </w:p>
    <w:p>
      <w:pPr>
        <w:jc w:val="both"/>
      </w:pPr>
      <w:r>
        <w:rPr>
          <w:rFonts w:hAnsi="Arial"/>
          <w:rFonts w:ascii="Arial"/>
          <w:sz w:val="24"/>
          <w:color w:val="black"/>
        </w:rPr>
        <w:t xml:space="preserve">c) Identificaciσn y caracterνsticas del objeto a blindar, anexando fotocopia del documento que acredita la propiedad del mismo;</w:t>
      </w:r>
    </w:p>
    <w:p>
      <w:pPr>
        <w:jc w:val="both"/>
      </w:pPr>
      <w:rPr>
        <w:sz w:val="24"/>
        <w:color w:val="black"/>
      </w:rPr>
    </w:p>
    <w:p>
      <w:pPr>
        <w:jc w:val="both"/>
      </w:pPr>
      <w:r>
        <w:rPr>
          <w:rFonts w:hAnsi="Arial"/>
          <w:rFonts w:ascii="Arial"/>
          <w:sz w:val="24"/>
          <w:color w:val="black"/>
        </w:rPr>
        <w:t xml:space="preserve">d) Fotocopia autenticada de la cιdula de ciudadanνa del propietario y de los usuarios;</w:t>
      </w:r>
    </w:p>
    <w:p>
      <w:pPr>
        <w:jc w:val="both"/>
      </w:pPr>
      <w:rPr>
        <w:sz w:val="24"/>
        <w:color w:val="black"/>
      </w:rPr>
    </w:p>
    <w:p>
      <w:pPr>
        <w:jc w:val="both"/>
      </w:pPr>
      <w:r>
        <w:rPr>
          <w:rFonts w:hAnsi="Arial"/>
          <w:rFonts w:ascii="Arial"/>
          <w:sz w:val="24"/>
          <w:color w:val="black"/>
        </w:rPr>
        <w:t xml:space="preserve">e) Fotocopia autenticada del certificado judicial nacional vigente para personas naturales y usuarios del vehνculo;</w:t>
      </w:r>
    </w:p>
    <w:p>
      <w:pPr>
        <w:jc w:val="both"/>
      </w:pPr>
      <w:rPr>
        <w:sz w:val="24"/>
        <w:color w:val="black"/>
      </w:rPr>
    </w:p>
    <w:p>
      <w:pPr>
        <w:jc w:val="both"/>
      </w:pPr>
      <w:r>
        <w:rPr>
          <w:rFonts w:hAnsi="Arial"/>
          <w:rFonts w:ascii="Arial"/>
          <w:sz w:val="24"/>
          <w:color w:val="black"/>
        </w:rPr>
        <w:t xml:space="preserve">f) Si se trata de acondicionar, indicar la fαbrica, establecimiento o taller que efectuarα el trabajo, mencionando el nivel del blindaje. Si se trata de adquirir un blindado, identificar plenamente a su actual propietario;</w:t>
      </w:r>
    </w:p>
    <w:p>
      <w:pPr>
        <w:jc w:val="both"/>
      </w:pPr>
      <w:rPr>
        <w:sz w:val="24"/>
        <w:color w:val="black"/>
      </w:rPr>
    </w:p>
    <w:p>
      <w:pPr>
        <w:jc w:val="both"/>
      </w:pPr>
      <w:r>
        <w:rPr>
          <w:rFonts w:hAnsi="Arial"/>
          <w:rFonts w:ascii="Arial"/>
          <w:sz w:val="24"/>
          <w:color w:val="black"/>
        </w:rPr>
        <w:t xml:space="preserve">g) Si se trata de un traspaso se debe anexar carta del actual propietario avalando la venta o transacciσn a realizar;</w:t>
      </w:r>
    </w:p>
    <w:p>
      <w:pPr>
        <w:jc w:val="both"/>
      </w:pPr>
      <w:rPr>
        <w:sz w:val="24"/>
        <w:color w:val="black"/>
      </w:rPr>
    </w:p>
    <w:p>
      <w:pPr>
        <w:jc w:val="both"/>
      </w:pPr>
      <w:r>
        <w:rPr>
          <w:rFonts w:hAnsi="Arial"/>
          <w:rFonts w:ascii="Arial"/>
          <w:sz w:val="24"/>
          <w:color w:val="black"/>
        </w:rPr>
        <w:t xml:space="preserve">h) Para personas jurνdicas aportar el certificado de Cαmara de Comercio actualizado y fotocopia autenticada del Nit;</w:t>
      </w:r>
    </w:p>
    <w:p>
      <w:pPr>
        <w:jc w:val="both"/>
      </w:pPr>
      <w:rPr>
        <w:sz w:val="24"/>
        <w:color w:val="black"/>
      </w:rPr>
    </w:p>
    <w:p>
      <w:pPr>
        <w:jc w:val="both"/>
      </w:pPr>
      <w:r>
        <w:rPr>
          <w:rFonts w:hAnsi="Arial"/>
          <w:rFonts w:ascii="Arial"/>
          <w:sz w:val="24"/>
          <w:color w:val="black"/>
        </w:rPr>
        <w:t xml:space="preserve">i) En el caso del contrato de leasing, anexar copia del mismo y autorizaciσn del blindaje de los representantes legales en caso de personas jurνdicas o de las personas naturales que contratan.</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Presentada la solicitud a que se refiere el presente artνculo, la Superintendencia de Vigilancia y Seguridad Privada, previo estudio de la solicitud correspondiente, procederα, con base en la potestad discrecional, a conceder o negar la autorizaciσn.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cumplimiento de estos requisitos, no se aplicarα cuando se trate de acondicionar vehνculos blindados del Ministerio de Defensa Nacional y de sus organismos adscritos o vinculados. Para estos efectos, ϊnicamente se presentarα la solicitud ante la Superintendencia acompaρada de la tarjeta de propiedad del automotor e informando la empresa blindadora que realizarα el trabajo.</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164" w:name="2.6.1.1.3.3.31"/>
      <w:r>
        <w:rPr>
          <w:rFonts w:hAnsi="Arial"/>
          <w:rFonts w:ascii="Arial"/>
          <w:sz w:val="24"/>
          <w:color w:val="navy"/>
        </w:rPr>
        <w:t xml:space="preserve">ARTΝCULO 2.6.1.1.3.3.31. </w:t>
      </w:r>
      <w:r>
        <w:rPr>
          <w:rFonts w:hAnsi="Arial"/>
          <w:rFonts w:ascii="Arial"/>
          <w:sz w:val="24"/>
          <w:i/>
          <w:color w:val="navy"/>
        </w:rPr>
        <w:t xml:space="preserve">VEHΝCULOS BLINDADOS.</w:t>
      </w:r>
      <w:bookmarkEnd w:id="62164"/>
      <w:r>
        <w:rPr>
          <w:rFonts w:hAnsi="Arial"/>
          <w:rFonts w:ascii="Arial"/>
          <w:sz w:val="24"/>
          <w:b/>
          <w:i/>
          <w:color w:val="black"/>
        </w:rPr>
        <w:t xml:space="preserve"> </w:t>
      </w:r>
      <w:r>
        <w:rPr>
          <w:rFonts w:hAnsi="Arial"/>
          <w:rFonts w:ascii="Arial"/>
          <w:sz w:val="24"/>
          <w:color w:val="black"/>
        </w:rPr>
        <w:t xml:space="preserve">El comprador, usuario o tenedor de un vehνculo automotor blindado o a quien se haya autorizado el blindaje, deberα tramitar ante las autoridades competentes la modificaciσn de la tarjeta de propiedad, en donde conste o se indique la caracterνstica de blindado y el nivel de blindaje.</w:t>
      </w:r>
    </w:p>
    <w:p>
      <w:pPr>
        <w:jc w:val="both"/>
      </w:pPr>
      <w:rPr>
        <w:sz w:val="24"/>
        <w:color w:val="black"/>
      </w:rPr>
    </w:p>
    <w:p>
      <w:pPr>
        <w:jc w:val="both"/>
      </w:pPr>
      <w:r>
        <w:rPr>
          <w:rFonts w:hAnsi="Arial"/>
          <w:rFonts w:ascii="Arial"/>
          <w:sz w:val="24"/>
          <w:color w:val="black"/>
        </w:rPr>
        <w:t xml:space="preserve">Una vez efectuado lo anterior, el usuario o comprador deberα remitir copia a la Superintendencia de Vigilancia y Seguridad Privada, de la tarjeta de propiedad modificada en donde conste la condiciσn de blindado. En todo caso, la obligaciσn anterior se cumplirα dentro de los cuatro (4) meses subsiguientes a la fecha de expediciσn del acto administrativo que autorice el acondicionamiento o adquisiciσn del vehνculo, so pena de ser inmovilizado el vehνculo por las autoridades de trαnsito competentes.</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65" w:name="2.6.1.1.3.3.32"/>
      <w:r>
        <w:rPr>
          <w:rFonts w:hAnsi="Arial"/>
          <w:rFonts w:ascii="Arial"/>
          <w:sz w:val="24"/>
          <w:color w:val="navy"/>
        </w:rPr>
        <w:t xml:space="preserve">ARTΝCULO 2.6.1.1.3.3.32. </w:t>
      </w:r>
      <w:r>
        <w:rPr>
          <w:rFonts w:hAnsi="Arial"/>
          <w:rFonts w:ascii="Arial"/>
          <w:sz w:val="24"/>
          <w:i/>
          <w:color w:val="navy"/>
        </w:rPr>
        <w:t>IDENTIFICACIΣN.</w:t>
      </w:r>
      <w:bookmarkEnd w:id="62165"/>
      <w:r>
        <w:rPr>
          <w:rFonts w:hAnsi="Arial"/>
          <w:rFonts w:ascii="Arial"/>
          <w:sz w:val="24"/>
          <w:b/>
          <w:i/>
          <w:color w:val="black"/>
        </w:rPr>
        <w:t xml:space="preserve"> </w:t>
      </w:r>
      <w:r>
        <w:rPr>
          <w:rFonts w:hAnsi="Arial"/>
          <w:rFonts w:ascii="Arial"/>
          <w:sz w:val="24"/>
          <w:color w:val="black"/>
        </w:rPr>
        <w:t xml:space="preserve">Los propietarios o usuarios deberαn portar: la tarjeta de propiedad con la indicaciσn de blindado; copia de la resoluciσn de la Superintendencia de Vigilancia y Seguridad Privada, en la cual se autoriza el blindaje del vehνculo y una tarjeta o carnι de usuario expedido por la empresa que lo acondicionσ.</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66" w:name="2.6.1.1.3.3.33"/>
      <w:r>
        <w:rPr>
          <w:rFonts w:hAnsi="Arial"/>
          <w:rFonts w:ascii="Arial"/>
          <w:sz w:val="24"/>
          <w:color w:val="navy"/>
        </w:rPr>
        <w:t xml:space="preserve">ARTΝCULO 2.6.1.1.3.3.33. </w:t>
      </w:r>
      <w:r>
        <w:rPr>
          <w:rFonts w:hAnsi="Arial"/>
          <w:rFonts w:ascii="Arial"/>
          <w:sz w:val="24"/>
          <w:i/>
          <w:color w:val="navy"/>
        </w:rPr>
        <w:t xml:space="preserve">APLICACIΣN OTRAS DISPOSICIONES.</w:t>
      </w:r>
      <w:bookmarkEnd w:id="62166"/>
      <w:r>
        <w:rPr>
          <w:rFonts w:hAnsi="Arial"/>
          <w:rFonts w:ascii="Arial"/>
          <w:sz w:val="24"/>
          <w:b/>
          <w:i/>
          <w:color w:val="black"/>
        </w:rPr>
        <w:t xml:space="preserve"> </w:t>
      </w:r>
      <w:r>
        <w:rPr>
          <w:rFonts w:hAnsi="Arial"/>
          <w:rFonts w:ascii="Arial"/>
          <w:sz w:val="24"/>
          <w:color w:val="black"/>
        </w:rPr>
        <w:t xml:space="preserve">En lo no contemplado en esta Secciσn, a los servicios de blindajes para la vigilancia y seguridad privada, se les aplicarα las disposiciones del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en lo pertinente, o las disposiciones que lo reglamenten, adicionen o reformen.</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67" w:name="2.6.1.1.3.3.34"/>
      <w:r>
        <w:rPr>
          <w:rFonts w:hAnsi="Arial"/>
          <w:rFonts w:ascii="Arial"/>
          <w:sz w:val="24"/>
          <w:color w:val="navy"/>
        </w:rPr>
        <w:t xml:space="preserve">ARTΝCULO 2.6.1.1.3.3.34. </w:t>
      </w:r>
      <w:r>
        <w:rPr>
          <w:rFonts w:hAnsi="Arial"/>
          <w:rFonts w:ascii="Arial"/>
          <w:sz w:val="24"/>
          <w:i/>
          <w:color w:val="navy"/>
        </w:rPr>
        <w:t>PROHIBICIΣN.</w:t>
      </w:r>
      <w:bookmarkEnd w:id="62167"/>
      <w:r>
        <w:rPr>
          <w:rFonts w:hAnsi="Arial"/>
          <w:rFonts w:ascii="Arial"/>
          <w:sz w:val="24"/>
          <w:b/>
          <w:i/>
          <w:color w:val="black"/>
        </w:rPr>
        <w:t xml:space="preserve"> </w:t>
      </w:r>
      <w:r>
        <w:rPr>
          <w:rFonts w:hAnsi="Arial"/>
          <w:rFonts w:ascii="Arial"/>
          <w:sz w:val="24"/>
          <w:color w:val="black"/>
        </w:rPr>
        <w:t xml:space="preserve">En ningϊn caso las empresas blindadoras podrαn entregar automotores blindados sin que se acredite por parte del usuario la autorizaciσn correspondiente expedida por la Superintendencia de Vigilancia y Seguridad Privada. Las empresas blindadoras deberαn exigir al interesado la presentaciσn de la respectiva resoluciσn previamente a la entrega del trabajo, so pena de incurrir en las sanciones legales previstas para los servicios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68" w:name="2.6.1.1.3.3.35"/>
      <w:r>
        <w:rPr>
          <w:rFonts w:hAnsi="Arial"/>
          <w:rFonts w:ascii="Arial"/>
          <w:sz w:val="24"/>
          <w:color w:val="navy"/>
        </w:rPr>
        <w:t xml:space="preserve">ARTΝCULO 2.6.1.1.3.3.35. </w:t>
      </w:r>
      <w:r>
        <w:rPr>
          <w:rFonts w:hAnsi="Arial"/>
          <w:rFonts w:ascii="Arial"/>
          <w:sz w:val="24"/>
          <w:i/>
          <w:color w:val="navy"/>
        </w:rPr>
        <w:t xml:space="preserve">ARRENDAMIENTO DE VEHΝCULOS BLINDADOS.</w:t>
      </w:r>
      <w:bookmarkEnd w:id="62168"/>
      <w:r>
        <w:rPr>
          <w:rFonts w:hAnsi="Arial"/>
          <w:rFonts w:ascii="Arial"/>
          <w:sz w:val="24"/>
          <w:b/>
          <w:i/>
          <w:color w:val="black"/>
        </w:rPr>
        <w:t xml:space="preserve"> </w:t>
      </w:r>
      <w:r>
        <w:rPr>
          <w:rFonts w:hAnsi="Arial"/>
          <w:rFonts w:ascii="Arial"/>
          <w:sz w:val="24"/>
          <w:color w:val="black"/>
        </w:rPr>
        <w:t xml:space="preserve">Es el contrato celebrado entre una empresa llamada arrendadora, constituida legalmente, cuyo objeto social consiste en el arrendamiento de automotores blindados mediante el cumplimiento de los requisitos que la Superintendencia de Vigilancia y Seguridad Privada determine y otra persona natural o jurνdica llamada arrendataria, en el cual una de las partes se obliga a entregar a la otra a cambio de un precio, el uso y goce de un vehνculo blindado por tiempo determinado.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arrendamiento de vehνculos deberα ser realizado previo el cumplimiento de los requisitos establecidos por la Superintendencia de Vigilancia y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169" w:name="SUBSECCIÓN 2.6.1.1.3.4"/>
      <w:r>
        <w:rPr>
          <w:rFonts w:hAnsi="Arial"/>
          <w:rFonts w:ascii="Arial"/>
          <w:sz w:val="24"/>
          <w:color w:val="navy"/>
        </w:rPr>
        <w:t xml:space="preserve">SUBSECCIΣN 4. </w:t>
      </w:r>
    </w:p>
    <w:p>
      <w:pPr>
        <w:jc w:val="center"/>
      </w:pPr>
      <w:r>
        <w:rPr>
          <w:rFonts w:hAnsi="Arial"/>
          <w:rFonts w:ascii="Arial"/>
          <w:sz w:val="24"/>
          <w:color w:val="navy"/>
        </w:rPr>
        <w:t xml:space="preserve">CAPACITACIΣN Y ENTRENAMIENTO DE LAS ESCUELAS DE CAPACITACIΣN Y ENTRENAMIENTO EN VIGILANCIA Y SEGURIDAD PRIVADA.</w:t>
      </w:r>
      <w:bookmarkEnd w:id="62169"/>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70" w:name="2.6.1.1.3.4.1"/>
      <w:r>
        <w:rPr>
          <w:rFonts w:hAnsi="Arial"/>
          <w:rFonts w:ascii="Arial"/>
          <w:sz w:val="24"/>
          <w:color w:val="navy"/>
        </w:rPr>
        <w:t xml:space="preserve">ARTΝCULO 2.6.1.1.3.4.1. </w:t>
      </w:r>
      <w:r>
        <w:rPr>
          <w:rFonts w:hAnsi="Arial"/>
          <w:rFonts w:ascii="Arial"/>
          <w:sz w:val="24"/>
          <w:i/>
          <w:color w:val="navy"/>
        </w:rPr>
        <w:t>PΣLIZAS.</w:t>
      </w:r>
      <w:bookmarkEnd w:id="62170"/>
      <w:r>
        <w:rPr>
          <w:rFonts w:hAnsi="Arial"/>
          <w:rFonts w:ascii="Arial"/>
          <w:sz w:val="24"/>
          <w:b/>
          <w:i/>
          <w:color w:val="black"/>
        </w:rPr>
        <w:t xml:space="preserve"> </w:t>
      </w:r>
      <w:r>
        <w:rPr>
          <w:rFonts w:hAnsi="Arial"/>
          <w:rFonts w:ascii="Arial"/>
          <w:sz w:val="24"/>
          <w:color w:val="black"/>
        </w:rPr>
        <w:t xml:space="preserve">Para efectos de lo seρalado en el artνculo </w:t>
      </w:r>
      <w:r>
        <w:fldChar w:fldCharType="begin"/>
      </w:r>
      <w:r>
        <w:instrText>HYPERLINK "http://www.redjurista.com/document.aspx?ajcode=d0356_94&amp;arts=69"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del Decreto 356 de 1994 las escuelas de capacitaciσn y entrenamiento en vigilancia y seguridad privada, deberαn enviar fotocopia de la pσliza de seguros de responsabilidad civil extracontractual, dentro de los diez (10) dνas siguientes a la notificaciσn de la resoluciσn que concede la licencia de funcionamiento.</w:t>
      </w:r>
    </w:p>
    <w:p>
      <w:pPr>
        <w:jc w:val="both"/>
      </w:pPr>
      <w:rPr>
        <w:sz w:val="24"/>
        <w:color w:val="black"/>
      </w:rPr>
    </w:p>
    <w:p>
      <w:pPr>
        <w:jc w:val="both"/>
      </w:pPr>
      <w:r>
        <w:rPr>
          <w:rFonts w:hAnsi="Arial"/>
          <w:rFonts w:ascii="Arial"/>
          <w:sz w:val="24"/>
          <w:i/>
          <w:color w:val="black"/>
        </w:rPr>
        <w:t xml:space="preserve"> (Decreto 2187 de 2001 artνculo </w:t>
      </w:r>
      <w:r>
        <w:fldChar w:fldCharType="begin"/>
      </w:r>
      <w:r>
        <w:instrText>HYPERLINK "http://www.redjurista.com/document.aspx?ajcode=d2187001&amp;arts=46"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71" w:name="2.6.1.1.3.4.2"/>
      <w:r>
        <w:rPr>
          <w:rFonts w:hAnsi="Arial"/>
          <w:rFonts w:ascii="Arial"/>
          <w:sz w:val="24"/>
          <w:color w:val="navy"/>
        </w:rPr>
        <w:t xml:space="preserve">ARTΝCULO 2.6.1.1.3.4.2. </w:t>
      </w:r>
      <w:r>
        <w:rPr>
          <w:rFonts w:hAnsi="Arial"/>
          <w:rFonts w:ascii="Arial"/>
          <w:sz w:val="24"/>
          <w:i/>
          <w:color w:val="navy"/>
        </w:rPr>
        <w:t xml:space="preserve">CAPACITACIΣN Y ENTRENAMIENTO EN LUGAR DIFERENTE A LA SEDE PRINCIPAL, SUCURSALES O AGENCIAS.</w:t>
      </w:r>
      <w:bookmarkEnd w:id="62171"/>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"http://www.redjurista.com/document.aspx?ajcode=d1565022&amp;arts=2"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1565 de 2022. El nuevo texto es el siguiente:&gt; Capacitaciσn fuera de sede principal, sucursales o agencias: Las Escuelas y Departamentos de Capacitaciσn y Entrenamiento en Vigilancia y Seguridad Privada que requieran realizar capacitaciσn fuera de la sede principal, de las sucursales o agencias autorizadas por la Superintendencia de Vigilancia y Seguridad Privada deberαn solicitar autorizaciσn previa por lo menos con diez (10) dνas calendario de la fecha para realizar dicha capacitaciσn, en todo caso deberαn allegar la siguiente documentaciσn: </w:t>
      </w:r>
    </w:p>
    <w:p>
      <w:pPr>
        <w:jc w:val="both"/>
        <w:outlineLvl w:val="1"/>
      </w:pPr>
      <w:rPr>
        <w:sz w:val="24"/>
        <w:color w:val="black"/>
      </w:rPr>
    </w:p>
    <w:p>
      <w:pPr>
        <w:jc w:val="both"/>
        <w:outlineLvl w:val="1"/>
      </w:pPr>
      <w:r>
        <w:rPr>
          <w:rFonts w:hAnsi="Arial"/>
          <w:rFonts w:ascii="Arial"/>
          <w:sz w:val="24"/>
          <w:color w:val="black"/>
        </w:rPr>
        <w:t xml:space="preserve">1. Solicitud dirigida a la Superintendencia de Vigilancia y Seguridad Privada seρalando el curso o cursos de capacitaciσn que se van a dictar. </w:t>
      </w:r>
    </w:p>
    <w:p>
      <w:pPr>
        <w:jc w:val="both"/>
        <w:outlineLvl w:val="1"/>
      </w:pPr>
      <w:rPr>
        <w:sz w:val="24"/>
        <w:color w:val="black"/>
      </w:rPr>
    </w:p>
    <w:p>
      <w:pPr>
        <w:jc w:val="both"/>
        <w:outlineLvl w:val="1"/>
      </w:pPr>
      <w:r>
        <w:rPr>
          <w:rFonts w:hAnsi="Arial"/>
          <w:rFonts w:ascii="Arial"/>
          <w:sz w:val="24"/>
          <w:color w:val="black"/>
        </w:rPr>
        <w:t xml:space="preserve">2. Relaciσn de la fecha de inicio y terminaciσn, asν como las horas en las cuales se realizarα la capacitaciσn. </w:t>
      </w:r>
    </w:p>
    <w:p>
      <w:pPr>
        <w:jc w:val="both"/>
        <w:outlineLvl w:val="1"/>
      </w:pPr>
      <w:rPr>
        <w:sz w:val="24"/>
        <w:color w:val="black"/>
      </w:rPr>
    </w:p>
    <w:p>
      <w:pPr>
        <w:jc w:val="both"/>
        <w:outlineLvl w:val="1"/>
      </w:pPr>
      <w:r>
        <w:rPr>
          <w:rFonts w:hAnsi="Arial"/>
          <w:rFonts w:ascii="Arial"/>
          <w:sz w:val="24"/>
          <w:color w:val="black"/>
        </w:rPr>
        <w:t xml:space="preserve">3. La relaciσn del personal docente que va a impartir la capacitaciσn. </w:t>
      </w:r>
    </w:p>
    <w:p>
      <w:pPr>
        <w:jc w:val="both"/>
        <w:outlineLvl w:val="1"/>
      </w:pPr>
      <w:rPr>
        <w:sz w:val="24"/>
        <w:color w:val="black"/>
      </w:rPr>
    </w:p>
    <w:p>
      <w:pPr>
        <w:jc w:val="both"/>
        <w:outlineLvl w:val="1"/>
      </w:pPr>
      <w:r>
        <w:rPr>
          <w:rFonts w:hAnsi="Arial"/>
          <w:rFonts w:ascii="Arial"/>
          <w:sz w:val="24"/>
          <w:color w:val="black"/>
        </w:rPr>
        <w:t xml:space="preserve">4. La relaciσn del personal a capacitar con nombre completo y nϊmero de documento de identidad. </w:t>
      </w:r>
    </w:p>
    <w:p>
      <w:pPr>
        <w:jc w:val="both"/>
        <w:outlineLvl w:val="1"/>
      </w:pPr>
      <w:rPr>
        <w:sz w:val="24"/>
        <w:color w:val="black"/>
      </w:rPr>
    </w:p>
    <w:p>
      <w:pPr>
        <w:jc w:val="both"/>
        <w:outlineLvl w:val="1"/>
      </w:pPr>
      <w:r>
        <w:rPr>
          <w:rFonts w:hAnsi="Arial"/>
          <w:rFonts w:ascii="Arial"/>
          <w:sz w:val="24"/>
          <w:color w:val="black"/>
        </w:rPr>
        <w:t xml:space="preserve">5. Direcciσn del lugar en el cual se impartirα la capacitaciσn. </w:t>
      </w:r>
    </w:p>
    <w:p>
      <w:pPr>
        <w:jc w:val="both"/>
        <w:outlineLvl w:val="1"/>
      </w:pPr>
      <w:rPr>
        <w:sz w:val="24"/>
        <w:color w:val="black"/>
      </w:rPr>
    </w:p>
    <w:p>
      <w:pPr>
        <w:jc w:val="both"/>
        <w:outlineLvl w:val="1"/>
      </w:pPr>
      <w:r>
        <w:rPr>
          <w:rFonts w:hAnsi="Arial"/>
          <w:rFonts w:ascii="Arial"/>
          <w:sz w:val="24"/>
          <w:color w:val="black"/>
        </w:rPr>
        <w:t xml:space="preserve">6. Los medios que se van a utilizar en el desarrollo de la capacitaciσn.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instalaciones y/o infraestructura en las que se realice la capacitaciσn fuera de sede, deberαn contar por lo menos con un ambiente pedagσgico bαsico, servicios sanitarios, αrea de cafeterνa y ruta de evacuaciσn de que trata el artνculo </w:t>
      </w:r>
      <w:r>
        <w:fldChar w:fldCharType="begin"/>
      </w:r>
      <w:r>
        <w:instrText>HYPERLINK "http://www.redjurista.com/document.aspx?ajcode=d1070015&amp;arts=2.6.1.1.13.1.10"</w:instrText>
      </w:r>
      <w:r>
        <w:fldChar w:fldCharType="separate"/>
      </w:r>
      <w:r>
        <w:rPr>
          <w:rFonts w:hAnsi="Arial"/>
          <w:rFonts w:ascii="Arial"/>
          <w:sz w:val="24"/>
          <w:u w:val="single"/>
          <w:color w:val="black"/>
        </w:rPr>
        <w:t>2.6.1.1.13.1.10</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Una vez terminado el curso la Escuela o Departamento de Capacitaciσn y Entrenamiento en Vigilancia y Seguridad Privada, deberα remitir a la Superintendencia de Vigilancia y Seguridad Privada la relaciσn del personal capacitado, y los recursos utilizados, a travιs de los medios o herramientas que la Superintendencia de Vigilancia y Seguridad Privada determine.</w:t>
      </w:r>
    </w:p>
    <w:p>
      <w:pPr>
        <w:jc w:val="both"/>
      </w:pPr>
      <w:rPr>
        <w:sz w:val="24"/>
        <w:color w:val="black"/>
      </w:rPr>
    </w:p>
    <w:p>
      <w:pPr>
        <w:jc w:val="center"/>
      </w:pPr>
      <w:r>
        <w:rPr>
          <w:rFonts w:hAnsi="Arial"/>
          <w:rFonts w:ascii="Arial"/>
          <w:sz w:val="24"/>
          <w:vanish/>
          <w:color w:val="black"/>
        </w:rPr>
        <w:t>&amp;$</w:t>
      </w:r>
      <w:bookmarkStart w:id="62172" w:name="SUBSECCIÓN 2.6.1.1.3.5"/>
      <w:r>
        <w:rPr>
          <w:rFonts w:hAnsi="Arial"/>
          <w:rFonts w:ascii="Arial"/>
          <w:sz w:val="24"/>
          <w:color w:val="navy"/>
        </w:rPr>
        <w:t xml:space="preserve">SUBSECCIΣN 5. </w:t>
      </w:r>
    </w:p>
    <w:p>
      <w:pPr>
        <w:jc w:val="center"/>
      </w:pPr>
      <w:r>
        <w:rPr>
          <w:rFonts w:hAnsi="Arial"/>
          <w:rFonts w:ascii="Arial"/>
          <w:sz w:val="24"/>
          <w:color w:val="navy"/>
        </w:rPr>
        <w:t xml:space="preserve">DE LAS DISPOSICIONES COMUNES A LOS SERVICIOS DE VIGILANCIA Y SEGURIDAD PRIVADA.</w:t>
      </w:r>
      <w:bookmarkEnd w:id="6217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73" w:name="2.6.1.1.3.5.1"/>
      <w:r>
        <w:rPr>
          <w:rFonts w:hAnsi="Arial"/>
          <w:rFonts w:ascii="Arial"/>
          <w:sz w:val="24"/>
          <w:color w:val="navy"/>
        </w:rPr>
        <w:t xml:space="preserve">ARTΝCULO 2.6.1.1.3.5.1. </w:t>
      </w:r>
      <w:r>
        <w:rPr>
          <w:rFonts w:hAnsi="Arial"/>
          <w:rFonts w:ascii="Arial"/>
          <w:sz w:val="24"/>
          <w:i/>
          <w:color w:val="navy"/>
        </w:rPr>
        <w:t xml:space="preserve">CREDENCIAL DE IDENTIFICACIΣN.</w:t>
      </w:r>
      <w:bookmarkEnd w:id="62173"/>
      <w:r>
        <w:rPr>
          <w:rFonts w:hAnsi="Arial"/>
          <w:rFonts w:ascii="Arial"/>
          <w:sz w:val="24"/>
          <w:b/>
          <w:i/>
          <w:color w:val="black"/>
        </w:rPr>
        <w:t xml:space="preserve"> </w:t>
      </w:r>
      <w:r>
        <w:rPr>
          <w:rFonts w:hAnsi="Arial"/>
          <w:rFonts w:ascii="Arial"/>
          <w:sz w:val="24"/>
          <w:color w:val="black"/>
        </w:rPr>
        <w:t xml:space="preserve">Para efectos del inciso 2o. del artνculo </w:t>
      </w:r>
      <w:r>
        <w:fldChar w:fldCharType="begin"/>
      </w:r>
      <w:r>
        <w:instrText>HYPERLINK "http://www.redjurista.com/document.aspx?ajcode=d0356_94&amp;arts=87"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del Decreto 356 de 1994, modificado por el artνculo </w:t>
      </w:r>
      <w:r>
        <w:fldChar w:fldCharType="begin"/>
      </w:r>
      <w:r>
        <w:instrText>HYPERLINK "http://www.redjurista.com/document.aspx?ajcode=d0019012&amp;arts=103"</w:instrText>
      </w:r>
      <w:r>
        <w:fldChar w:fldCharType="separate"/>
      </w:r>
      <w:r>
        <w:rPr>
          <w:rFonts w:hAnsi="Arial"/>
          <w:rFonts w:ascii="Arial"/>
          <w:sz w:val="24"/>
          <w:u w:val="single"/>
          <w:color w:val="black"/>
        </w:rPr>
        <w:t>103</w:t>
      </w:r>
      <w:r>
        <w:fldChar w:fldCharType="end"/>
      </w:r>
      <w:r>
        <w:rPr>
          <w:rFonts w:hAnsi="Arial"/>
          <w:rFonts w:ascii="Arial"/>
          <w:sz w:val="24"/>
          <w:u w:val="none"/>
          <w:color w:val="black"/>
        </w:rPr>
        <w:t xml:space="preserve"> del Decreto 19 de 2012, estαn obligados a portar la credencial de identificaciσn el siguiente personal vinculado a los servicios de vigilancia y seguridad privada:</w:t>
      </w:r>
    </w:p>
    <w:p>
      <w:pPr>
        <w:jc w:val="both"/>
      </w:pPr>
      <w:rPr>
        <w:sz w:val="24"/>
        <w:color w:val="black"/>
      </w:rPr>
    </w:p>
    <w:p>
      <w:pPr>
        <w:jc w:val="both"/>
      </w:pPr>
      <w:r>
        <w:rPr>
          <w:rFonts w:hAnsi="Arial"/>
          <w:rFonts w:ascii="Arial"/>
          <w:sz w:val="24"/>
          <w:color w:val="black"/>
        </w:rPr>
        <w:t xml:space="preserve">a) Los vigilantes;</w:t>
      </w:r>
    </w:p>
    <w:p>
      <w:pPr>
        <w:jc w:val="both"/>
      </w:pPr>
      <w:rPr>
        <w:sz w:val="24"/>
        <w:color w:val="black"/>
      </w:rPr>
    </w:p>
    <w:p>
      <w:pPr>
        <w:jc w:val="both"/>
      </w:pPr>
      <w:r>
        <w:rPr>
          <w:rFonts w:hAnsi="Arial"/>
          <w:rFonts w:ascii="Arial"/>
          <w:sz w:val="24"/>
          <w:color w:val="black"/>
        </w:rPr>
        <w:t xml:space="preserve">b) Manejadores caninos;</w:t>
      </w:r>
    </w:p>
    <w:p>
      <w:pPr>
        <w:jc w:val="both"/>
      </w:pPr>
      <w:rPr>
        <w:sz w:val="24"/>
        <w:color w:val="black"/>
      </w:rPr>
    </w:p>
    <w:p>
      <w:pPr>
        <w:jc w:val="both"/>
      </w:pPr>
      <w:r>
        <w:rPr>
          <w:rFonts w:hAnsi="Arial"/>
          <w:rFonts w:ascii="Arial"/>
          <w:sz w:val="24"/>
          <w:color w:val="black"/>
        </w:rPr>
        <w:t xml:space="preserve">c) Escoltas;</w:t>
      </w:r>
    </w:p>
    <w:p>
      <w:pPr>
        <w:jc w:val="both"/>
      </w:pPr>
      <w:rPr>
        <w:sz w:val="24"/>
        <w:color w:val="black"/>
      </w:rPr>
    </w:p>
    <w:p>
      <w:pPr>
        <w:jc w:val="both"/>
      </w:pPr>
      <w:r>
        <w:rPr>
          <w:rFonts w:hAnsi="Arial"/>
          <w:rFonts w:ascii="Arial"/>
          <w:sz w:val="24"/>
          <w:color w:val="black"/>
        </w:rPr>
        <w:t xml:space="preserve">d) Operadores y/o tιcnicos de medios tecnolσgicos;</w:t>
      </w:r>
    </w:p>
    <w:p>
      <w:pPr>
        <w:jc w:val="both"/>
      </w:pPr>
      <w:rPr>
        <w:sz w:val="24"/>
        <w:color w:val="black"/>
      </w:rPr>
    </w:p>
    <w:p>
      <w:pPr>
        <w:jc w:val="both"/>
      </w:pPr>
      <w:r>
        <w:rPr>
          <w:rFonts w:hAnsi="Arial"/>
          <w:rFonts w:ascii="Arial"/>
          <w:sz w:val="24"/>
          <w:color w:val="black"/>
        </w:rPr>
        <w:t xml:space="preserve">e) Tripulantes;</w:t>
      </w:r>
    </w:p>
    <w:p>
      <w:pPr>
        <w:jc w:val="both"/>
      </w:pPr>
      <w:rPr>
        <w:sz w:val="24"/>
        <w:color w:val="black"/>
      </w:rPr>
    </w:p>
    <w:p>
      <w:pPr>
        <w:jc w:val="both"/>
      </w:pPr>
      <w:r>
        <w:rPr>
          <w:rFonts w:hAnsi="Arial"/>
          <w:rFonts w:ascii="Arial"/>
          <w:sz w:val="24"/>
          <w:color w:val="black"/>
        </w:rPr>
        <w:t xml:space="preserve">f) Supervisores,</w:t>
      </w:r>
    </w:p>
    <w:p>
      <w:pPr>
        <w:jc w:val="both"/>
      </w:pPr>
      <w:rPr>
        <w:sz w:val="24"/>
        <w:color w:val="black"/>
      </w:rPr>
    </w:p>
    <w:p>
      <w:pPr>
        <w:jc w:val="both"/>
      </w:pPr>
      <w:r>
        <w:rPr>
          <w:rFonts w:hAnsi="Arial"/>
          <w:rFonts w:ascii="Arial"/>
          <w:sz w:val="24"/>
          <w:color w:val="black"/>
        </w:rPr>
        <w:t xml:space="preserve">g) Personal directivo;</w:t>
      </w:r>
    </w:p>
    <w:p>
      <w:pPr>
        <w:jc w:val="both"/>
      </w:pPr>
      <w:rPr>
        <w:sz w:val="24"/>
        <w:color w:val="black"/>
      </w:rPr>
    </w:p>
    <w:p>
      <w:pPr>
        <w:jc w:val="both"/>
      </w:pPr>
      <w:r>
        <w:rPr>
          <w:rFonts w:hAnsi="Arial"/>
          <w:rFonts w:ascii="Arial"/>
          <w:sz w:val="24"/>
          <w:color w:val="black"/>
        </w:rPr>
        <w:t xml:space="preserve">h) Las personas naturales que presten consultorνa, asesorνa o investigaciσn en seguridad privada.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Se entiende por personal directivo en los servicios de vigilancia y seguridad privada, el siguiente:</w:t>
      </w:r>
    </w:p>
    <w:p>
      <w:pPr>
        <w:jc w:val="both"/>
      </w:pPr>
      <w:rPr>
        <w:sz w:val="24"/>
        <w:color w:val="black"/>
      </w:rPr>
    </w:p>
    <w:p>
      <w:pPr>
        <w:jc w:val="both"/>
      </w:pPr>
      <w:r>
        <w:rPr>
          <w:rFonts w:hAnsi="Arial"/>
          <w:rFonts w:ascii="Arial"/>
          <w:sz w:val="24"/>
          <w:color w:val="black"/>
        </w:rPr>
        <w:t xml:space="preserve">1. En empresas, cooperativas y transportadoras de valores: El jefe de operaciones o de seguridad o su equivalente y el representante legal de la sociedad.</w:t>
      </w:r>
    </w:p>
    <w:p>
      <w:pPr>
        <w:jc w:val="both"/>
      </w:pPr>
      <w:rPr>
        <w:sz w:val="24"/>
        <w:color w:val="black"/>
      </w:rPr>
    </w:p>
    <w:p>
      <w:pPr>
        <w:jc w:val="both"/>
      </w:pPr>
      <w:r>
        <w:rPr>
          <w:rFonts w:hAnsi="Arial"/>
          <w:rFonts w:ascii="Arial"/>
          <w:sz w:val="24"/>
          <w:color w:val="black"/>
        </w:rPr>
        <w:t xml:space="preserve">2. En los departamentos de seguridad: El director de seguridad o su equivalente y la persona natural en cuyo favor se ha concedido este servicio y si es del caso, a juicio de la Superintendencia de Vigilancia y Seguridad Privada, otros protegidos que asν lo soliciten.</w:t>
      </w:r>
    </w:p>
    <w:p>
      <w:pPr>
        <w:jc w:val="both"/>
      </w:pPr>
      <w:rPr>
        <w:sz w:val="24"/>
        <w:color w:val="black"/>
      </w:rPr>
    </w:p>
    <w:p>
      <w:pPr>
        <w:jc w:val="both"/>
      </w:pPr>
      <w:r>
        <w:rPr>
          <w:rFonts w:hAnsi="Arial"/>
          <w:rFonts w:ascii="Arial"/>
          <w:sz w:val="24"/>
          <w:color w:val="black"/>
        </w:rPr>
        <w:t xml:space="preserve">3. En los servicios especiales y comunitarios de vigilancia y seguridad privada: El representante legal.</w:t>
      </w:r>
    </w:p>
    <w:p>
      <w:pPr>
        <w:jc w:val="both"/>
      </w:pPr>
      <w:rPr>
        <w:sz w:val="24"/>
        <w:color w:val="black"/>
      </w:rPr>
    </w:p>
    <w:p>
      <w:pPr>
        <w:jc w:val="both"/>
      </w:pPr>
      <w:r>
        <w:rPr>
          <w:rFonts w:hAnsi="Arial"/>
          <w:rFonts w:ascii="Arial"/>
          <w:sz w:val="24"/>
          <w:color w:val="black"/>
        </w:rPr>
        <w:t xml:space="preserve">4. En las escuelas de capacitaciσn, en sociedades de asesorνa, consultorνa o investigaciσn en seguridad y en las empresas blindadoras: El representante legal.</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174" w:name="2.6.1.1.3.5.2"/>
      <w:r>
        <w:rPr>
          <w:rFonts w:hAnsi="Arial"/>
          <w:rFonts w:ascii="Arial"/>
          <w:sz w:val="24"/>
          <w:color w:val="navy"/>
        </w:rPr>
        <w:t xml:space="preserve">ARTΝCULO 2.6.1.1.3.5.2. </w:t>
      </w:r>
      <w:r>
        <w:rPr>
          <w:rFonts w:hAnsi="Arial"/>
          <w:rFonts w:ascii="Arial"/>
          <w:sz w:val="24"/>
          <w:i/>
          <w:color w:val="navy"/>
        </w:rPr>
        <w:t xml:space="preserve">PROHIBICIΣN GRUPOS DE REACCIΣN ARMADA.</w:t>
      </w:r>
      <w:bookmarkEnd w:id="62174"/>
      <w:r>
        <w:rPr>
          <w:rFonts w:hAnsi="Arial"/>
          <w:rFonts w:ascii="Arial"/>
          <w:sz w:val="24"/>
          <w:b/>
          <w:i/>
          <w:color w:val="black"/>
        </w:rPr>
        <w:t xml:space="preserve"> </w:t>
      </w:r>
      <w:r>
        <w:rPr>
          <w:rFonts w:hAnsi="Arial"/>
          <w:rFonts w:ascii="Arial"/>
          <w:sz w:val="24"/>
          <w:color w:val="black"/>
        </w:rPr>
        <w:t xml:space="preserve">En ningϊn caso las empresas de vigilancia y seguridad privada podrαn organizar grupos de reacciσn armada para atender el accionar de las alarmas de usuarios que utilicen medios tecnolσgicos de seguridad privada.</w:t>
      </w:r>
    </w:p>
    <w:p>
      <w:pPr>
        <w:jc w:val="both"/>
      </w:pPr>
      <w:rPr>
        <w:sz w:val="24"/>
        <w:color w:val="black"/>
      </w:rPr>
    </w:p>
    <w:p>
      <w:pPr>
        <w:jc w:val="both"/>
      </w:pPr>
      <w:r>
        <w:rPr>
          <w:rFonts w:hAnsi="Arial"/>
          <w:rFonts w:ascii="Arial"/>
          <w:sz w:val="24"/>
          <w:i/>
          <w:color w:val="black"/>
        </w:rPr>
        <w:t xml:space="preserve">(Decreto 2187 de 2001 artνculo </w:t>
      </w:r>
      <w:r>
        <w:fldChar w:fldCharType="begin"/>
      </w:r>
      <w:r>
        <w:instrText>HYPERLINK "http://www.redjurista.com/document.aspx?ajcode=d2187001&amp;arts=49"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62175" w:name="SECCIÓN 2.6.1.1.4"/>
      <w:r>
        <w:rPr>
          <w:rFonts w:hAnsi="Arial"/>
          <w:rFonts w:ascii="Arial"/>
          <w:sz w:val="24"/>
          <w:color w:val="navy"/>
        </w:rPr>
        <w:t xml:space="preserve">SECCIΣN 4. </w:t>
      </w:r>
    </w:p>
    <w:p>
      <w:pPr>
        <w:jc w:val="center"/>
      </w:pPr>
      <w:r>
        <w:rPr>
          <w:rFonts w:hAnsi="Arial"/>
          <w:rFonts w:ascii="Arial"/>
          <w:sz w:val="24"/>
          <w:color w:val="navy"/>
        </w:rPr>
        <w:t xml:space="preserve">NORMAS SOBRE CUANTΝAS MΝNIMAS DE PATRIMONIO QUE DEBERΑN MANTENER Y ACREDITAR LOS SERVICIOS DE VIGILANCIA Y SEGURIDAD PRIVADA ANTE LA SUPERINTENDENCIA DE VIGILANCIA Y SEGURIDAD PRIVADA.</w:t>
      </w:r>
      <w:bookmarkEnd w:id="62175"/>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2176" w:name="2.6.1.1.4.1"/>
      <w:r>
        <w:rPr>
          <w:rFonts w:hAnsi="Arial"/>
          <w:rFonts w:ascii="Arial"/>
          <w:sz w:val="24"/>
          <w:color w:val="navy"/>
        </w:rPr>
        <w:t xml:space="preserve">ARTΝCULO 2.6.1.1.4.1. </w:t>
      </w:r>
      <w:r>
        <w:rPr>
          <w:rFonts w:hAnsi="Arial"/>
          <w:rFonts w:ascii="Arial"/>
          <w:sz w:val="24"/>
          <w:i/>
          <w:color w:val="navy"/>
        </w:rPr>
        <w:t>COBERTURA.</w:t>
      </w:r>
      <w:bookmarkEnd w:id="62176"/>
      <w:r>
        <w:rPr>
          <w:rFonts w:hAnsi="Arial"/>
          <w:rFonts w:ascii="Arial"/>
          <w:sz w:val="24"/>
          <w:b/>
          <w:i/>
          <w:color w:val="black"/>
        </w:rPr>
        <w:t xml:space="preserve"> </w:t>
      </w:r>
      <w:r>
        <w:rPr>
          <w:rFonts w:hAnsi="Arial"/>
          <w:rFonts w:ascii="Arial"/>
          <w:sz w:val="24"/>
          <w:color w:val="black"/>
        </w:rPr>
        <w:t xml:space="preserve">Serαn sujetos de aplicaciσn de esta Secciσn las empresas y cooperativas armadas y sin armas, las empresas transportadoras de valores y las escuelas de capacitaciσn y entrenamiento, de vigilancia y seguridad privada.</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77" w:name="2.6.1.1.4.2"/>
      <w:r>
        <w:rPr>
          <w:rFonts w:hAnsi="Arial"/>
          <w:rFonts w:ascii="Arial"/>
          <w:sz w:val="24"/>
          <w:color w:val="navy"/>
        </w:rPr>
        <w:t xml:space="preserve">ARTΝCULO 2.6.1.1.4.2. </w:t>
      </w:r>
      <w:r>
        <w:rPr>
          <w:rFonts w:hAnsi="Arial"/>
          <w:rFonts w:ascii="Arial"/>
          <w:sz w:val="24"/>
          <w:i/>
          <w:color w:val="navy"/>
        </w:rPr>
        <w:t>PATRIMONIO.</w:t>
      </w:r>
      <w:bookmarkEnd w:id="62177"/>
      <w:r>
        <w:rPr>
          <w:rFonts w:hAnsi="Arial"/>
          <w:rFonts w:ascii="Arial"/>
          <w:sz w:val="24"/>
          <w:b/>
          <w:i/>
          <w:color w:val="black"/>
        </w:rPr>
        <w:t xml:space="preserve"> </w:t>
      </w:r>
      <w:r>
        <w:rPr>
          <w:rFonts w:hAnsi="Arial"/>
          <w:rFonts w:ascii="Arial"/>
          <w:sz w:val="24"/>
          <w:color w:val="black"/>
        </w:rPr>
        <w:t xml:space="preserve">Los servicios de que trata el artνculo </w:t>
      </w:r>
      <w:r>
        <w:fldChar w:fldCharType="begin"/>
      </w:r>
      <w:r>
        <w:instrText>HYPERLINK "http://www.redjurista.com/document.aspx?ajcode=d1070015&amp;arts=2.6.1.1.4.1"</w:instrText>
      </w:r>
      <w:r>
        <w:fldChar w:fldCharType="separate"/>
      </w:r>
      <w:r>
        <w:rPr>
          <w:rFonts w:hAnsi="Arial"/>
          <w:rFonts w:ascii="Arial"/>
          <w:sz w:val="24"/>
          <w:u w:val="single"/>
          <w:color w:val="black"/>
        </w:rPr>
        <w:t>2.6.1.1.4.1</w:t>
      </w:r>
      <w:r>
        <w:fldChar w:fldCharType="end"/>
      </w:r>
      <w:r>
        <w:rPr>
          <w:rFonts w:hAnsi="Arial"/>
          <w:rFonts w:ascii="Arial"/>
          <w:sz w:val="24"/>
          <w:u w:val="none"/>
          <w:color w:val="black"/>
        </w:rPr>
        <w:t xml:space="preserve">., de la presente Secciσn deberαn mantener y acreditar ante la Superintendencia de Vigilancia y Seguridad Privada una cuantνa mνnima de patrimonio, con el fin de asegurar la confianza de los usuarios en el servicio y propender a un crecimiento econσmico en condiciones normales de competitividad.</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78" w:name="2.6.1.1.4.3"/>
      <w:r>
        <w:rPr>
          <w:rFonts w:hAnsi="Arial"/>
          <w:rFonts w:ascii="Arial"/>
          <w:sz w:val="24"/>
          <w:color w:val="navy"/>
        </w:rPr>
        <w:t xml:space="preserve">ARTΝCULO 2.6.1.1.4.3. </w:t>
      </w:r>
      <w:r>
        <w:rPr>
          <w:rFonts w:hAnsi="Arial"/>
          <w:rFonts w:ascii="Arial"/>
          <w:sz w:val="24"/>
          <w:i/>
          <w:color w:val="navy"/>
        </w:rPr>
        <w:t xml:space="preserve">RELACIΣN MΝNIMA DE PATRIMONIO.</w:t>
      </w:r>
      <w:bookmarkEnd w:id="62178"/>
      <w:r>
        <w:rPr>
          <w:rFonts w:hAnsi="Arial"/>
          <w:rFonts w:ascii="Arial"/>
          <w:sz w:val="24"/>
          <w:b/>
          <w:i/>
          <w:color w:val="black"/>
        </w:rPr>
        <w:t xml:space="preserve"> </w:t>
      </w:r>
      <w:r>
        <w:rPr>
          <w:rFonts w:hAnsi="Arial"/>
          <w:rFonts w:ascii="Arial"/>
          <w:sz w:val="24"/>
          <w:color w:val="black"/>
        </w:rPr>
        <w:t xml:space="preserve">A partir del 24 de enero de 2002 (entrada en vigencia del Decreto </w:t>
      </w:r>
      <w:r>
        <w:fldChar w:fldCharType="begin"/>
      </w:r>
      <w:r>
        <w:instrText>HYPERLINK "http://www.redjurista.com/document.aspx?ajcode=d0071002&amp;arts=INICIO"</w:instrText>
      </w:r>
      <w:r>
        <w:fldChar w:fldCharType="separate"/>
      </w:r>
      <w:r>
        <w:rPr>
          <w:rFonts w:hAnsi="Arial"/>
          <w:rFonts w:ascii="Arial"/>
          <w:sz w:val="24"/>
          <w:u w:val="single"/>
          <w:color w:val="black"/>
        </w:rPr>
        <w:t>0071</w:t>
      </w:r>
      <w:r>
        <w:fldChar w:fldCharType="end"/>
      </w:r>
      <w:r>
        <w:rPr>
          <w:rFonts w:hAnsi="Arial"/>
          <w:rFonts w:ascii="Arial"/>
          <w:sz w:val="24"/>
          <w:u w:val="none"/>
          <w:color w:val="black"/>
        </w:rPr>
        <w:t xml:space="preserve"> de 2002) establιcese como relaciσn mνnima de patrimonio el equivalente al 40% del total de sus activos.</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79" w:name="2.6.1.1.4.4"/>
      <w:r>
        <w:rPr>
          <w:rFonts w:hAnsi="Arial"/>
          <w:rFonts w:ascii="Arial"/>
          <w:sz w:val="24"/>
          <w:color w:val="navy"/>
        </w:rPr>
        <w:t xml:space="preserve">ARTΝCULO 2.6.1.1.4.4. </w:t>
      </w:r>
      <w:r>
        <w:rPr>
          <w:rFonts w:hAnsi="Arial"/>
          <w:rFonts w:ascii="Arial"/>
          <w:sz w:val="24"/>
          <w:i/>
          <w:color w:val="navy"/>
        </w:rPr>
        <w:t xml:space="preserve">COMPOSICIΣN DEL PATRIMONIO.</w:t>
      </w:r>
      <w:bookmarkEnd w:id="62179"/>
      <w:r>
        <w:rPr>
          <w:rFonts w:hAnsi="Arial"/>
          <w:rFonts w:ascii="Arial"/>
          <w:sz w:val="24"/>
          <w:b/>
          <w:i/>
          <w:color w:val="black"/>
        </w:rPr>
        <w:t xml:space="preserve"> </w:t>
      </w:r>
      <w:r>
        <w:rPr>
          <w:rFonts w:hAnsi="Arial"/>
          <w:rFonts w:ascii="Arial"/>
          <w:sz w:val="24"/>
          <w:color w:val="black"/>
        </w:rPr>
        <w:t xml:space="preserve">La composiciσn del patrimonio serα tal que garantice el principio de proporcionalidad entre este y el capital social suscrito y pagado para lo cual se establece un 20% como mνnimo de capital del total del patrimonio.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capital suscrito y pagado, en todo caso, no deberα ser inferior a aquel monto exigido en el momento de su constituciσn como servicio de vigilancia y seguridad privada. Para aquellas empresas que hubiesen obtenido licencia antes de la expediciσn del Decreto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se aplicarα lo establecido en el artνculo </w:t>
      </w:r>
      <w:r>
        <w:fldChar w:fldCharType="begin"/>
      </w:r>
      <w:r>
        <w:instrText>HYPERLINK "http://www.redjurista.com/document.aspx?ajcode=d0356_94&amp;arts=10"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356 de 1994.</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80" w:name="2.6.1.1.4.5"/>
      <w:r>
        <w:rPr>
          <w:rFonts w:hAnsi="Arial"/>
          <w:rFonts w:ascii="Arial"/>
          <w:sz w:val="24"/>
          <w:color w:val="navy"/>
        </w:rPr>
        <w:t xml:space="preserve">ARTΝCULO 2.6.1.1.4.5. </w:t>
      </w:r>
      <w:r>
        <w:rPr>
          <w:rFonts w:hAnsi="Arial"/>
          <w:rFonts w:ascii="Arial"/>
          <w:sz w:val="24"/>
          <w:i/>
          <w:color w:val="navy"/>
        </w:rPr>
        <w:t>CUMPLIMIENTO.</w:t>
      </w:r>
      <w:bookmarkEnd w:id="62180"/>
      <w:r>
        <w:rPr>
          <w:rFonts w:hAnsi="Arial"/>
          <w:rFonts w:ascii="Arial"/>
          <w:sz w:val="24"/>
          <w:b/>
          <w:i/>
          <w:color w:val="black"/>
        </w:rPr>
        <w:t xml:space="preserve"> </w:t>
      </w:r>
      <w:r>
        <w:rPr>
          <w:rFonts w:hAnsi="Arial"/>
          <w:rFonts w:ascii="Arial"/>
          <w:sz w:val="24"/>
          <w:color w:val="black"/>
        </w:rPr>
        <w:t xml:space="preserve">Los servicios de vigilancia y seguridad privada, enunciados en el artνculo </w:t>
      </w:r>
      <w:r>
        <w:fldChar w:fldCharType="begin"/>
      </w:r>
      <w:r>
        <w:instrText>HYPERLINK "http://www.redjurista.com/document.aspx?ajcode=d0071002&amp;arts=2.6.1.1.4.1"</w:instrText>
      </w:r>
      <w:r>
        <w:fldChar w:fldCharType="separate"/>
      </w:r>
      <w:r>
        <w:rPr>
          <w:rFonts w:hAnsi="Arial"/>
          <w:rFonts w:ascii="Arial"/>
          <w:sz w:val="24"/>
          <w:u w:val="single"/>
          <w:color w:val="black"/>
        </w:rPr>
        <w:t>2.6.1.1.4.1</w:t>
      </w:r>
      <w:r>
        <w:fldChar w:fldCharType="end"/>
      </w:r>
      <w:r>
        <w:rPr>
          <w:rFonts w:hAnsi="Arial"/>
          <w:rFonts w:ascii="Arial"/>
          <w:sz w:val="24"/>
          <w:u w:val="none"/>
          <w:color w:val="black"/>
        </w:rPr>
        <w:t xml:space="preserve">., deberαn presentar a la Superintendencia de Vigilancia y Seguridad Privada a mαs tardar el 30 de abril de cada aρo, los estados financieros consolidados a 31 de diciembre del aρo inmediatamente anterior.</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efectos de controlar la relaciσn mνnima de patrimonio se deberα enviar ademαs de los estados financieros bαsicos (balance general consolidado, estado de resultados y notas a los estados financieros), el estado de cambio en la situaciσn patrimonial comparada con el aρo inmediatamente anterior de aquel que se informa.</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81" w:name="2.6.1.1.4.6"/>
      <w:r>
        <w:rPr>
          <w:rFonts w:hAnsi="Arial"/>
          <w:rFonts w:ascii="Arial"/>
          <w:sz w:val="24"/>
          <w:color w:val="navy"/>
        </w:rPr>
        <w:t xml:space="preserve">ARTΝCULO 2.6.1.1.4.6. </w:t>
      </w:r>
      <w:r>
        <w:rPr>
          <w:rFonts w:hAnsi="Arial"/>
          <w:rFonts w:ascii="Arial"/>
          <w:sz w:val="24"/>
          <w:i/>
          <w:color w:val="navy"/>
        </w:rPr>
        <w:t xml:space="preserve">PATRIMONIO BΑSICO.</w:t>
      </w:r>
      <w:bookmarkEnd w:id="62181"/>
      <w:r>
        <w:rPr>
          <w:rFonts w:hAnsi="Arial"/>
          <w:rFonts w:ascii="Arial"/>
          <w:sz w:val="24"/>
          <w:b/>
          <w:i/>
          <w:color w:val="black"/>
        </w:rPr>
        <w:t xml:space="preserve"> </w:t>
      </w:r>
      <w:r>
        <w:rPr>
          <w:rFonts w:hAnsi="Arial"/>
          <w:rFonts w:ascii="Arial"/>
          <w:sz w:val="24"/>
          <w:color w:val="black"/>
        </w:rPr>
        <w:t xml:space="preserve">El patrimonio bαsico de los servicios de vigilancia antes aludidos comprenderα:</w:t>
      </w:r>
    </w:p>
    <w:p>
      <w:pPr>
        <w:jc w:val="both"/>
      </w:pPr>
      <w:rPr>
        <w:sz w:val="24"/>
        <w:color w:val="black"/>
      </w:rPr>
    </w:p>
    <w:p>
      <w:pPr>
        <w:jc w:val="both"/>
      </w:pPr>
      <w:r>
        <w:rPr>
          <w:rFonts w:hAnsi="Arial"/>
          <w:rFonts w:ascii="Arial"/>
          <w:sz w:val="24"/>
          <w:color w:val="black"/>
        </w:rPr>
        <w:t xml:space="preserve">a) El capital suscrito y pagado;</w:t>
      </w:r>
    </w:p>
    <w:p>
      <w:pPr>
        <w:jc w:val="both"/>
      </w:pPr>
      <w:rPr>
        <w:sz w:val="24"/>
        <w:color w:val="black"/>
      </w:rPr>
    </w:p>
    <w:p>
      <w:pPr>
        <w:jc w:val="both"/>
      </w:pPr>
      <w:r>
        <w:rPr>
          <w:rFonts w:hAnsi="Arial"/>
          <w:rFonts w:ascii="Arial"/>
          <w:sz w:val="24"/>
          <w:color w:val="black"/>
        </w:rPr>
        <w:t xml:space="preserve">b) Superαvit de capital;</w:t>
      </w:r>
    </w:p>
    <w:p>
      <w:pPr>
        <w:jc w:val="both"/>
      </w:pPr>
      <w:rPr>
        <w:sz w:val="24"/>
        <w:color w:val="black"/>
      </w:rPr>
    </w:p>
    <w:p>
      <w:pPr>
        <w:jc w:val="both"/>
      </w:pPr>
      <w:r>
        <w:rPr>
          <w:rFonts w:hAnsi="Arial"/>
          <w:rFonts w:ascii="Arial"/>
          <w:sz w:val="24"/>
          <w:color w:val="black"/>
        </w:rPr>
        <w:t xml:space="preserve">c) La reserva legal y las demαs reservas;</w:t>
      </w:r>
    </w:p>
    <w:p>
      <w:pPr>
        <w:jc w:val="both"/>
      </w:pPr>
      <w:rPr>
        <w:sz w:val="24"/>
        <w:color w:val="black"/>
      </w:rPr>
    </w:p>
    <w:p>
      <w:pPr>
        <w:jc w:val="both"/>
      </w:pPr>
      <w:r>
        <w:rPr>
          <w:rFonts w:hAnsi="Arial"/>
          <w:rFonts w:ascii="Arial"/>
          <w:sz w:val="24"/>
          <w:color w:val="black"/>
        </w:rPr>
        <w:t xml:space="preserve">d) Revalorizaciσn del patrimonio;</w:t>
      </w:r>
    </w:p>
    <w:p>
      <w:pPr>
        <w:jc w:val="both"/>
      </w:pPr>
      <w:rPr>
        <w:sz w:val="24"/>
        <w:color w:val="black"/>
      </w:rPr>
    </w:p>
    <w:p>
      <w:pPr>
        <w:jc w:val="both"/>
      </w:pPr>
      <w:r>
        <w:rPr>
          <w:rFonts w:hAnsi="Arial"/>
          <w:rFonts w:ascii="Arial"/>
          <w:sz w:val="24"/>
          <w:color w:val="black"/>
        </w:rPr>
        <w:t xml:space="preserve">e) Resultado del ejercicio anterior;</w:t>
      </w:r>
    </w:p>
    <w:p>
      <w:pPr>
        <w:jc w:val="both"/>
      </w:pPr>
      <w:rPr>
        <w:sz w:val="24"/>
        <w:color w:val="black"/>
      </w:rPr>
    </w:p>
    <w:p>
      <w:pPr>
        <w:jc w:val="both"/>
      </w:pPr>
      <w:r>
        <w:rPr>
          <w:rFonts w:hAnsi="Arial"/>
          <w:rFonts w:ascii="Arial"/>
          <w:sz w:val="24"/>
          <w:color w:val="black"/>
        </w:rPr>
        <w:t xml:space="preserve">f) Resultado del ejercicio;</w:t>
      </w:r>
    </w:p>
    <w:p>
      <w:pPr>
        <w:jc w:val="both"/>
      </w:pPr>
      <w:rPr>
        <w:sz w:val="24"/>
        <w:color w:val="black"/>
      </w:rPr>
    </w:p>
    <w:p>
      <w:pPr>
        <w:jc w:val="both"/>
      </w:pPr>
      <w:r>
        <w:rPr>
          <w:rFonts w:hAnsi="Arial"/>
          <w:rFonts w:ascii="Arial"/>
          <w:sz w:val="24"/>
          <w:color w:val="black"/>
        </w:rPr>
        <w:t xml:space="preserve">g) Superαvit por valorizaciones.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cuenta "revalorizaciσn del patrimonio" no deberα ser superior al promedio ponderado de los tres aρos anteriores aumentado en un porcentaje igual al νndice de inflaciσn del aρo fiscal respectivo.</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82" w:name="2.6.1.1.4.7"/>
      <w:r>
        <w:rPr>
          <w:rFonts w:hAnsi="Arial"/>
          <w:rFonts w:ascii="Arial"/>
          <w:sz w:val="24"/>
          <w:color w:val="navy"/>
        </w:rPr>
        <w:t xml:space="preserve">ARTΝCULO 2.6.1.1.4.7. </w:t>
      </w:r>
      <w:r>
        <w:rPr>
          <w:rFonts w:hAnsi="Arial"/>
          <w:rFonts w:ascii="Arial"/>
          <w:sz w:val="24"/>
          <w:i/>
          <w:color w:val="navy"/>
        </w:rPr>
        <w:t xml:space="preserve">DEDUCCIONES DEL PATRIMONIO BΑSICO.</w:t>
      </w:r>
      <w:bookmarkEnd w:id="62182"/>
      <w:r>
        <w:rPr>
          <w:rFonts w:hAnsi="Arial"/>
          <w:rFonts w:ascii="Arial"/>
          <w:sz w:val="24"/>
          <w:b/>
          <w:i/>
          <w:color w:val="black"/>
        </w:rPr>
        <w:t xml:space="preserve"> </w:t>
      </w:r>
      <w:r>
        <w:rPr>
          <w:rFonts w:hAnsi="Arial"/>
          <w:rFonts w:ascii="Arial"/>
          <w:sz w:val="24"/>
          <w:color w:val="black"/>
        </w:rPr>
        <w:t xml:space="preserve">Se deducirαn del patrimonio bαsico los siguientes conceptos:</w:t>
      </w:r>
    </w:p>
    <w:p>
      <w:pPr>
        <w:jc w:val="both"/>
      </w:pPr>
      <w:rPr>
        <w:sz w:val="24"/>
        <w:color w:val="black"/>
      </w:rPr>
    </w:p>
    <w:p>
      <w:pPr>
        <w:jc w:val="both"/>
      </w:pPr>
      <w:r>
        <w:rPr>
          <w:rFonts w:hAnsi="Arial"/>
          <w:rFonts w:ascii="Arial"/>
          <w:sz w:val="24"/>
          <w:color w:val="black"/>
        </w:rPr>
        <w:t xml:space="preserve">a) Las pιrdidas de ejercicios anteriores y las del ejercicio en curso;</w:t>
      </w:r>
    </w:p>
    <w:p>
      <w:pPr>
        <w:jc w:val="both"/>
      </w:pPr>
      <w:rPr>
        <w:sz w:val="24"/>
        <w:color w:val="black"/>
      </w:rPr>
    </w:p>
    <w:p>
      <w:pPr>
        <w:jc w:val="both"/>
      </w:pPr>
      <w:r>
        <w:rPr>
          <w:rFonts w:hAnsi="Arial"/>
          <w:rFonts w:ascii="Arial"/>
          <w:sz w:val="24"/>
          <w:color w:val="black"/>
        </w:rPr>
        <w:t xml:space="preserve">b) La cuenta "revalorizaciσn del patrimonio" cuando esta sea negativa.</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83" w:name="2.6.1.1.4.8"/>
      <w:r>
        <w:rPr>
          <w:rFonts w:hAnsi="Arial"/>
          <w:rFonts w:ascii="Arial"/>
          <w:sz w:val="24"/>
          <w:color w:val="navy"/>
        </w:rPr>
        <w:t xml:space="preserve">ARTΝCULO 2.6.1.1.4.8. </w:t>
      </w:r>
      <w:r>
        <w:rPr>
          <w:rFonts w:hAnsi="Arial"/>
          <w:rFonts w:ascii="Arial"/>
          <w:sz w:val="24"/>
          <w:i/>
          <w:color w:val="navy"/>
        </w:rPr>
        <w:t xml:space="preserve">VALORACIONES Y PROVISIONES.</w:t>
      </w:r>
      <w:bookmarkEnd w:id="62183"/>
      <w:r>
        <w:rPr>
          <w:rFonts w:hAnsi="Arial"/>
          <w:rFonts w:ascii="Arial"/>
          <w:sz w:val="24"/>
          <w:b/>
          <w:i/>
          <w:color w:val="black"/>
        </w:rPr>
        <w:t xml:space="preserve"> </w:t>
      </w:r>
      <w:r>
        <w:rPr>
          <w:rFonts w:hAnsi="Arial"/>
          <w:rFonts w:ascii="Arial"/>
          <w:sz w:val="24"/>
          <w:color w:val="black"/>
        </w:rPr>
        <w:t xml:space="preserve">Para efectos de esta Secciσn, los activos se valorarαn por su costo ajustado pero se computarαn netos de su respectiva provisiσn. Las provisiones no serαn deducibles de los activos.</w:t>
      </w:r>
    </w:p>
    <w:p>
      <w:pPr>
        <w:jc w:val="both"/>
      </w:pPr>
      <w:rPr>
        <w:sz w:val="24"/>
        <w:color w:val="black"/>
      </w:rPr>
    </w:p>
    <w:p>
      <w:pPr>
        <w:jc w:val="both"/>
      </w:pPr>
      <w:r>
        <w:rPr>
          <w:rFonts w:hAnsi="Arial"/>
          <w:rFonts w:ascii="Arial"/>
          <w:sz w:val="24"/>
          <w:i/>
          <w:color w:val="black"/>
        </w:rPr>
        <w:t xml:space="preserve">(Decreto 0071 de 2002 artνculo </w:t>
      </w:r>
      <w:r>
        <w:fldChar w:fldCharType="begin"/>
      </w:r>
      <w:r>
        <w:instrText>HYPERLINK "http://www.redjurista.com/document.aspx?ajcode=d0071002&amp;arts=8"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184" w:name="SECCIÓN 2.6.1.1.5"/>
      <w:r>
        <w:rPr>
          <w:rFonts w:hAnsi="Arial"/>
          <w:rFonts w:ascii="Arial"/>
          <w:sz w:val="24"/>
          <w:color w:val="navy"/>
        </w:rPr>
        <w:t xml:space="preserve">SECCIΣN 5. </w:t>
      </w:r>
    </w:p>
    <w:p>
      <w:pPr>
        <w:jc w:val="center"/>
      </w:pPr>
      <w:r>
        <w:rPr>
          <w:rFonts w:hAnsi="Arial"/>
          <w:rFonts w:ascii="Arial"/>
          <w:sz w:val="24"/>
          <w:color w:val="navy"/>
        </w:rPr>
        <w:t xml:space="preserve">REGLAMENTACIΣN PARCIAL DEL ESTATUTO DE VIGILANCIA Y SEGURIDAD PRIVADA CONTENIDO EN EL DECRETO-LEY 356 DEL 11 DE FEBRERO DE 1994 Y SE DICTAN OTRAS DISPOSICIONES.</w:t>
      </w:r>
      <w:bookmarkEnd w:id="62184"/>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185" w:name="2.6.1.1.5.1"/>
      <w:r>
        <w:rPr>
          <w:rFonts w:hAnsi="Arial"/>
          <w:rFonts w:ascii="Arial"/>
          <w:sz w:val="24"/>
          <w:color w:val="navy"/>
        </w:rPr>
        <w:t xml:space="preserve">ARTΝCULO 2.6.1.1.5.1. </w:t>
      </w:r>
      <w:r>
        <w:rPr>
          <w:rFonts w:hAnsi="Arial"/>
          <w:rFonts w:ascii="Arial"/>
          <w:sz w:val="24"/>
          <w:i/>
          <w:color w:val="navy"/>
        </w:rPr>
        <w:t xml:space="preserve">REDES DE APOYO Y SOLIDARIDAD CIUDADANA.</w:t>
      </w:r>
      <w:bookmarkEnd w:id="62185"/>
      <w:r>
        <w:rPr>
          <w:rFonts w:hAnsi="Arial"/>
          <w:rFonts w:ascii="Arial"/>
          <w:sz w:val="24"/>
          <w:b/>
          <w:i/>
          <w:color w:val="black"/>
        </w:rPr>
        <w:t xml:space="preserve"> </w:t>
      </w:r>
      <w:r>
        <w:rPr>
          <w:rFonts w:hAnsi="Arial"/>
          <w:rFonts w:ascii="Arial"/>
          <w:sz w:val="24"/>
          <w:color w:val="black"/>
        </w:rPr>
        <w:t xml:space="preserve">A partir del 30 de diciembre de 2002 (entrada en vigencia del Decreto </w:t>
      </w:r>
      <w:r>
        <w:fldChar w:fldCharType="begin"/>
      </w:r>
      <w:r>
        <w:instrText>HYPERLINK "http://www.redjurista.com/document.aspx?ajcode=d3222002&amp;arts=INICIO"</w:instrText>
      </w:r>
      <w:r>
        <w:fldChar w:fldCharType="separate"/>
      </w:r>
      <w:r>
        <w:rPr>
          <w:rFonts w:hAnsi="Arial"/>
          <w:rFonts w:ascii="Arial"/>
          <w:sz w:val="24"/>
          <w:u w:val="single"/>
          <w:color w:val="black"/>
        </w:rPr>
        <w:t>3222</w:t>
      </w:r>
      <w:r>
        <w:fldChar w:fldCharType="end"/>
      </w:r>
      <w:r>
        <w:rPr>
          <w:rFonts w:hAnsi="Arial"/>
          <w:rFonts w:ascii="Arial"/>
          <w:sz w:val="24"/>
          <w:u w:val="none"/>
          <w:color w:val="black"/>
        </w:rPr>
        <w:t xml:space="preserve"> de 2002), crιanse las Redes de Apoyo y Solidaridad Ciudadana, conformadas por las personas, empresas y servicios descritos en el artνculo </w:t>
      </w:r>
      <w:r>
        <w:fldChar w:fldCharType="begin"/>
      </w:r>
      <w:r>
        <w:instrText>HYPERLINK "http://www.redjurista.com/document.aspx?ajcode=d0356_94&amp;arts=4"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Decreto-ley 356 de 1994.</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86" w:name="2.6.1.1.5.2"/>
      <w:r>
        <w:rPr>
          <w:rFonts w:hAnsi="Arial"/>
          <w:rFonts w:ascii="Arial"/>
          <w:sz w:val="24"/>
          <w:color w:val="navy"/>
        </w:rPr>
        <w:t xml:space="preserve">ARTΝCULO 2.6.1.1.5.2. </w:t>
      </w:r>
      <w:r>
        <w:rPr>
          <w:rFonts w:hAnsi="Arial"/>
          <w:rFonts w:ascii="Arial"/>
          <w:sz w:val="24"/>
          <w:i/>
          <w:color w:val="navy"/>
        </w:rPr>
        <w:t>DEFINICIΣN.</w:t>
      </w:r>
      <w:bookmarkEnd w:id="62186"/>
      <w:r>
        <w:rPr>
          <w:rFonts w:hAnsi="Arial"/>
          <w:rFonts w:ascii="Arial"/>
          <w:sz w:val="24"/>
          <w:b/>
          <w:i/>
          <w:color w:val="black"/>
        </w:rPr>
        <w:t xml:space="preserve"> </w:t>
      </w:r>
      <w:r>
        <w:rPr>
          <w:rFonts w:hAnsi="Arial"/>
          <w:rFonts w:ascii="Arial"/>
          <w:sz w:val="24"/>
          <w:color w:val="black"/>
        </w:rPr>
        <w:t xml:space="preserve">Para los efectos de la presente Secciσn, se entiende por Redes de Apoyo y Solidaridad Ciudadana el conjunto de actividades organizadas, canalizadas y lideradas por la Policνa Nacional, con la finalidad de captar informaciσn sobre hechos, delitos o conductas que afecten o puedan afectar la tranquilidad y seguridad, aprovechando los recursos tιcnicos y humanos que poseen las personas naturales o jurνdicas que prestan los servicios a que se refiere el Decreto-ley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87" w:name="2.6.1.1.5.3"/>
      <w:r>
        <w:rPr>
          <w:rFonts w:hAnsi="Arial"/>
          <w:rFonts w:ascii="Arial"/>
          <w:sz w:val="24"/>
          <w:color w:val="navy"/>
        </w:rPr>
        <w:t xml:space="preserve">ARTΝCULO 2.6.1.1.5.3. </w:t>
      </w:r>
      <w:r>
        <w:rPr>
          <w:rFonts w:hAnsi="Arial"/>
          <w:rFonts w:ascii="Arial"/>
          <w:sz w:val="24"/>
          <w:i/>
          <w:color w:val="navy"/>
        </w:rPr>
        <w:t xml:space="preserve">COORDINACIΣN GENERAL.</w:t>
      </w:r>
      <w:bookmarkEnd w:id="62187"/>
      <w:r>
        <w:rPr>
          <w:rFonts w:hAnsi="Arial"/>
          <w:rFonts w:ascii="Arial"/>
          <w:sz w:val="24"/>
          <w:b/>
          <w:i/>
          <w:color w:val="black"/>
        </w:rPr>
        <w:t xml:space="preserve"> </w:t>
      </w:r>
      <w:r>
        <w:rPr>
          <w:rFonts w:hAnsi="Arial"/>
          <w:rFonts w:ascii="Arial"/>
          <w:sz w:val="24"/>
          <w:color w:val="black"/>
        </w:rPr>
        <w:t xml:space="preserve">Las Redes de Apoyo y Seguridad Ciudadana a que se refiere el artνculo </w:t>
      </w:r>
      <w:r>
        <w:fldChar w:fldCharType="begin"/>
      </w:r>
      <w:r>
        <w:instrText>HYPERLINK "http://www.redjurista.com/document.aspx?ajcode=d1070015&amp;arts=2.6.1.1.5.1"</w:instrText>
      </w:r>
      <w:r>
        <w:fldChar w:fldCharType="separate"/>
      </w:r>
      <w:r>
        <w:rPr>
          <w:rFonts w:hAnsi="Arial"/>
          <w:rFonts w:ascii="Arial"/>
          <w:sz w:val="24"/>
          <w:u w:val="single"/>
          <w:color w:val="black"/>
        </w:rPr>
        <w:t>2.6.1.1.5.1</w:t>
      </w:r>
      <w:r>
        <w:fldChar w:fldCharType="end"/>
      </w:r>
      <w:r>
        <w:rPr>
          <w:rFonts w:hAnsi="Arial"/>
          <w:rFonts w:ascii="Arial"/>
          <w:sz w:val="24"/>
          <w:u w:val="none"/>
          <w:color w:val="black"/>
        </w:rPr>
        <w:t xml:space="preserve">., de la presente Secciσn serαn coordinadas por la Policνa Nacional por medio de las diferentes unidades que operan en el territorio nacional, en colaboraciσn con la Superintendencia de Vigilancia y Seguridad Privada, quien expedirα los instructivos necesarios para dar cumplimiento a esta labor.</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88" w:name="2.6.1.1.5.4"/>
      <w:r>
        <w:rPr>
          <w:rFonts w:hAnsi="Arial"/>
          <w:rFonts w:ascii="Arial"/>
          <w:sz w:val="24"/>
          <w:color w:val="navy"/>
        </w:rPr>
        <w:t xml:space="preserve">ARTΝCULO 2.6.1.1.5.4. </w:t>
      </w:r>
      <w:r>
        <w:rPr>
          <w:rFonts w:hAnsi="Arial"/>
          <w:rFonts w:ascii="Arial"/>
          <w:sz w:val="24"/>
          <w:i/>
          <w:color w:val="navy"/>
        </w:rPr>
        <w:t xml:space="preserve">OBJETO DE LAS REDES DE APOYO Y SEGURIDAD CIUDADANA.</w:t>
      </w:r>
      <w:bookmarkEnd w:id="62188"/>
      <w:r>
        <w:rPr>
          <w:rFonts w:hAnsi="Arial"/>
          <w:rFonts w:ascii="Arial"/>
          <w:sz w:val="24"/>
          <w:b/>
          <w:i/>
          <w:color w:val="black"/>
        </w:rPr>
        <w:t xml:space="preserve"> </w:t>
      </w:r>
      <w:r>
        <w:rPr>
          <w:rFonts w:hAnsi="Arial"/>
          <w:rFonts w:ascii="Arial"/>
          <w:sz w:val="24"/>
          <w:color w:val="black"/>
        </w:rPr>
        <w:t xml:space="preserve">Las Redes de Apoyo y Seguridad Ciudadana tendrαn como objeto principal la obtenciσn y canalizaciσn de informaciσn αgil, veraz y oportuna que permita prevenir, evitar y disminuir la realizaciσn de hechos punibles, en especial los relacionados con el terrorismo.</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89" w:name="2.6.1.1.5.5"/>
      <w:r>
        <w:rPr>
          <w:rFonts w:hAnsi="Arial"/>
          <w:rFonts w:ascii="Arial"/>
          <w:sz w:val="24"/>
          <w:color w:val="navy"/>
        </w:rPr>
        <w:t xml:space="preserve">ARTΝCULO 2.6.1.1.5.5. </w:t>
      </w:r>
      <w:r>
        <w:rPr>
          <w:rFonts w:hAnsi="Arial"/>
          <w:rFonts w:ascii="Arial"/>
          <w:sz w:val="24"/>
          <w:i/>
          <w:color w:val="navy"/>
        </w:rPr>
        <w:t xml:space="preserve">ENTREGA DE INFORMACIΣN.</w:t>
      </w:r>
      <w:bookmarkEnd w:id="62189"/>
      <w:r>
        <w:rPr>
          <w:rFonts w:hAnsi="Arial"/>
          <w:rFonts w:ascii="Arial"/>
          <w:sz w:val="24"/>
          <w:b/>
          <w:i/>
          <w:color w:val="black"/>
        </w:rPr>
        <w:t xml:space="preserve"> </w:t>
      </w:r>
      <w:r>
        <w:rPr>
          <w:rFonts w:hAnsi="Arial"/>
          <w:rFonts w:ascii="Arial"/>
          <w:sz w:val="24"/>
          <w:color w:val="black"/>
        </w:rPr>
        <w:t xml:space="preserve">Las personas, empresas y servicios descritos en el artνculo </w:t>
      </w:r>
      <w:r>
        <w:fldChar w:fldCharType="begin"/>
      </w:r>
      <w:r>
        <w:instrText>HYPERLINK "http://www.redjurista.com/document.aspx?ajcode=d0356_94&amp;arts=4"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Decreto-ley 356 de 1994, tendrαn el deber de designar uno o mαs coordinadores responsables de suministrar a la Policνa Nacional, de manera inmediata, la informaciσn relacionada con hechos que puedan perturbar la tranquilidad y seguridad, asν como los medios tιcnicos que permitan la prevenciσn de los mismos.</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todo caso, cuando la informaciσn obtenida se refiera a hechos punibles y se posean pruebas sobre su planeaciσn o ejecuciσn, deberαn ponerse a disposiciσn de la autoridad competente, en forma inmediata, con fines de investigaciσn.</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90" w:name="2.6.1.1.5.6"/>
      <w:r>
        <w:rPr>
          <w:rFonts w:hAnsi="Arial"/>
          <w:rFonts w:ascii="Arial"/>
          <w:sz w:val="24"/>
          <w:color w:val="navy"/>
        </w:rPr>
        <w:t xml:space="preserve">ARTΝCULO 2.6.1.1.5.6. </w:t>
      </w:r>
      <w:r>
        <w:rPr>
          <w:rFonts w:hAnsi="Arial"/>
          <w:rFonts w:ascii="Arial"/>
          <w:sz w:val="24"/>
          <w:i/>
          <w:color w:val="navy"/>
        </w:rPr>
        <w:t xml:space="preserve">CONFORMACIΣN BASE DE DATOS.</w:t>
      </w:r>
      <w:bookmarkEnd w:id="62190"/>
      <w:r>
        <w:rPr>
          <w:rFonts w:hAnsi="Arial"/>
          <w:rFonts w:ascii="Arial"/>
          <w:sz w:val="24"/>
          <w:b/>
          <w:i/>
          <w:color w:val="black"/>
        </w:rPr>
        <w:t xml:space="preserve"> </w:t>
      </w:r>
      <w:r>
        <w:rPr>
          <w:rFonts w:hAnsi="Arial"/>
          <w:rFonts w:ascii="Arial"/>
          <w:sz w:val="24"/>
          <w:color w:val="black"/>
        </w:rPr>
        <w:t xml:space="preserve">En el marco de la coordinaciσn que deberα existir para la operatividad de las Redes de Apoyo y Seguridad Ciudadana, la Superintendencia de Vigilancia y Seguridad Privada suministrarα a la Policνa Nacional, en medio magnιtico, la informaciσn de que disponga en sus bases de datos, relacionada con personal vinculado a los servicios de vigilancia y seguridad privada, medios autorizados y registro de equipos para la vigilancia y seguridad privadas. Dicha informaciσn serα actualizada dentro de los primeros cinco (5) dνas hαbiles de cada mes.</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91" w:name="2.6.1.1.5.7"/>
      <w:r>
        <w:rPr>
          <w:rFonts w:hAnsi="Arial"/>
          <w:rFonts w:ascii="Arial"/>
          <w:sz w:val="24"/>
          <w:color w:val="navy"/>
        </w:rPr>
        <w:t xml:space="preserve">ARTΝCULO 2.6.1.1.5.7. </w:t>
      </w:r>
      <w:r>
        <w:rPr>
          <w:rFonts w:hAnsi="Arial"/>
          <w:rFonts w:ascii="Arial"/>
          <w:sz w:val="24"/>
          <w:i/>
          <w:color w:val="navy"/>
        </w:rPr>
        <w:t>CAPACITACIΣN.</w:t>
      </w:r>
      <w:bookmarkEnd w:id="62191"/>
      <w:r>
        <w:rPr>
          <w:rFonts w:hAnsi="Arial"/>
          <w:rFonts w:ascii="Arial"/>
          <w:sz w:val="24"/>
          <w:b/>
          <w:i/>
          <w:color w:val="black"/>
        </w:rPr>
        <w:t xml:space="preserve"> </w:t>
      </w:r>
      <w:r>
        <w:rPr>
          <w:rFonts w:hAnsi="Arial"/>
          <w:rFonts w:ascii="Arial"/>
          <w:sz w:val="24"/>
          <w:color w:val="black"/>
        </w:rPr>
        <w:t xml:space="preserve">En coordinaciσn con la Policνa Nacional, el personal de los servicios de vigilancia y seguridad privada a que se refiere el artνculo </w:t>
      </w:r>
      <w:r>
        <w:fldChar w:fldCharType="begin"/>
      </w:r>
      <w:r>
        <w:instrText>HYPERLINK "http://www.redjurista.com/document.aspx?ajcode=d0356_94&amp;arts=4"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del Decreto-ley 356 de 1994, serα capacitado en la metodologνa para el adecuado suministro de la informaciσn a que se refiere el artνculo </w:t>
      </w:r>
      <w:r>
        <w:fldChar w:fldCharType="begin"/>
      </w:r>
      <w:r>
        <w:instrText>HYPERLINK "http://www.redjurista.com/document.aspx?ajcode=d1070015&amp;arts=2.6.1.1.5.5"</w:instrText>
      </w:r>
      <w:r>
        <w:fldChar w:fldCharType="separate"/>
      </w:r>
      <w:r>
        <w:rPr>
          <w:rFonts w:hAnsi="Arial"/>
          <w:rFonts w:ascii="Arial"/>
          <w:sz w:val="24"/>
          <w:u w:val="single"/>
          <w:color w:val="black"/>
        </w:rPr>
        <w:t>2.6.1.1.5.5</w:t>
      </w:r>
      <w:r>
        <w:fldChar w:fldCharType="end"/>
      </w:r>
      <w:r>
        <w:rPr>
          <w:rFonts w:hAnsi="Arial"/>
          <w:rFonts w:ascii="Arial"/>
          <w:sz w:val="24"/>
          <w:u w:val="none"/>
          <w:color w:val="black"/>
        </w:rPr>
        <w:t xml:space="preserve"> de la presente Secciσn. Dicha capacitaciσn serα impartida por las Escuelas y Departamentos de Capacitaciσn y Entrenamiento en Vigilancia y Seguridad Privada, autorizados por la Superintendencia de Vigilancia y Seguridad Privada.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Escuelas y Departamentos de Capacitaciσn y Entrenamiento en Vigilancia y Seguridad Privada informarαn a la Superintendencia de Vigilancia y Seguridad Privada los ajustes realizados a sus pensum.</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92" w:name="2.6.1.1.5.8"/>
      <w:r>
        <w:rPr>
          <w:rFonts w:hAnsi="Arial"/>
          <w:rFonts w:ascii="Arial"/>
          <w:sz w:val="24"/>
          <w:color w:val="navy"/>
        </w:rPr>
        <w:t xml:space="preserve">ARTΝCULO 2.6.1.1.5.8. </w:t>
      </w:r>
      <w:r>
        <w:rPr>
          <w:rFonts w:hAnsi="Arial"/>
          <w:rFonts w:ascii="Arial"/>
          <w:sz w:val="24"/>
          <w:i/>
          <w:color w:val="navy"/>
        </w:rPr>
        <w:t xml:space="preserve">EVALUACIONES PERIΣDICAS.</w:t>
      </w:r>
      <w:bookmarkEnd w:id="62192"/>
      <w:r>
        <w:rPr>
          <w:rFonts w:hAnsi="Arial"/>
          <w:rFonts w:ascii="Arial"/>
          <w:sz w:val="24"/>
          <w:b/>
          <w:i/>
          <w:color w:val="black"/>
        </w:rPr>
        <w:t xml:space="preserve"> </w:t>
      </w:r>
      <w:r>
        <w:rPr>
          <w:rFonts w:hAnsi="Arial"/>
          <w:rFonts w:ascii="Arial"/>
          <w:sz w:val="24"/>
          <w:color w:val="black"/>
        </w:rPr>
        <w:t xml:space="preserve">La Policνa Nacional evaluarα trimestralmente el funcionamiento de las Redes de Apoyo y Solidaridad Ciudadana a que se refiere la presente Secciσn y reportarα a la Superintendencia de Vigilancia y Seguridad Privada las anomalνas que se presenten, para que esta adelante las investigaciones y demαs actuaciones administrativas a que haya lugar.</w:t>
      </w:r>
    </w:p>
    <w:p>
      <w:pPr>
        <w:jc w:val="both"/>
      </w:pPr>
      <w:rPr>
        <w:sz w:val="24"/>
        <w:color w:val="black"/>
      </w:rPr>
    </w:p>
    <w:p>
      <w:pPr>
        <w:jc w:val="both"/>
      </w:pPr>
      <w:r>
        <w:rPr>
          <w:rFonts w:hAnsi="Arial"/>
          <w:rFonts w:ascii="Arial"/>
          <w:sz w:val="24"/>
          <w:i/>
          <w:color w:val="black"/>
        </w:rPr>
        <w:t xml:space="preserve">(Decreto 3222 de 2002 artνculo </w:t>
      </w:r>
      <w:r>
        <w:fldChar w:fldCharType="begin"/>
      </w:r>
      <w:r>
        <w:instrText>HYPERLINK "http://www.redjurista.com/document.aspx?ajcode=d3222002&amp;arts=8"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62193" w:name="SECCIÓN 2.6.1.1.6"/>
      <w:r>
        <w:rPr>
          <w:rFonts w:hAnsi="Arial"/>
          <w:rFonts w:ascii="Arial"/>
          <w:sz w:val="24"/>
          <w:color w:val="navy"/>
        </w:rPr>
        <w:t xml:space="preserve">SECCIΣN 6. </w:t>
      </w:r>
    </w:p>
    <w:p>
      <w:pPr>
        <w:jc w:val="center"/>
      </w:pPr>
      <w:r>
        <w:rPr>
          <w:rFonts w:hAnsi="Arial"/>
          <w:rFonts w:ascii="Arial"/>
          <w:sz w:val="24"/>
          <w:color w:val="navy"/>
        </w:rPr>
        <w:t xml:space="preserve">FIJACIΣN DE LAS TARIFAS MΝNIMAS PARA EL COBRO DE LOS SERVICIOS DE VIGILANCIA Y SEGURIDAD PRIVADA PRESTADOS POR LAS EMPRESAS Y/O COOPERATIVAS DE VIGILANCIA Y SEGURIDAD PRIVADA.</w:t>
      </w:r>
      <w:bookmarkEnd w:id="62193"/>
      <w:r>
        <w:rPr>
          <w:rFonts w:hAnsi="Arial"/>
          <w:rFonts w:ascii="Arial"/>
          <w:sz w:val="24"/>
          <w:b/>
          <w:color w:val="black"/>
        </w:rPr>
        <w:t xml:space="preserve"> </w:t>
      </w:r>
    </w:p>
    <w:p>
      <w:pPr>
        <w:jc w:val="both"/>
      </w:pPr>
      <w:rPr>
        <w:sz w:val="24"/>
        <w:color w:val="black"/>
      </w:rPr>
    </w:p>
    <w:p>
      <w:pPr>
        <w:jc w:val="both"/>
      </w:pPr>
      <w:r>
        <w:rPr>
          <w:rFonts w:hAnsi="Arial"/>
          <w:rFonts w:ascii="Arial"/>
          <w:sz w:val="24"/>
          <w:vanish/>
          <w:color w:val="black"/>
        </w:rPr>
        <w:t>&amp;$</w:t>
      </w:r>
      <w:bookmarkStart w:id="62194" w:name="2.6.1.1.6.1"/>
      <w:r>
        <w:rPr>
          <w:rFonts w:hAnsi="Arial"/>
          <w:rFonts w:ascii="Arial"/>
          <w:sz w:val="24"/>
          <w:color w:val="navy"/>
        </w:rPr>
        <w:t xml:space="preserve">ARTΝCULO 2.6.1.1.6.1. </w:t>
      </w:r>
      <w:r>
        <w:rPr>
          <w:rFonts w:hAnsi="Arial"/>
          <w:rFonts w:ascii="Arial"/>
          <w:sz w:val="24"/>
          <w:i/>
          <w:color w:val="navy"/>
        </w:rPr>
        <w:t>OBJETO.</w:t>
      </w:r>
      <w:bookmarkEnd w:id="62194"/>
      <w:r>
        <w:rPr>
          <w:rFonts w:hAnsi="Arial"/>
          <w:rFonts w:ascii="Arial"/>
          <w:sz w:val="24"/>
          <w:b/>
          <w:i/>
          <w:color w:val="black"/>
        </w:rPr>
        <w:t xml:space="preserve"> </w:t>
      </w:r>
      <w:r>
        <w:rPr>
          <w:rFonts w:hAnsi="Arial"/>
          <w:rFonts w:ascii="Arial"/>
          <w:sz w:val="24"/>
          <w:color w:val="black"/>
        </w:rPr>
        <w:t xml:space="preserve">La presente Secciσn tiene por objeto, fijar las tarifas mνnimas para el cobro de servicios de vigilancia y seguridad privada por parte de las empresas y cooperativas de vigilancia y seguridad privada con armas y sin armas que utilicen el medio humano y/o medio canino y que se encuentran bajo el control, inspecciσn y vigilancia de la Superintendencia de Vigilancia y Seguridad Privada.</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95" w:name="2.6.1.1.6.2"/>
      <w:r>
        <w:rPr>
          <w:rFonts w:hAnsi="Arial"/>
          <w:rFonts w:ascii="Arial"/>
          <w:sz w:val="24"/>
          <w:color w:val="navy"/>
        </w:rPr>
        <w:t xml:space="preserve">ARTΝCULO 2.6.1.1.6.2. </w:t>
      </w:r>
      <w:r>
        <w:rPr>
          <w:rFonts w:hAnsi="Arial"/>
          <w:rFonts w:ascii="Arial"/>
          <w:sz w:val="24"/>
          <w:i/>
          <w:color w:val="navy"/>
        </w:rPr>
        <w:t>TARIFAS.</w:t>
      </w:r>
      <w:bookmarkEnd w:id="6219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"http://www.redjurista.com/document.aspx?ajcode=d1561022&amp;arts=1"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1561 de 2022. El nuevo texto es el siguiente:&gt; Las tarifas mνnimas para el cobro de servicios de vigilancia y seguridad privada veinticuatro (24) horas, treinta (30) dνas al mes serαn las siguientes: </w:t>
      </w:r>
    </w:p>
    <w:p>
      <w:pPr>
        <w:jc w:val="both"/>
        <w:outlineLvl w:val="1"/>
      </w:pPr>
      <w:rPr>
        <w:sz w:val="24"/>
        <w:b/>
        <w:color w:val="black"/>
      </w:rPr>
    </w:p>
    <w:p>
      <w:pPr>
        <w:jc w:val="both"/>
        <w:outlineLvl w:val="1"/>
      </w:pPr>
      <w:r>
        <w:rPr>
          <w:rFonts w:hAnsi="Arial"/>
          <w:rFonts w:ascii="Arial"/>
          <w:sz w:val="24"/>
          <w:b/>
          <w:color w:val="black"/>
        </w:rPr>
        <w:t xml:space="preserve">1. Empresas armadas con medio humano: </w:t>
      </w:r>
      <w:r>
        <w:rPr>
          <w:rFonts w:hAnsi="Arial"/>
          <w:rFonts w:ascii="Arial"/>
          <w:sz w:val="24"/>
          <w:color w:val="black"/>
        </w:rPr>
        <w:t xml:space="preserve">La tarifa para cubrir los costos laborales y operativos serα el equivalente a 9,06 smmlv a partir del 15 de julio del aρo 2023, 9,14 smmlv a partir del 15 de julio del aρo 2024, 9,29 smmlv a partir del 15 de julio del aρo 2025, y 9,32 smmlv a partir del 15 de julio del aρo 2026; mαs el 10% del monto calculado para cubrir gastos administrativos y de supervisiσn. </w:t>
      </w:r>
    </w:p>
    <w:p>
      <w:pPr>
        <w:jc w:val="both"/>
        <w:outlineLvl w:val="1"/>
      </w:pPr>
      <w:rPr>
        <w:sz w:val="24"/>
        <w:b/>
        <w:color w:val="black"/>
      </w:rPr>
    </w:p>
    <w:p>
      <w:pPr>
        <w:jc w:val="both"/>
        <w:outlineLvl w:val="1"/>
      </w:pPr>
      <w:r>
        <w:rPr>
          <w:rFonts w:hAnsi="Arial"/>
          <w:rFonts w:ascii="Arial"/>
          <w:sz w:val="24"/>
          <w:b/>
          <w:color w:val="black"/>
        </w:rPr>
        <w:t xml:space="preserve">2. Empresas sin armas con medio humano: </w:t>
      </w:r>
      <w:r>
        <w:rPr>
          <w:rFonts w:hAnsi="Arial"/>
          <w:rFonts w:ascii="Arial"/>
          <w:sz w:val="24"/>
          <w:color w:val="black"/>
        </w:rPr>
        <w:t xml:space="preserve">La tarifa para cubrir los costos laborales y operativos serα el equivalente a 9,06 smmlv a partir del 15 de julio del aρo 2023, 9,14 smmlv a partir del 15 de julio del aρo 2024, 9,29 smmlv a partir del 15 de julio del aρo 2025, y 9,32 smmlv a partir del 15 de julio del aρo 2026; mαs el 8% del monto calculado para cubrir gastos administrativos y de supervisiσn. </w:t>
      </w:r>
    </w:p>
    <w:p>
      <w:pPr>
        <w:jc w:val="both"/>
        <w:outlineLvl w:val="1"/>
      </w:pPr>
      <w:rPr>
        <w:sz w:val="24"/>
        <w:b/>
        <w:color w:val="black"/>
      </w:rPr>
    </w:p>
    <w:p>
      <w:pPr>
        <w:jc w:val="both"/>
        <w:outlineLvl w:val="1"/>
      </w:pPr>
      <w:r>
        <w:rPr>
          <w:rFonts w:hAnsi="Arial"/>
          <w:rFonts w:ascii="Arial"/>
          <w:sz w:val="24"/>
          <w:b/>
          <w:color w:val="black"/>
        </w:rPr>
        <w:t xml:space="preserve">3. Empresas sin armas con medio humano y canino: </w:t>
      </w:r>
      <w:r>
        <w:rPr>
          <w:rFonts w:hAnsi="Arial"/>
          <w:rFonts w:ascii="Arial"/>
          <w:sz w:val="24"/>
          <w:color w:val="black"/>
        </w:rPr>
        <w:t xml:space="preserve">La tarifa para cubrir los costos laborales y operativos serα el equivalente a 9,06 smmlv a partir del 15 de julio del aρo 2023, 9,14 smmlv a partir del 15 de julio del aρo 2024, 9,29 smmlv a partir del 15 de julio del aρo 2025, y 9,32 smmlv a partir del 15 de julio del aρo 2026; mαs el 11% del monto calculado para cubrir gastos administrativos y de supervisiσn.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Superintendencia de Vigilancia y Seguridad Privada, una vez el Gobierno nacional apruebe el Salario Mνnimo Legal Mensual Vigente, emitirα la circular sobre tarifas mνnimas para la contrataciσn del Servicio de Vigilancia y Seguridad Privada, a partir del mes de enero de 2023.</w:t>
      </w:r>
    </w:p>
    <w:p>
      <w:pPr>
        <w:jc w:val="both"/>
      </w:pPr>
    </w:p>
    <w:p>
      <w:pPr>
        <w:jc w:val="both"/>
      </w:pPr>
      <w:r>
        <w:rPr>
          <w:rFonts w:hAnsi="Arial"/>
          <w:rFonts w:ascii="Arial"/>
          <w:sz w:val="24"/>
          <w:vanish/>
          <w:color w:val="black"/>
        </w:rPr>
        <w:t>&amp;$</w:t>
      </w:r>
      <w:bookmarkStart w:id="62196" w:name="2.6.1.1.6.3"/>
      <w:r>
        <w:rPr>
          <w:rFonts w:hAnsi="Arial"/>
          <w:rFonts w:ascii="Arial"/>
          <w:sz w:val="24"/>
          <w:color w:val="navy"/>
        </w:rPr>
        <w:t xml:space="preserve">ARTΝCULO 2.6.1.1.6.3. </w:t>
      </w:r>
      <w:r>
        <w:rPr>
          <w:rFonts w:hAnsi="Arial"/>
          <w:rFonts w:ascii="Arial"/>
          <w:sz w:val="24"/>
          <w:i/>
          <w:color w:val="navy"/>
        </w:rPr>
        <w:t xml:space="preserve">ESTRUCTURA DE COSTOS Y GASTOS.</w:t>
      </w:r>
      <w:bookmarkEnd w:id="6219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"http://www.redjurista.com/document.aspx?ajcode=d1561022&amp;arts=2"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1561 de 2022. El nuevo texto es el siguiente:&gt; La tarifa calculada estα dada sobre la base de los costos directos que incluyen los factores salariales, prestacionales, parafiscales, dotaciones y seguro de vida e indirectos que incluyen los gastos de administraciσn, supervisiσn y utilidades.</w:t>
      </w:r>
    </w:p>
    <w:p/>
    <w:p>
      <w:pPr>
        <w:jc w:val="both"/>
      </w:pPr>
      <w:r>
        <w:rPr>
          <w:rFonts w:hAnsi="Arial"/>
          <w:rFonts w:ascii="Arial"/>
          <w:sz w:val="24"/>
          <w:vanish/>
          <w:color w:val="black"/>
        </w:rPr>
        <w:t>&amp;$</w:t>
      </w:r>
      <w:bookmarkStart w:id="62197" w:name="2.6.1.1.6.4"/>
      <w:r>
        <w:rPr>
          <w:rFonts w:hAnsi="Arial"/>
          <w:rFonts w:ascii="Arial"/>
          <w:sz w:val="24"/>
          <w:color w:val="navy"/>
        </w:rPr>
        <w:t xml:space="preserve">ARTΝCULO 2.6.1.1.6.4. </w:t>
      </w:r>
      <w:r>
        <w:rPr>
          <w:rFonts w:hAnsi="Arial"/>
          <w:rFonts w:ascii="Arial"/>
          <w:sz w:val="24"/>
          <w:i/>
          <w:color w:val="navy"/>
        </w:rPr>
        <w:t xml:space="preserve">SERVICIOS ADICIONALES.</w:t>
      </w:r>
      <w:bookmarkEnd w:id="62197"/>
      <w:r>
        <w:rPr>
          <w:rFonts w:hAnsi="Arial"/>
          <w:rFonts w:ascii="Arial"/>
          <w:sz w:val="24"/>
          <w:b/>
          <w:i/>
          <w:color w:val="black"/>
        </w:rPr>
        <w:t xml:space="preserve"> </w:t>
      </w:r>
      <w:r>
        <w:rPr>
          <w:rFonts w:hAnsi="Arial"/>
          <w:rFonts w:ascii="Arial"/>
          <w:sz w:val="24"/>
          <w:color w:val="black"/>
        </w:rPr>
        <w:t xml:space="preserve">Cuando los usuarios demanden servicios adicionales a los enunciados en los numerales 1, 2, y 3 del artνculo </w:t>
      </w:r>
      <w:r>
        <w:fldChar w:fldCharType="begin"/>
      </w:r>
      <w:r>
        <w:instrText>HYPERLINK "http://www.redjurista.com/document.aspx?ajcode=d1070015&amp;arts=2.6.1.1.6.2"</w:instrText>
      </w:r>
      <w:r>
        <w:fldChar w:fldCharType="separate"/>
      </w:r>
      <w:r>
        <w:rPr>
          <w:rFonts w:hAnsi="Arial"/>
          <w:rFonts w:ascii="Arial"/>
          <w:sz w:val="24"/>
          <w:u w:val="single"/>
          <w:color w:val="black"/>
        </w:rPr>
        <w:t>2.6.1.1.6.2</w:t>
      </w:r>
      <w:r>
        <w:fldChar w:fldCharType="end"/>
      </w:r>
      <w:r>
        <w:rPr>
          <w:rFonts w:hAnsi="Arial"/>
          <w:rFonts w:ascii="Arial"/>
          <w:sz w:val="24"/>
          <w:u w:val="none"/>
          <w:color w:val="black"/>
        </w:rPr>
        <w:t xml:space="preserve">., de la presente Secciσn, estos tendrαn valores adicionales. Las empresas de vigilancia y seguridad privada que ofrezcan medios tecnolσgicos deberαn contar con la debida licencia de funcionamiento expedida por esta Entidad.</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198" w:name="2.6.1.1.6.5"/>
      <w:r>
        <w:rPr>
          <w:rFonts w:hAnsi="Arial"/>
          <w:rFonts w:ascii="Arial"/>
          <w:sz w:val="24"/>
          <w:color w:val="navy"/>
        </w:rPr>
        <w:t xml:space="preserve">ARTΝCULO 2.6.1.1.6.5. </w:t>
      </w:r>
      <w:r>
        <w:rPr>
          <w:rFonts w:hAnsi="Arial"/>
          <w:rFonts w:ascii="Arial"/>
          <w:sz w:val="24"/>
          <w:i/>
          <w:color w:val="navy"/>
        </w:rPr>
        <w:t xml:space="preserve">APLICACIΣN DE LA TARIFA.</w:t>
      </w:r>
      <w:bookmarkEnd w:id="62198"/>
      <w:r>
        <w:rPr>
          <w:rFonts w:hAnsi="Arial"/>
          <w:rFonts w:ascii="Arial"/>
          <w:sz w:val="24"/>
          <w:b/>
          <w:i/>
          <w:color w:val="black"/>
        </w:rPr>
        <w:t xml:space="preserve"> </w:t>
      </w:r>
      <w:r>
        <w:rPr>
          <w:rFonts w:hAnsi="Arial"/>
          <w:rFonts w:ascii="Arial"/>
          <w:sz w:val="24"/>
          <w:color w:val="black"/>
        </w:rPr>
        <w:t xml:space="preserve">Los usuarios que se encuentren clasificados en los siguientes sectores serαn sujetos de aplicaciσn de la tarifa mνnima establecida en el artνculo </w:t>
      </w:r>
      <w:r>
        <w:fldChar w:fldCharType="begin"/>
      </w:r>
      <w:r>
        <w:instrText>HYPERLINK "http://www.redjurista.com/document.aspx?ajcode=d1070015&amp;arts=2.6.1.1.6.2"</w:instrText>
      </w:r>
      <w:r>
        <w:fldChar w:fldCharType="separate"/>
      </w:r>
      <w:r>
        <w:rPr>
          <w:rFonts w:hAnsi="Arial"/>
          <w:rFonts w:ascii="Arial"/>
          <w:sz w:val="24"/>
          <w:u w:val="single"/>
          <w:color w:val="black"/>
        </w:rPr>
        <w:t>2.6.1.1.6.2</w:t>
      </w:r>
      <w:r>
        <w:fldChar w:fldCharType="end"/>
      </w:r>
      <w:r>
        <w:rPr>
          <w:rFonts w:hAnsi="Arial"/>
          <w:rFonts w:ascii="Arial"/>
          <w:sz w:val="24"/>
          <w:u w:val="none"/>
          <w:color w:val="black"/>
        </w:rPr>
        <w:t xml:space="preserve">., asν:</w:t>
      </w:r>
    </w:p>
    <w:p>
      <w:pPr>
        <w:jc w:val="both"/>
      </w:pPr>
      <w:rPr>
        <w:sz w:val="24"/>
        <w:color w:val="black"/>
      </w:rPr>
    </w:p>
    <w:p>
      <w:pPr>
        <w:jc w:val="both"/>
      </w:pPr>
      <w:r>
        <w:rPr>
          <w:rFonts w:hAnsi="Arial"/>
          <w:rFonts w:ascii="Arial"/>
          <w:sz w:val="24"/>
          <w:color w:val="black"/>
        </w:rPr>
        <w:t xml:space="preserve">1. Sector comercial y de servicios.</w:t>
      </w:r>
    </w:p>
    <w:p>
      <w:pPr>
        <w:jc w:val="both"/>
      </w:pPr>
      <w:rPr>
        <w:sz w:val="24"/>
        <w:color w:val="black"/>
      </w:rPr>
    </w:p>
    <w:p>
      <w:pPr>
        <w:jc w:val="both"/>
      </w:pPr>
      <w:r>
        <w:rPr>
          <w:rFonts w:hAnsi="Arial"/>
          <w:rFonts w:ascii="Arial"/>
          <w:sz w:val="24"/>
          <w:color w:val="black"/>
        </w:rPr>
        <w:t xml:space="preserve">2. Sector industrial.</w:t>
      </w:r>
    </w:p>
    <w:p>
      <w:pPr>
        <w:jc w:val="both"/>
      </w:pPr>
      <w:rPr>
        <w:sz w:val="24"/>
        <w:color w:val="black"/>
      </w:rPr>
    </w:p>
    <w:p>
      <w:pPr>
        <w:jc w:val="both"/>
      </w:pPr>
      <w:r>
        <w:rPr>
          <w:rFonts w:hAnsi="Arial"/>
          <w:rFonts w:ascii="Arial"/>
          <w:sz w:val="24"/>
          <w:color w:val="black"/>
        </w:rPr>
        <w:t xml:space="preserve">3. Sector aeroportuario.</w:t>
      </w:r>
    </w:p>
    <w:p>
      <w:pPr>
        <w:jc w:val="both"/>
      </w:pPr>
      <w:rPr>
        <w:sz w:val="24"/>
        <w:color w:val="black"/>
      </w:rPr>
    </w:p>
    <w:p>
      <w:pPr>
        <w:jc w:val="both"/>
      </w:pPr>
      <w:r>
        <w:rPr>
          <w:rFonts w:hAnsi="Arial"/>
          <w:rFonts w:ascii="Arial"/>
          <w:sz w:val="24"/>
          <w:color w:val="black"/>
        </w:rPr>
        <w:t xml:space="preserve">4. Sector financiero.</w:t>
      </w:r>
    </w:p>
    <w:p>
      <w:pPr>
        <w:jc w:val="both"/>
      </w:pPr>
      <w:rPr>
        <w:sz w:val="24"/>
        <w:color w:val="black"/>
      </w:rPr>
    </w:p>
    <w:p>
      <w:pPr>
        <w:jc w:val="both"/>
      </w:pPr>
      <w:r>
        <w:rPr>
          <w:rFonts w:hAnsi="Arial"/>
          <w:rFonts w:ascii="Arial"/>
          <w:sz w:val="24"/>
          <w:color w:val="black"/>
        </w:rPr>
        <w:t xml:space="preserve">5. Sector transporte y comunicaciones.</w:t>
      </w:r>
    </w:p>
    <w:p>
      <w:pPr>
        <w:jc w:val="both"/>
      </w:pPr>
      <w:rPr>
        <w:sz w:val="24"/>
        <w:color w:val="black"/>
      </w:rPr>
    </w:p>
    <w:p>
      <w:pPr>
        <w:jc w:val="both"/>
      </w:pPr>
      <w:r>
        <w:rPr>
          <w:rFonts w:hAnsi="Arial"/>
          <w:rFonts w:ascii="Arial"/>
          <w:sz w:val="24"/>
          <w:color w:val="black"/>
        </w:rPr>
        <w:t xml:space="preserve">6. Sector energιtico y petrolero.</w:t>
      </w:r>
    </w:p>
    <w:p>
      <w:pPr>
        <w:jc w:val="both"/>
      </w:pPr>
      <w:rPr>
        <w:sz w:val="24"/>
        <w:color w:val="black"/>
      </w:rPr>
    </w:p>
    <w:p>
      <w:pPr>
        <w:jc w:val="both"/>
      </w:pPr>
      <w:r>
        <w:rPr>
          <w:rFonts w:hAnsi="Arial"/>
          <w:rFonts w:ascii="Arial"/>
          <w:sz w:val="24"/>
          <w:color w:val="black"/>
        </w:rPr>
        <w:t xml:space="preserve">7. Sector pϊblico.</w:t>
      </w:r>
    </w:p>
    <w:p>
      <w:pPr>
        <w:jc w:val="both"/>
      </w:pPr>
      <w:rPr>
        <w:sz w:val="24"/>
        <w:color w:val="black"/>
      </w:rPr>
    </w:p>
    <w:p>
      <w:pPr>
        <w:jc w:val="both"/>
      </w:pPr>
      <w:r>
        <w:rPr>
          <w:rFonts w:hAnsi="Arial"/>
          <w:rFonts w:ascii="Arial"/>
          <w:sz w:val="24"/>
          <w:color w:val="black"/>
        </w:rPr>
        <w:t xml:space="preserve">8. Sector educativo privado.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&lt;Parαgrafo modificado por el artνculo </w:t>
      </w:r>
      <w:r>
        <w:fldChar w:fldCharType="begin"/>
      </w:r>
      <w:r>
        <w:instrText>HYPERLINK "http://www.redjurista.com/document.aspx?ajcode=d1561022&amp;arts=3"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1561 de 2022. El nuevo texto es el siguiente:&gt; Para el sector residencial de los estratos 4, 5, y 6, la tarifa mνnima serα el equivalente a 9,06 smmlv a partir del 15 de julio del aρo 2023, 9,14 smmlv a partir del 15 de julio del aρo 2024, 9,29 smmlv a partir del 15 de julio del aρo 2025, y 9,32 smmlv a partir del 15 de julio del aρo 2026; mαs un 10% de administraciσn y supervisiσn.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los estratos residenciales 1, 2 y 3 la tarifa a cobrar deberα garantizar al trabajador el pago de las obligaciones laborales y los costos operativos.</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199" w:name="2.6.1.1.6.6"/>
      <w:r>
        <w:rPr>
          <w:rFonts w:hAnsi="Arial"/>
          <w:rFonts w:ascii="Arial"/>
          <w:sz w:val="24"/>
          <w:color w:val="navy"/>
        </w:rPr>
        <w:t xml:space="preserve">ARTΝCULO 2.6.1.1.6.6. </w:t>
      </w:r>
      <w:r>
        <w:rPr>
          <w:rFonts w:hAnsi="Arial"/>
          <w:rFonts w:ascii="Arial"/>
          <w:sz w:val="24"/>
          <w:i/>
          <w:color w:val="navy"/>
        </w:rPr>
        <w:t xml:space="preserve">COOPERATIVAS ARMADAS Y SIN ARMAS CON MEDIO HUMANO.</w:t>
      </w:r>
      <w:bookmarkEnd w:id="62199"/>
      <w:r>
        <w:rPr>
          <w:rFonts w:hAnsi="Arial"/>
          <w:rFonts w:ascii="Arial"/>
          <w:sz w:val="24"/>
          <w:b/>
          <w:i/>
          <w:color w:val="black"/>
        </w:rPr>
        <w:t xml:space="preserve"> </w:t>
      </w:r>
      <w:r>
        <w:rPr>
          <w:rFonts w:hAnsi="Arial"/>
          <w:rFonts w:ascii="Arial"/>
          <w:sz w:val="24"/>
          <w:color w:val="black"/>
        </w:rPr>
        <w:t xml:space="preserve">La tarifa se ajustarα a la estructura de costos y gastos propios de estas empresas, teniendo en cuenta su rιgimen especial de trabajo asociado, de previsiσn y seguridad social y de compensaciones que les permite un manejo diferente de las empresas mercantiles.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Para todos los efectos, en todo momento y lugar las Cooperativas de Trabajo Asociado deberαn dar estricto cumplimiento a lo establecido en la legislaciσn cooperativa vigente.</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Las tarifas determinadas para las cooperativas de vigilancia y seguridad privada, en todo caso, no podrαn ser inferiores de las fijadas anteriormente en menos de un 10%.</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0" w:name="2.6.1.1.6.7"/>
      <w:r>
        <w:rPr>
          <w:rFonts w:hAnsi="Arial"/>
          <w:rFonts w:ascii="Arial"/>
          <w:sz w:val="24"/>
          <w:color w:val="navy"/>
        </w:rPr>
        <w:t xml:space="preserve">ARTΝCULO 2.6.1.1.6.7. </w:t>
      </w:r>
      <w:r>
        <w:rPr>
          <w:rFonts w:hAnsi="Arial"/>
          <w:rFonts w:ascii="Arial"/>
          <w:sz w:val="24"/>
          <w:i/>
          <w:color w:val="navy"/>
        </w:rPr>
        <w:t xml:space="preserve">HORAS CONTRATADAS.</w:t>
      </w:r>
      <w:bookmarkEnd w:id="62200"/>
      <w:r>
        <w:rPr>
          <w:rFonts w:hAnsi="Arial"/>
          <w:rFonts w:ascii="Arial"/>
          <w:sz w:val="24"/>
          <w:b/>
          <w:i/>
          <w:color w:val="black"/>
        </w:rPr>
        <w:t xml:space="preserve"> </w:t>
      </w:r>
      <w:r>
        <w:rPr>
          <w:rFonts w:hAnsi="Arial"/>
          <w:rFonts w:ascii="Arial"/>
          <w:sz w:val="24"/>
          <w:color w:val="black"/>
        </w:rPr>
        <w:t xml:space="preserve">Cuando el servicio contratado sea inferior a veinticuatro (24) horas, la tarifa deberα ser proporcional al tiempo contratado.</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1" w:name="2.6.1.1.6.8"/>
      <w:r>
        <w:rPr>
          <w:rFonts w:hAnsi="Arial"/>
          <w:rFonts w:ascii="Arial"/>
          <w:sz w:val="24"/>
          <w:color w:val="navy"/>
        </w:rPr>
        <w:t xml:space="preserve">ARTΝCULO 2.6.1.1.6.8. </w:t>
      </w:r>
      <w:r>
        <w:rPr>
          <w:rFonts w:hAnsi="Arial"/>
          <w:rFonts w:ascii="Arial"/>
          <w:sz w:val="24"/>
          <w:i/>
          <w:color w:val="navy"/>
        </w:rPr>
        <w:t xml:space="preserve">CUMPLIMIENTO DE LA LEGISLACIΣN LABORAL.</w:t>
      </w:r>
      <w:bookmarkEnd w:id="62201"/>
      <w:r>
        <w:rPr>
          <w:rFonts w:hAnsi="Arial"/>
          <w:rFonts w:ascii="Arial"/>
          <w:sz w:val="24"/>
          <w:b/>
          <w:i/>
          <w:color w:val="black"/>
        </w:rPr>
        <w:t xml:space="preserve"> </w:t>
      </w:r>
      <w:r>
        <w:rPr>
          <w:rFonts w:hAnsi="Arial"/>
          <w:rFonts w:ascii="Arial"/>
          <w:sz w:val="24"/>
          <w:color w:val="black"/>
        </w:rPr>
        <w:t xml:space="preserve">Las empresas y cooperativas de vigilancia y seguridad privada deberαn cumplir en todo momento y en todo lugar las obligaciones laborales legales vigentes.</w:t>
      </w:r>
    </w:p>
    <w:p>
      <w:pPr>
        <w:jc w:val="both"/>
      </w:pPr>
      <w:rPr>
        <w:sz w:val="24"/>
        <w:color w:val="black"/>
      </w:rPr>
    </w:p>
    <w:p>
      <w:pPr>
        <w:jc w:val="both"/>
      </w:pPr>
      <w:r>
        <w:rPr>
          <w:rFonts w:hAnsi="Arial"/>
          <w:rFonts w:ascii="Arial"/>
          <w:sz w:val="24"/>
          <w:i/>
          <w:color w:val="black"/>
        </w:rPr>
        <w:t xml:space="preserve">(Decreto 4950 de 2007 artνculo </w:t>
      </w:r>
      <w:r>
        <w:fldChar w:fldCharType="begin"/>
      </w:r>
      <w:r>
        <w:instrText>HYPERLINK "http://www.redjurista.com/document.aspx?ajcode=d4950007&amp;arts=8"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202" w:name="SECCIÓN 2.6.1.1.7"/>
      <w:r>
        <w:rPr>
          <w:rFonts w:hAnsi="Arial"/>
          <w:rFonts w:ascii="Arial"/>
          <w:sz w:val="24"/>
          <w:color w:val="navy"/>
        </w:rPr>
        <w:t xml:space="preserve">SECCIΣN 7. </w:t>
      </w:r>
    </w:p>
    <w:p>
      <w:pPr>
        <w:jc w:val="center"/>
      </w:pPr>
      <w:r>
        <w:rPr>
          <w:rFonts w:hAnsi="Arial"/>
          <w:rFonts w:ascii="Arial"/>
          <w:sz w:val="24"/>
          <w:color w:val="navy"/>
        </w:rPr>
        <w:t xml:space="preserve">REGLAMENTACIΣN DEL ARTΝCULO 76 DE LA LEY 1151 DE 2007.</w:t>
      </w:r>
      <w:bookmarkEnd w:id="6220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203" w:name="2.6.1.1.7.1"/>
      <w:r>
        <w:rPr>
          <w:rFonts w:hAnsi="Arial"/>
          <w:rFonts w:ascii="Arial"/>
          <w:sz w:val="24"/>
          <w:color w:val="navy"/>
        </w:rPr>
        <w:t xml:space="preserve">ARTΝCULO 2.6.1.1.7.1. </w:t>
      </w:r>
      <w:r>
        <w:rPr>
          <w:rFonts w:hAnsi="Arial"/>
          <w:rFonts w:ascii="Arial"/>
          <w:sz w:val="24"/>
          <w:i/>
          <w:color w:val="navy"/>
        </w:rPr>
        <w:t xml:space="preserve">CONTRIBUCIΣN A FAVOR DE LA SUPERINTENDENCIA DE VIGILANCIA Y SEGURIDAD PRIVADA.</w:t>
      </w:r>
      <w:bookmarkEnd w:id="62203"/>
      <w:r>
        <w:rPr>
          <w:rFonts w:hAnsi="Arial"/>
          <w:rFonts w:ascii="Arial"/>
          <w:sz w:val="24"/>
          <w:b/>
          <w:i/>
          <w:color w:val="black"/>
        </w:rPr>
        <w:t xml:space="preserve"> </w:t>
      </w:r>
      <w:r>
        <w:rPr>
          <w:rFonts w:hAnsi="Arial"/>
          <w:rFonts w:ascii="Arial"/>
          <w:sz w:val="24"/>
          <w:color w:val="black"/>
        </w:rPr>
        <w:t xml:space="preserve">Las personas naturales o jurνdicas sometidas a la inspecciσn, vigilancia y control de la Superintendencia de Vigilancia y Seguridad Privada deberαn pagar anualmente una contribuciσn a favor de dicha entidad, en los tιrminos seρalados en el artνculo </w:t>
      </w:r>
      <w:r>
        <w:fldChar w:fldCharType="begin"/>
      </w:r>
      <w:r>
        <w:instrText>HYPERLINK "http://www.redjurista.com/document.aspx?ajcode=l1151007&amp;arts=76"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1151 de 2007.</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4" w:name="2.6.1.1.7.2"/>
      <w:r>
        <w:rPr>
          <w:rFonts w:hAnsi="Arial"/>
          <w:rFonts w:ascii="Arial"/>
          <w:sz w:val="24"/>
          <w:color w:val="navy"/>
        </w:rPr>
        <w:t xml:space="preserve">ARTΝCULO 2.6.1.1.7.2. </w:t>
      </w:r>
      <w:r>
        <w:rPr>
          <w:rFonts w:hAnsi="Arial"/>
          <w:rFonts w:ascii="Arial"/>
          <w:sz w:val="24"/>
          <w:i/>
          <w:color w:val="navy"/>
        </w:rPr>
        <w:t xml:space="preserve">BASE GRAVABLE Y TARIFA.</w:t>
      </w:r>
      <w:bookmarkEnd w:id="62204"/>
      <w:r>
        <w:rPr>
          <w:rFonts w:hAnsi="Arial"/>
          <w:rFonts w:ascii="Arial"/>
          <w:sz w:val="24"/>
          <w:b/>
          <w:i/>
          <w:color w:val="black"/>
        </w:rPr>
        <w:t xml:space="preserve"> </w:t>
      </w:r>
      <w:r>
        <w:rPr>
          <w:rFonts w:hAnsi="Arial"/>
          <w:rFonts w:ascii="Arial"/>
          <w:sz w:val="24"/>
          <w:color w:val="black"/>
        </w:rPr>
        <w:t xml:space="preserve">&lt;Ver Notas del Editor&gt; La contribuciσn establecida a favor de la Superintendencia de Vigilancia y Seguridad Privada se establecerα de la siguiente forma:</w:t>
      </w:r>
    </w:p>
    <w:p>
      <w:pPr>
        <w:jc w:val="both"/>
      </w:pPr>
      <w:rPr>
        <w:sz w:val="24"/>
        <w:color w:val="black"/>
      </w:rPr>
    </w:p>
    <w:p>
      <w:pPr>
        <w:jc w:val="both"/>
      </w:pPr>
      <w:r>
        <w:rPr>
          <w:rFonts w:hAnsi="Arial"/>
          <w:rFonts w:ascii="Arial"/>
          <w:sz w:val="24"/>
          <w:color w:val="black"/>
        </w:rPr>
        <w:t xml:space="preserve">a) Para las personas naturales y jurνdicas a que hace referencia el inciso primero del artνculo </w:t>
      </w:r>
      <w:r>
        <w:fldChar w:fldCharType="begin"/>
      </w:r>
      <w:r>
        <w:instrText>HYPERLINK "http://www.redjurista.com/document.aspx?ajcode=l1151007&amp;arts=76"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1151 de 2007, la tarifa serα del 1.5%. En este caso la base gravable con corte al 31 de diciembre del aρo inmediatamente anterior estarα constituida, para las sociedades limitadas por la totalidad del capital social; para las sociedades anσnimas por el capital suscrito y para las cooperativas de vigilancia y seguridad privada por los aportes sociales;</w:t>
      </w:r>
    </w:p>
    <w:p>
      <w:pPr>
        <w:jc w:val="both"/>
      </w:pPr>
      <w:rPr>
        <w:sz w:val="24"/>
        <w:color w:val="black"/>
      </w:rPr>
    </w:p>
    <w:p>
      <w:pPr>
        <w:jc w:val="both"/>
      </w:pPr>
      <w:r>
        <w:rPr>
          <w:rFonts w:hAnsi="Arial"/>
          <w:rFonts w:ascii="Arial"/>
          <w:sz w:val="24"/>
          <w:color w:val="black"/>
        </w:rPr>
        <w:t xml:space="preserve">b) Para las escuelas de capacitaciσn, la tarifa serα del 0.4% y la base gravable serα la totalidad de los ingresos recibidos durante la vigencia anterior;</w:t>
      </w:r>
    </w:p>
    <w:p>
      <w:pPr>
        <w:jc w:val="both"/>
      </w:pPr>
      <w:rPr>
        <w:color w:val="black"/>
      </w:rPr>
    </w:p>
    <w:p>
      <w:pPr>
        <w:jc w:val="both"/>
      </w:pPr>
      <w:r>
        <w:rPr>
          <w:rFonts w:hAnsi="Arial"/>
          <w:rFonts w:ascii="Arial"/>
          <w:sz w:val="24"/>
          <w:color w:val="black"/>
        </w:rPr>
        <w:t xml:space="preserve">c) Para los departamentos de seguridad, servicios comunitarios y servicios especiales, la tarifa serα del 2% y la base gravable serα el valor total de los salarios y prestaciones sociales con corte a 31 de diciembre del aρo inmediatamente anterior, sin incluir "los aportes efectuados al sistema de seguridad social, al Sena, ICBF y Cajas de Compensaciσn Familiar que estιn a cargo de la empresa;</w:t>
      </w:r>
    </w:p>
    <w:p>
      <w:pPr>
        <w:jc w:val="both"/>
      </w:pPr>
      <w:rPr>
        <w:sz w:val="24"/>
        <w:color w:val="black"/>
      </w:rPr>
    </w:p>
    <w:p>
      <w:pPr>
        <w:jc w:val="both"/>
      </w:pPr>
      <w:r>
        <w:rPr>
          <w:rFonts w:hAnsi="Arial"/>
          <w:rFonts w:ascii="Arial"/>
          <w:sz w:val="24"/>
          <w:color w:val="black"/>
        </w:rPr>
        <w:t xml:space="preserve">d) Para las empresas que ejerzan la actividad de arrendamiento de vehνculos blindados, la tarifa se establece en el 1% y la base gravable serα la totalidad de los ingresos que se perciban por concepto de dicha actividad durante la vigencia anterior.</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outlineLvl w:val="1"/>
      </w:pPr>
      <w:rPr>
        <w:color w:val="black"/>
      </w:rPr>
    </w:p>
    <w:p>
      <w:pPr>
        <w:jc w:val="both"/>
      </w:pPr>
      <w:r>
        <w:rPr>
          <w:rFonts w:hAnsi="Arial"/>
          <w:rFonts w:ascii="Arial"/>
          <w:sz w:val="24"/>
          <w:vanish/>
          <w:color w:val="black"/>
        </w:rPr>
        <w:t>&amp;$</w:t>
      </w:r>
      <w:bookmarkStart w:id="62205" w:name="2.6.1.1.7.3"/>
      <w:r>
        <w:rPr>
          <w:rFonts w:hAnsi="Arial"/>
          <w:rFonts w:ascii="Arial"/>
          <w:sz w:val="24"/>
          <w:color w:val="navy"/>
        </w:rPr>
        <w:t xml:space="preserve">ARTΝCULO 2.6.1.1.7.3. </w:t>
      </w:r>
      <w:r>
        <w:rPr>
          <w:rFonts w:hAnsi="Arial"/>
          <w:rFonts w:ascii="Arial"/>
          <w:sz w:val="24"/>
          <w:i/>
          <w:color w:val="navy"/>
        </w:rPr>
        <w:t xml:space="preserve">AUTOLIQUIDACIΣN DE LA CONTRIBUCIΣN.</w:t>
      </w:r>
      <w:bookmarkEnd w:id="62205"/>
      <w:r>
        <w:rPr>
          <w:rFonts w:hAnsi="Arial"/>
          <w:rFonts w:ascii="Arial"/>
          <w:sz w:val="24"/>
          <w:b/>
          <w:i/>
          <w:color w:val="black"/>
        </w:rPr>
        <w:t xml:space="preserve"> </w:t>
      </w:r>
      <w:r>
        <w:rPr>
          <w:rFonts w:hAnsi="Arial"/>
          <w:rFonts w:ascii="Arial"/>
          <w:sz w:val="24"/>
          <w:color w:val="black"/>
        </w:rPr>
        <w:t xml:space="preserve">Las entidades sometidas a la inspecciσn, vigilancia y control de la Superintendencia de Vigilancia y Seguridad Privada deberαn efectuar una autoliquidaciσn, con fundamento en las bases gravables y tarifas especificadas en la presente Secciσn. La autoliquidaciσn que efectϊen las entidades respectivas deberα ser radicada en la Superintendencia de Vigilancia y Seguridad Privada, dentro de las fechas que se establezcan anualmente por la entidad.</w:t>
      </w:r>
    </w:p>
    <w:p>
      <w:pPr>
        <w:jc w:val="both"/>
      </w:pPr>
      <w:rPr>
        <w:sz w:val="24"/>
        <w:color w:val="black"/>
      </w:rPr>
    </w:p>
    <w:p>
      <w:pPr>
        <w:jc w:val="both"/>
      </w:pPr>
      <w:r>
        <w:rPr>
          <w:rFonts w:hAnsi="Arial"/>
          <w:rFonts w:ascii="Arial"/>
          <w:sz w:val="24"/>
          <w:color w:val="black"/>
        </w:rPr>
        <w:t xml:space="preserve">La autoliquidaciσn deberα diligenciarse en el formato que para el efecto diseρe y adopte oficialmente la Superintendencia de Vigilancia y Seguridad Privada, el cual deberα ser suscriptor el obligado, tratαndose de personas naturales. Cuando el contribuyente sea una persona jurνdica, la autoliquidaciσn deberα ser firmada por el representante legal y el revisor fiscal, si estα obligada a tenerlo.</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6" w:name="2.6.1.1.7.4"/>
      <w:r>
        <w:rPr>
          <w:rFonts w:hAnsi="Arial"/>
          <w:rFonts w:ascii="Arial"/>
          <w:sz w:val="24"/>
          <w:color w:val="navy"/>
        </w:rPr>
        <w:t xml:space="preserve">ARTΝCULO 2.6.1.1.7.4. </w:t>
      </w:r>
      <w:r>
        <w:rPr>
          <w:rFonts w:hAnsi="Arial"/>
          <w:rFonts w:ascii="Arial"/>
          <w:sz w:val="24"/>
          <w:i/>
          <w:color w:val="navy"/>
        </w:rPr>
        <w:t xml:space="preserve">PAGO DE LA CONTRIBUCIΣN.</w:t>
      </w:r>
      <w:bookmarkEnd w:id="62206"/>
      <w:r>
        <w:rPr>
          <w:rFonts w:hAnsi="Arial"/>
          <w:rFonts w:ascii="Arial"/>
          <w:sz w:val="24"/>
          <w:b/>
          <w:i/>
          <w:color w:val="black"/>
        </w:rPr>
        <w:t xml:space="preserve"> </w:t>
      </w:r>
      <w:r>
        <w:rPr>
          <w:rFonts w:hAnsi="Arial"/>
          <w:rFonts w:ascii="Arial"/>
          <w:sz w:val="24"/>
          <w:color w:val="black"/>
        </w:rPr>
        <w:t xml:space="preserve">El pago de la contribuciσn se efectuarα mediante consignaciσn en la entidad financiera que se determine previamente y a mαs tardar en la misma fecha prevista para la radicaciσn de la autoliquidaciσn en la Superintendencia de Vigilancia y Seguridad Privada.</w:t>
      </w:r>
    </w:p>
    <w:p>
      <w:pPr>
        <w:jc w:val="both"/>
      </w:pPr>
      <w:rPr>
        <w:sz w:val="24"/>
        <w:color w:val="black"/>
      </w:rPr>
    </w:p>
    <w:p>
      <w:pPr>
        <w:jc w:val="both"/>
      </w:pPr>
      <w:r>
        <w:rPr>
          <w:rFonts w:hAnsi="Arial"/>
          <w:rFonts w:ascii="Arial"/>
          <w:sz w:val="24"/>
          <w:color w:val="black"/>
        </w:rPr>
        <w:t xml:space="preserve">En cada aρo se podrα establecer un anticipo hasta del 50% del monto de la contribuciσn, de acuerdo con la informaciσn suministrada por el contribuyente.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Superintendencia de Vigilancia y Seguridad Privada no recibirα los formularios de autoliquidaciσn que no tengan anexo los comprobantes de pago.</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7" w:name="2.6.1.1.7.5"/>
      <w:r>
        <w:rPr>
          <w:rFonts w:hAnsi="Arial"/>
          <w:rFonts w:ascii="Arial"/>
          <w:sz w:val="24"/>
          <w:color w:val="navy"/>
        </w:rPr>
        <w:t xml:space="preserve">ARTΝCULO 2.6.1.1.7.5. </w:t>
      </w:r>
      <w:r>
        <w:rPr>
          <w:rFonts w:hAnsi="Arial"/>
          <w:rFonts w:ascii="Arial"/>
          <w:sz w:val="24"/>
          <w:i/>
          <w:color w:val="navy"/>
        </w:rPr>
        <w:t xml:space="preserve">SOLICITUD DE LA INFORMACIΣN.</w:t>
      </w:r>
      <w:bookmarkEnd w:id="62207"/>
      <w:r>
        <w:rPr>
          <w:rFonts w:hAnsi="Arial"/>
          <w:rFonts w:ascii="Arial"/>
          <w:sz w:val="24"/>
          <w:b/>
          <w:i/>
          <w:color w:val="black"/>
        </w:rPr>
        <w:t xml:space="preserve"> </w:t>
      </w:r>
      <w:r>
        <w:rPr>
          <w:rFonts w:hAnsi="Arial"/>
          <w:rFonts w:ascii="Arial"/>
          <w:sz w:val="24"/>
          <w:color w:val="black"/>
        </w:rPr>
        <w:t xml:space="preserve">La Superintendencia de Vigilancia y Seguridad Privada solicitarα la informaciσn con corte a 31 de diciembre de la vigencia anterior que considere necesaria para la determinaciσn de las bases gravables de la contribuciσn y las fechas en que estos datos deben ser declarados y suministrados a la entidad.</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8" w:name="2.6.1.1.7.6"/>
      <w:r>
        <w:rPr>
          <w:rFonts w:hAnsi="Arial"/>
          <w:rFonts w:ascii="Arial"/>
          <w:sz w:val="24"/>
          <w:color w:val="navy"/>
        </w:rPr>
        <w:t xml:space="preserve">ARTΝCULO 2.6.1.1.7.6. </w:t>
      </w:r>
      <w:r>
        <w:rPr>
          <w:rFonts w:hAnsi="Arial"/>
          <w:rFonts w:ascii="Arial"/>
          <w:sz w:val="24"/>
          <w:i/>
          <w:color w:val="navy"/>
        </w:rPr>
        <w:t xml:space="preserve">VERIFICACIΣN DE LA AUTOLIQUIDACIΣN.</w:t>
      </w:r>
      <w:bookmarkEnd w:id="62208"/>
      <w:r>
        <w:rPr>
          <w:rFonts w:hAnsi="Arial"/>
          <w:rFonts w:ascii="Arial"/>
          <w:sz w:val="24"/>
          <w:b/>
          <w:i/>
          <w:color w:val="black"/>
        </w:rPr>
        <w:t xml:space="preserve"> </w:t>
      </w:r>
      <w:r>
        <w:rPr>
          <w:rFonts w:hAnsi="Arial"/>
          <w:rFonts w:ascii="Arial"/>
          <w:sz w:val="24"/>
          <w:color w:val="black"/>
        </w:rPr>
        <w:t xml:space="preserve">La Superintendencia de Vigilancia y Seguridad Privada podrα efectuar una revisiσn de la autoliquidaciσn y, de encontrar inexactitudes, requerirα al contribuyente para que efectϊe las correcciones a que haya lugar y liquide los intereses moratorios respectivos.</w:t>
      </w:r>
    </w:p>
    <w:p>
      <w:pPr>
        <w:jc w:val="both"/>
      </w:pPr>
      <w:rPr>
        <w:sz w:val="24"/>
        <w:color w:val="black"/>
      </w:rPr>
    </w:p>
    <w:p>
      <w:pPr>
        <w:jc w:val="both"/>
      </w:pPr>
      <w:r>
        <w:rPr>
          <w:rFonts w:hAnsi="Arial"/>
          <w:rFonts w:ascii="Arial"/>
          <w:sz w:val="24"/>
          <w:color w:val="black"/>
        </w:rPr>
        <w:t xml:space="preserve">Si en el tιrmino de respuesta al requerimiento el contribuyente no acoge las glosas planteadas, la Superintendencia de Vigilancia y Seguridad Privada proferirα liquidaciσn oficial.</w:t>
      </w:r>
    </w:p>
    <w:p>
      <w:pPr>
        <w:jc w:val="both"/>
      </w:pPr>
      <w:rPr>
        <w:sz w:val="24"/>
        <w:color w:val="black"/>
      </w:rPr>
    </w:p>
    <w:p>
      <w:pPr>
        <w:jc w:val="both"/>
      </w:pPr>
      <w:r>
        <w:rPr>
          <w:rFonts w:hAnsi="Arial"/>
          <w:rFonts w:ascii="Arial"/>
          <w:sz w:val="24"/>
          <w:color w:val="black"/>
        </w:rPr>
        <w:t xml:space="preserve">Cuando el contribuyente no ha declarado ni pagado, se le podrα enviar un emplazamiento para que declare y si continϊa con la omisiσn de esta obligaciσn se expedirα la correspondiente liquidaciσn oficial. En este caso, la Superintendencia de Vigilancia y Seguridad Privada podrα ejercer sus funciones de inspecciσn para determinar las bases gravables asν como efectuar los cruces de informaciσn y, en todo caso, cuando la contribuciσn se determine a partir del capital social, suscrito o los aportes sociales, tomarα el monto mνnimo establecido en la ley para autorizar la constituciσn de estas empresas, en el aρo en que se efectϊa la respectiva liquidaciσn oficial.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lo no previsto por este artνculo, los procedimientos administrativos de determinaciσn y liquidaciσn oficial de la contribuciσn se regirαn por lo establecido en el Estatuto Tributario.</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09" w:name="2.6.1.1.7.7"/>
      <w:r>
        <w:rPr>
          <w:rFonts w:hAnsi="Arial"/>
          <w:rFonts w:ascii="Arial"/>
          <w:sz w:val="24"/>
          <w:color w:val="navy"/>
        </w:rPr>
        <w:t xml:space="preserve">ARTΝCULO 2.6.1.1.7.7. </w:t>
      </w:r>
      <w:r>
        <w:rPr>
          <w:rFonts w:hAnsi="Arial"/>
          <w:rFonts w:ascii="Arial"/>
          <w:sz w:val="24"/>
          <w:i/>
          <w:color w:val="navy"/>
        </w:rPr>
        <w:t xml:space="preserve">COBRO COACTIVO.</w:t>
      </w:r>
      <w:bookmarkEnd w:id="62209"/>
      <w:r>
        <w:rPr>
          <w:rFonts w:hAnsi="Arial"/>
          <w:rFonts w:ascii="Arial"/>
          <w:sz w:val="24"/>
          <w:b/>
          <w:i/>
          <w:color w:val="black"/>
        </w:rPr>
        <w:t xml:space="preserve"> </w:t>
      </w:r>
      <w:r>
        <w:rPr>
          <w:rFonts w:hAnsi="Arial"/>
          <w:rFonts w:ascii="Arial"/>
          <w:sz w:val="24"/>
          <w:color w:val="black"/>
        </w:rPr>
        <w:t xml:space="preserve">De acuerdo con lo previsto en el artνculo </w:t>
      </w:r>
      <w:r>
        <w:fldChar w:fldCharType="begin"/>
      </w:r>
      <w:r>
        <w:instrText>HYPERLINK "http://www.redjurista.com/document.aspx?ajcode=l1066006&amp;arts=5"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1066 de 2006, la Superintendencia de Vigilancia y Seguridad Privada tiene jurisdicciσn coactiva para hacer efectivas las obligaciones derivadas de la contribuciσn establecida a su favor y, para estos efectos, aplicarα el procedimiento de cobro coactivo establecido en el Estatuto Tributario.</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10" w:name="2.6.1.1.7.8"/>
      <w:r>
        <w:rPr>
          <w:rFonts w:hAnsi="Arial"/>
          <w:rFonts w:ascii="Arial"/>
          <w:sz w:val="24"/>
          <w:color w:val="navy"/>
        </w:rPr>
        <w:t xml:space="preserve">ARTΝCULO 2.6.1.1.7.8. </w:t>
      </w:r>
      <w:r>
        <w:rPr>
          <w:rFonts w:hAnsi="Arial"/>
          <w:rFonts w:ascii="Arial"/>
          <w:sz w:val="24"/>
          <w:i/>
          <w:color w:val="navy"/>
        </w:rPr>
        <w:t xml:space="preserve">INTERESES DE MORA.</w:t>
      </w:r>
      <w:bookmarkEnd w:id="62210"/>
      <w:r>
        <w:rPr>
          <w:rFonts w:hAnsi="Arial"/>
          <w:rFonts w:ascii="Arial"/>
          <w:sz w:val="24"/>
          <w:b/>
          <w:i/>
          <w:color w:val="black"/>
        </w:rPr>
        <w:t xml:space="preserve"> </w:t>
      </w:r>
      <w:r>
        <w:rPr>
          <w:rFonts w:hAnsi="Arial"/>
          <w:rFonts w:ascii="Arial"/>
          <w:sz w:val="24"/>
          <w:color w:val="black"/>
        </w:rPr>
        <w:t xml:space="preserve">Los contribuyentes que no cancelen oportunamente los montos correspondientes a la contribuciσn a favor de la Superintendencia de Vigilancia y Seguridad Privada deberαn liquidar y pagar intereses moratorios a la tasa prevista en el Estatuto Tributario.</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211" w:name="2.6.1.1.7.9"/>
      <w:r>
        <w:rPr>
          <w:rFonts w:hAnsi="Arial"/>
          <w:rFonts w:ascii="Arial"/>
          <w:sz w:val="24"/>
          <w:color w:val="navy"/>
        </w:rPr>
        <w:t xml:space="preserve">ARTΝCULO 2.6.1.1.7.9. </w:t>
      </w:r>
      <w:r>
        <w:rPr>
          <w:rFonts w:hAnsi="Arial"/>
          <w:rFonts w:ascii="Arial"/>
          <w:sz w:val="24"/>
          <w:i/>
          <w:color w:val="navy"/>
        </w:rPr>
        <w:t xml:space="preserve">MEDIDAS PARA EL CUMPLIMIENTO.</w:t>
      </w:r>
      <w:bookmarkEnd w:id="62211"/>
      <w:r>
        <w:rPr>
          <w:rFonts w:hAnsi="Arial"/>
          <w:rFonts w:ascii="Arial"/>
          <w:sz w:val="24"/>
          <w:b/>
          <w:i/>
          <w:color w:val="black"/>
        </w:rPr>
        <w:t xml:space="preserve"> </w:t>
      </w:r>
      <w:r>
        <w:rPr>
          <w:rFonts w:hAnsi="Arial"/>
          <w:rFonts w:ascii="Arial"/>
          <w:sz w:val="24"/>
          <w:color w:val="black"/>
        </w:rPr>
        <w:t xml:space="preserve">La Superintendencia de Vigilancia y Seguridad Privada adoptarα las medidas necesarias para el adecuado cumplimiento de las funciones a las que se refiere esta Secciσn.</w:t>
      </w:r>
    </w:p>
    <w:p>
      <w:pPr>
        <w:jc w:val="both"/>
      </w:pPr>
      <w:rPr>
        <w:sz w:val="24"/>
        <w:color w:val="black"/>
      </w:rPr>
    </w:p>
    <w:p>
      <w:pPr>
        <w:jc w:val="both"/>
      </w:pPr>
      <w:r>
        <w:rPr>
          <w:rFonts w:hAnsi="Arial"/>
          <w:rFonts w:ascii="Arial"/>
          <w:sz w:val="24"/>
          <w:i/>
          <w:color w:val="black"/>
        </w:rPr>
        <w:t xml:space="preserve">(Decreto 1989 de 2008 artνculo </w:t>
      </w:r>
      <w:r>
        <w:fldChar w:fldCharType="begin"/>
      </w:r>
      <w:r>
        <w:instrText>HYPERLINK "http://www.redjurista.com/document.aspx?ajcode=d1989008&amp;arts=9"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212" w:name="SECCIÓN 2.6.1.1.8"/>
      <w:r>
        <w:rPr>
          <w:rFonts w:hAnsi="Arial"/>
          <w:rFonts w:ascii="Arial"/>
          <w:sz w:val="24"/>
          <w:color w:val="navy"/>
        </w:rPr>
        <w:t xml:space="preserve">SECCIΣN 8. </w:t>
      </w:r>
    </w:p>
    <w:p>
      <w:pPr>
        <w:jc w:val="center"/>
      </w:pPr>
      <w:r>
        <w:rPr>
          <w:rFonts w:hAnsi="Arial"/>
          <w:rFonts w:ascii="Arial"/>
          <w:sz w:val="24"/>
          <w:color w:val="navy"/>
        </w:rPr>
        <w:t xml:space="preserve">HOMOLOGACIΣN DE REQUISITOS PARA EX FUNCIONARIOS DEL DEPARTAMENTO ADMINISTRATIVO DE SEGURIDAD DAS.</w:t>
      </w:r>
      <w:bookmarkEnd w:id="62212"/>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213" w:name="2.6.1.1.8.1"/>
      <w:r>
        <w:rPr>
          <w:rFonts w:hAnsi="Arial"/>
          <w:rFonts w:ascii="Arial"/>
          <w:sz w:val="24"/>
          <w:color w:val="navy"/>
        </w:rPr>
        <w:t xml:space="preserve">ARTΝCULO 2.6.1.1.8.1. </w:t>
      </w:r>
      <w:r>
        <w:rPr>
          <w:rFonts w:hAnsi="Arial"/>
          <w:rFonts w:ascii="Arial"/>
          <w:sz w:val="24"/>
          <w:i/>
          <w:color w:val="navy"/>
        </w:rPr>
        <w:t xml:space="preserve">VIGILANTE, ESCOLTA, TRIPULANTE, MANEJADOR CANINO Y/U OPERADOR DE MEDIOS TECNOLΣGICOS.</w:t>
      </w:r>
      <w:bookmarkEnd w:id="62213"/>
      <w:r>
        <w:rPr>
          <w:rFonts w:hAnsi="Arial"/>
          <w:rFonts w:ascii="Arial"/>
          <w:sz w:val="24"/>
          <w:b/>
          <w:i/>
          <w:color w:val="black"/>
        </w:rPr>
        <w:t xml:space="preserve"> </w:t>
      </w:r>
      <w:r>
        <w:rPr>
          <w:rFonts w:hAnsi="Arial"/>
          <w:rFonts w:ascii="Arial"/>
          <w:sz w:val="24"/>
          <w:color w:val="black"/>
        </w:rPr>
        <w:t xml:space="preserve">Los ex funcionarios cuyo cargo fue el de agente, escolta o detective en el Departamento Administrativo de Seguridad DAS, podrαn homologar los requisitos de capacitaciσn de curso bαsico para optar por la credencial de vigilante, escolta, tripulante, manejador canino y/u operador de medios tecnolσgicos que expide la Superintendencia de Vigilancia y Seguridad Privada. Para el efecto el representante legal del servicio de vigilancia y seguridad privada, adicionalmente a los demαs requisitos exigidos, para el caso en particular presentarα ante la Superintendencia de Vigilancia y Seguridad Privada una certificaciσn del αrea de talento humano del Departamento Administrativo de Seguridad DAS, o quien haga sus veces, en la cual conste el cargo bajo el cual estuvo vinculado la persona que pretende acreditarse como vigilante, escolta, tripulante, manejador canino y/o operador de medios tecnolσgicos al correspondiente servicio de vigilancia y seguridad privada.</w:t>
      </w:r>
    </w:p>
    <w:p>
      <w:pPr>
        <w:jc w:val="both"/>
      </w:pPr>
      <w:rPr>
        <w:sz w:val="24"/>
        <w:color w:val="black"/>
      </w:rPr>
    </w:p>
    <w:p>
      <w:pPr>
        <w:jc w:val="both"/>
      </w:pPr>
      <w:r>
        <w:rPr>
          <w:rFonts w:hAnsi="Arial"/>
          <w:rFonts w:ascii="Arial"/>
          <w:sz w:val="24"/>
          <w:i/>
          <w:color w:val="black"/>
        </w:rPr>
        <w:t xml:space="preserve">(Decreto 2885 de 2009 artνculo </w:t>
      </w:r>
      <w:r>
        <w:fldChar w:fldCharType="begin"/>
      </w:r>
      <w:r>
        <w:instrText>HYPERLINK "http://www.redjurista.com/document.aspx?ajcode=d2885009&amp;arts=1"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14" w:name="2.6.1.1.8.2"/>
      <w:r>
        <w:rPr>
          <w:rFonts w:hAnsi="Arial"/>
          <w:rFonts w:ascii="Arial"/>
          <w:sz w:val="24"/>
          <w:color w:val="navy"/>
        </w:rPr>
        <w:t xml:space="preserve">ARTΝCULO 2.6.1.1.8.2. </w:t>
      </w:r>
      <w:r>
        <w:rPr>
          <w:rFonts w:hAnsi="Arial"/>
          <w:rFonts w:ascii="Arial"/>
          <w:sz w:val="24"/>
          <w:i/>
          <w:color w:val="navy"/>
        </w:rPr>
        <w:t xml:space="preserve">EX FUNCIONARIOS DEL DEPARTAMENTO ADMINISTRATIVO DE SEGURIDAD DAS.</w:t>
      </w:r>
      <w:bookmarkEnd w:id="62214"/>
      <w:r>
        <w:rPr>
          <w:rFonts w:hAnsi="Arial"/>
          <w:rFonts w:ascii="Arial"/>
          <w:sz w:val="24"/>
          <w:b/>
          <w:i/>
          <w:color w:val="black"/>
        </w:rPr>
        <w:t xml:space="preserve"> </w:t>
      </w:r>
      <w:r>
        <w:rPr>
          <w:rFonts w:hAnsi="Arial"/>
          <w:rFonts w:ascii="Arial"/>
          <w:sz w:val="24"/>
          <w:color w:val="black"/>
        </w:rPr>
        <w:t xml:space="preserve">Iguales condiciones a las establecidas en el artνculo </w:t>
      </w:r>
      <w:r>
        <w:fldChar w:fldCharType="begin"/>
      </w:r>
      <w:r>
        <w:instrText>HYPERLINK "http://www.redjurista.com/document.aspx?ajcode=d1070015&amp;arts=2.6.1.1.8.1"</w:instrText>
      </w:r>
      <w:r>
        <w:fldChar w:fldCharType="separate"/>
      </w:r>
      <w:r>
        <w:rPr>
          <w:rFonts w:hAnsi="Arial"/>
          <w:rFonts w:ascii="Arial"/>
          <w:sz w:val="24"/>
          <w:u w:val="single"/>
          <w:color w:val="black"/>
        </w:rPr>
        <w:t>2.6.1.1.8.1</w:t>
      </w:r>
      <w:r>
        <w:fldChar w:fldCharType="end"/>
      </w:r>
      <w:r>
        <w:rPr>
          <w:rFonts w:hAnsi="Arial"/>
          <w:rFonts w:ascii="Arial"/>
          <w:sz w:val="24"/>
          <w:u w:val="none"/>
          <w:color w:val="black"/>
        </w:rPr>
        <w:t xml:space="preserve">., de la presente Secciσn se aplicarαn para aquellos ex funcionarios del Departamento Administrativo de Seguridad DAS, cuyo cargo fue la de guardiαn, para acceder a la credencial de vigilante, escolta, tripulante, manejador canino y/u operador de medios tecnolσgicos.</w:t>
      </w:r>
    </w:p>
    <w:p>
      <w:pPr>
        <w:jc w:val="both"/>
      </w:pPr>
      <w:rPr>
        <w:sz w:val="24"/>
        <w:color w:val="black"/>
      </w:rPr>
    </w:p>
    <w:p>
      <w:pPr>
        <w:jc w:val="both"/>
      </w:pPr>
      <w:r>
        <w:rPr>
          <w:rFonts w:hAnsi="Arial"/>
          <w:rFonts w:ascii="Arial"/>
          <w:sz w:val="24"/>
          <w:i/>
          <w:color w:val="black"/>
        </w:rPr>
        <w:t xml:space="preserve">(Decreto 2885 de 2009 artνculo </w:t>
      </w:r>
      <w:r>
        <w:fldChar w:fldCharType="begin"/>
      </w:r>
      <w:r>
        <w:instrText>HYPERLINK "http://www.redjurista.com/document.aspx?ajcode=d2885009&amp;arts=2"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62215" w:name="SECCIÓN 2.6.1.1.9"/>
      <w:r>
        <w:rPr>
          <w:rFonts w:hAnsi="Arial"/>
          <w:rFonts w:ascii="Arial"/>
          <w:sz w:val="24"/>
          <w:color w:val="navy"/>
        </w:rPr>
        <w:t xml:space="preserve">SECCIΣN 9. </w:t>
      </w:r>
    </w:p>
    <w:p>
      <w:pPr>
        <w:jc w:val="center"/>
      </w:pPr>
      <w:r>
        <w:rPr>
          <w:rFonts w:hAnsi="Arial"/>
          <w:rFonts w:ascii="Arial"/>
          <w:sz w:val="24"/>
          <w:color w:val="navy"/>
        </w:rPr>
        <w:t xml:space="preserve">POR EL CUAL SE REGLAMENTA PARCIALMENTE LA LEY 1539 DE 2012 Y SE DICTAN OTRAS DISPOSICIONES.</w:t>
      </w:r>
      <w:bookmarkEnd w:id="6221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216" w:name="2.6.1.1.9.1"/>
      <w:r>
        <w:rPr>
          <w:rFonts w:hAnsi="Arial"/>
          <w:rFonts w:ascii="Arial"/>
          <w:sz w:val="24"/>
          <w:color w:val="navy"/>
        </w:rPr>
        <w:t xml:space="preserve">ARTΝCULO 2.6.1.1.9.1. </w:t>
      </w:r>
      <w:r>
        <w:rPr>
          <w:rFonts w:hAnsi="Arial"/>
          <w:rFonts w:ascii="Arial"/>
          <w:sz w:val="24"/>
          <w:i/>
          <w:color w:val="navy"/>
        </w:rPr>
        <w:t xml:space="preserve">VIGILANTES, ESCOLTAS Y SUPERVISORES.</w:t>
      </w:r>
      <w:bookmarkEnd w:id="62216"/>
      <w:r>
        <w:rPr>
          <w:rFonts w:hAnsi="Arial"/>
          <w:rFonts w:ascii="Arial"/>
          <w:sz w:val="24"/>
          <w:b/>
          <w:i/>
          <w:color w:val="black"/>
        </w:rPr>
        <w:t xml:space="preserve"> </w:t>
      </w:r>
      <w:r>
        <w:rPr>
          <w:rFonts w:hAnsi="Arial"/>
          <w:rFonts w:ascii="Arial"/>
          <w:sz w:val="24"/>
          <w:color w:val="black"/>
        </w:rPr>
        <w:t xml:space="preserve">Las personas que al entrar en vigencia la Ley </w:t>
      </w:r>
      <w:r>
        <w:fldChar w:fldCharType="begin"/>
      </w:r>
      <w:r>
        <w:instrText>HYPERLINK "http://www.redjurista.com/document.aspx?ajcode=l1539012&amp;arts=INICIO"</w:instrText>
      </w:r>
      <w:r>
        <w:fldChar w:fldCharType="separate"/>
      </w:r>
      <w:r>
        <w:rPr>
          <w:rFonts w:hAnsi="Arial"/>
          <w:rFonts w:ascii="Arial"/>
          <w:sz w:val="24"/>
          <w:u w:val="single"/>
          <w:color w:val="black"/>
        </w:rPr>
        <w:t>1539</w:t>
      </w:r>
      <w:r>
        <w:fldChar w:fldCharType="end"/>
      </w:r>
      <w:r>
        <w:rPr>
          <w:rFonts w:hAnsi="Arial"/>
          <w:rFonts w:ascii="Arial"/>
          <w:sz w:val="24"/>
          <w:u w:val="none"/>
          <w:color w:val="black"/>
        </w:rPr>
        <w:t xml:space="preserve"> de 2012 estιn vinculadas o aquellas que llegaren a vincularse a entidades que prestan servicios de vigilancia y seguridad privada (vigilantes, escoltas y supervisores), cuyas labores impliquen el porte o tenencia de armas de fuego, deberαn obtener el certificado de aptitud psicofνsica, el cual serα expedido con base en los parαmetros establecidos en el literal d) del artνculo </w:t>
      </w:r>
      <w:r>
        <w:fldChar w:fldCharType="begin"/>
      </w:r>
      <w:r>
        <w:instrText>HYPERLINK "http://www.redjurista.com/document.aspx?ajcode=l1119006&amp;arts=11"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1119 de 2006.</w:t>
      </w:r>
    </w:p>
    <w:p>
      <w:pPr>
        <w:jc w:val="both"/>
      </w:pPr>
      <w:rPr>
        <w:sz w:val="24"/>
        <w:color w:val="black"/>
      </w:rPr>
    </w:p>
    <w:p>
      <w:pPr>
        <w:jc w:val="both"/>
      </w:pPr>
      <w:r>
        <w:rPr>
          <w:rFonts w:hAnsi="Arial"/>
          <w:rFonts w:ascii="Arial"/>
          <w:sz w:val="24"/>
          <w:color w:val="black"/>
        </w:rPr>
        <w:t xml:space="preserve">El certificado de aptitud psicofνsica no reemplaza la realizaciσn de los exαmenes mιdicos de ingreso, periσdicos y de retiro que debe realizar y costear la empresa, tal como lo ordenan las Resoluciones </w:t>
      </w:r>
      <w:r>
        <w:fldChar w:fldCharType="begin"/>
      </w:r>
      <w:r>
        <w:instrText>HYPERLINK "http://www.redjurista.com/document.aspx?ajcode=r_mps_2346_2007&amp;arts=inicio"</w:instrText>
      </w:r>
      <w:r>
        <w:fldChar w:fldCharType="separate"/>
      </w:r>
      <w:r>
        <w:rPr>
          <w:rFonts w:hAnsi="Arial"/>
          <w:rFonts w:ascii="Arial"/>
          <w:sz w:val="24"/>
          <w:u w:val="single"/>
          <w:color w:val="black"/>
        </w:rPr>
        <w:t>2346</w:t>
      </w:r>
      <w:r>
        <w:fldChar w:fldCharType="end"/>
      </w:r>
      <w:r>
        <w:rPr>
          <w:rFonts w:hAnsi="Arial"/>
          <w:rFonts w:ascii="Arial"/>
          <w:sz w:val="24"/>
          <w:u w:val="none"/>
          <w:color w:val="black"/>
        </w:rPr>
        <w:t xml:space="preserve"> de 2007 y </w:t>
      </w:r>
      <w:r>
        <w:fldChar w:fldCharType="begin"/>
      </w:r>
      <w:r>
        <w:instrText>HYPERLINK "http://www.redjurista.com/document.aspx?ajcode=r_mps_1918_2009&amp;arts=INICIO"</w:instrText>
      </w:r>
      <w:r>
        <w:fldChar w:fldCharType="separate"/>
      </w:r>
      <w:r>
        <w:rPr>
          <w:rFonts w:hAnsi="Arial"/>
          <w:rFonts w:ascii="Arial"/>
          <w:sz w:val="24"/>
          <w:u w:val="single"/>
          <w:color w:val="black"/>
        </w:rPr>
        <w:t>1918</w:t>
      </w:r>
      <w:r>
        <w:fldChar w:fldCharType="end"/>
      </w:r>
      <w:r>
        <w:rPr>
          <w:rFonts w:hAnsi="Arial"/>
          <w:rFonts w:ascii="Arial"/>
          <w:sz w:val="24"/>
          <w:u w:val="none"/>
          <w:color w:val="black"/>
        </w:rPr>
        <w:t xml:space="preserve"> de 2009 del extinto Ministerio de la Protecciσn Social y las normas que las modifiquen, adicionen o sustituyan.</w:t>
      </w:r>
    </w:p>
    <w:p>
      <w:pPr>
        <w:jc w:val="both"/>
      </w:pPr>
      <w:rPr>
        <w:sz w:val="24"/>
        <w:color w:val="black"/>
      </w:rPr>
    </w:p>
    <w:p>
      <w:pPr>
        <w:jc w:val="both"/>
      </w:pPr>
      <w:r>
        <w:rPr>
          <w:rFonts w:hAnsi="Arial"/>
          <w:rFonts w:ascii="Arial"/>
          <w:sz w:val="24"/>
          <w:color w:val="black"/>
        </w:rPr>
        <w:t xml:space="preserve">La vigencia del certificado de aptitud psicofνsica para el porte y tenencia de armas de fuego, expedido a las personas mencionadas en el presente artνculo, serα de un aρo, renovable anualmente.</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certificado de aptitud psicofνsica seρalado en el presente artνculo, serα expedido sin ningϊn costo por las Administradoras de Riesgos Laborales, para lo cual podrαn contratar con instituciones especializadas que tengan licencia en Salud Ocupacional acreditada en ISO/IEC17024:2003.</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17" w:name="2.6.1.1.9.2"/>
      <w:r>
        <w:rPr>
          <w:rFonts w:hAnsi="Arial"/>
          <w:rFonts w:ascii="Arial"/>
          <w:sz w:val="24"/>
          <w:color w:val="navy"/>
        </w:rPr>
        <w:t xml:space="preserve">ARTΝCULO 2.6.1.1.9.2. </w:t>
      </w:r>
      <w:r>
        <w:rPr>
          <w:rFonts w:hAnsi="Arial"/>
          <w:rFonts w:ascii="Arial"/>
          <w:sz w:val="24"/>
          <w:i/>
          <w:color w:val="navy"/>
        </w:rPr>
        <w:t xml:space="preserve">CERTIFICADOS DE APTITUD PSICOFΝSICA.</w:t>
      </w:r>
      <w:bookmarkEnd w:id="62217"/>
      <w:r>
        <w:rPr>
          <w:rFonts w:hAnsi="Arial"/>
          <w:rFonts w:ascii="Arial"/>
          <w:sz w:val="24"/>
          <w:b/>
          <w:i/>
          <w:color w:val="black"/>
        </w:rPr>
        <w:t xml:space="preserve"> </w:t>
      </w:r>
      <w:r>
        <w:rPr>
          <w:rFonts w:hAnsi="Arial"/>
          <w:rFonts w:ascii="Arial"/>
          <w:sz w:val="24"/>
          <w:color w:val="black"/>
        </w:rPr>
        <w:t xml:space="preserve">La expediciσn del certificado de aptitud psicofνsica para el porte y tenencia de armas de fuego del personal vinculado a la actividad de vigilancia y seguridad privada (vigilantes, escoltas y supervisores), sσlo podrα efectuarse mediante solicitud que realice la persona jurνdica licenciada por la Superintendencia de Vigilancia y Seguridad Privada ante la Administradora de Riesgos Laborales a la cual se encuentre afiliada.</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18" w:name="2.6.1.1.9.3"/>
      <w:r>
        <w:rPr>
          <w:rFonts w:hAnsi="Arial"/>
          <w:rFonts w:ascii="Arial"/>
          <w:sz w:val="24"/>
          <w:color w:val="navy"/>
        </w:rPr>
        <w:t xml:space="preserve">ARTΝCULO 2.6.1.1.9.3. </w:t>
      </w:r>
      <w:r>
        <w:rPr>
          <w:rFonts w:hAnsi="Arial"/>
          <w:rFonts w:ascii="Arial"/>
          <w:sz w:val="24"/>
          <w:i/>
          <w:color w:val="navy"/>
        </w:rPr>
        <w:t xml:space="preserve">GUARDA Y CUSTODIA.</w:t>
      </w:r>
      <w:bookmarkEnd w:id="62218"/>
      <w:r>
        <w:rPr>
          <w:rFonts w:hAnsi="Arial"/>
          <w:rFonts w:ascii="Arial"/>
          <w:sz w:val="24"/>
          <w:b/>
          <w:i/>
          <w:color w:val="black"/>
        </w:rPr>
        <w:t xml:space="preserve"> </w:t>
      </w:r>
      <w:r>
        <w:rPr>
          <w:rFonts w:hAnsi="Arial"/>
          <w:rFonts w:ascii="Arial"/>
          <w:sz w:val="24"/>
          <w:color w:val="black"/>
        </w:rPr>
        <w:t xml:space="preserve">La Instituciσn Especializada con Licencia en Salud Ocupacional tendrα la guarda y custodia de la certificaciσn de aptitud psicofνsica y deberα entregar copia de la misma al trabajador.</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19" w:name="2.6.1.1.9.4"/>
      <w:r>
        <w:rPr>
          <w:rFonts w:hAnsi="Arial"/>
          <w:rFonts w:ascii="Arial"/>
          <w:sz w:val="24"/>
          <w:color w:val="navy"/>
        </w:rPr>
        <w:t xml:space="preserve">ARTΝCULO 2.6.1.1.9.4. </w:t>
      </w:r>
      <w:r>
        <w:rPr>
          <w:rFonts w:hAnsi="Arial"/>
          <w:rFonts w:ascii="Arial"/>
          <w:sz w:val="24"/>
          <w:i/>
          <w:color w:val="navy"/>
        </w:rPr>
        <w:t>EXΑMENES.</w:t>
      </w:r>
      <w:bookmarkEnd w:id="62219"/>
      <w:r>
        <w:rPr>
          <w:rFonts w:hAnsi="Arial"/>
          <w:rFonts w:ascii="Arial"/>
          <w:sz w:val="24"/>
          <w:b/>
          <w:i/>
          <w:color w:val="black"/>
        </w:rPr>
        <w:t xml:space="preserve"> </w:t>
      </w:r>
      <w:r>
        <w:rPr>
          <w:rFonts w:hAnsi="Arial"/>
          <w:rFonts w:ascii="Arial"/>
          <w:sz w:val="24"/>
          <w:color w:val="black"/>
        </w:rPr>
        <w:t xml:space="preserve">Los exαmenes o valoraciones clνnicas o paraclνnicas requeridos para la certificaciσn de aptitud psicofνsica pertenecen a la historia clνnica ocupacional, son confidenciales y hacen parte de la reserva profesional, por lo tanto, no podrαn comunicarse o darse a conocer, salvo los siguientes casos:</w:t>
      </w:r>
    </w:p>
    <w:p>
      <w:pPr>
        <w:jc w:val="both"/>
      </w:pPr>
      <w:rPr>
        <w:sz w:val="24"/>
        <w:color w:val="black"/>
      </w:rPr>
    </w:p>
    <w:p>
      <w:pPr>
        <w:jc w:val="both"/>
      </w:pPr>
      <w:r>
        <w:rPr>
          <w:rFonts w:hAnsi="Arial"/>
          <w:rFonts w:ascii="Arial"/>
          <w:sz w:val="24"/>
          <w:color w:val="black"/>
        </w:rPr>
        <w:t xml:space="preserve">1. Por orden de autoridad judicial competente.</w:t>
      </w:r>
    </w:p>
    <w:p>
      <w:pPr>
        <w:jc w:val="both"/>
      </w:pPr>
      <w:rPr>
        <w:sz w:val="24"/>
        <w:color w:val="black"/>
      </w:rPr>
    </w:p>
    <w:p>
      <w:pPr>
        <w:jc w:val="both"/>
      </w:pPr>
      <w:r>
        <w:rPr>
          <w:rFonts w:hAnsi="Arial"/>
          <w:rFonts w:ascii="Arial"/>
          <w:sz w:val="24"/>
          <w:color w:val="black"/>
        </w:rPr>
        <w:t xml:space="preserve">2. Mediante autorizaciσn escrita del trabajador interesado, cuando este la requiera con fines estrictamente mιdicos.</w:t>
      </w:r>
    </w:p>
    <w:p>
      <w:pPr>
        <w:jc w:val="both"/>
      </w:pPr>
      <w:rPr>
        <w:sz w:val="24"/>
        <w:color w:val="black"/>
      </w:rPr>
    </w:p>
    <w:p>
      <w:pPr>
        <w:jc w:val="both"/>
      </w:pPr>
      <w:r>
        <w:rPr>
          <w:rFonts w:hAnsi="Arial"/>
          <w:rFonts w:ascii="Arial"/>
          <w:sz w:val="24"/>
          <w:color w:val="black"/>
        </w:rPr>
        <w:t xml:space="preserve">3. Por solicitud del mιdico o prestador de servicios en salud ocupacional, durante la realizaciσn de cualquier tipo de evaluaciσn mιdica, previo consentimiento del trabajador, para seguimiento y anαlisis de la historia clνnica ocupacional.</w:t>
      </w:r>
    </w:p>
    <w:p>
      <w:pPr>
        <w:jc w:val="both"/>
      </w:pPr>
      <w:rPr>
        <w:sz w:val="24"/>
        <w:color w:val="black"/>
      </w:rPr>
    </w:p>
    <w:p>
      <w:pPr>
        <w:jc w:val="both"/>
      </w:pPr>
      <w:r>
        <w:rPr>
          <w:rFonts w:hAnsi="Arial"/>
          <w:rFonts w:ascii="Arial"/>
          <w:sz w:val="24"/>
          <w:color w:val="black"/>
        </w:rPr>
        <w:t xml:space="preserve">4. Por la entidad o persona competente para determinar el origen o calificar la pιrdida de la capacidad laboral, previo consentimiento del trabajador.</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ningϊn caso, el empleador podrα tener acceso a la historia clνnica ocupacional.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Instituciσn Especializada debe respetar la reserva de la historia clνnica ocupacional y solo remitirα al empleador el certificado de aptitud psicofνsica.</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20" w:name="2.6.1.1.9.5"/>
      <w:r>
        <w:rPr>
          <w:rFonts w:hAnsi="Arial"/>
          <w:rFonts w:ascii="Arial"/>
          <w:sz w:val="24"/>
          <w:color w:val="navy"/>
        </w:rPr>
        <w:t xml:space="preserve">ARTΝCULO 2.6.1.1.9.5. </w:t>
      </w:r>
      <w:r>
        <w:rPr>
          <w:rFonts w:hAnsi="Arial"/>
          <w:rFonts w:ascii="Arial"/>
          <w:sz w:val="24"/>
          <w:i/>
          <w:color w:val="navy"/>
        </w:rPr>
        <w:t>COMPETENCIA.</w:t>
      </w:r>
      <w:bookmarkEnd w:id="62220"/>
      <w:r>
        <w:rPr>
          <w:rFonts w:hAnsi="Arial"/>
          <w:rFonts w:ascii="Arial"/>
          <w:sz w:val="24"/>
          <w:b/>
          <w:i/>
          <w:color w:val="black"/>
        </w:rPr>
        <w:t xml:space="preserve"> </w:t>
      </w:r>
      <w:r>
        <w:rPr>
          <w:rFonts w:hAnsi="Arial"/>
          <w:rFonts w:ascii="Arial"/>
          <w:sz w:val="24"/>
          <w:color w:val="black"/>
        </w:rPr>
        <w:t xml:space="preserve">La guarda y custodia de las certificaciones de aptitud psicofνsica le compete a las Instituciones Especializadas con Licencia en Salud Ocupacional, acreditadas en ISO/ICE17024:2003 que realizaron dichas pruebas y expidieron la certificaciσn.</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21" w:name="2.6.1.1.9.6"/>
      <w:r>
        <w:rPr>
          <w:rFonts w:hAnsi="Arial"/>
          <w:rFonts w:ascii="Arial"/>
          <w:sz w:val="24"/>
          <w:color w:val="navy"/>
        </w:rPr>
        <w:t xml:space="preserve">ARTΝCULO 2.6.1.1.9.6. </w:t>
      </w:r>
      <w:r>
        <w:rPr>
          <w:rFonts w:hAnsi="Arial"/>
          <w:rFonts w:ascii="Arial"/>
          <w:sz w:val="24"/>
          <w:i/>
          <w:color w:val="navy"/>
        </w:rPr>
        <w:t>CONTROLES.</w:t>
      </w:r>
      <w:bookmarkEnd w:id="62221"/>
      <w:r>
        <w:rPr>
          <w:rFonts w:hAnsi="Arial"/>
          <w:rFonts w:ascii="Arial"/>
          <w:sz w:val="24"/>
          <w:b/>
          <w:i/>
          <w:color w:val="black"/>
        </w:rPr>
        <w:t xml:space="preserve"> </w:t>
      </w:r>
      <w:r>
        <w:rPr>
          <w:rFonts w:hAnsi="Arial"/>
          <w:rFonts w:ascii="Arial"/>
          <w:sz w:val="24"/>
          <w:color w:val="black"/>
        </w:rPr>
        <w:t xml:space="preserve">Para que la Superintendencia de Vigilancia y Seguridad Privada pueda ejercer los controles y adelantar las actuaciones administrativas seρaladas en la Ley </w:t>
      </w:r>
      <w:r>
        <w:fldChar w:fldCharType="begin"/>
      </w:r>
      <w:r>
        <w:instrText>HYPERLINK "http://www.redjurista.com/document.aspx?ajcode=l1539012&amp;arts=INICIO"</w:instrText>
      </w:r>
      <w:r>
        <w:fldChar w:fldCharType="separate"/>
      </w:r>
      <w:r>
        <w:rPr>
          <w:rFonts w:hAnsi="Arial"/>
          <w:rFonts w:ascii="Arial"/>
          <w:sz w:val="24"/>
          <w:u w:val="single"/>
          <w:color w:val="black"/>
        </w:rPr>
        <w:t>1539</w:t>
      </w:r>
      <w:r>
        <w:fldChar w:fldCharType="end"/>
      </w:r>
      <w:r>
        <w:rPr>
          <w:rFonts w:hAnsi="Arial"/>
          <w:rFonts w:ascii="Arial"/>
          <w:sz w:val="24"/>
          <w:u w:val="none"/>
          <w:color w:val="black"/>
        </w:rPr>
        <w:t xml:space="preserve"> de 2012, contarα con el acceso a la base de datos de los certificados de aptitud psicofνsica expedidos por las Instituciones Especializadas, registrados y validados por el Sistema Integrado de Seguridad, a travιs de un canal dedicado.</w:t>
      </w:r>
    </w:p>
    <w:p>
      <w:pPr>
        <w:jc w:val="both"/>
      </w:pPr>
      <w:rPr>
        <w:sz w:val="24"/>
        <w:color w:val="black"/>
      </w:rPr>
    </w:p>
    <w:p>
      <w:pPr>
        <w:jc w:val="both"/>
      </w:pPr>
      <w:r>
        <w:rPr>
          <w:rFonts w:hAnsi="Arial"/>
          <w:rFonts w:ascii="Arial"/>
          <w:sz w:val="24"/>
          <w:color w:val="black"/>
        </w:rPr>
        <w:t xml:space="preserve">Para que exista certeza sobre la identidad de los vigilantes, supervisores y escoltas a quienes se les expide el certificado de aptitud psicofνsica para el porte y tenencia de armas, y que a ellos les fueron practicados los exαmenes de conformidad con la ley, las Instituciones Especializadas, la Superintendencia de Vigilancia y Seguridad Privada, el Departamento de Control Comercio de Armas, Municiones y Explosivos y todas sus seccionales, estarαn interconectados a travιs de un canal dedicado.</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22" w:name="2.6.1.1.9.7"/>
      <w:r>
        <w:rPr>
          <w:rFonts w:hAnsi="Arial"/>
          <w:rFonts w:ascii="Arial"/>
          <w:sz w:val="24"/>
          <w:color w:val="navy"/>
        </w:rPr>
        <w:t xml:space="preserve">ARTΝCULO 2.6.1.1.9.7. </w:t>
      </w:r>
      <w:r>
        <w:rPr>
          <w:rFonts w:hAnsi="Arial"/>
          <w:rFonts w:ascii="Arial"/>
          <w:sz w:val="24"/>
          <w:i/>
          <w:color w:val="navy"/>
        </w:rPr>
        <w:t xml:space="preserve">INVESTIGACIONES ADMINISTRATIVAS.</w:t>
      </w:r>
      <w:bookmarkEnd w:id="62222"/>
      <w:r>
        <w:rPr>
          <w:rFonts w:hAnsi="Arial"/>
          <w:rFonts w:ascii="Arial"/>
          <w:sz w:val="24"/>
          <w:b/>
          <w:i/>
          <w:color w:val="black"/>
        </w:rPr>
        <w:t xml:space="preserve"> </w:t>
      </w:r>
      <w:r>
        <w:rPr>
          <w:rFonts w:hAnsi="Arial"/>
          <w:rFonts w:ascii="Arial"/>
          <w:sz w:val="24"/>
          <w:color w:val="black"/>
        </w:rPr>
        <w:t xml:space="preserve">Cuando las personas jurνdicas o naturales que presten servicios de vigilancia y seguridad privada con vigilantes, escoltas o supervisores, los presten sin que estos hayan obtenido el certificado de aptitud psicofνsica para porte y tenencia de armas de fuego, se les adelantarαn las investigaciones administrativas del caso por parte de la Superintendencia de Vigilancia y Seguridad Privada, las cuales podrαn dar lugar a la imposiciσn de sanciones establecidas en la ley.</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223" w:name="2.6.1.1.9.8"/>
      <w:r>
        <w:rPr>
          <w:rFonts w:hAnsi="Arial"/>
          <w:rFonts w:ascii="Arial"/>
          <w:sz w:val="24"/>
          <w:color w:val="navy"/>
        </w:rPr>
        <w:t xml:space="preserve">ARTΝCULO 2.6.1.1.9.8. </w:t>
      </w:r>
      <w:r>
        <w:rPr>
          <w:rFonts w:hAnsi="Arial"/>
          <w:rFonts w:ascii="Arial"/>
          <w:sz w:val="24"/>
          <w:i/>
          <w:color w:val="navy"/>
        </w:rPr>
        <w:t>PLAZO.</w:t>
      </w:r>
      <w:bookmarkEnd w:id="62223"/>
      <w:r>
        <w:rPr>
          <w:rFonts w:hAnsi="Arial"/>
          <w:rFonts w:ascii="Arial"/>
          <w:sz w:val="24"/>
          <w:b/>
          <w:i/>
          <w:color w:val="black"/>
        </w:rPr>
        <w:t xml:space="preserve"> </w:t>
      </w:r>
      <w:r>
        <w:rPr>
          <w:rFonts w:hAnsi="Arial"/>
          <w:rFonts w:ascii="Arial"/>
          <w:sz w:val="24"/>
          <w:color w:val="black"/>
        </w:rPr>
        <w:t xml:space="preserve">Las personas jurνdicas o naturales, que presten servicios de vigilancia y seguridad privada, con vigilantes, escoltas y/o supervisores, tendrαn plazo hasta el 31 de diciembre de 2015, para que el personal vinculado cuente con el certificado de aptitud psicofνsica para el porte y tenencia de armas de fuego.</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Al personal operativo de las empresas de vigilancia y seguridad privada que durante la aplicaciσn de la presente Secciσn se le haya vencido o se le venza el certificado de aptitud psicofνsica para el porte y tenencia de armas de fuego, deberαn renovarlo de acuerdo con lo seρalado en el artνculo </w:t>
      </w:r>
      <w:r>
        <w:fldChar w:fldCharType="begin"/>
      </w:r>
      <w:r>
        <w:instrText>HYPERLINK "http://www.redjurista.com/document.aspx?ajcode=l1539012&amp;arts=1"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Ley 1539 de 2012.</w:t>
      </w:r>
    </w:p>
    <w:p>
      <w:pPr>
        <w:jc w:val="both"/>
      </w:pPr>
      <w:rPr>
        <w:sz w:val="24"/>
        <w:color w:val="black"/>
      </w:rPr>
    </w:p>
    <w:p>
      <w:pPr>
        <w:jc w:val="both"/>
      </w:pPr>
      <w:r>
        <w:rPr>
          <w:rFonts w:hAnsi="Arial"/>
          <w:rFonts w:ascii="Arial"/>
          <w:sz w:val="24"/>
          <w:i/>
          <w:color w:val="black"/>
        </w:rPr>
        <w:t xml:space="preserve">(Decreto 0738 de 2013 artνculo </w:t>
      </w:r>
      <w:r>
        <w:fldChar w:fldCharType="begin"/>
      </w:r>
      <w:r>
        <w:instrText>HYPERLINK "http://www.redjurista.com/document.aspx?ajcode=d0738013&amp;arts=8"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 modificado por el artνculo </w:t>
      </w:r>
      <w:r>
        <w:fldChar w:fldCharType="begin"/>
      </w:r>
      <w:r>
        <w:instrText>HYPERLINK "http://www.redjurista.com/document.aspx?ajcode=d0018015&amp;arts=1"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0018 de 2015)</w:t>
      </w:r>
    </w:p>
    <w:p>
      <w:pPr>
        <w:jc w:val="both"/>
      </w:pPr>
      <w:rPr>
        <w:sz w:val="24"/>
        <w:color w:val="black"/>
      </w:rPr>
    </w:p>
    <w:p>
      <w:pPr>
        <w:jc w:val="center"/>
      </w:pPr>
      <w:r>
        <w:rPr>
          <w:rFonts w:hAnsi="Arial"/>
          <w:rFonts w:ascii="Arial"/>
          <w:sz w:val="24"/>
          <w:vanish/>
          <w:color w:val="black"/>
        </w:rPr>
        <w:t>&amp;$</w:t>
      </w:r>
      <w:bookmarkStart w:id="62224" w:name="SECCIÓN 2.6.1.1.10"/>
      <w:r>
        <w:rPr>
          <w:rFonts w:hAnsi="Arial"/>
          <w:rFonts w:ascii="Arial"/>
          <w:sz w:val="24"/>
          <w:color w:val="navy"/>
        </w:rPr>
        <w:t xml:space="preserve">SECCIΣN 10. </w:t>
      </w:r>
    </w:p>
    <w:p>
      <w:pPr>
        <w:jc w:val="center"/>
      </w:pPr>
      <w:r>
        <w:rPr>
          <w:rFonts w:hAnsi="Arial"/>
          <w:rFonts w:ascii="Arial"/>
          <w:sz w:val="24"/>
          <w:color w:val="navy"/>
        </w:rPr>
        <w:t xml:space="preserve">POR EL CUAL SE REGLAMENTA EL SISTEMA INTEGRADO DE SEGURIDAD PARA LA EXPEDICIΣN DE CERTIFICADOS DE APTITUD PSICOFΝSICA CONSAGRADO EN LA LEY 1539 DE 2012.</w:t>
      </w:r>
      <w:bookmarkEnd w:id="62224"/>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62225" w:name="2.6.1.1.10.1"/>
      <w:r>
        <w:rPr>
          <w:rFonts w:hAnsi="Arial"/>
          <w:rFonts w:ascii="Arial"/>
          <w:sz w:val="24"/>
          <w:color w:val="navy"/>
        </w:rPr>
        <w:t xml:space="preserve">ARTΝCULO 2.6.1.1.10.1. </w:t>
      </w:r>
      <w:r>
        <w:rPr>
          <w:rFonts w:hAnsi="Arial"/>
          <w:rFonts w:ascii="Arial"/>
          <w:sz w:val="24"/>
          <w:i/>
          <w:color w:val="navy"/>
        </w:rPr>
        <w:t>OBJETO.</w:t>
      </w:r>
      <w:bookmarkEnd w:id="6222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El presente decreto tiene como objeto la reglamentaciσn del sistema integrado seguridad, que deberα ser implementado en la valoraciσn mιdica y expediciσn de certificados de aptitud psicofνsica para el porte y tenencia de armas de fuego, por parte de las instituciones certificadoras de personas, de acuerdo con los mandatos contenidos en la Ley </w:t>
      </w:r>
      <w:r>
        <w:fldChar w:fldCharType="begin"/>
      </w:r>
      <w:r>
        <w:instrText>HYPERLINK "http://www.redjurista.com/document.aspx?ajcode=l1119006&amp;arts=INICIO"</w:instrText>
      </w:r>
      <w:r>
        <w:fldChar w:fldCharType="separate"/>
      </w:r>
      <w:r>
        <w:rPr>
          <w:rFonts w:hAnsi="Arial"/>
          <w:rFonts w:ascii="Arial"/>
          <w:sz w:val="24"/>
          <w:u w:val="single"/>
          <w:color w:val="black"/>
        </w:rPr>
        <w:t>1119</w:t>
      </w:r>
      <w:r>
        <w:fldChar w:fldCharType="end"/>
      </w:r>
      <w:r>
        <w:rPr>
          <w:rFonts w:hAnsi="Arial"/>
          <w:rFonts w:ascii="Arial"/>
          <w:sz w:val="24"/>
          <w:u w:val="none"/>
          <w:color w:val="black"/>
        </w:rPr>
        <w:t xml:space="preserve"> de 2006 y la Ley </w:t>
      </w:r>
      <w:r>
        <w:fldChar w:fldCharType="begin"/>
      </w:r>
      <w:r>
        <w:instrText>HYPERLINK "http://www.redjurista.com/document.aspx?ajcode=l1539012&amp;arts=INICIO"</w:instrText>
      </w:r>
      <w:r>
        <w:fldChar w:fldCharType="separate"/>
      </w:r>
      <w:r>
        <w:rPr>
          <w:rFonts w:hAnsi="Arial"/>
          <w:rFonts w:ascii="Arial"/>
          <w:sz w:val="24"/>
          <w:u w:val="single"/>
          <w:color w:val="black"/>
        </w:rPr>
        <w:t>1539</w:t>
      </w:r>
      <w:r>
        <w:fldChar w:fldCharType="end"/>
      </w:r>
      <w:r>
        <w:rPr>
          <w:rFonts w:hAnsi="Arial"/>
          <w:rFonts w:ascii="Arial"/>
          <w:sz w:val="24"/>
          <w:u w:val="none"/>
          <w:color w:val="black"/>
        </w:rPr>
        <w:t xml:space="preserve"> de 2012.</w:t>
      </w:r>
    </w:p>
    <w:p>
      <w:pPr>
        <w:jc w:val="both"/>
      </w:pPr>
      <w:rPr>
        <w:sz w:val="24"/>
        <w:color w:val="black"/>
      </w:rPr>
    </w:p>
    <w:p>
      <w:pPr>
        <w:jc w:val="both"/>
      </w:pPr>
      <w:r>
        <w:rPr>
          <w:rFonts w:hAnsi="Arial"/>
          <w:rFonts w:ascii="Arial"/>
          <w:sz w:val="24"/>
          <w:color w:val="black"/>
        </w:rPr>
        <w:t xml:space="preserve">Este cuerpo normativo comprenderα todos los aspectos relacionados con los protocolos de seguridad, la implementaciσn y funcionamiento del sistema integrado de seguridad, donde se establecerαn sus caracterνsticas generales, funciones principales, asν como las autoridades que deberαn ejercer el control permanente del mismo y de la informaciσn que en este se maneja.</w:t>
      </w:r>
    </w:p>
    <w:p>
      <w:pPr>
        <w:jc w:val="both"/>
      </w:pPr>
      <w:rPr>
        <w:color w:val="black"/>
      </w:rPr>
    </w:p>
    <w:p>
      <w:pPr>
        <w:jc w:val="center"/>
      </w:pPr>
      <w:r>
        <w:rPr>
          <w:rFonts w:hAnsi="Arial"/>
          <w:rFonts w:ascii="Arial"/>
          <w:sz w:val="24"/>
          <w:vanish/>
          <w:color w:val="black"/>
        </w:rPr>
        <w:t>&amp;$</w:t>
      </w:r>
      <w:bookmarkStart w:id="62226" w:name="SUBSECCIÓN 2.6.1.1.10.1"/>
      <w:r>
        <w:rPr>
          <w:rFonts w:hAnsi="Arial"/>
          <w:rFonts w:ascii="Arial"/>
          <w:sz w:val="24"/>
          <w:color w:val="navy"/>
        </w:rPr>
        <w:t xml:space="preserve">SUBSECCIΣN 1. </w:t>
      </w:r>
    </w:p>
    <w:p>
      <w:pPr>
        <w:jc w:val="center"/>
      </w:pPr>
      <w:r>
        <w:rPr>
          <w:rFonts w:hAnsi="Arial"/>
          <w:rFonts w:ascii="Arial"/>
          <w:sz w:val="24"/>
          <w:color w:val="navy"/>
        </w:rPr>
        <w:t xml:space="preserve">DEL SISTEMA INTEGRADO DE SEGURIDAD.</w:t>
      </w:r>
      <w:bookmarkEnd w:id="62226"/>
      <w:r>
        <w:rPr>
          <w:rFonts w:hAnsi="Arial"/>
          <w:rFonts w:ascii="Arial"/>
          <w:sz w:val="24"/>
          <w:color w:val="black"/>
        </w:rPr>
        <w:t xml:space="preserve"> </w:t>
      </w:r>
    </w:p>
    <w:p>
      <w:pPr>
        <w:jc w:val="both"/>
      </w:pPr>
      <w:rPr>
        <w:sz w:val="24"/>
        <w:color w:val="black"/>
      </w:rPr>
    </w:p>
    <w:p>
      <w:pPr>
        <w:jc w:val="both"/>
      </w:pPr>
      <w:r>
        <w:rPr>
          <w:rFonts w:hAnsi="Arial"/>
          <w:rFonts w:ascii="Arial"/>
          <w:sz w:val="24"/>
          <w:b/>
          <w:vanish/>
          <w:color w:val="black"/>
        </w:rPr>
        <w:t>&amp;$</w:t>
      </w:r>
      <w:bookmarkStart w:id="62227" w:name="2.6.1.1.10.1.1"/>
      <w:r>
        <w:rPr>
          <w:rFonts w:hAnsi="Arial"/>
          <w:rFonts w:ascii="Arial"/>
          <w:sz w:val="24"/>
          <w:color w:val="navy"/>
        </w:rPr>
        <w:t xml:space="preserve">ARTΝCULO 2.6.1.1.10.1.1. </w:t>
      </w:r>
      <w:r>
        <w:rPr>
          <w:rFonts w:hAnsi="Arial"/>
          <w:rFonts w:ascii="Arial"/>
          <w:sz w:val="24"/>
          <w:i/>
          <w:color w:val="navy"/>
        </w:rPr>
        <w:t xml:space="preserve">DEFINICIΣN Y OBLIGATORIEDAD DEL SISTEMA INTEGRADO DE SEGURIDAD.</w:t>
      </w:r>
      <w:bookmarkEnd w:id="6222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El Sistema Integrado de Seguridad es el medio a nivel nacional, establecido por la Ley </w:t>
      </w:r>
      <w:r>
        <w:fldChar w:fldCharType="begin"/>
      </w:r>
      <w:r>
        <w:instrText>HYPERLINK "http://www.redjurista.com/document.aspx?ajcode=l1539012&amp;arts=INICIO"</w:instrText>
      </w:r>
      <w:r>
        <w:fldChar w:fldCharType="separate"/>
      </w:r>
      <w:r>
        <w:rPr>
          <w:rFonts w:hAnsi="Arial"/>
          <w:rFonts w:ascii="Arial"/>
          <w:sz w:val="24"/>
          <w:u w:val="single"/>
          <w:color w:val="black"/>
        </w:rPr>
        <w:t>1539</w:t>
      </w:r>
      <w:r>
        <w:fldChar w:fldCharType="end"/>
      </w:r>
      <w:r>
        <w:rPr>
          <w:rFonts w:hAnsi="Arial"/>
          <w:rFonts w:ascii="Arial"/>
          <w:sz w:val="24"/>
          <w:u w:val="none"/>
          <w:color w:val="black"/>
        </w:rPr>
        <w:t xml:space="preserve"> de 2012, en el que se registrarα, autenticarα y validarα la identificaciσn de las personas para efectos de la expediciσn de los certificados de aptitud psicofνsica para el porte y tenencia de armas de fuego.</w:t>
      </w:r>
    </w:p>
    <w:p>
      <w:pPr>
        <w:jc w:val="both"/>
      </w:pPr>
      <w:rPr>
        <w:sz w:val="24"/>
        <w:color w:val="black"/>
      </w:rPr>
    </w:p>
    <w:p>
      <w:pPr>
        <w:jc w:val="both"/>
      </w:pPr>
      <w:r>
        <w:rPr>
          <w:rFonts w:hAnsi="Arial"/>
          <w:rFonts w:ascii="Arial"/>
          <w:sz w:val="24"/>
          <w:color w:val="black"/>
        </w:rPr>
        <w:t xml:space="preserve">El Sistema estα compuesto por un software de gestiσn, un sistema de gestiσn de calidad, un mecanismo redundante y una infraestructura idσnea tanto fνsica como electrσnica.</w:t>
      </w:r>
    </w:p>
    <w:p>
      <w:pPr>
        <w:jc w:val="both"/>
      </w:pPr>
      <w:rPr>
        <w:sz w:val="24"/>
        <w:color w:val="black"/>
      </w:rPr>
    </w:p>
    <w:p>
      <w:pPr>
        <w:jc w:val="both"/>
      </w:pPr>
      <w:r>
        <w:rPr>
          <w:rFonts w:hAnsi="Arial"/>
          <w:rFonts w:ascii="Arial"/>
          <w:sz w:val="24"/>
          <w:color w:val="black"/>
        </w:rPr>
        <w:t xml:space="preserve">El Sistema tiene como propσsito:</w:t>
      </w:r>
    </w:p>
    <w:p>
      <w:pPr>
        <w:jc w:val="both"/>
      </w:pPr>
      <w:rPr>
        <w:sz w:val="24"/>
        <w:color w:val="black"/>
      </w:rPr>
    </w:p>
    <w:p>
      <w:pPr>
        <w:jc w:val="both"/>
      </w:pPr>
      <w:r>
        <w:rPr>
          <w:rFonts w:hAnsi="Arial"/>
          <w:rFonts w:ascii="Arial"/>
          <w:sz w:val="24"/>
          <w:color w:val="black"/>
        </w:rPr>
        <w:t xml:space="preserve">1. Garantizar la presencia del usuario aspirante en la instituciσn especializada.</w:t>
      </w:r>
    </w:p>
    <w:p>
      <w:pPr>
        <w:jc w:val="both"/>
      </w:pPr>
      <w:rPr>
        <w:sz w:val="24"/>
        <w:color w:val="black"/>
      </w:rPr>
    </w:p>
    <w:p>
      <w:pPr>
        <w:jc w:val="both"/>
      </w:pPr>
      <w:r>
        <w:rPr>
          <w:rFonts w:hAnsi="Arial"/>
          <w:rFonts w:ascii="Arial"/>
          <w:sz w:val="24"/>
          <w:color w:val="black"/>
        </w:rPr>
        <w:t xml:space="preserve">2. La realizaciσn al usuario aspirante de las pruebas y evaluaciones por los mιdicos o especialistas.</w:t>
      </w:r>
    </w:p>
    <w:p>
      <w:pPr>
        <w:jc w:val="both"/>
      </w:pPr>
      <w:rPr>
        <w:sz w:val="24"/>
        <w:color w:val="black"/>
      </w:rPr>
    </w:p>
    <w:p>
      <w:pPr>
        <w:jc w:val="both"/>
      </w:pPr>
      <w:r>
        <w:rPr>
          <w:rFonts w:hAnsi="Arial"/>
          <w:rFonts w:ascii="Arial"/>
          <w:sz w:val="24"/>
          <w:color w:val="black"/>
        </w:rPr>
        <w:t xml:space="preserve">3. Que el certificado se expida desde la ubicaciσn geogrαfica de la instituciσn especializada.</w:t>
      </w:r>
    </w:p>
    <w:p>
      <w:pPr>
        <w:jc w:val="both"/>
      </w:pPr>
      <w:rPr>
        <w:sz w:val="24"/>
        <w:color w:val="black"/>
      </w:rPr>
    </w:p>
    <w:p>
      <w:pPr>
        <w:jc w:val="both"/>
      </w:pPr>
      <w:r>
        <w:rPr>
          <w:rFonts w:hAnsi="Arial"/>
          <w:rFonts w:ascii="Arial"/>
          <w:sz w:val="24"/>
          <w:color w:val="black"/>
        </w:rPr>
        <w:t xml:space="preserve">4. Que las pruebas se hagan desde los equipos de cσmputo de las instituciones especializadas, con el fin de evitar un posible fraude en la expediciσn del mencionado certificado.</w:t>
      </w:r>
    </w:p>
    <w:p>
      <w:pPr>
        <w:jc w:val="both"/>
      </w:pPr>
      <w:rPr>
        <w:sz w:val="24"/>
        <w:color w:val="black"/>
      </w:rPr>
    </w:p>
    <w:p>
      <w:pPr>
        <w:jc w:val="both"/>
      </w:pPr>
      <w:r>
        <w:rPr>
          <w:rFonts w:hAnsi="Arial"/>
          <w:rFonts w:ascii="Arial"/>
          <w:sz w:val="24"/>
          <w:color w:val="black"/>
        </w:rPr>
        <w:t xml:space="preserve">Las instituciones que se encuentren autorizadas y habilitadas para expedir los certificados de aptitud psicofνsica para el porte y tenencia de armas de fuego deberαn operar bajo el Sistema Integrado de Seguridad.</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Las Instituciones Especializadas remitirαn la informaciσn que se obtenga de los aspirantes, las pruebas y/o los resultados de los certificados de aptitud psicofνsica para el porte y tenencia de armas de fuego al Ministerio de Defensa Nacional - Comando General de las Fuerzas Militares - Departamento Control Comercio de Armas, Municiones y Explosivos, Superintendencia de Vigilancia y Seguridad Privada y Direcciσn General de Sanidad Militar, una vez sea agotado el procedimiento establecido a travιs del Sistema Integrado de Seguridad, de la forma como se indique por cada entidad, garantizando la interoperabilidad de los sistemas involucrados.</w:t>
      </w:r>
    </w:p>
    <w:p>
      <w:pPr>
        <w:jc w:val="both"/>
      </w:pPr>
      <w:rPr>
        <w:color w:val="black"/>
      </w:rPr>
    </w:p>
    <w:p>
      <w:pPr>
        <w:jc w:val="both"/>
      </w:pPr>
      <w:r>
        <w:rPr>
          <w:rFonts w:hAnsi="Arial"/>
          <w:rFonts w:ascii="Arial"/>
          <w:sz w:val="24"/>
          <w:b/>
          <w:vanish/>
          <w:color w:val="black"/>
        </w:rPr>
        <w:t>&amp;$</w:t>
      </w:r>
      <w:bookmarkStart w:id="62228" w:name="2.6.1.1.10.1.2"/>
      <w:r>
        <w:rPr>
          <w:rFonts w:hAnsi="Arial"/>
          <w:rFonts w:ascii="Arial"/>
          <w:sz w:val="24"/>
          <w:color w:val="navy"/>
        </w:rPr>
        <w:t xml:space="preserve">ARTΝCULO 2.6.1.1.10.1.2. </w:t>
      </w:r>
      <w:r>
        <w:rPr>
          <w:rFonts w:hAnsi="Arial"/>
          <w:rFonts w:ascii="Arial"/>
          <w:sz w:val="24"/>
          <w:i/>
          <w:color w:val="navy"/>
        </w:rPr>
        <w:t xml:space="preserve">OPERACIΣN DEL SISTEMA INTEGRADO DE SEGURIDAD.</w:t>
      </w:r>
      <w:bookmarkEnd w:id="6222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Rige a partir del 12 de junio de 2017. El nuevo texto es el siguiente:&gt; Todas las instituciones autorizadas para expedir certificados de aptitud psicofνsica para el porte y tenencia de armas de fuego, deberαn dar cumplimiento al siguiente protocolo de seguridad que hace parte del Sistema Integrado de Seguridad:</w:t>
      </w:r>
    </w:p>
    <w:p>
      <w:pPr>
        <w:jc w:val="both"/>
      </w:pPr>
      <w:rPr>
        <w:sz w:val="24"/>
        <w:color w:val="black"/>
      </w:rPr>
    </w:p>
    <w:p>
      <w:pPr>
        <w:jc w:val="both"/>
      </w:pPr>
      <w:r>
        <w:rPr>
          <w:rFonts w:hAnsi="Arial"/>
          <w:rFonts w:ascii="Arial"/>
          <w:sz w:val="24"/>
          <w:color w:val="black"/>
        </w:rPr>
        <w:t xml:space="preserve">1. Garantizar el registro del pago de la evaluaciσn mιdica y certificaciσn de aptitud, a travιs de un nϊmero de identificaciσn irrepetible e intransferible que a su vez deberα estar asociado con el nϊmero de identificaciσn del usuario aspirante, cumpliendo con los siguientes criterios, segϊn corresponda, asν:</w:t>
      </w:r>
    </w:p>
    <w:p>
      <w:pPr>
        <w:jc w:val="both"/>
      </w:pPr>
      <w:rPr>
        <w:sz w:val="24"/>
        <w:color w:val="black"/>
      </w:rPr>
    </w:p>
    <w:p>
      <w:pPr>
        <w:jc w:val="both"/>
      </w:pPr>
      <w:r>
        <w:rPr>
          <w:rFonts w:hAnsi="Arial"/>
          <w:rFonts w:ascii="Arial"/>
          <w:sz w:val="24"/>
          <w:color w:val="black"/>
        </w:rPr>
        <w:t xml:space="preserve">a) El pago de la evaluaciσn y certificaciσn de aptitud psicofνsica para el porte y tenencia de armas de fuego a los usuarios particulares se realizarα a travιs de una entidad vigilada por la Superintendencia Financiera de Colombia o por un operador postal de pago homologado con el Sistema Integrado de Seguridad.</w:t>
      </w:r>
    </w:p>
    <w:p>
      <w:pPr>
        <w:jc w:val="both"/>
      </w:pPr>
      <w:rPr>
        <w:sz w:val="24"/>
        <w:color w:val="black"/>
      </w:rPr>
    </w:p>
    <w:p>
      <w:pPr>
        <w:jc w:val="both"/>
      </w:pPr>
      <w:r>
        <w:rPr>
          <w:rFonts w:hAnsi="Arial"/>
          <w:rFonts w:ascii="Arial"/>
          <w:sz w:val="24"/>
          <w:color w:val="black"/>
        </w:rPr>
        <w:t xml:space="preserve">b) El pago de la evaluaciσn mιdica y certificaciσn de aptitud psicofνsica para el porte y tenencia de armas de fuego para los usuarios aspirantes vinculados a los servicios de vigilancia y seguridad privada serα asumido por las ARL, en cuyo caso no serα necesario el nϊmero de identificaciσn irrepetible e intransferible.</w:t>
      </w:r>
    </w:p>
    <w:p>
      <w:pPr>
        <w:jc w:val="both"/>
      </w:pPr>
      <w:rPr>
        <w:sz w:val="24"/>
        <w:color w:val="black"/>
      </w:rPr>
    </w:p>
    <w:p>
      <w:pPr>
        <w:jc w:val="both"/>
      </w:pPr>
      <w:r>
        <w:rPr>
          <w:rFonts w:hAnsi="Arial"/>
          <w:rFonts w:ascii="Arial"/>
          <w:sz w:val="24"/>
          <w:color w:val="black"/>
        </w:rPr>
        <w:t xml:space="preserve">c) No se permitirα el manejo de dinero en efectivo por parte del personal de las instituciones autorizadas para expedir certificados de aptitud psicofνsica, ni por parte de terceros, el recaudo solo se realizarα a travιs de una entidad del sistema financiero o de un operador postal de pago en convenio con una entidad financiera.</w:t>
      </w:r>
    </w:p>
    <w:p>
      <w:pPr>
        <w:jc w:val="both"/>
      </w:pPr>
      <w:rPr>
        <w:sz w:val="24"/>
        <w:color w:val="black"/>
      </w:rPr>
    </w:p>
    <w:p>
      <w:pPr>
        <w:jc w:val="both"/>
      </w:pPr>
      <w:r>
        <w:rPr>
          <w:rFonts w:hAnsi="Arial"/>
          <w:rFonts w:ascii="Arial"/>
          <w:sz w:val="24"/>
          <w:color w:val="black"/>
        </w:rPr>
        <w:t xml:space="preserve">2. Una vez pagado el valor del servicio de evaluaciσn mιdica y certificaciσn de aptitud psicofνsica para el porte y tenencia de armas de fuego para los usuarios particulares, el Sistema Integrado de Seguridad validarα el registro del pago contra la entidad recaudadora.</w:t>
      </w:r>
    </w:p>
    <w:p>
      <w:pPr>
        <w:jc w:val="both"/>
      </w:pPr>
      <w:rPr>
        <w:sz w:val="24"/>
        <w:color w:val="black"/>
      </w:rPr>
    </w:p>
    <w:p>
      <w:pPr>
        <w:jc w:val="both"/>
      </w:pPr>
      <w:r>
        <w:rPr>
          <w:rFonts w:hAnsi="Arial"/>
          <w:rFonts w:ascii="Arial"/>
          <w:sz w:val="24"/>
          <w:color w:val="black"/>
        </w:rPr>
        <w:t xml:space="preserve">3. El Sistema podrα realizar el registro y la asignaciσn de citas, estableciιndose que para los usuarios particulares del certificado de aptitud psicofνsica serα obligatorio validar la existencia del pago, a travιs de mecanismos tecnolσgicos puestos a disposiciσn por parte del recaudador.</w:t>
      </w:r>
    </w:p>
    <w:p>
      <w:pPr>
        <w:jc w:val="both"/>
      </w:pPr>
      <w:rPr>
        <w:sz w:val="24"/>
        <w:color w:val="black"/>
      </w:rPr>
    </w:p>
    <w:p>
      <w:pPr>
        <w:jc w:val="both"/>
      </w:pPr>
      <w:r>
        <w:rPr>
          <w:rFonts w:hAnsi="Arial"/>
          <w:rFonts w:ascii="Arial"/>
          <w:sz w:val="24"/>
          <w:color w:val="black"/>
        </w:rPr>
        <w:t xml:space="preserve">4. En el proceso de registro del usuario aspirante, el Sistema Integrado de Seguridad deberα registrar, autenticar y validar la identidad de este con la informaciσn de la Registradurνa Nacional del Estado Civil, y grabar en el mecanismo redundante la identificaciσn y la informaciσn. Este proceso se tendrα que realizar por medio de un procedimiento de comparaciσn biomιtrica dactilar.</w:t>
      </w:r>
    </w:p>
    <w:p>
      <w:pPr>
        <w:jc w:val="both"/>
      </w:pPr>
      <w:rPr>
        <w:sz w:val="24"/>
        <w:color w:val="black"/>
      </w:rPr>
    </w:p>
    <w:p>
      <w:pPr>
        <w:jc w:val="both"/>
      </w:pPr>
      <w:r>
        <w:rPr>
          <w:rFonts w:hAnsi="Arial"/>
          <w:rFonts w:ascii="Arial"/>
          <w:sz w:val="24"/>
          <w:color w:val="black"/>
        </w:rPr>
        <w:t xml:space="preserve">5. En el proceso de registro del usuario aspirante, el Sistema Integrado de Seguridad deberα capturar y registrar la informaciσn de la cιdula de ciudadanνa o documento de identidad del usuario aspirante a travιs de lectores de cσdigo de barras de dos dimensiones (2D) y grabar en el mecanismo redundante la identificaciσn y la informaciσn.</w:t>
      </w:r>
    </w:p>
    <w:p>
      <w:pPr>
        <w:jc w:val="both"/>
      </w:pPr>
      <w:rPr>
        <w:sz w:val="24"/>
        <w:color w:val="black"/>
      </w:rPr>
    </w:p>
    <w:p>
      <w:pPr>
        <w:jc w:val="both"/>
      </w:pPr>
      <w:r>
        <w:rPr>
          <w:rFonts w:hAnsi="Arial"/>
          <w:rFonts w:ascii="Arial"/>
          <w:sz w:val="24"/>
          <w:color w:val="black"/>
        </w:rPr>
        <w:t xml:space="preserve">6. El Sistema Integrado de Seguridad deberα capturar y registrar la fotografνa del usuario aspirante y grabarla en el mecanismo redundante bajo el estαndar de reconocimiento facial ISO/IEM19794-5 (Information Tecnology - Biometric Data Interchange Formats - Face Image Data). Este proceso deberα llevarse a cabo a travιs de una cαmara con sensor digital de alta definiciσn, que produzca imαgenes nνtidas con un alto grado de detalle.</w:t>
      </w:r>
    </w:p>
    <w:p>
      <w:pPr>
        <w:jc w:val="both"/>
      </w:pPr>
      <w:rPr>
        <w:sz w:val="24"/>
        <w:color w:val="black"/>
      </w:rPr>
    </w:p>
    <w:p>
      <w:pPr>
        <w:jc w:val="both"/>
      </w:pPr>
      <w:r>
        <w:rPr>
          <w:rFonts w:hAnsi="Arial"/>
          <w:rFonts w:ascii="Arial"/>
          <w:sz w:val="24"/>
          <w:color w:val="black"/>
        </w:rPr>
        <w:t xml:space="preserve">7. En el proceso de registro del usuario aspirante, el Sistema Integrado de Seguridad deberα capturar y registrar la informaciσn de su firma manuscrita mediante dispositivos digitalizadores de firmas y grabarla en el mecanismo redundante.</w:t>
      </w:r>
    </w:p>
    <w:p>
      <w:pPr>
        <w:jc w:val="both"/>
      </w:pPr>
      <w:rPr>
        <w:sz w:val="24"/>
        <w:color w:val="black"/>
      </w:rPr>
    </w:p>
    <w:p>
      <w:pPr>
        <w:jc w:val="both"/>
      </w:pPr>
      <w:r>
        <w:rPr>
          <w:rFonts w:hAnsi="Arial"/>
          <w:rFonts w:ascii="Arial"/>
          <w:sz w:val="24"/>
          <w:color w:val="black"/>
        </w:rPr>
        <w:t xml:space="preserve">8. En el proceso de registro del usuario aspirante, el Sistema Integrado de Seguridad llevarα a cabo la validaciσn de identidad biomιtrica a travιs de la huella dactilar del usuario, utilizando lectores biomιtricos con funcionalidad activa de dedo vivo. En el evento de no poderse recopilar la validaciσn biomιtrica de huella dactilar del usuario, a causa de las condiciones fνsicas del usuario, el sistema deberα contar con un mecanismo alternativo.</w:t>
      </w:r>
    </w:p>
    <w:p>
      <w:pPr>
        <w:jc w:val="both"/>
      </w:pPr>
      <w:rPr>
        <w:sz w:val="24"/>
        <w:color w:val="black"/>
      </w:rPr>
    </w:p>
    <w:p>
      <w:pPr>
        <w:jc w:val="both"/>
      </w:pPr>
      <w:r>
        <w:rPr>
          <w:rFonts w:hAnsi="Arial"/>
          <w:rFonts w:ascii="Arial"/>
          <w:sz w:val="24"/>
          <w:color w:val="black"/>
        </w:rPr>
        <w:t xml:space="preserve">9. Todas las instituciones autorizadas para expedir los certificados de aptitud psicofνsica para el porte y tenencia de armas de fuego deberαn registrarse en el Sistema Integrado de Seguridad. Los representantes legales de estas serαn responsables de su registro y no podrαn interactuar con el sistema hasta tanto no surtan este proceso.</w:t>
      </w:r>
    </w:p>
    <w:p>
      <w:pPr>
        <w:jc w:val="both"/>
      </w:pPr>
      <w:rPr>
        <w:sz w:val="24"/>
        <w:color w:val="black"/>
      </w:rPr>
    </w:p>
    <w:p>
      <w:pPr>
        <w:jc w:val="both"/>
      </w:pPr>
      <w:r>
        <w:rPr>
          <w:rFonts w:hAnsi="Arial"/>
          <w:rFonts w:ascii="Arial"/>
          <w:sz w:val="24"/>
          <w:color w:val="black"/>
        </w:rPr>
        <w:t xml:space="preserve">10. Los representantes legales o los certificadores de conformidad con las normas tιcnicas colombianas o normas internacionales adoptadas por las autoridades competentes, asν como el personal administrativo y los especialistas deberαn registrarse para poder interactuar con el Sistema Integrado de Seguridad conforme a lo dispuesto en los protocolos aquν establecidos, y, al desvincularse de la instituciσn deberαn informar al Sistema Integrado de Seguridad. Serα tambiιn responsabilidad del representante legal, informar de la vinculaciσn o desvinculaciσn del personal de la entidad so pena de incurrir en las sanciones previstas por la ley y la imposibilidad de poder interactuar con el sistema.</w:t>
      </w:r>
    </w:p>
    <w:p>
      <w:pPr>
        <w:jc w:val="both"/>
      </w:pPr>
      <w:rPr>
        <w:sz w:val="24"/>
        <w:color w:val="black"/>
      </w:rPr>
    </w:p>
    <w:p>
      <w:pPr>
        <w:jc w:val="both"/>
      </w:pPr>
      <w:r>
        <w:rPr>
          <w:rFonts w:hAnsi="Arial"/>
          <w:rFonts w:ascii="Arial"/>
          <w:sz w:val="24"/>
          <w:color w:val="black"/>
        </w:rPr>
        <w:t xml:space="preserve">11. El Ministerio de Defensa Nacional determinarα las pruebas a aplicar de acuerdo a los requisitos establecidos por la normativa vigente. En los procesos de evaluaciσn y certificaciσn de la aptitud psicofνsica para el porte y tenencia de armas de fuego, el Sistema Integrado de Seguridad realizarα las validaciones de identidad, tanto del usuario aspirante, como de los especialistas y mιdicos, al comienzo y al final de cada una de las pruebas. Las validaciones se realizarαn a travιs de la huella dactilar utilizando lectores biomιtricos con la funcionalidad activa de dedo vivo.</w:t>
      </w:r>
    </w:p>
    <w:p>
      <w:pPr>
        <w:jc w:val="both"/>
      </w:pPr>
      <w:rPr>
        <w:sz w:val="24"/>
        <w:color w:val="black"/>
      </w:rPr>
    </w:p>
    <w:p>
      <w:pPr>
        <w:jc w:val="both"/>
      </w:pPr>
      <w:r>
        <w:rPr>
          <w:rFonts w:hAnsi="Arial"/>
          <w:rFonts w:ascii="Arial"/>
          <w:sz w:val="24"/>
          <w:color w:val="black"/>
        </w:rPr>
        <w:t xml:space="preserve">12. Registrar y enviar al Sistema Integrado de Seguridad y grabar en el mecanismo redundante los resultados de cada una de las evaluaciones al final de cada prueba.</w:t>
      </w:r>
    </w:p>
    <w:p>
      <w:pPr>
        <w:jc w:val="both"/>
      </w:pPr>
      <w:rPr>
        <w:sz w:val="24"/>
        <w:color w:val="black"/>
      </w:rPr>
    </w:p>
    <w:p>
      <w:pPr>
        <w:jc w:val="both"/>
      </w:pPr>
      <w:r>
        <w:rPr>
          <w:rFonts w:hAnsi="Arial"/>
          <w:rFonts w:ascii="Arial"/>
          <w:sz w:val="24"/>
          <w:color w:val="black"/>
        </w:rPr>
        <w:t xml:space="preserve">13. En el proceso de certificaciσn, la responsabilidad de la decisiσn de certificaciσn serα ϊnicamente del mιdico certificador, para lo cual el Sistema Integrado de Seguridad deberα validar su huella dactilar.</w:t>
      </w:r>
    </w:p>
    <w:p>
      <w:pPr>
        <w:jc w:val="both"/>
      </w:pPr>
      <w:rPr>
        <w:sz w:val="24"/>
        <w:color w:val="black"/>
      </w:rPr>
    </w:p>
    <w:p>
      <w:pPr>
        <w:jc w:val="both"/>
      </w:pPr>
      <w:r>
        <w:rPr>
          <w:rFonts w:hAnsi="Arial"/>
          <w:rFonts w:ascii="Arial"/>
          <w:sz w:val="24"/>
          <w:color w:val="black"/>
        </w:rPr>
        <w:t xml:space="preserve">14. El registro, la evaluaciσn y la certificaciσn de la aptitud psicofνsica, junto con los registros mιdicos se almacenarαn digitalmente en la base de datos del Sistema Integrado de Seguridad, y de manera temporal en el mecanismo redundante.</w:t>
      </w:r>
    </w:p>
    <w:p>
      <w:pPr>
        <w:jc w:val="both"/>
      </w:pPr>
      <w:rPr>
        <w:sz w:val="24"/>
        <w:color w:val="black"/>
      </w:rPr>
    </w:p>
    <w:p>
      <w:pPr>
        <w:jc w:val="both"/>
      </w:pPr>
      <w:r>
        <w:rPr>
          <w:rFonts w:hAnsi="Arial"/>
          <w:rFonts w:ascii="Arial"/>
          <w:sz w:val="24"/>
          <w:color w:val="black"/>
        </w:rPr>
        <w:t xml:space="preserve">15. Para efectos del registro de la informaciσn y del reporte a las bases de datos del Sistema Integrado de Seguridad, todos los actores deberαn estar registrados en el sistema y firmar digitalmente las acciones realizadas dentro de cada proceso. Los actores del sistema serαn penal, civil, administrativa y disciplinariamente responsables por la informaciσn que registren y reporten a las bases de datos del sistema. La firma digital de cada actor deberα estar incorporada en el sistema redundante y esta a su vez autorizada a travιs de una entidad certificadora autorizada por el Organismo Nacional de Acreditaciσn de Colombia (ONAC) y conforme a lo dispuesto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o en cualquier norma que la adicione, modifique, complete o reglamente.</w:t>
      </w:r>
    </w:p>
    <w:p>
      <w:pPr>
        <w:jc w:val="both"/>
      </w:pPr>
      <w:rPr>
        <w:sz w:val="24"/>
        <w:color w:val="black"/>
      </w:rPr>
    </w:p>
    <w:p>
      <w:pPr>
        <w:jc w:val="both"/>
      </w:pPr>
      <w:r>
        <w:rPr>
          <w:rFonts w:hAnsi="Arial"/>
          <w:rFonts w:ascii="Arial"/>
          <w:sz w:val="24"/>
          <w:color w:val="black"/>
        </w:rPr>
        <w:t xml:space="preserve">16. Las instituciones certificadoras autorizadas para expedir certificados de aptitud psicofνsica para el porte y tenencia de armas de fuego, deberαn presentar la certificaciσn de los equipos de evaluaciσn, en donde conste que el modelo de equipo haya cumplido con las cien mil (100.000) pruebas realizadas a personas que hayan solicitado el certificado de aptitud psicofνsica para el porte y tenencia de armas de fuego, expedido por el ente regulador de estas evaluaciones en el paνs de origen de los equipos, y/o del fabricante del equipo donde se acrediten los equipos a utilizar.</w:t>
      </w:r>
    </w:p>
    <w:p>
      <w:pPr>
        <w:jc w:val="both"/>
      </w:pPr>
      <w:rPr>
        <w:sz w:val="24"/>
        <w:color w:val="black"/>
      </w:rPr>
    </w:p>
    <w:p>
      <w:pPr>
        <w:jc w:val="both"/>
      </w:pPr>
      <w:r>
        <w:rPr>
          <w:rFonts w:hAnsi="Arial"/>
          <w:rFonts w:ascii="Arial"/>
          <w:sz w:val="24"/>
          <w:color w:val="black"/>
        </w:rPr>
        <w:t xml:space="preserve">17. Las instituciones autorizadas para expedir certificados de aptitud deberαn conectarse al Sistema Integrado de Seguridad por medio de un canal dedicado de internet de mνnimo un mega byte (MB), a travιs de una Red Privada Virtual (VPN - Virtual Private NetWork), la cual tendrα una direcciσn IP Pϊblica Fija, dispositivos de seguridad y comunicaciones que permitan controlar y validar geogrαficamente la ubicaciσn de las instituciones, garantizando la realizaciσn de los exαmenes desde la ubicaciσn de la sede acreditada, controlando y autorizando los equipos de cσmputo de la instituciσn, verificando la identificaciσn de los principales componentes de cada computador.</w:t>
      </w:r>
    </w:p>
    <w:p>
      <w:pPr>
        <w:jc w:val="both"/>
      </w:pPr>
      <w:rPr>
        <w:sz w:val="24"/>
        <w:color w:val="black"/>
      </w:rPr>
    </w:p>
    <w:p>
      <w:pPr>
        <w:jc w:val="both"/>
      </w:pPr>
      <w:r>
        <w:rPr>
          <w:rFonts w:hAnsi="Arial"/>
          <w:rFonts w:ascii="Arial"/>
          <w:sz w:val="24"/>
          <w:color w:val="black"/>
        </w:rPr>
        <w:t xml:space="preserve">18. Las instituciones autorizadas para expedir certificados de aptitud deberαn contar con un canal de internet suficiente entre el Sistema Integrado de Seguridad y la Superintendencia de Vigilancia y Seguridad Privada.</w:t>
      </w:r>
    </w:p>
    <w:p>
      <w:pPr>
        <w:jc w:val="both"/>
      </w:pPr>
      <w:rPr>
        <w:sz w:val="24"/>
        <w:color w:val="black"/>
      </w:rPr>
    </w:p>
    <w:p>
      <w:pPr>
        <w:jc w:val="both"/>
      </w:pPr>
      <w:r>
        <w:rPr>
          <w:rFonts w:hAnsi="Arial"/>
          <w:rFonts w:ascii="Arial"/>
          <w:sz w:val="24"/>
          <w:color w:val="black"/>
        </w:rPr>
        <w:t xml:space="preserve">El Sistema Integrado de Seguridad deberα reportar al Ministerio de Defensa Nacional - Direcciσn General de Sanidad Militar - Subdirecciσn de Salud, el nombre e identidad de los usuarios aspirantes junto con la decisiσn de certificaciσn. La misma informaciσn serα transmitida a la Superintendencia de Vigilancia y Seguridad Privada para lo de su competencia.</w:t>
      </w:r>
    </w:p>
    <w:p>
      <w:pPr>
        <w:jc w:val="both"/>
      </w:pPr>
      <w:rPr>
        <w:sz w:val="24"/>
        <w:color w:val="black"/>
      </w:rPr>
    </w:p>
    <w:p>
      <w:pPr>
        <w:jc w:val="both"/>
      </w:pPr>
      <w:r>
        <w:rPr>
          <w:rFonts w:hAnsi="Arial"/>
          <w:rFonts w:ascii="Arial"/>
          <w:sz w:val="24"/>
          <w:color w:val="black"/>
        </w:rPr>
        <w:t xml:space="preserve">Para poder acreditar el certificado de aptitud como requisito habilitante para el trαmite de permisos, deberα haberse validado previamente la autenticidad del mismo contra la base de datos del Sistema Integrado de Seguridad.</w:t>
      </w:r>
    </w:p>
    <w:p>
      <w:pPr>
        <w:jc w:val="both"/>
      </w:pPr>
      <w:rPr>
        <w:sz w:val="24"/>
        <w:color w:val="black"/>
      </w:rPr>
    </w:p>
    <w:p>
      <w:pPr>
        <w:jc w:val="both"/>
      </w:pPr>
      <w:r>
        <w:rPr>
          <w:rFonts w:hAnsi="Arial"/>
          <w:rFonts w:ascii="Arial"/>
          <w:sz w:val="24"/>
          <w:color w:val="black"/>
        </w:rPr>
        <w:t xml:space="preserve">19. El Sistema deberα contar con un software de gestiσn, el cual incluirα la funcionalidad de asignaciσn y control de citas, asν como de registro de todos los procesos de evaluaciσn y certificaciσn de aptitud psicofνsica para el porte y tenencia de armas de fuego.</w:t>
      </w:r>
    </w:p>
    <w:p>
      <w:pPr>
        <w:jc w:val="both"/>
      </w:pPr>
      <w:rPr>
        <w:sz w:val="24"/>
        <w:color w:val="black"/>
      </w:rPr>
    </w:p>
    <w:p>
      <w:pPr>
        <w:jc w:val="both"/>
      </w:pPr>
      <w:r>
        <w:rPr>
          <w:rFonts w:hAnsi="Arial"/>
          <w:rFonts w:ascii="Arial"/>
          <w:sz w:val="24"/>
          <w:color w:val="black"/>
        </w:rPr>
        <w:t xml:space="preserve">20. El Sistema deberα contar con un sistema de gestiσn de calidad que cumpla con los requisitos de la norma tιcnica correspondiente, que asegure que los organismos de certificaciσn de personas que operan los esquemas de certificaciσn de aptitud psicofνsica para el porte y tenencia de armas de fuego, se adelanten de forma coherente, comparable y confiable bajo un solo criterio y/o modelo tιcnico. El sistema de gestiσn de calidad deberα estandarizar criterios, tablas de equivalencia, tιcnicas de evaluaciσn y calificaciσn.</w:t>
      </w:r>
    </w:p>
    <w:p>
      <w:pPr>
        <w:jc w:val="both"/>
      </w:pPr>
      <w:rPr>
        <w:color w:val="black"/>
      </w:rPr>
    </w:p>
    <w:p>
      <w:pPr>
        <w:jc w:val="both"/>
      </w:pPr>
      <w:r>
        <w:rPr>
          <w:rFonts w:hAnsi="Arial"/>
          <w:rFonts w:ascii="Arial"/>
          <w:sz w:val="24"/>
          <w:b/>
          <w:vanish/>
          <w:color w:val="black"/>
        </w:rPr>
        <w:t>&amp;$</w:t>
      </w:r>
      <w:bookmarkStart w:id="62229" w:name="2.6.1.1.10.1.3"/>
      <w:r>
        <w:rPr>
          <w:rFonts w:hAnsi="Arial"/>
          <w:rFonts w:ascii="Arial"/>
          <w:sz w:val="24"/>
          <w:color w:val="navy"/>
        </w:rPr>
        <w:t xml:space="preserve">ARTΝCULO 2.6.1.1.10.1.3. </w:t>
      </w:r>
      <w:r>
        <w:rPr>
          <w:rFonts w:hAnsi="Arial"/>
          <w:rFonts w:ascii="Arial"/>
          <w:sz w:val="24"/>
          <w:i/>
          <w:color w:val="navy"/>
        </w:rPr>
        <w:t xml:space="preserve">CARACTERΝSTICAS GENERALES DEL SISTEMA.</w:t>
      </w:r>
      <w:bookmarkEnd w:id="6222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Adicionalmente al protocolo establecido en el artνculo precedente, el Sistema Integrado de Seguridad tendrα las siguientes caracterνsticas y/o componentes:</w:t>
      </w:r>
    </w:p>
    <w:p>
      <w:pPr>
        <w:jc w:val="both"/>
      </w:pPr>
      <w:rPr>
        <w:sz w:val="24"/>
        <w:color w:val="black"/>
      </w:rPr>
    </w:p>
    <w:p>
      <w:pPr>
        <w:jc w:val="both"/>
      </w:pPr>
      <w:r>
        <w:rPr>
          <w:rFonts w:hAnsi="Arial"/>
          <w:rFonts w:ascii="Arial"/>
          <w:sz w:val="24"/>
          <w:color w:val="black"/>
        </w:rPr>
        <w:t xml:space="preserve">1. Centro de Operaciones de Seguridad: El cual estarα conformado por un grupo de personas, procesos, infraestructura, herramientas y tecnologνa dedicados a gestionar tanto de forma reactiva como proactiva, amenazas, vulneraciones y en general incidentes de seguridad de la informaciσn, con el objetivo de minimizar y controlar el impacto en la organizaciσn.</w:t>
      </w:r>
    </w:p>
    <w:p>
      <w:pPr>
        <w:jc w:val="both"/>
      </w:pPr>
      <w:rPr>
        <w:sz w:val="24"/>
        <w:color w:val="black"/>
      </w:rPr>
    </w:p>
    <w:p>
      <w:pPr>
        <w:jc w:val="both"/>
      </w:pPr>
      <w:r>
        <w:rPr>
          <w:rFonts w:hAnsi="Arial"/>
          <w:rFonts w:ascii="Arial"/>
          <w:sz w:val="24"/>
          <w:color w:val="black"/>
        </w:rPr>
        <w:t xml:space="preserve">2. Centro de procesamiento de datos: Lugar o ubicaciσn fνsica donde se concentran un conjunto de recursos fνsicos, lσgicos y humanos necesarios para la organizaciσn, realizaciσn y control del procesamiento de la informaciσn.</w:t>
      </w:r>
    </w:p>
    <w:p>
      <w:pPr>
        <w:jc w:val="both"/>
      </w:pPr>
      <w:rPr>
        <w:sz w:val="24"/>
        <w:color w:val="black"/>
      </w:rPr>
    </w:p>
    <w:p>
      <w:pPr>
        <w:jc w:val="both"/>
      </w:pPr>
      <w:r>
        <w:rPr>
          <w:rFonts w:hAnsi="Arial"/>
          <w:rFonts w:ascii="Arial"/>
          <w:sz w:val="24"/>
          <w:color w:val="black"/>
        </w:rPr>
        <w:t xml:space="preserve">3. Mesa de ayuda: Conjunto de recursos tecnolσgicos y humanos, para prestar servicios con la capacidad de gestionar y solucionar todos los posibles incidentes de manera integral, junto con la atenciσn de requerimientos relacionados a las Tecnologνas de la Informaciσn y la Comunicaciσn (TIC).</w:t>
      </w:r>
    </w:p>
    <w:p>
      <w:pPr>
        <w:jc w:val="both"/>
      </w:pPr>
      <w:rPr>
        <w:sz w:val="24"/>
        <w:color w:val="black"/>
      </w:rPr>
    </w:p>
    <w:p>
      <w:pPr>
        <w:jc w:val="both"/>
      </w:pPr>
      <w:r>
        <w:rPr>
          <w:rFonts w:hAnsi="Arial"/>
          <w:rFonts w:ascii="Arial"/>
          <w:sz w:val="24"/>
          <w:color w:val="black"/>
        </w:rPr>
        <w:t xml:space="preserve">4. Software de gestiσn: Herramienta tecnolσgica cuyo fin es centralizar, unificar, estandarizar y auditar todas las actividades y las operaciones de las instituciones certificadoras de personas. Su propσsito especνfico, es controlar todo el proceso en sus diferentes etapas, garantizando la legalidad e idoneidad en la expediciσn de los certificados, para ello intervendrα en: la asignaciσn de citas; la validaciσn del pago; registro, autenticaciσn y validaciσn de los actores del proceso en todas las etapas del mismo.</w:t>
      </w:r>
    </w:p>
    <w:p>
      <w:pPr>
        <w:jc w:val="both"/>
      </w:pPr>
      <w:rPr>
        <w:sz w:val="24"/>
        <w:color w:val="black"/>
      </w:rPr>
    </w:p>
    <w:p>
      <w:pPr>
        <w:jc w:val="both"/>
      </w:pPr>
      <w:r>
        <w:rPr>
          <w:rFonts w:hAnsi="Arial"/>
          <w:rFonts w:ascii="Arial"/>
          <w:sz w:val="24"/>
          <w:color w:val="black"/>
        </w:rPr>
        <w:t xml:space="preserve">5. Sistema de Gestiσn de Calidad: Instrumento que contribuye a estandarizar las actividades de los organismos certificadores de personas, ofreciendo confiabilidad al Estado, a los usuarios y a la sociedad en general en los servicios que se prestan, buscando proteger la vida y la integridad personal.</w:t>
      </w:r>
    </w:p>
    <w:p>
      <w:pPr>
        <w:jc w:val="both"/>
      </w:pPr>
      <w:rPr>
        <w:sz w:val="24"/>
        <w:color w:val="black"/>
      </w:rPr>
    </w:p>
    <w:p>
      <w:pPr>
        <w:jc w:val="both"/>
      </w:pPr>
      <w:r>
        <w:rPr>
          <w:rFonts w:hAnsi="Arial"/>
          <w:rFonts w:ascii="Arial"/>
          <w:sz w:val="24"/>
          <w:color w:val="black"/>
        </w:rPr>
        <w:t xml:space="preserve">6. El Sistema Integrado de Seguridad deberα disponer de un mecanismo redundante de transferencia de la informaciσn, a travιs de un dispositivo portαtil para cada usuario aspirante, el cual, por medio de un sistema σptico, magnιtico, electrσnico o caσtico, permita almacenar, actualizar y capturar la informaciσn de este, con el fin de precaver caνdas de la plataforma tecnolσgica o del sistema de comunicaciσn. Este mecanismo, al ser de respaldo opera de manera temporal durante el proceso, mientras se carga la informaciσn consolidada al software de gestiσn.</w:t>
      </w:r>
    </w:p>
    <w:p>
      <w:pPr>
        <w:jc w:val="both"/>
      </w:pPr>
      <w:rPr>
        <w:color w:val="black"/>
      </w:rPr>
    </w:p>
    <w:p>
      <w:pPr>
        <w:jc w:val="both"/>
      </w:pPr>
      <w:r>
        <w:rPr>
          <w:rFonts w:hAnsi="Arial"/>
          <w:rFonts w:ascii="Arial"/>
          <w:sz w:val="24"/>
          <w:b/>
          <w:vanish/>
          <w:color w:val="black"/>
        </w:rPr>
        <w:t>&amp;$</w:t>
      </w:r>
      <w:bookmarkStart w:id="62230" w:name="2.6.1.1.10.1.4"/>
      <w:r>
        <w:rPr>
          <w:rFonts w:hAnsi="Arial"/>
          <w:rFonts w:ascii="Arial"/>
          <w:sz w:val="24"/>
          <w:color w:val="navy"/>
        </w:rPr>
        <w:t xml:space="preserve">ARTΝCULO 2.6.1.1.10.1.4. </w:t>
      </w:r>
      <w:r>
        <w:rPr>
          <w:rFonts w:hAnsi="Arial"/>
          <w:rFonts w:ascii="Arial"/>
          <w:sz w:val="24"/>
          <w:i/>
          <w:color w:val="navy"/>
        </w:rPr>
        <w:t xml:space="preserve">ENTIDADES AUTORIZADAS PARA INTERACTUAR CON EL SISTEMA INTEGRADO DE SEGURIDAD EN LA EXPEDICIΣN DE CERTIFICADOS DE APTITUD.</w:t>
      </w:r>
      <w:bookmarkEnd w:id="62230"/>
      <w:r>
        <w:rPr>
          <w:rFonts w:hAnsi="Arial"/>
          <w:rFonts w:ascii="Arial"/>
          <w:sz w:val="24"/>
          <w:b/>
          <w:i/>
          <w:color w:val="black"/>
        </w:rPr>
        <w:t xml:space="preserve"> </w:t>
      </w:r>
      <w:r>
        <w:rPr>
          <w:rFonts w:hAnsi="Arial"/>
          <w:rFonts w:ascii="Arial"/>
          <w:sz w:val="24"/>
          <w:color w:val="black"/>
        </w:rPr>
        <w:t xml:space="preserve">Solamente podrαn interactuar con el Sistema Integrado de Seguridad las instituciones a expedir los certificados de aptitud psicofνsica para el porte o tenencia de armas de fuego, que previamente cuenten con el acto administrativo de inscripciσn en el Registro ante el Ministerio de Defensa –Direcciσn General de Sanidad Militar– Subdirecciσn de Servicios de salud, ademαs con la inscripciσn en el Registro Especial de Prestadores de Servicios de Salud, que tengan habilitaciσn vigente como prestadores de salud por las Secretarνas de Salud correspondientes en la modalidad de objeto social diferente y con acreditaciσn vigente como organismos de certificaciσn de personas.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Para aquellas instituciones que pretendan expedir certificados de aptitud psicofνsica para el porte y tenencia de armas de fuego para vigilantes, escoltas y supervisores, se requerirα certificado de salud ocupacional.</w:t>
      </w:r>
    </w:p>
    <w:p>
      <w:pPr>
        <w:jc w:val="both"/>
      </w:pPr>
      <w:rPr>
        <w:color w:val="black"/>
      </w:rPr>
    </w:p>
    <w:p>
      <w:pPr>
        <w:jc w:val="both"/>
      </w:pPr>
      <w:r>
        <w:rPr>
          <w:rFonts w:hAnsi="Arial"/>
          <w:rFonts w:ascii="Arial"/>
          <w:sz w:val="24"/>
          <w:b/>
          <w:vanish/>
          <w:color w:val="black"/>
        </w:rPr>
        <w:t>&amp;$</w:t>
      </w:r>
      <w:bookmarkStart w:id="62231" w:name="2.6.1.1.10.1.5"/>
      <w:r>
        <w:rPr>
          <w:rFonts w:hAnsi="Arial"/>
          <w:rFonts w:ascii="Arial"/>
          <w:sz w:val="24"/>
          <w:color w:val="navy"/>
        </w:rPr>
        <w:t xml:space="preserve">ARTΝCULO 2.6.1.1.10.1.5. </w:t>
      </w:r>
      <w:r>
        <w:rPr>
          <w:rFonts w:hAnsi="Arial"/>
          <w:rFonts w:ascii="Arial"/>
          <w:sz w:val="24"/>
          <w:i/>
          <w:color w:val="navy"/>
        </w:rPr>
        <w:t xml:space="preserve">REQUISITO DE OPERACIΣN DEL SISTEMA INTEGRADO DE SEGURIDAD.</w:t>
      </w:r>
      <w:bookmarkEnd w:id="62231"/>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Para su entrada en operaciσn, el Sistema Integrado de Seguridad, deberα respetar los derechos de propiedad industrial reconocidos mediante patente de invenciσn o modelo de utilidad por la Superintendencia de Industria y Comercio, cumpliendo con todas las caracterνsticas y requisitos establecidos en el presente decreto y con las condiciones y especificaciones tιcnicas complementarias, que para el efecto establezca la Superintendencia de Vigilancia y Seguridad Privada.</w:t>
      </w:r>
    </w:p>
    <w:p>
      <w:pPr>
        <w:jc w:val="both"/>
      </w:pPr>
      <w:rPr>
        <w:color w:val="black"/>
      </w:rPr>
    </w:p>
    <w:p>
      <w:pPr>
        <w:jc w:val="both"/>
      </w:pPr>
      <w:r>
        <w:rPr>
          <w:rFonts w:hAnsi="Arial"/>
          <w:rFonts w:ascii="Arial"/>
          <w:sz w:val="24"/>
          <w:b/>
          <w:vanish/>
          <w:color w:val="black"/>
        </w:rPr>
        <w:t>&amp;$</w:t>
      </w:r>
      <w:bookmarkStart w:id="62232" w:name="2.6.1.1.10.1.6"/>
      <w:r>
        <w:rPr>
          <w:rFonts w:hAnsi="Arial"/>
          <w:rFonts w:ascii="Arial"/>
          <w:sz w:val="24"/>
          <w:color w:val="navy"/>
        </w:rPr>
        <w:t xml:space="preserve">ARTΝCULO 2.6.1.1.10.1.6. </w:t>
      </w:r>
      <w:r>
        <w:rPr>
          <w:rFonts w:hAnsi="Arial"/>
          <w:rFonts w:ascii="Arial"/>
          <w:sz w:val="24"/>
          <w:i/>
          <w:color w:val="navy"/>
        </w:rPr>
        <w:t xml:space="preserve">OBLIGACIONES ESPECIALES DEL PROVEEDOR DEL SISTEMA INTEGRADO DE SEGURIDAD, DEL SOFTWARE Y CONECTIVIDAD.</w:t>
      </w:r>
      <w:bookmarkEnd w:id="62232"/>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La empresa, entidad o persona que cumpla con los requisitos previstos en el presente decreto, y que celebre contratos con las instituciones certificadoras de personas, deberα cumplir con las siguientes obligaciones especiales:</w:t>
      </w:r>
    </w:p>
    <w:p>
      <w:pPr>
        <w:jc w:val="both"/>
      </w:pPr>
      <w:rPr>
        <w:sz w:val="24"/>
        <w:color w:val="black"/>
      </w:rPr>
    </w:p>
    <w:p>
      <w:pPr>
        <w:jc w:val="both"/>
      </w:pPr>
      <w:r>
        <w:rPr>
          <w:rFonts w:hAnsi="Arial"/>
          <w:rFonts w:ascii="Arial"/>
          <w:sz w:val="24"/>
          <w:color w:val="black"/>
        </w:rPr>
        <w:t xml:space="preserve">1. Operar el Sistema Integrado de Seguridad, donde procederαn a registrar, autenticar, y a validar la identidad y la ubicaciσn de los usuarios aspirantes y de los profesionales evaluadores. Asν mismo, auditar que todas y cada una de las pruebas realizadas cumplan con los estαndares establecidos para los certificados de aptitud, fijados por la normatividad vigente y las autoridades competentes.</w:t>
      </w:r>
    </w:p>
    <w:p>
      <w:pPr>
        <w:jc w:val="both"/>
      </w:pPr>
      <w:rPr>
        <w:sz w:val="24"/>
        <w:color w:val="black"/>
      </w:rPr>
    </w:p>
    <w:p>
      <w:pPr>
        <w:jc w:val="both"/>
      </w:pPr>
      <w:r>
        <w:rPr>
          <w:rFonts w:hAnsi="Arial"/>
          <w:rFonts w:ascii="Arial"/>
          <w:sz w:val="24"/>
          <w:color w:val="black"/>
        </w:rPr>
        <w:t xml:space="preserve">2. Denunciar de manera inmediata, ante las autoridades competentes, cualquier incumplimiento o anomalνa detectada por parte de las instituciones certificadoras.</w:t>
      </w:r>
    </w:p>
    <w:p>
      <w:pPr>
        <w:jc w:val="both"/>
      </w:pPr>
      <w:rPr>
        <w:sz w:val="24"/>
        <w:color w:val="black"/>
      </w:rPr>
    </w:p>
    <w:p>
      <w:pPr>
        <w:jc w:val="both"/>
      </w:pPr>
      <w:r>
        <w:rPr>
          <w:rFonts w:hAnsi="Arial"/>
          <w:rFonts w:ascii="Arial"/>
          <w:sz w:val="24"/>
          <w:color w:val="black"/>
        </w:rPr>
        <w:t xml:space="preserve">3. Entregar un informe diario a la Superintendencia de Vigilancia y Seguridad Privada de las pruebas que dieron cumplimiento a los rangos establecidos para los certificados de aptitud psicofνsica para el porte y tenencia de armas de fuego, fijados por la normatividad vigente y las autoridades competentes.</w:t>
      </w:r>
    </w:p>
    <w:p>
      <w:pPr>
        <w:jc w:val="both"/>
      </w:pPr>
      <w:rPr>
        <w:sz w:val="24"/>
        <w:color w:val="black"/>
      </w:rPr>
    </w:p>
    <w:p>
      <w:pPr>
        <w:jc w:val="both"/>
      </w:pPr>
      <w:r>
        <w:rPr>
          <w:rFonts w:hAnsi="Arial"/>
          <w:rFonts w:ascii="Arial"/>
          <w:sz w:val="24"/>
          <w:color w:val="black"/>
        </w:rPr>
        <w:t xml:space="preserve">4. Atender de manera oportuna los requerimientos presentados por las entidades encargadas del control y vigilancia de las instituciones certificadoras.</w:t>
      </w:r>
    </w:p>
    <w:p>
      <w:pPr>
        <w:jc w:val="both"/>
      </w:pPr>
      <w:rPr>
        <w:color w:val="black"/>
      </w:rPr>
    </w:p>
    <w:p>
      <w:pPr>
        <w:jc w:val="both"/>
      </w:pPr>
      <w:r>
        <w:rPr>
          <w:rFonts w:hAnsi="Arial"/>
          <w:rFonts w:ascii="Arial"/>
          <w:sz w:val="24"/>
          <w:b/>
          <w:vanish/>
          <w:color w:val="black"/>
        </w:rPr>
        <w:t>&amp;$</w:t>
      </w:r>
      <w:bookmarkStart w:id="62233" w:name="2.6.1.1.10.1.7"/>
      <w:r>
        <w:rPr>
          <w:rFonts w:hAnsi="Arial"/>
          <w:rFonts w:ascii="Arial"/>
          <w:sz w:val="24"/>
          <w:color w:val="navy"/>
        </w:rPr>
        <w:t xml:space="preserve">ARTΝCULO 2.6.1.1.10.1.7. </w:t>
      </w:r>
      <w:r>
        <w:rPr>
          <w:rFonts w:hAnsi="Arial"/>
          <w:rFonts w:ascii="Arial"/>
          <w:sz w:val="24"/>
          <w:i/>
          <w:color w:val="navy"/>
        </w:rPr>
        <w:t xml:space="preserve">EXPEDICIΣN DE CERTIFICADOS DE APTITUD.</w:t>
      </w:r>
      <w:bookmarkEnd w:id="6223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Rige a partir del 12 de junio de 2017. El nuevo texto es el siguiente:&gt; Una vez entre en operaciσn el Sistema Integrado de Seguridad, las instituciones certificadoras de aptitud psicofνsica para el porte y tenencia de armas de fuego, solo podrαn emitir esta clase de certificados a travιs del Sistema Integrado de Seguridad.</w:t>
      </w:r>
    </w:p>
    <w:p>
      <w:pPr>
        <w:jc w:val="both"/>
      </w:pPr>
      <w:rPr>
        <w:sz w:val="24"/>
        <w:color w:val="black"/>
      </w:rPr>
    </w:p>
    <w:p>
      <w:pPr>
        <w:jc w:val="both"/>
      </w:pPr>
      <w:r>
        <w:rPr>
          <w:rFonts w:hAnsi="Arial"/>
          <w:rFonts w:ascii="Arial"/>
          <w:sz w:val="24"/>
          <w:color w:val="black"/>
        </w:rPr>
        <w:t xml:space="preserve">Las instituciones que expidan este tipo de certificados sin dar cumplimiento a lo establecido en el presente decreto serαn sancionadas por el σrgano competente de su supervisiσn de acuerdo a la normatividad vigente.</w:t>
      </w:r>
    </w:p>
    <w:p>
      <w:pPr>
        <w:jc w:val="both"/>
      </w:pPr>
      <w:rPr>
        <w:sz w:val="24"/>
        <w:color w:val="black"/>
      </w:rPr>
    </w:p>
    <w:p>
      <w:pPr>
        <w:jc w:val="both"/>
      </w:pPr>
      <w:r>
        <w:rPr>
          <w:rFonts w:hAnsi="Arial"/>
          <w:rFonts w:ascii="Arial"/>
          <w:sz w:val="24"/>
          <w:color w:val="black"/>
        </w:rPr>
        <w:t xml:space="preserve">Los certificados que sean expedidos sin el cumplimiento de los parαmetros establecidos en el presente reglamento, carecerαn de validez.</w:t>
      </w:r>
    </w:p>
    <w:p>
      <w:pPr>
        <w:jc w:val="both"/>
      </w:pPr>
      <w:rPr>
        <w:sz w:val="24"/>
        <w:color w:val="black"/>
      </w:rPr>
    </w:p>
    <w:p>
      <w:pPr>
        <w:jc w:val="both"/>
      </w:pPr>
      <w:r>
        <w:rPr>
          <w:rFonts w:hAnsi="Arial"/>
          <w:rFonts w:ascii="Arial"/>
          <w:sz w:val="24"/>
          <w:color w:val="black"/>
        </w:rPr>
        <w:t xml:space="preserve">Para poder acreditar el certificado de aptitud como requisito habilitante para el trαmite de permisos, deberα haberse validado previamente la autenticidad del mismo contra la base de datos del Sistema Integrado de Seguridad.</w:t>
      </w:r>
    </w:p>
    <w:p>
      <w:pPr>
        <w:jc w:val="center"/>
      </w:pPr>
      <w:rPr>
        <w:sz w:val="24"/>
        <w:color w:val="black"/>
      </w:rPr>
    </w:p>
    <w:p>
      <w:pPr>
        <w:jc w:val="center"/>
      </w:pPr>
      <w:r>
        <w:rPr>
          <w:rFonts w:hAnsi="Arial"/>
          <w:rFonts w:ascii="Arial"/>
          <w:sz w:val="24"/>
          <w:vanish/>
          <w:color w:val="black"/>
        </w:rPr>
        <w:t>&amp;$</w:t>
      </w:r>
      <w:bookmarkStart w:id="62234" w:name="SUBSECCIÓN 2.6.1.1.10.2"/>
      <w:r>
        <w:rPr>
          <w:rFonts w:hAnsi="Arial"/>
          <w:rFonts w:ascii="Arial"/>
          <w:sz w:val="24"/>
          <w:color w:val="navy"/>
        </w:rPr>
        <w:t xml:space="preserve">SUBSECCIΣN 2. </w:t>
      </w:r>
    </w:p>
    <w:p>
      <w:pPr>
        <w:jc w:val="center"/>
      </w:pPr>
      <w:r>
        <w:rPr>
          <w:rFonts w:hAnsi="Arial"/>
          <w:rFonts w:ascii="Arial"/>
          <w:sz w:val="24"/>
          <w:color w:val="navy"/>
        </w:rPr>
        <w:t xml:space="preserve">DISPOSICIONES VARIAS.</w:t>
      </w:r>
      <w:bookmarkEnd w:id="62234"/>
      <w:r>
        <w:rPr>
          <w:rFonts w:hAnsi="Arial"/>
          <w:rFonts w:ascii="Arial"/>
          <w:sz w:val="24"/>
          <w:color w:val="black"/>
        </w:rPr>
        <w:t xml:space="preserve"> </w:t>
      </w:r>
    </w:p>
    <w:p>
      <w:pPr>
        <w:jc w:val="both"/>
      </w:pPr>
      <w:rPr>
        <w:sz w:val="24"/>
        <w:color w:val="black"/>
      </w:rPr>
    </w:p>
    <w:p>
      <w:pPr>
        <w:jc w:val="both"/>
      </w:pPr>
      <w:r>
        <w:rPr>
          <w:rFonts w:hAnsi="Arial"/>
          <w:rFonts w:ascii="Arial"/>
          <w:sz w:val="24"/>
          <w:b/>
          <w:vanish/>
          <w:color w:val="black"/>
        </w:rPr>
        <w:t>&amp;$</w:t>
      </w:r>
      <w:bookmarkStart w:id="62235" w:name="2.6.1.1.10.2.1"/>
      <w:r>
        <w:rPr>
          <w:rFonts w:hAnsi="Arial"/>
          <w:rFonts w:ascii="Arial"/>
          <w:sz w:val="24"/>
          <w:color w:val="navy"/>
        </w:rPr>
        <w:t xml:space="preserve">ARTΝCULO 2.6.1.1.10.2.1. </w:t>
      </w:r>
      <w:r>
        <w:rPr>
          <w:rFonts w:hAnsi="Arial"/>
          <w:rFonts w:ascii="Arial"/>
          <w:sz w:val="24"/>
          <w:i/>
          <w:color w:val="navy"/>
        </w:rPr>
        <w:t xml:space="preserve">ACREDITACIΣN DE LAS INSTITUCIONES CERTIFICADORAS.</w:t>
      </w:r>
      <w:bookmarkEnd w:id="6223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Las instituciones que expidan o que pretendan expedir certificados de aptitud psicofνsica para el porte y tenencia de armas de fuego, deberαn ser acreditadas como organismos de certificaciσn de personas bajo la norma ISO/IEC 17024:2003 o sus modificatorias y deberαn realizar una evaluaciσn anual de vigilancia de la acreditaciσn doce (12) meses despuιs de entrar en operaciσn o de la ϊltima evaluaciσn. Serαn vαlidos ante el Ministerio de Defensa Nacional los certificados de acreditaciσn expedidos por todas las entidades nacionales o internacionales con facultades de acreditaciσn (Organismos de Acreditaciσn), a las que el Gobierno nacional o autoridad pϊblica les hubiese concedido esas facultades legales, o le hubiese fijado ese αmbito de operaciσn y que se encuentren legalmente constituidas a la fecha de promulgaciσn del presente decreto.</w:t>
      </w:r>
    </w:p>
    <w:p>
      <w:pPr>
        <w:jc w:val="both"/>
      </w:pPr>
      <w:rPr>
        <w:color w:val="black"/>
      </w:rPr>
    </w:p>
    <w:p>
      <w:pPr>
        <w:jc w:val="both"/>
      </w:pPr>
      <w:r>
        <w:rPr>
          <w:rFonts w:hAnsi="Arial"/>
          <w:rFonts w:ascii="Arial"/>
          <w:sz w:val="24"/>
          <w:b/>
          <w:vanish/>
          <w:color w:val="black"/>
        </w:rPr>
        <w:t>&amp;$</w:t>
      </w:r>
      <w:bookmarkStart w:id="62236" w:name="2.6.1.1.10.2.2"/>
      <w:r>
        <w:rPr>
          <w:rFonts w:hAnsi="Arial"/>
          <w:rFonts w:ascii="Arial"/>
          <w:sz w:val="24"/>
          <w:color w:val="navy"/>
        </w:rPr>
        <w:t xml:space="preserve">ARTΝCULO 2.6.1.1.10.2.2. </w:t>
      </w:r>
      <w:r>
        <w:rPr>
          <w:rFonts w:hAnsi="Arial"/>
          <w:rFonts w:ascii="Arial"/>
          <w:sz w:val="24"/>
          <w:i/>
          <w:color w:val="navy"/>
        </w:rPr>
        <w:t xml:space="preserve">GARANTΝA DE COBERTURA NACIONAL.</w:t>
      </w:r>
      <w:bookmarkEnd w:id="62236"/>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Las instituciones especializadas certificadoras, que previamente sean registradas y habilitadas por parte de las autoridades competentes para la expediciσn de los certificados de aptitud psicofνsica para el porte y tenencia de armas de fuego, con el objetivo de garantizar cobertura nacional, podrαn contratar o celebrar convenios con Instituciones Prestadoras del Servicio (IPS) adscritas o que hagan parte de la red de prestadores de las Administradoras de Riesgos Laborales (ARL), con el objeto de proceder a la instalaciσn de puntos de atenciσn, ϊnicamente donde no se tenga cobertura, garantizando la infraestructura fνsica, tιcnica y humana necesaria, donde se expedirαn los respectivos certificados de aptitud psicofνsica. Las instituciones con las que hagan contrato o celebren convenios deberαn estar acreditadas por el Organismo Nacional de acreditaciσn de Colombia (ONAC).</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Las instituciones especializadas certificadoras, deberαn remitir a la Superintendencia de Vigilancia y Seguridad Privada copia de los contratos o convenios mencionados en el artνculo anterior, dentro de los quince (15) dνas siguientes a la suscripciσn de los mismos.</w:t>
      </w:r>
    </w:p>
    <w:p>
      <w:pPr>
        <w:jc w:val="both"/>
      </w:pPr>
      <w:rPr>
        <w:color w:val="black"/>
      </w:rPr>
    </w:p>
    <w:p>
      <w:pPr>
        <w:jc w:val="both"/>
      </w:pPr>
      <w:r>
        <w:rPr>
          <w:rFonts w:hAnsi="Arial"/>
          <w:rFonts w:ascii="Arial"/>
          <w:sz w:val="24"/>
          <w:b/>
          <w:vanish/>
          <w:color w:val="black"/>
        </w:rPr>
        <w:t>&amp;$</w:t>
      </w:r>
      <w:bookmarkStart w:id="62237" w:name="2.6.1.1.10.2.3"/>
      <w:r>
        <w:rPr>
          <w:rFonts w:hAnsi="Arial"/>
          <w:rFonts w:ascii="Arial"/>
          <w:sz w:val="24"/>
          <w:color w:val="navy"/>
        </w:rPr>
        <w:t xml:space="preserve">ARTΝCULO 2.6.1.1.10.2.3. </w:t>
      </w:r>
      <w:r>
        <w:rPr>
          <w:rFonts w:hAnsi="Arial"/>
          <w:rFonts w:ascii="Arial"/>
          <w:sz w:val="24"/>
          <w:i/>
          <w:color w:val="navy"/>
        </w:rPr>
        <w:t xml:space="preserve">HOMOLOGACIΣN DEL PROVEEDOR DEL SISTEMA INTEGRADO DE SEGURIDAD.</w:t>
      </w:r>
      <w:bookmarkEnd w:id="6223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La Superintendencia de Vigilancia y Seguridad Privada determinarα las condiciones y especificaciones tιcnicas complementarias para la homologaciσn de los proveedores del Sistema Integrado de Seguridad. Una vez establecidas esas condiciones y especificaciones, procederα a evaluar y a homologar a los aspirantes a proveedores que cumplan con los requisitos.</w:t>
      </w:r>
    </w:p>
    <w:p>
      <w:pPr>
        <w:jc w:val="both"/>
      </w:pPr>
      <w:rPr>
        <w:color w:val="black"/>
      </w:rPr>
    </w:p>
    <w:p>
      <w:pPr>
        <w:jc w:val="both"/>
      </w:pPr>
      <w:r>
        <w:rPr>
          <w:rFonts w:hAnsi="Arial"/>
          <w:rFonts w:ascii="Arial"/>
          <w:sz w:val="24"/>
          <w:b/>
          <w:vanish/>
          <w:color w:val="black"/>
        </w:rPr>
        <w:t>&amp;$</w:t>
      </w:r>
      <w:bookmarkStart w:id="62238" w:name="2.6.1.1.10.2.4"/>
      <w:r>
        <w:rPr>
          <w:rFonts w:hAnsi="Arial"/>
          <w:rFonts w:ascii="Arial"/>
          <w:sz w:val="24"/>
          <w:color w:val="navy"/>
        </w:rPr>
        <w:t xml:space="preserve">ARTΝCULO 2.6.1.1.10.2.4. </w:t>
      </w:r>
      <w:r>
        <w:rPr>
          <w:rFonts w:hAnsi="Arial"/>
          <w:rFonts w:ascii="Arial"/>
          <w:sz w:val="24"/>
          <w:i/>
          <w:color w:val="navy"/>
        </w:rPr>
        <w:t xml:space="preserve">HOMOLOGACIΣN DE LOS PROVEEDORES DE RECAUDO QUE INTERACTΪAN CON EL SISTEMA INTEGRADO DE SEGURIDAD.</w:t>
      </w:r>
      <w:bookmarkEnd w:id="6223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La Superintendencia de Vigilancia y Seguridad Privada determinarα las condiciones y especificaciones tιcnicas complementarias para la homologaciσn de los proveedores del recaudo que interactϊen con el Sistema Integrado de Seguridad. Una vez establecidas esas condiciones y especificaciones, procederα a evaluar y a homologar a los aspirantes a proveedores que cumplan con los requisitos.</w:t>
      </w:r>
    </w:p>
    <w:p>
      <w:pPr>
        <w:jc w:val="both"/>
      </w:pPr>
      <w:rPr>
        <w:color w:val="black"/>
      </w:rPr>
    </w:p>
    <w:p>
      <w:pPr>
        <w:jc w:val="both"/>
      </w:pPr>
      <w:r>
        <w:rPr>
          <w:rFonts w:hAnsi="Arial"/>
          <w:rFonts w:ascii="Arial"/>
          <w:sz w:val="24"/>
          <w:b/>
          <w:vanish/>
          <w:color w:val="black"/>
        </w:rPr>
        <w:t>&amp;$</w:t>
      </w:r>
      <w:bookmarkStart w:id="62239" w:name="2.6.1.1.10.2.5"/>
      <w:r>
        <w:rPr>
          <w:rFonts w:hAnsi="Arial"/>
          <w:rFonts w:ascii="Arial"/>
          <w:sz w:val="24"/>
          <w:color w:val="navy"/>
        </w:rPr>
        <w:t xml:space="preserve">ARTΝCULO 2.6.1.1.10.2.5. </w:t>
      </w:r>
      <w:r>
        <w:rPr>
          <w:rFonts w:hAnsi="Arial"/>
          <w:rFonts w:ascii="Arial"/>
          <w:sz w:val="24"/>
          <w:i/>
          <w:color w:val="navy"/>
        </w:rPr>
        <w:t xml:space="preserve">GARANTΝA DE NO AFECTACIΣN DEL SERVICIO.</w:t>
      </w:r>
      <w:bookmarkEnd w:id="6223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"http://www.redjurista.com/document.aspx?ajcode=d0026017&amp;arts=1"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 de 2017. El nuevo texto es el siguiente:&gt; El Sistema Integrado de Seguridad deberα disponer de toda la infraestructura tecnolσgica necesaria para su correcta operaciσn.</w:t>
      </w:r>
    </w:p>
    <w:p>
      <w:pPr>
        <w:jc w:val="both"/>
      </w:pPr>
      <w:rPr>
        <w:color w:val="black"/>
      </w:rPr>
    </w:p>
    <w:p>
      <w:pPr>
        <w:jc w:val="center"/>
      </w:pPr>
      <w:r>
        <w:rPr>
          <w:rFonts w:hAnsi="Arial"/>
          <w:rFonts w:ascii="Arial"/>
          <w:sz w:val="24"/>
          <w:color w:val="black"/>
        </w:rPr>
        <w:t xml:space="preserve">SECCIΣN 11. </w:t>
      </w:r>
    </w:p>
    <w:p>
      <w:pPr>
        <w:jc w:val="center"/>
      </w:pPr>
      <w:r>
        <w:rPr>
          <w:rFonts w:hAnsi="Arial"/>
          <w:rFonts w:ascii="Arial"/>
          <w:sz w:val="24"/>
          <w:color w:val="black"/>
        </w:rPr>
        <w:t xml:space="preserve">&lt;No publicada&gt; </w:t>
      </w:r>
    </w:p>
    <w:p>
      <w:pPr>
        <w:jc w:val="both"/>
      </w:pPr>
      <w:rPr>
        <w:color w:val="black"/>
      </w:rPr>
    </w:p>
    <w:p>
      <w:pPr>
        <w:jc w:val="center"/>
      </w:pPr>
      <w:r>
        <w:rPr>
          <w:rFonts w:hAnsi="Arial"/>
          <w:rFonts w:ascii="Arial"/>
          <w:sz w:val="24"/>
          <w:vanish/>
          <w:color w:val="black"/>
        </w:rPr>
        <w:t>&amp;$</w:t>
      </w:r>
      <w:bookmarkStart w:id="62240" w:name="SECCIÓN 2.6.1.1.12"/>
      <w:r>
        <w:rPr>
          <w:rFonts w:hAnsi="Arial"/>
          <w:rFonts w:ascii="Arial"/>
          <w:sz w:val="24"/>
          <w:color w:val="navy"/>
        </w:rPr>
        <w:t xml:space="preserve">SECCIΣN 12. </w:t>
      </w:r>
    </w:p>
    <w:p>
      <w:pPr>
        <w:jc w:val="center"/>
      </w:pPr>
      <w:r>
        <w:rPr>
          <w:rFonts w:hAnsi="Arial"/>
          <w:rFonts w:ascii="Arial"/>
          <w:sz w:val="24"/>
          <w:color w:val="navy"/>
        </w:rPr>
        <w:t xml:space="preserve">POR LA CUAL SE REGLAMENTA EL SEGURO DE VIDA COLECTIVO QUE AMPARA AL PERSONAL OPERATIVO DE LOS PRESTADORES DE SERVICIOS DE VIGILANCIA Y SEGURIDAD PRIVADA.</w:t>
      </w:r>
      <w:bookmarkEnd w:id="62240"/>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62241" w:name="SUBSECCIÓN 2.6.1.1.12.1"/>
      <w:r>
        <w:rPr>
          <w:rFonts w:hAnsi="Arial"/>
          <w:rFonts w:ascii="Arial"/>
          <w:sz w:val="24"/>
          <w:color w:val="navy"/>
        </w:rPr>
        <w:t xml:space="preserve">SUBSECCIΣN 1. </w:t>
      </w:r>
    </w:p>
    <w:p>
      <w:pPr>
        <w:jc w:val="center"/>
      </w:pPr>
      <w:r>
        <w:rPr>
          <w:rFonts w:hAnsi="Arial"/>
          <w:rFonts w:ascii="Arial"/>
          <w:sz w:val="24"/>
          <w:color w:val="navy"/>
        </w:rPr>
        <w:t xml:space="preserve">DISPOSICIONES GENERALES.</w:t>
      </w:r>
      <w:bookmarkEnd w:id="62241"/>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62242" w:name="2.6.1.1.12.1.1"/>
      <w:r>
        <w:rPr>
          <w:rFonts w:hAnsi="Arial"/>
          <w:rFonts w:ascii="Arial"/>
          <w:sz w:val="24"/>
          <w:color w:val="navy"/>
        </w:rPr>
        <w:t xml:space="preserve">ARTΝCULO 2.6.1.1.12.1.1. OBJETO.</w:t>
      </w:r>
      <w:bookmarkEnd w:id="62242"/>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La presente Secciσn tiene como objeto la reglamentaciσn del seguro de vida colectivo que ampara al personal operativo vinculado a los prestadores de servicios de vigilancia y seguridad privada, registrado ante la Superintendencia de Vigilancia y Seguridad Privada y acreditado por esta, en cumplimiento de lo dispuesto en el artνculo </w:t>
      </w:r>
      <w:r>
        <w:fldChar w:fldCharType="begin"/>
      </w:r>
      <w:r>
        <w:instrText>HYPERLINK "http://www.redjurista.com/document.aspx?ajcode=l1920018&amp;arts=5"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1920 de 2018. </w:t>
      </w:r>
    </w:p>
    <w:p>
      <w:rPr>
        <w:color w:val="black"/>
      </w:rPr>
    </w:p>
    <w:p>
      <w:pPr>
        <w:jc w:val="both"/>
      </w:pPr>
      <w:r>
        <w:rPr>
          <w:rFonts w:hAnsi="Arial"/>
          <w:rFonts w:ascii="Arial"/>
          <w:sz w:val="24"/>
          <w:vanish/>
          <w:color w:val="black"/>
        </w:rPr>
        <w:t>&amp;$</w:t>
      </w:r>
      <w:bookmarkStart w:id="62243" w:name="2.6.1.1.12.1.2"/>
      <w:r>
        <w:rPr>
          <w:rFonts w:hAnsi="Arial"/>
          <w:rFonts w:ascii="Arial"/>
          <w:sz w:val="24"/>
          <w:color w:val="navy"/>
        </w:rPr>
        <w:t xml:space="preserve">ARTΝCULO 2.6.1.1.12.1.2. PERSONAL OPERATIVO.</w:t>
      </w:r>
      <w:bookmarkEnd w:id="62243"/>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Sin perjuicio de las diferentes denominaciones que cada prestador de servicios de vigilancia y seguridad privada haya asignado a su personal vinculado; se entiende para efectos de la presente secciσn como personal operativo, el conjunto de personas que, para ejercer dicha actividad operativa, haya realizado y cumplido satisfactoriamente los requisitos del curso de fundamentaciσn que componen la estructura de la capacitaciσn y entrenamiento en vigilancia y seguridad privada, impartidos por las escuelas o departamentos de capacitaciσn y entrenamiento en vigilancia y seguridad privada autorizados por la Superintendencia de Vigilancia y Seguridad Privada, en cualquier de los ciclos de formaciσn, a saber: </w:t>
      </w:r>
    </w:p>
    <w:p>
      <w:pPr>
        <w:jc w:val="both"/>
      </w:pPr>
      <w:rPr>
        <w:sz w:val="24"/>
        <w:b/>
        <w:color w:val="black"/>
      </w:rPr>
    </w:p>
    <w:p>
      <w:pPr>
        <w:jc w:val="both"/>
      </w:pPr>
      <w:r>
        <w:rPr>
          <w:rFonts w:hAnsi="Arial"/>
          <w:rFonts w:ascii="Arial"/>
          <w:sz w:val="24"/>
          <w:color w:val="black"/>
        </w:rPr>
        <w:t xml:space="preserve">a) Vigilante. </w:t>
      </w:r>
    </w:p>
    <w:p>
      <w:pPr>
        <w:jc w:val="both"/>
      </w:pPr>
      <w:r>
        <w:rPr>
          <w:rFonts w:hAnsi="Arial"/>
          <w:rFonts w:ascii="Arial"/>
          <w:sz w:val="24"/>
          <w:color w:val="black"/>
        </w:rPr>
        <w:t xml:space="preserve">b) Escolta. </w:t>
      </w:r>
    </w:p>
    <w:p>
      <w:pPr>
        <w:jc w:val="both"/>
      </w:pPr>
      <w:r>
        <w:rPr>
          <w:rFonts w:hAnsi="Arial"/>
          <w:rFonts w:ascii="Arial"/>
          <w:sz w:val="24"/>
          <w:color w:val="black"/>
        </w:rPr>
        <w:t xml:space="preserve">c) Operador de Medios Tecnolσgicos. </w:t>
      </w:r>
    </w:p>
    <w:p>
      <w:pPr>
        <w:jc w:val="both"/>
      </w:pPr>
      <w:r>
        <w:rPr>
          <w:rFonts w:hAnsi="Arial"/>
          <w:rFonts w:ascii="Arial"/>
          <w:sz w:val="24"/>
          <w:color w:val="black"/>
        </w:rPr>
        <w:t xml:space="preserve">d) Manejador Canino. </w:t>
      </w:r>
    </w:p>
    <w:p>
      <w:pPr>
        <w:jc w:val="both"/>
      </w:pPr>
      <w:r>
        <w:rPr>
          <w:rFonts w:hAnsi="Arial"/>
          <w:rFonts w:ascii="Arial"/>
          <w:sz w:val="24"/>
          <w:color w:val="black"/>
        </w:rPr>
        <w:t xml:space="preserve">e) Supervisor. </w:t>
      </w:r>
    </w:p>
    <w:p>
      <w:rPr>
        <w:color w:val="black"/>
      </w:rPr>
    </w:p>
    <w:p>
      <w:pPr>
        <w:jc w:val="both"/>
      </w:pPr>
      <w:r>
        <w:rPr>
          <w:rFonts w:hAnsi="Arial"/>
          <w:rFonts w:ascii="Arial"/>
          <w:sz w:val="24"/>
          <w:vanish/>
          <w:color w:val="black"/>
        </w:rPr>
        <w:t>&amp;$</w:t>
      </w:r>
      <w:bookmarkStart w:id="62244" w:name="2.6.1.1.12.1.3"/>
      <w:r>
        <w:rPr>
          <w:rFonts w:hAnsi="Arial"/>
          <w:rFonts w:ascii="Arial"/>
          <w:sz w:val="24"/>
          <w:color w:val="navy"/>
        </w:rPr>
        <w:t xml:space="preserve">ARTΝCULO 2.6.1.1.12.1.3. PRESTADORES DE SERVICIOS DE VIGILANCIA Y SEGURIDAD PRIVADA OBLIGADOS.</w:t>
      </w:r>
      <w:bookmarkEnd w:id="62244"/>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Entiιndase como tomador del seguro de vida colectivo a todos aquellos prestadores de servicios de vigilancia y seguridad privada que atendiendo a la naturaleza del servicio prestado cuentan con personal operativo vinculado a su respectiva organizaciσn, registrado ante la Superintendencia de Vigilancia y Seguridad Privada y acreditado por esta, como son: </w:t>
      </w:r>
    </w:p>
    <w:p>
      <w:pPr>
        <w:jc w:val="both"/>
      </w:pPr>
      <w:rPr>
        <w:sz w:val="24"/>
        <w:b/>
        <w:color w:val="black"/>
      </w:rPr>
    </w:p>
    <w:p>
      <w:pPr>
        <w:jc w:val="both"/>
      </w:pPr>
      <w:r>
        <w:rPr>
          <w:rFonts w:hAnsi="Arial"/>
          <w:rFonts w:ascii="Arial"/>
          <w:sz w:val="24"/>
          <w:color w:val="black"/>
        </w:rPr>
        <w:t xml:space="preserve">a) Las empresas de vigilancia y seguridad privada. </w:t>
      </w:r>
    </w:p>
    <w:p>
      <w:pPr>
        <w:jc w:val="both"/>
      </w:pPr>
      <w:r>
        <w:rPr>
          <w:rFonts w:hAnsi="Arial"/>
          <w:rFonts w:ascii="Arial"/>
          <w:sz w:val="24"/>
          <w:color w:val="black"/>
        </w:rPr>
        <w:t xml:space="preserve">b) Las cooperativas de vigilancia y seguridad privada. </w:t>
      </w:r>
    </w:p>
    <w:p>
      <w:pPr>
        <w:jc w:val="both"/>
      </w:pPr>
      <w:r>
        <w:rPr>
          <w:rFonts w:hAnsi="Arial"/>
          <w:rFonts w:ascii="Arial"/>
          <w:sz w:val="24"/>
          <w:color w:val="black"/>
        </w:rPr>
        <w:t xml:space="preserve">c) Los servicios comunitarios de vigilancia y seguridad privada. </w:t>
      </w:r>
    </w:p>
    <w:p>
      <w:pPr>
        <w:jc w:val="both"/>
      </w:pPr>
      <w:r>
        <w:rPr>
          <w:rFonts w:hAnsi="Arial"/>
          <w:rFonts w:ascii="Arial"/>
          <w:sz w:val="24"/>
          <w:color w:val="black"/>
        </w:rPr>
        <w:t xml:space="preserve">d) Los servicios especiales de vigilancia y seguridad privada. </w:t>
      </w:r>
    </w:p>
    <w:p>
      <w:pPr>
        <w:jc w:val="both"/>
      </w:pPr>
      <w:r>
        <w:rPr>
          <w:rFonts w:hAnsi="Arial"/>
          <w:rFonts w:ascii="Arial"/>
          <w:sz w:val="24"/>
          <w:color w:val="black"/>
        </w:rPr>
        <w:t xml:space="preserve">e) Los servicios de transporte de valores. </w:t>
      </w:r>
    </w:p>
    <w:p>
      <w:pPr>
        <w:jc w:val="both"/>
      </w:pPr>
      <w:r>
        <w:rPr>
          <w:rFonts w:hAnsi="Arial"/>
          <w:rFonts w:ascii="Arial"/>
          <w:sz w:val="24"/>
          <w:color w:val="black"/>
        </w:rPr>
        <w:t xml:space="preserve">f) Los departamentos de seguridad. </w:t>
      </w:r>
    </w:p>
    <w:p>
      <w:pPr>
        <w:jc w:val="both"/>
      </w:pPr>
      <w:rPr>
        <w:color w:val="black"/>
      </w:rPr>
    </w:p>
    <w:p>
      <w:pPr>
        <w:jc w:val="both"/>
      </w:pPr>
      <w:r>
        <w:rPr>
          <w:rFonts w:hAnsi="Arial"/>
          <w:rFonts w:ascii="Arial"/>
          <w:sz w:val="24"/>
          <w:vanish/>
          <w:color w:val="black"/>
        </w:rPr>
        <w:t>&amp;$</w:t>
      </w:r>
      <w:bookmarkStart w:id="62245" w:name="2.6.1.1.12.1.4"/>
      <w:r>
        <w:rPr>
          <w:rFonts w:hAnsi="Arial"/>
          <w:rFonts w:ascii="Arial"/>
          <w:sz w:val="24"/>
          <w:color w:val="navy"/>
        </w:rPr>
        <w:t xml:space="preserve">ARTΝCULO 2.6.1.1.12.1.4. DEFINICIONES.</w:t>
      </w:r>
      <w:bookmarkEnd w:id="62245"/>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Para efectos de lo previsto en esta Secciσn, se tendrαn en cuenta las siguientes definiciones: </w:t>
      </w:r>
    </w:p>
    <w:p>
      <w:pPr>
        <w:jc w:val="both"/>
      </w:pPr>
      <w:rPr>
        <w:sz w:val="24"/>
        <w:b/>
        <w:color w:val="black"/>
      </w:rPr>
    </w:p>
    <w:p>
      <w:pPr>
        <w:jc w:val="both"/>
      </w:pPr>
      <w:r>
        <w:rPr>
          <w:rFonts w:hAnsi="Arial"/>
          <w:rFonts w:ascii="Arial"/>
          <w:sz w:val="24"/>
          <w:color w:val="black"/>
        </w:rPr>
        <w:t xml:space="preserve">Seguro de Vida Colectivo. Es un contrato por medio del cual el asegurador se obliga a cambio de una prestaciσn pecuniaria cierta que se denomina “prima”, dentro de los lνmites pactados y ante la ocurrencia de un acontecimiento incierto cuyo riesgo ha sido objeto de cobertura, a pagar la suma asegurada conforme a las condiciones de la pσliza. </w:t>
      </w:r>
    </w:p>
    <w:p>
      <w:pPr>
        <w:jc w:val="both"/>
      </w:pPr>
      <w:rPr>
        <w:sz w:val="24"/>
        <w:b/>
        <w:color w:val="black"/>
      </w:rPr>
    </w:p>
    <w:p>
      <w:pPr>
        <w:jc w:val="both"/>
      </w:pPr>
      <w:r>
        <w:rPr>
          <w:rFonts w:hAnsi="Arial"/>
          <w:rFonts w:ascii="Arial"/>
          <w:sz w:val="24"/>
          <w:color w:val="black"/>
        </w:rPr>
        <w:t xml:space="preserve">Grupo Asegurable. Es el personal operativo vinculado con todas las exigencias y garantνas legalmente establecidas a un prestador de servicios de vigilancia y seguridad privada, registrado ante la Superintendencia de Vigilancia y Seguridad Privada y acreditado por esta. </w:t>
      </w:r>
    </w:p>
    <w:p>
      <w:pPr>
        <w:jc w:val="both"/>
      </w:pPr>
      <w:rPr>
        <w:sz w:val="24"/>
        <w:b/>
        <w:color w:val="black"/>
      </w:rPr>
    </w:p>
    <w:p>
      <w:pPr>
        <w:jc w:val="both"/>
      </w:pPr>
      <w:r>
        <w:rPr>
          <w:rFonts w:hAnsi="Arial"/>
          <w:rFonts w:ascii="Arial"/>
          <w:sz w:val="24"/>
          <w:color w:val="black"/>
        </w:rPr>
        <w:t xml:space="preserve">Modalidad No Contributiva. Es la modalidad de Pσliza de Seguro de Vida Colectivo en la cual, la totalidad de la prima es sufragada por el tomador del seguro. </w:t>
      </w:r>
    </w:p>
    <w:p>
      <w:pPr>
        <w:jc w:val="both"/>
      </w:pPr>
      <w:rPr>
        <w:color w:val="black"/>
      </w:rPr>
    </w:p>
    <w:p>
      <w:pPr>
        <w:jc w:val="center"/>
      </w:pPr>
      <w:r>
        <w:rPr>
          <w:rFonts w:hAnsi="Arial"/>
          <w:rFonts w:ascii="Arial"/>
          <w:sz w:val="24"/>
          <w:vanish/>
          <w:color w:val="black"/>
        </w:rPr>
        <w:t>&amp;$</w:t>
      </w:r>
      <w:bookmarkStart w:id="62246" w:name="SUBSECCIÓN 2.6.1.1.12.2"/>
      <w:r>
        <w:rPr>
          <w:rFonts w:hAnsi="Arial"/>
          <w:rFonts w:ascii="Arial"/>
          <w:sz w:val="24"/>
          <w:color w:val="navy"/>
        </w:rPr>
        <w:t xml:space="preserve">SUBSECCIΣN 2. </w:t>
      </w:r>
    </w:p>
    <w:p>
      <w:pPr>
        <w:jc w:val="center"/>
      </w:pPr>
      <w:r>
        <w:rPr>
          <w:rFonts w:hAnsi="Arial"/>
          <w:rFonts w:ascii="Arial"/>
          <w:sz w:val="24"/>
          <w:color w:val="navy"/>
        </w:rPr>
        <w:t xml:space="preserve">SEGURO DE VIDA COLECTIVO.</w:t>
      </w:r>
      <w:bookmarkEnd w:id="62246"/>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62247" w:name="2.6.1.1.12.2.1"/>
      <w:r>
        <w:rPr>
          <w:rFonts w:hAnsi="Arial"/>
          <w:rFonts w:ascii="Arial"/>
          <w:sz w:val="24"/>
          <w:color w:val="navy"/>
        </w:rPr>
        <w:t xml:space="preserve">ARTΝCULO 2.6.1.1.12.2.1. CARACTERΝSTICAS.</w:t>
      </w:r>
      <w:bookmarkEnd w:id="62247"/>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seguro de vida colectivo tendrα como finalidad amparar al personal operativo vinculado a los prestadores de servicios de vigilancia y seguridad privada obligados, registrado ante la Superintendencia de Vigilancia y Seguridad Privada y acreditado por esta, el cual tendrα las siguientes caracterνsticas: </w:t>
      </w:r>
    </w:p>
    <w:p>
      <w:pPr>
        <w:jc w:val="both"/>
      </w:pPr>
      <w:rPr>
        <w:sz w:val="24"/>
        <w:b/>
        <w:color w:val="black"/>
      </w:rPr>
    </w:p>
    <w:p>
      <w:pPr>
        <w:jc w:val="both"/>
      </w:pPr>
      <w:r>
        <w:rPr>
          <w:rFonts w:hAnsi="Arial"/>
          <w:rFonts w:ascii="Arial"/>
          <w:sz w:val="24"/>
          <w:color w:val="black"/>
        </w:rPr>
        <w:t xml:space="preserve">Es un seguro obligatorio, colectivo, contratado anualmente, expedido bajo la Modalidad no Contributiva, su Beneficiario serα a tνtulo gratuito, el riesgo empezarα a correr por cuenta del Asegurador a la hora veinticuatro (24) del dνa en que se perfeccione el contrato respectivo y cubrirα al asegurado durante las veinticuatro (24) horas del dνa. </w:t>
      </w:r>
    </w:p>
    <w:p>
      <w:pPr>
        <w:jc w:val="both"/>
      </w:pPr>
      <w:rPr>
        <w:color w:val="black"/>
      </w:rPr>
    </w:p>
    <w:p>
      <w:pPr>
        <w:jc w:val="both"/>
      </w:pPr>
      <w:r>
        <w:rPr>
          <w:rFonts w:hAnsi="Arial"/>
          <w:rFonts w:ascii="Arial"/>
          <w:sz w:val="24"/>
          <w:vanish/>
          <w:color w:val="black"/>
        </w:rPr>
        <w:t>&amp;$</w:t>
      </w:r>
      <w:bookmarkStart w:id="62248" w:name="2.6.1.1.12.2.2"/>
      <w:r>
        <w:rPr>
          <w:rFonts w:hAnsi="Arial"/>
          <w:rFonts w:ascii="Arial"/>
          <w:sz w:val="24"/>
          <w:color w:val="navy"/>
        </w:rPr>
        <w:t xml:space="preserve">ARTΝCULO 2.6.1.1.12.2.2. RIESGO ASEGURABLE.</w:t>
      </w:r>
      <w:bookmarkEnd w:id="62248"/>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seguro de vida colectivo, habrα de cubrir la muerte de las personas individualmente consideradas que conforman el personal operativo vinculado a los prestadores de servicios de vigilancia y seguridad privada obligados, registrado ante la Superintendencia de Vigilancia y Seguridad Privada y acreditado por esta. </w:t>
      </w:r>
    </w:p>
    <w:p>
      <w:pPr>
        <w:jc w:val="both"/>
      </w:pPr>
      <w:rPr>
        <w:color w:val="black"/>
      </w:rPr>
    </w:p>
    <w:p>
      <w:pPr>
        <w:jc w:val="both"/>
      </w:pPr>
      <w:r>
        <w:rPr>
          <w:rFonts w:hAnsi="Arial"/>
          <w:rFonts w:ascii="Arial"/>
          <w:sz w:val="24"/>
          <w:vanish/>
          <w:color w:val="black"/>
        </w:rPr>
        <w:t>&amp;$</w:t>
      </w:r>
      <w:bookmarkStart w:id="62249" w:name="2.6.1.1.12.2.3"/>
      <w:r>
        <w:rPr>
          <w:rFonts w:hAnsi="Arial"/>
          <w:rFonts w:ascii="Arial"/>
          <w:sz w:val="24"/>
          <w:color w:val="navy"/>
        </w:rPr>
        <w:t xml:space="preserve">ARTΝCULO 2.6.1.1.12.2.3. INTERΙS ASEGURABLE.</w:t>
      </w:r>
      <w:bookmarkEnd w:id="62249"/>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interιs asegurable en el seguro de vida colectivo es la vida de cada una de las personas que conforman el personal operativo. </w:t>
      </w:r>
    </w:p>
    <w:p>
      <w:pPr>
        <w:jc w:val="both"/>
      </w:pPr>
      <w:rPr>
        <w:color w:val="black"/>
      </w:rPr>
    </w:p>
    <w:p>
      <w:pPr>
        <w:jc w:val="both"/>
      </w:pPr>
      <w:r>
        <w:rPr>
          <w:rFonts w:hAnsi="Arial"/>
          <w:rFonts w:ascii="Arial"/>
          <w:sz w:val="24"/>
          <w:vanish/>
          <w:color w:val="black"/>
        </w:rPr>
        <w:t>&amp;$</w:t>
      </w:r>
      <w:bookmarkStart w:id="62250" w:name="2.6.1.1.12.2.4"/>
      <w:r>
        <w:rPr>
          <w:rFonts w:hAnsi="Arial"/>
          <w:rFonts w:ascii="Arial"/>
          <w:sz w:val="24"/>
          <w:color w:val="navy"/>
        </w:rPr>
        <w:t xml:space="preserve">ARTΝCULO 2.6.1.1.12.2.4. OTROS AMPAROS.</w:t>
      </w:r>
      <w:bookmarkEnd w:id="62250"/>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Sin perjuicio de lo establecido en la presente Secciσn, los prestadores de servicios de vigilancia y seguridad privada definidos en el artνculo </w:t>
      </w:r>
      <w:r>
        <w:fldChar w:fldCharType="begin"/>
      </w:r>
      <w:r>
        <w:instrText>HYPERLINK "http://www.redjurista.com/document.aspx?ajcode=d1070015&amp;arts=2.6.1.1.12.1.3"</w:instrText>
      </w:r>
      <w:r>
        <w:fldChar w:fldCharType="separate"/>
      </w:r>
      <w:r>
        <w:rPr>
          <w:rFonts w:hAnsi="Arial"/>
          <w:rFonts w:ascii="Arial"/>
          <w:sz w:val="24"/>
          <w:u w:val="single"/>
          <w:color w:val="black"/>
        </w:rPr>
        <w:t>2.6.1.1.12.1.3</w:t>
      </w:r>
      <w:r>
        <w:fldChar w:fldCharType="end"/>
      </w:r>
      <w:r>
        <w:rPr>
          <w:rFonts w:hAnsi="Arial"/>
          <w:rFonts w:ascii="Arial"/>
          <w:sz w:val="24"/>
          <w:u w:val="none"/>
          <w:color w:val="black"/>
        </w:rPr>
        <w:t xml:space="preserve">, podrαn voluntariamente contratar otros amparos que favorezcan al personal operativo vinculado a estos, lo cual se regirα por las normas aplicables a la materia. </w:t>
      </w:r>
    </w:p>
    <w:p>
      <w:pPr>
        <w:jc w:val="both"/>
      </w:pPr>
      <w:rPr>
        <w:color w:val="black"/>
      </w:rPr>
    </w:p>
    <w:p>
      <w:pPr>
        <w:jc w:val="both"/>
      </w:pPr>
      <w:r>
        <w:rPr>
          <w:rFonts w:hAnsi="Arial"/>
          <w:rFonts w:ascii="Arial"/>
          <w:sz w:val="24"/>
          <w:vanish/>
          <w:color w:val="black"/>
        </w:rPr>
        <w:t>&amp;$</w:t>
      </w:r>
      <w:bookmarkStart w:id="62251" w:name="2.6.1.1.12.2.5"/>
      <w:r>
        <w:rPr>
          <w:rFonts w:hAnsi="Arial"/>
          <w:rFonts w:ascii="Arial"/>
          <w:sz w:val="24"/>
          <w:color w:val="navy"/>
        </w:rPr>
        <w:t xml:space="preserve">ARTΝCULO 2.6.1.1.12.2.5. VIGENCIA.</w:t>
      </w:r>
      <w:bookmarkEnd w:id="62251"/>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seguro de vida colectivo tendrα vigencia anual y deberα mantenerse vigente ininterrumpidamente. La Superintendencia de Vigilancia y Seguridad Privada verificarα el cumplimiento de esta disposiciσn.</w:t>
      </w:r>
    </w:p>
    <w:p>
      <w:pPr>
        <w:jc w:val="both"/>
      </w:pPr>
      <w:rPr>
        <w:color w:val="black"/>
      </w:rPr>
    </w:p>
    <w:p>
      <w:pPr>
        <w:jc w:val="both"/>
      </w:pPr>
      <w:r>
        <w:rPr>
          <w:rFonts w:hAnsi="Arial"/>
          <w:rFonts w:ascii="Arial"/>
          <w:sz w:val="24"/>
          <w:vanish/>
          <w:color w:val="black"/>
        </w:rPr>
        <w:t>&amp;$</w:t>
      </w:r>
      <w:bookmarkStart w:id="62252" w:name="2.6.1.1.12.2.6"/>
      <w:r>
        <w:rPr>
          <w:rFonts w:hAnsi="Arial"/>
          <w:rFonts w:ascii="Arial"/>
          <w:sz w:val="24"/>
          <w:color w:val="navy"/>
        </w:rPr>
        <w:t xml:space="preserve">ARTΝCULO 2.6.1.1.12.2.6. ASEGURADOR.</w:t>
      </w:r>
      <w:bookmarkEnd w:id="62252"/>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Estαn facultadas para expedir la pσliza del seguro de vida colectivo las entidades aseguradoras que se establezcan legalmente en el paνs y obtengan autorizaciσn especνfica de la Superintendencia Financiera de Colombia. </w:t>
      </w:r>
    </w:p>
    <w:p>
      <w:pPr>
        <w:jc w:val="both"/>
      </w:pPr>
      <w:rPr>
        <w:color w:val="black"/>
      </w:rPr>
    </w:p>
    <w:p>
      <w:pPr>
        <w:jc w:val="both"/>
      </w:pPr>
      <w:r>
        <w:rPr>
          <w:rFonts w:hAnsi="Arial"/>
          <w:rFonts w:ascii="Arial"/>
          <w:sz w:val="24"/>
          <w:vanish/>
          <w:color w:val="black"/>
        </w:rPr>
        <w:t>&amp;$</w:t>
      </w:r>
      <w:bookmarkStart w:id="62253" w:name="2.6.1.1.12.2.7"/>
      <w:r>
        <w:rPr>
          <w:rFonts w:hAnsi="Arial"/>
          <w:rFonts w:ascii="Arial"/>
          <w:sz w:val="24"/>
          <w:color w:val="navy"/>
        </w:rPr>
        <w:t xml:space="preserve">ARTΝCULO 2.6.1.1.12.2.7. TOMADOR.</w:t>
      </w:r>
      <w:bookmarkEnd w:id="62253"/>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Es el prestador del servicio de vigilancia y seguridad privada obligado, en cuyo nombre se expide la pσliza, y quien deberα sufragar el valor total correspondiente. </w:t>
      </w:r>
    </w:p>
    <w:p>
      <w:pPr>
        <w:jc w:val="both"/>
      </w:pPr>
      <w:rPr>
        <w:sz w:val="24"/>
        <w:b/>
        <w:color w:val="black"/>
      </w:rPr>
    </w:p>
    <w:p>
      <w:pPr>
        <w:jc w:val="both"/>
      </w:pPr>
      <w:r>
        <w:rPr>
          <w:rFonts w:hAnsi="Arial"/>
          <w:rFonts w:ascii="Arial"/>
          <w:sz w:val="24"/>
          <w:color w:val="black"/>
        </w:rPr>
        <w:t xml:space="preserve">En el caso de los Departamentos de Seguridad, el tomador serα la persona natural o jurνdica titular de la licencia de funcionamiento otorgada por la Superintendencia de Vigilancia y Seguridad Privada.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Por ningϊn motivo ni por ningϊn medio, podrα el tomador transferir el costo al personal operativo. </w:t>
      </w:r>
    </w:p>
    <w:p>
      <w:pPr>
        <w:jc w:val="both"/>
      </w:pPr>
      <w:rPr>
        <w:color w:val="black"/>
      </w:rPr>
    </w:p>
    <w:p>
      <w:pPr>
        <w:jc w:val="both"/>
      </w:pPr>
      <w:r>
        <w:rPr>
          <w:rFonts w:hAnsi="Arial"/>
          <w:rFonts w:ascii="Arial"/>
          <w:sz w:val="24"/>
          <w:vanish/>
          <w:color w:val="black"/>
        </w:rPr>
        <w:t>&amp;$</w:t>
      </w:r>
      <w:bookmarkStart w:id="62254" w:name="2.6.1.1.12.2.8"/>
      <w:r>
        <w:rPr>
          <w:rFonts w:hAnsi="Arial"/>
          <w:rFonts w:ascii="Arial"/>
          <w:sz w:val="24"/>
          <w:color w:val="navy"/>
        </w:rPr>
        <w:t xml:space="preserve">ARTΝCULO 2.6.1.1.12.2.8. ASEGURADOS Y BENEFICIARIOS.</w:t>
      </w:r>
      <w:bookmarkEnd w:id="62254"/>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asegurado del seguro de vida colectivo serα el personal operativo vinculado a los prestadores de los servicios de vigilancia y seguridad privada obligados, registrado ante la Superintendencia de Vigilancia y Seguridad Privada y acreditado por esta. En caso de la concreciσn del riesgo o la ocurrencia del siniestro, serαn beneficiarios de la suma asegurada aquellos designados por el asegurado, en caso contrario se aplicarα lo dispuesto en el artνculo </w:t>
      </w:r>
      <w:r>
        <w:fldChar w:fldCharType="begin"/>
      </w:r>
      <w:r>
        <w:instrText>HYPERLINK "http://www.redjurista.com/document.aspx?ajcode=c_comerc&amp;arts=1142"</w:instrText>
      </w:r>
      <w:r>
        <w:fldChar w:fldCharType="separate"/>
      </w:r>
      <w:r>
        <w:rPr>
          <w:rFonts w:hAnsi="Arial"/>
          <w:rFonts w:ascii="Arial"/>
          <w:sz w:val="24"/>
          <w:u w:val="single"/>
          <w:color w:val="black"/>
        </w:rPr>
        <w:t>1142</w:t>
      </w:r>
      <w:r>
        <w:fldChar w:fldCharType="end"/>
      </w:r>
      <w:r>
        <w:rPr>
          <w:rFonts w:hAnsi="Arial"/>
          <w:rFonts w:ascii="Arial"/>
          <w:sz w:val="24"/>
          <w:u w:val="none"/>
          <w:color w:val="black"/>
        </w:rPr>
        <w:t xml:space="preserve"> del Cσdigo de Comercio. </w:t>
      </w:r>
    </w:p>
    <w:p>
      <w:pPr>
        <w:jc w:val="both"/>
      </w:pPr>
      <w:rPr>
        <w:color w:val="black"/>
      </w:rPr>
    </w:p>
    <w:p>
      <w:pPr>
        <w:jc w:val="both"/>
      </w:pPr>
      <w:r>
        <w:rPr>
          <w:rFonts w:hAnsi="Arial"/>
          <w:rFonts w:ascii="Arial"/>
          <w:sz w:val="24"/>
          <w:vanish/>
          <w:color w:val="black"/>
        </w:rPr>
        <w:t>&amp;$</w:t>
      </w:r>
      <w:bookmarkStart w:id="62255" w:name="2.6.1.1.12.2.9"/>
      <w:r>
        <w:rPr>
          <w:rFonts w:hAnsi="Arial"/>
          <w:rFonts w:ascii="Arial"/>
          <w:sz w:val="24"/>
          <w:color w:val="navy"/>
        </w:rPr>
        <w:t xml:space="preserve">ARTΝCULO 2.6.1.1.12.2.9. CONTRATACIΣN DEL SEGURO DE VIDA COLECTIVO.</w:t>
      </w:r>
      <w:bookmarkEnd w:id="62255"/>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La vida del personal operativo deberα asegurarse por parte del prestador de servicios de vigilancia y seguridad privada obligado, una vez se vincule, se efectϊe el registro correspondiente ante la Superintendencia de Vigilancia y Seguridad Privada y sea acreditado por esta. </w:t>
      </w:r>
    </w:p>
    <w:p>
      <w:pPr>
        <w:jc w:val="both"/>
      </w:pPr>
      <w:rPr>
        <w:sz w:val="24"/>
        <w:b/>
        <w:color w:val="black"/>
      </w:rPr>
    </w:p>
    <w:p>
      <w:pPr>
        <w:jc w:val="both"/>
      </w:pPr>
      <w:r>
        <w:rPr>
          <w:rFonts w:hAnsi="Arial"/>
          <w:rFonts w:ascii="Arial"/>
          <w:sz w:val="24"/>
          <w:color w:val="black"/>
        </w:rPr>
        <w:t xml:space="preserve">La contrataciσn del seguro de vida colectivo y el correspondiente aseguramiento del personal operativo vinculado al prestador de servicios de vigilancia y seguridad privada, es una obligaciσn, de acuerdo a lo dispuesto en el artνculo </w:t>
      </w:r>
      <w:r>
        <w:fldChar w:fldCharType="begin"/>
      </w:r>
      <w:r>
        <w:instrText>HYPERLINK "http://www.redjurista.com/document.aspx?ajcode=l1920018&amp;arts=5"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1920 de 2018.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El incumplimiento de este deber legal por parte del prestador de servicios de vigilancia y seguridad privada obligado, y en el evento del siniestro, tendrα como consecuencia que ιste deberα asumir la suma asegurada individual respectiva.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La contrataciσn de este seguro no exime al empleador de dar cumplimiento a las afiliaciones al Sistema de Seguridad Social Integral del personal operativo y el pago oportuno de los aportes correspondientes, ni reemplaza los derechos que otorga dicho sistema.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El seguro de vida colectivo es diferente e independiente a los demαs seguros exigidos para la debida prestaciσn del servicio de vigilancia y seguridad privada. </w:t>
      </w:r>
    </w:p>
    <w:p>
      <w:pPr>
        <w:jc w:val="both"/>
      </w:pPr>
      <w:rPr>
        <w:color w:val="black"/>
      </w:rPr>
    </w:p>
    <w:p>
      <w:pPr>
        <w:jc w:val="both"/>
      </w:pPr>
      <w:r>
        <w:rPr>
          <w:rFonts w:hAnsi="Arial"/>
          <w:rFonts w:ascii="Arial"/>
          <w:sz w:val="24"/>
          <w:vanish/>
          <w:color w:val="black"/>
        </w:rPr>
        <w:t>&amp;$</w:t>
      </w:r>
      <w:bookmarkStart w:id="62256" w:name="2.6.1.1.12.2.10"/>
      <w:r>
        <w:rPr>
          <w:rFonts w:hAnsi="Arial"/>
          <w:rFonts w:ascii="Arial"/>
          <w:sz w:val="24"/>
          <w:color w:val="navy"/>
        </w:rPr>
        <w:t xml:space="preserve">ARTΝCULO 2.6.1.1.12.2.10. MODIFICACIONES DEL CONTRATO DE SEGURO DE VIDA COLECTIVO.</w:t>
      </w:r>
      <w:bookmarkEnd w:id="62256"/>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Los prestadores de servicios de vigilancia y seguridad privada obligados, podrαn efectuar modificaciones al contrato de seguro de vida colectivo para el correcto aseguramiento del personal operativo, siempre que se respeten los requisitos establecidos en la presente Secciσn.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Las nuevas vinculaciones de personal operativo por parte del prestador de servicios de vigilancia y seguridad privada obligado, no constituyen un nuevo contrato de seguro. Estas se consideran como una novedad dentro del contrato de seguro de vida colectivo contratado por el tomador.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Los prestadores de servicios de vigilancia y seguridad privada obligados deberαn reportar ante la Superintendencia de Vigilancia y Seguridad Privada toda modificaciσn efectuada al contrato de seguro de vida colectivo. </w:t>
      </w:r>
    </w:p>
    <w:p>
      <w:pPr>
        <w:jc w:val="both"/>
      </w:pPr>
      <w:rPr>
        <w:color w:val="black"/>
      </w:rPr>
    </w:p>
    <w:p>
      <w:pPr>
        <w:jc w:val="both"/>
      </w:pPr>
      <w:r>
        <w:rPr>
          <w:rFonts w:hAnsi="Arial"/>
          <w:rFonts w:ascii="Arial"/>
          <w:sz w:val="24"/>
          <w:vanish/>
          <w:color w:val="black"/>
        </w:rPr>
        <w:t>&amp;$</w:t>
      </w:r>
      <w:bookmarkStart w:id="62257" w:name="2.6.1.1.12.2.11"/>
      <w:r>
        <w:rPr>
          <w:rFonts w:hAnsi="Arial"/>
          <w:rFonts w:ascii="Arial"/>
          <w:sz w:val="24"/>
          <w:color w:val="navy"/>
        </w:rPr>
        <w:t xml:space="preserve">ARTΝCULO 2.6.1.1.12.2.11. NORMATIVIDAD APLICABLE AL SEGURO DE VIDA COLECTIVO OBLIGATORIO.</w:t>
      </w:r>
      <w:bookmarkEnd w:id="62257"/>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El seguro de vida colectivo que ampara el personal operativo de los prestadores de servicios de vigilancia y seguridad privada obligados, se regirα por las normas que regulan el contrato de seguro de personas de conformidad con el ordenamiento legal vigente. </w:t>
      </w:r>
    </w:p>
    <w:p>
      <w:pPr>
        <w:jc w:val="center"/>
      </w:pPr>
      <w:rPr>
        <w:sz w:val="24"/>
        <w:color w:val="black"/>
      </w:rPr>
    </w:p>
    <w:p>
      <w:pPr>
        <w:jc w:val="center"/>
      </w:pPr>
      <w:r>
        <w:rPr>
          <w:rFonts w:hAnsi="Arial"/>
          <w:rFonts w:ascii="Arial"/>
          <w:sz w:val="24"/>
          <w:vanish/>
          <w:color w:val="black"/>
        </w:rPr>
        <w:t>&amp;$</w:t>
      </w:r>
      <w:bookmarkStart w:id="62258" w:name="SUBSECCIÓN 2.6.1.1.12.3"/>
      <w:r>
        <w:rPr>
          <w:rFonts w:hAnsi="Arial"/>
          <w:rFonts w:ascii="Arial"/>
          <w:sz w:val="24"/>
          <w:color w:val="navy"/>
        </w:rPr>
        <w:t xml:space="preserve">SUBSECCIΣN 3. </w:t>
      </w:r>
    </w:p>
    <w:p>
      <w:pPr>
        <w:jc w:val="center"/>
      </w:pPr>
      <w:r>
        <w:rPr>
          <w:rFonts w:hAnsi="Arial"/>
          <w:rFonts w:ascii="Arial"/>
          <w:sz w:val="24"/>
          <w:color w:val="navy"/>
        </w:rPr>
        <w:t xml:space="preserve">SEGURO DE VIDA COLECTIVO COMO REQUISITO PARA OBTENER, RENOVAR O MANTENER LICENCIA DE FUNCIONAMIENTO.</w:t>
      </w:r>
      <w:bookmarkEnd w:id="62258"/>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62259" w:name="2.6.1.1.12.3.1"/>
      <w:r>
        <w:rPr>
          <w:rFonts w:hAnsi="Arial"/>
          <w:rFonts w:ascii="Arial"/>
          <w:sz w:val="24"/>
          <w:color w:val="navy"/>
        </w:rPr>
        <w:t xml:space="preserve">ARTΝCULO 2.6.1.1.12.3.1. OBTENCIΣN DE LA LICENCIA DE FUNCIONAMIENTO.</w:t>
      </w:r>
      <w:bookmarkEnd w:id="62259"/>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Para efectos de la obtenciσn de licencia de funcionamiento, el seguro de vida colectivo deberα ser aportado en el momento en que se vincule personal operativo por parte del prestador de servicios de vigilancia y seguridad privada, en concordancia con lo dispuesto en la Subsecciσn 2. </w:t>
      </w:r>
    </w:p>
    <w:p>
      <w:rPr>
        <w:color w:val="black"/>
      </w:rPr>
    </w:p>
    <w:p>
      <w:pPr>
        <w:jc w:val="both"/>
      </w:pPr>
      <w:r>
        <w:rPr>
          <w:rFonts w:hAnsi="Arial"/>
          <w:rFonts w:ascii="Arial"/>
          <w:sz w:val="24"/>
          <w:vanish/>
          <w:color w:val="black"/>
        </w:rPr>
        <w:t>&amp;$</w:t>
      </w:r>
      <w:bookmarkStart w:id="62260" w:name="2.6.1.1.12.3.2"/>
      <w:r>
        <w:rPr>
          <w:rFonts w:hAnsi="Arial"/>
          <w:rFonts w:ascii="Arial"/>
          <w:sz w:val="24"/>
          <w:color w:val="navy"/>
        </w:rPr>
        <w:t xml:space="preserve">ARTΝCULO 2.6.1.1.12.3.2. RENOVACIΣN DE LICENCIA DE FUNCIONAMIENTO.</w:t>
      </w:r>
      <w:bookmarkEnd w:id="62260"/>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Los prestadores de servicios de vigilancia y seguridad privada obligados que soliciten o se encuentren en proceso de renovaciσn de licencia de funcionamiento, deberαn aportar junto con su solicitud, el respectivo seguro de vida colectivo vigente. El incumplimiento de este deber legal por parte del prestador de servicios de vigilancia y seguridad privada obligado, tendrα como consecuencia la no renovaciσn de la licencia de funcionamiento. </w:t>
      </w:r>
    </w:p>
    <w:p>
      <w:rPr>
        <w:color w:val="black"/>
      </w:rPr>
    </w:p>
    <w:p>
      <w:pPr>
        <w:jc w:val="both"/>
      </w:pPr>
      <w:r>
        <w:rPr>
          <w:rFonts w:hAnsi="Arial"/>
          <w:rFonts w:ascii="Arial"/>
          <w:sz w:val="24"/>
          <w:vanish/>
          <w:color w:val="black"/>
        </w:rPr>
        <w:t>&amp;$</w:t>
      </w:r>
      <w:bookmarkStart w:id="62261" w:name="2.6.1.1.12.3.3"/>
      <w:r>
        <w:rPr>
          <w:rFonts w:hAnsi="Arial"/>
          <w:rFonts w:ascii="Arial"/>
          <w:sz w:val="24"/>
          <w:color w:val="navy"/>
        </w:rPr>
        <w:t xml:space="preserve">ARTΝCULO 2.6.1.1.12.3.3. MANTENIMIENTO DE LICENCIA DE FUNCIONAMIENTO.</w:t>
      </w:r>
      <w:bookmarkEnd w:id="62261"/>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Los prestadores de servicios de vigilancia y seguridad privada con licencia de funcionamiento vigente, para mantener la misma, deberαn contratar el seguro de vida colectivo, mantenerlo vigente ininterrumpidamente y reportarlo ante la Superintendencia de Vigilancia y Seguridad Privada. El incumplimiento de este deber legal por parte del prestador de servicios de vigilancia y seguridad privada obligado, acarrearα como consecuencia las sanciones legales establecidas en las normas que regulan los servicios de vigilancia y seguridad privada.</w:t>
      </w:r>
    </w:p>
    <w:p>
      <w:rPr>
        <w:color w:val="black"/>
      </w:rPr>
    </w:p>
    <w:p>
      <w:pPr>
        <w:jc w:val="both"/>
      </w:pPr>
      <w:r>
        <w:rPr>
          <w:rFonts w:hAnsi="Arial"/>
          <w:rFonts w:ascii="Arial"/>
          <w:sz w:val="24"/>
          <w:vanish/>
          <w:color w:val="black"/>
        </w:rPr>
        <w:t>&amp;$</w:t>
      </w:r>
      <w:bookmarkStart w:id="62262" w:name="2.6.1.1.12.3.4"/>
      <w:r>
        <w:rPr>
          <w:rFonts w:hAnsi="Arial"/>
          <w:rFonts w:ascii="Arial"/>
          <w:sz w:val="24"/>
          <w:color w:val="navy"/>
        </w:rPr>
        <w:t xml:space="preserve">ARTΝCULO 2.6.1.1.12.3.4. FUERZA MAYOR O CASO FORTUITO.</w:t>
      </w:r>
      <w:bookmarkEnd w:id="62262"/>
      <w:r>
        <w:rPr>
          <w:rFonts w:hAnsi="Arial"/>
          <w:rFonts w:ascii="Arial"/>
          <w:sz w:val="24"/>
          <w:color w:val="black"/>
        </w:rPr>
        <w:t xml:space="preserve"> &lt;Artνculo adicionado por el artνculo </w:t>
      </w:r>
      <w:r>
        <w:fldChar w:fldCharType="begin"/>
      </w:r>
      <w:r>
        <w:instrText>HYPERLINK "http://www.redjurista.com/document.aspx?ajcode=d1588021&amp;arts=1"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1588 de 2021. El nuevo texto es el siguiente:&gt; En el trαmite para la obtenciσn, renovaciσn o mantenimiento de la licencia de funcionamiento se deberα respetar en todos los casos el debido proceso. Los prestadores de servicios de vigilancia y seguridad privada obligados a contratar el seguro de vida colectivo, deberαn demostrar su debida diligencia para la contrataciσn de este y justificar cualquier circunstancia ajena que afecte el cumplimiento de dicha obligaciσn. </w:t>
      </w:r>
    </w:p>
    <w:p>
      <w:rPr>
        <w:color w:val="black"/>
      </w:rPr>
    </w:p>
    <w:p>
      <w:pPr>
        <w:jc w:val="center"/>
        <w:outlineLvl w:val="1"/>
      </w:pPr>
      <w:r>
        <w:rPr>
          <w:rFonts w:hAnsi="Arial"/>
          <w:rFonts w:ascii="Arial"/>
          <w:sz w:val="24"/>
          <w:b/>
          <w:vanish/>
          <w:color w:val="black"/>
        </w:rPr>
        <w:t>&amp;$</w:t>
      </w:r>
      <w:bookmarkStart w:id="62263" w:name="SECCIÓN 2.6.1.1.13"/>
      <w:r>
        <w:rPr>
          <w:rFonts w:hAnsi="Arial"/>
          <w:rFonts w:ascii="Arial"/>
          <w:sz w:val="24"/>
          <w:color w:val="navy"/>
        </w:rPr>
        <w:t xml:space="preserve">SECCIΣN 13. </w:t>
      </w:r>
    </w:p>
    <w:p>
      <w:pPr>
        <w:jc w:val="center"/>
        <w:outlineLvl w:val="1"/>
      </w:pPr>
      <w:r>
        <w:rPr>
          <w:rFonts w:hAnsi="Arial"/>
          <w:rFonts w:ascii="Arial"/>
          <w:sz w:val="24"/>
          <w:color w:val="navy"/>
        </w:rPr>
        <w:t xml:space="preserve">CAPACITACIΣN Y ENTRENAMIENTO EN VIGILANCIA Y SEGURIDAD PRIVADA.</w:t>
      </w:r>
      <w:bookmarkEnd w:id="62263"/>
      <w:r>
        <w:rPr>
          <w:rFonts w:hAnsi="Arial"/>
          <w:rFonts w:ascii="Arial"/>
          <w:sz w:val="24"/>
          <w:b/>
          <w:color w:val="black"/>
        </w:rPr>
        <w:t xml:space="preserve"> </w:t>
      </w:r>
    </w:p>
    <w:p>
      <w:pPr>
        <w:jc w:val="both"/>
        <w:keepNext/>
      </w:pPr>
      <w:rPr>
        <w:color w:val="black"/>
      </w:rPr>
    </w:p>
    <w:p>
      <w:pPr>
        <w:jc w:val="center"/>
        <w:keepNext/>
        <w:outlineLvl w:val="1"/>
      </w:pPr>
      <w:r>
        <w:rPr>
          <w:rFonts w:hAnsi="Arial"/>
          <w:rFonts w:ascii="Arial"/>
          <w:sz w:val="24"/>
          <w:b/>
          <w:vanish/>
          <w:color w:val="black"/>
        </w:rPr>
        <w:t>&amp;$</w:t>
      </w:r>
      <w:bookmarkStart w:id="62264" w:name="SUBSECCIÓN 2.6.1.1.13.1"/>
      <w:r>
        <w:rPr>
          <w:rFonts w:hAnsi="Arial"/>
          <w:rFonts w:ascii="Arial"/>
          <w:sz w:val="24"/>
          <w:color w:val="navy"/>
        </w:rPr>
        <w:t xml:space="preserve">SUBSECCIΣN 1. </w:t>
      </w:r>
    </w:p>
    <w:p>
      <w:pPr>
        <w:jc w:val="center"/>
        <w:keepNext/>
        <w:outlineLvl w:val="1"/>
      </w:pPr>
      <w:r>
        <w:rPr>
          <w:rFonts w:hAnsi="Arial"/>
          <w:rFonts w:ascii="Arial"/>
          <w:sz w:val="24"/>
          <w:color w:val="navy"/>
        </w:rPr>
        <w:t xml:space="preserve">ASPECTOS GENERALES.</w:t>
      </w:r>
      <w:bookmarkEnd w:id="62264"/>
      <w:r>
        <w:rPr>
          <w:rFonts w:hAnsi="Arial"/>
          <w:rFonts w:ascii="Arial"/>
          <w:sz w:val="24"/>
          <w:b/>
          <w:color w:val="black"/>
        </w:rPr>
        <w:t xml:space="preserve"> </w:t>
      </w:r>
    </w:p>
    <w:p>
      <w:pPr>
        <w:jc w:val="both"/>
        <w:keepNext/>
        <w:outlineLvl w:val="1"/>
      </w:pPr>
      <w:rPr>
        <w:sz w:val="24"/>
        <w:b/>
        <w:color w:val="black"/>
      </w:rPr>
    </w:p>
    <w:p>
      <w:pPr>
        <w:jc w:val="both"/>
        <w:keepNext/>
        <w:outlineLvl w:val="1"/>
      </w:pPr>
      <w:r>
        <w:rPr>
          <w:rFonts w:hAnsi="Arial"/>
          <w:rFonts w:ascii="Arial"/>
          <w:sz w:val="24"/>
          <w:b/>
          <w:vanish/>
          <w:color w:val="black"/>
        </w:rPr>
        <w:t>&amp;$</w:t>
      </w:r>
      <w:bookmarkStart w:id="62265" w:name="2.6.1.1.13.1.1"/>
      <w:r>
        <w:rPr>
          <w:rFonts w:hAnsi="Arial"/>
          <w:rFonts w:ascii="Arial"/>
          <w:sz w:val="24"/>
          <w:color w:val="navy"/>
        </w:rPr>
        <w:t xml:space="preserve">ARTΝCULO 2.6.1.1.13.1.1. OBJETO.</w:t>
      </w:r>
      <w:bookmarkEnd w:id="6226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presente Secciσn tiene por objeto reglamentar los artνculos </w:t>
      </w:r>
      <w:r>
        <w:fldChar w:fldCharType="begin"/>
      </w:r>
      <w:r>
        <w:instrText>HYPERLINK "http://www.redjurista.com/document.aspx?ajcode=d0356_94&amp;arts=63"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y </w:t>
      </w:r>
      <w:r>
        <w:fldChar w:fldCharType="begin"/>
      </w:r>
      <w:r>
        <w:instrText>HYPERLINK "http://www.redjurista.com/document.aspx?ajcode=d0356_94&amp;arts=66"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del Decreto ley 356 de 1994, referidos a la capacitaciσn y entrenamiento en vigilancia y seguridad privada, entendida de forma genιrica como los conocimientos y destrezas con que debe contar el personal operativo en ejercicio de su funciσn, asν como la actividad especνfica que desarrollan las escuelas y departamentos de capacitaciσn y entrenamiento en vigilancia y seguridad privada en ejercicio de la enseρanza, capacitaciσn, entrenamiento y actualizaciσn de conocimientos relacionados con vigilancia y seguridad privada. </w:t>
      </w:r>
    </w:p>
    <w:p>
      <w:pPr>
        <w:jc w:val="both"/>
      </w:pPr>
      <w:rPr>
        <w:color w:val="black"/>
      </w:rPr>
    </w:p>
    <w:p>
      <w:pPr>
        <w:jc w:val="both"/>
      </w:pPr>
      <w:r>
        <w:rPr>
          <w:rFonts w:hAnsi="Arial"/>
          <w:rFonts w:ascii="Arial"/>
          <w:sz w:val="24"/>
          <w:b/>
          <w:vanish/>
          <w:color w:val="black"/>
        </w:rPr>
        <w:t>&amp;$</w:t>
      </w:r>
      <w:bookmarkStart w:id="62266" w:name="2.6.1.1.13.1.2"/>
      <w:r>
        <w:rPr>
          <w:rFonts w:hAnsi="Arial"/>
          <w:rFonts w:ascii="Arial"/>
          <w:sz w:val="24"/>
          <w:color w:val="navy"/>
        </w:rPr>
        <w:t xml:space="preserve">ARTΝCULO 2.6.1.1.13.1.2. DEFINICIONES.</w:t>
      </w:r>
      <w:bookmarkEnd w:id="6226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efectos de la presente Secciσn se tendrαn en cuenta las siguientes definiciones: </w:t>
      </w:r>
    </w:p>
    <w:p>
      <w:pPr>
        <w:jc w:val="both"/>
        <w:outlineLvl w:val="1"/>
      </w:pPr>
      <w:rPr>
        <w:sz w:val="24"/>
        <w:b/>
        <w:color w:val="black"/>
      </w:rPr>
    </w:p>
    <w:p>
      <w:pPr>
        <w:jc w:val="both"/>
        <w:outlineLvl w:val="1"/>
      </w:pPr>
      <w:r>
        <w:rPr>
          <w:rFonts w:hAnsi="Arial"/>
          <w:rFonts w:ascii="Arial"/>
          <w:sz w:val="24"/>
          <w:b/>
          <w:color w:val="black"/>
        </w:rPr>
        <w:t xml:space="preserve">a) Diagnσstico: </w:t>
      </w:r>
      <w:r>
        <w:rPr>
          <w:rFonts w:hAnsi="Arial"/>
          <w:rFonts w:ascii="Arial"/>
          <w:sz w:val="24"/>
          <w:color w:val="black"/>
        </w:rPr>
        <w:t xml:space="preserve">Definido como el proceso de reconocimiento, anαlisis y evaluaciσn, con el fin de buscar estrategias de soluciσn que permitan redireccionar los procesos y alcanzar los objetivos propuestos. </w:t>
      </w:r>
    </w:p>
    <w:p>
      <w:pPr>
        <w:jc w:val="both"/>
        <w:outlineLvl w:val="1"/>
      </w:pPr>
      <w:rPr>
        <w:sz w:val="24"/>
        <w:b/>
        <w:color w:val="black"/>
      </w:rPr>
    </w:p>
    <w:p>
      <w:pPr>
        <w:jc w:val="both"/>
        <w:outlineLvl w:val="1"/>
      </w:pPr>
      <w:r>
        <w:rPr>
          <w:rFonts w:hAnsi="Arial"/>
          <w:rFonts w:ascii="Arial"/>
          <w:sz w:val="24"/>
          <w:b/>
          <w:color w:val="black"/>
        </w:rPr>
        <w:t xml:space="preserve">b) Curso de Capacitaciσn en Vigilancia y Seguridad Privada: </w:t>
      </w:r>
      <w:r>
        <w:rPr>
          <w:rFonts w:hAnsi="Arial"/>
          <w:rFonts w:ascii="Arial"/>
          <w:sz w:val="24"/>
          <w:color w:val="black"/>
        </w:rPr>
        <w:t xml:space="preserve">Son herramientas didαcticas orientadas a ampliar los conocimientos, habilidades y aptitudes del personal operativo que labora en los servicios de vigilancia y seguridad privada; se caracterizan por ser a corto plazo, por tanto, se emplean tιcnicas especializadas y planificadas. </w:t>
      </w:r>
    </w:p>
    <w:p>
      <w:pPr>
        <w:jc w:val="both"/>
        <w:outlineLvl w:val="1"/>
      </w:pPr>
      <w:rPr>
        <w:sz w:val="24"/>
        <w:b/>
        <w:color w:val="black"/>
      </w:rPr>
    </w:p>
    <w:p>
      <w:pPr>
        <w:jc w:val="both"/>
        <w:outlineLvl w:val="1"/>
      </w:pPr>
      <w:r>
        <w:rPr>
          <w:rFonts w:hAnsi="Arial"/>
          <w:rFonts w:ascii="Arial"/>
          <w:sz w:val="24"/>
          <w:b/>
          <w:color w:val="black"/>
        </w:rPr>
        <w:t xml:space="preserve">c) Currνculo: </w:t>
      </w:r>
      <w:r>
        <w:rPr>
          <w:rFonts w:hAnsi="Arial"/>
          <w:rFonts w:ascii="Arial"/>
          <w:sz w:val="24"/>
          <w:color w:val="black"/>
        </w:rPr>
        <w:t xml:space="preserve">Es el conjunto de relaciones sistιmicas encaminadas a planificar, organizar, ejecutar y evaluar las acciones de capacitaciσn que permitan el desarrollo de las competencias para el personal del sector. </w:t>
      </w:r>
    </w:p>
    <w:p>
      <w:pPr>
        <w:jc w:val="both"/>
        <w:outlineLvl w:val="1"/>
      </w:pPr>
      <w:rPr>
        <w:sz w:val="24"/>
        <w:b/>
        <w:color w:val="black"/>
      </w:rPr>
    </w:p>
    <w:p>
      <w:pPr>
        <w:jc w:val="both"/>
        <w:outlineLvl w:val="1"/>
      </w:pPr>
      <w:r>
        <w:rPr>
          <w:rFonts w:hAnsi="Arial"/>
          <w:rFonts w:ascii="Arial"/>
          <w:sz w:val="24"/>
          <w:b/>
          <w:color w:val="black"/>
        </w:rPr>
        <w:t xml:space="preserve">d) Estructura Curricular: </w:t>
      </w:r>
      <w:r>
        <w:rPr>
          <w:rFonts w:hAnsi="Arial"/>
          <w:rFonts w:ascii="Arial"/>
          <w:sz w:val="24"/>
          <w:color w:val="black"/>
        </w:rPr>
        <w:t xml:space="preserve">Hace relaciσn a la organizaciσn del trabajo de manera que los estudiantes atendidos alcancen un conjunto de objetivos previamente establecidos y organizados. Este trabajo curricular se puede desarrollar a travιs de mσdulos bαsicos o comunes (transversal) y mσdulos especνficos. </w:t>
      </w:r>
    </w:p>
    <w:p>
      <w:pPr>
        <w:jc w:val="both"/>
        <w:outlineLvl w:val="1"/>
      </w:pPr>
      <w:rPr>
        <w:sz w:val="24"/>
        <w:b/>
        <w:color w:val="black"/>
      </w:rPr>
    </w:p>
    <w:p>
      <w:pPr>
        <w:jc w:val="both"/>
        <w:outlineLvl w:val="1"/>
      </w:pPr>
      <w:r>
        <w:rPr>
          <w:rFonts w:hAnsi="Arial"/>
          <w:rFonts w:ascii="Arial"/>
          <w:sz w:val="24"/>
          <w:b/>
          <w:color w:val="black"/>
        </w:rPr>
        <w:t xml:space="preserve">e) Ciclo de Formaciσn: </w:t>
      </w:r>
      <w:r>
        <w:rPr>
          <w:rFonts w:hAnsi="Arial"/>
          <w:rFonts w:ascii="Arial"/>
          <w:sz w:val="24"/>
          <w:color w:val="black"/>
        </w:rPr>
        <w:t xml:space="preserve">Definida como una modalidad de estudio que se caracteriza por la formaciσn del estudiante en competencias que le permitan desempeρarse en tareas propias de su actividad laboral en vigilancia y seguridad privada (vigilante, supervisor, escolta, operador de medios tecnolσgicos y manejador canino). Cada ciclo de formaciσn tiene un curso de fundamentaciσn, con componentes bαsicos y de ιnfasis, curso de reentrenamiento (anual), cursos de especializaciσn, curso de profundizaciσn y seminarios. </w:t>
      </w:r>
    </w:p>
    <w:p>
      <w:pPr>
        <w:jc w:val="both"/>
        <w:outlineLvl w:val="1"/>
      </w:pPr>
      <w:rPr>
        <w:sz w:val="24"/>
        <w:b/>
        <w:color w:val="black"/>
      </w:rPr>
    </w:p>
    <w:p>
      <w:pPr>
        <w:jc w:val="both"/>
        <w:outlineLvl w:val="1"/>
      </w:pPr>
      <w:r>
        <w:rPr>
          <w:rFonts w:hAnsi="Arial"/>
          <w:rFonts w:ascii="Arial"/>
          <w:sz w:val="24"/>
          <w:b/>
          <w:color w:val="black"/>
        </w:rPr>
        <w:t xml:space="preserve">f) Mσdulos Educativos: </w:t>
      </w:r>
      <w:r>
        <w:rPr>
          <w:rFonts w:hAnsi="Arial"/>
          <w:rFonts w:ascii="Arial"/>
          <w:sz w:val="24"/>
          <w:color w:val="black"/>
        </w:rPr>
        <w:t xml:space="preserve">Es una modalidad de enseρanza considerada como la forma mαs adecuada de responder desde la perspectiva de la formaciσn a una definiciσn de competencias, que integran conocimientos, habilidades, destrezas y actitudes. </w:t>
      </w:r>
    </w:p>
    <w:p>
      <w:pPr>
        <w:jc w:val="both"/>
        <w:outlineLvl w:val="1"/>
      </w:pPr>
      <w:rPr>
        <w:sz w:val="24"/>
        <w:b/>
        <w:color w:val="black"/>
      </w:rPr>
    </w:p>
    <w:p>
      <w:pPr>
        <w:jc w:val="both"/>
        <w:outlineLvl w:val="1"/>
      </w:pPr>
      <w:r>
        <w:rPr>
          <w:rFonts w:hAnsi="Arial"/>
          <w:rFonts w:ascii="Arial"/>
          <w:sz w:val="24"/>
          <w:b/>
          <w:color w:val="black"/>
        </w:rPr>
        <w:t xml:space="preserve">g) Mσdulo Bαsico Comϊn: </w:t>
      </w:r>
      <w:r>
        <w:rPr>
          <w:rFonts w:hAnsi="Arial"/>
          <w:rFonts w:ascii="Arial"/>
          <w:sz w:val="24"/>
          <w:color w:val="black"/>
        </w:rPr>
        <w:t xml:space="preserve">Da respuesta a comportamientos asociados con desempeρos comunes a diversas ocupaciones y ramas de la actividad del sector. </w:t>
      </w:r>
    </w:p>
    <w:p>
      <w:pPr>
        <w:jc w:val="both"/>
        <w:outlineLvl w:val="1"/>
      </w:pPr>
      <w:rPr>
        <w:sz w:val="24"/>
        <w:b/>
        <w:color w:val="black"/>
      </w:rPr>
    </w:p>
    <w:p>
      <w:pPr>
        <w:jc w:val="both"/>
        <w:outlineLvl w:val="1"/>
      </w:pPr>
      <w:r>
        <w:rPr>
          <w:rFonts w:hAnsi="Arial"/>
          <w:rFonts w:ascii="Arial"/>
          <w:sz w:val="24"/>
          <w:b/>
          <w:color w:val="black"/>
        </w:rPr>
        <w:t xml:space="preserve">h) Mσdulos de Ιnfasis: </w:t>
      </w:r>
      <w:r>
        <w:rPr>
          <w:rFonts w:hAnsi="Arial"/>
          <w:rFonts w:ascii="Arial"/>
          <w:sz w:val="24"/>
          <w:color w:val="black"/>
        </w:rPr>
        <w:t xml:space="preserve">Hace relaciσn a la capacidad del alumno al terminar un ciclo para la mejora continua del trabajo a desempeρar. </w:t>
      </w:r>
    </w:p>
    <w:p>
      <w:pPr>
        <w:jc w:val="both"/>
        <w:outlineLvl w:val="1"/>
      </w:pPr>
      <w:rPr>
        <w:sz w:val="24"/>
        <w:b/>
        <w:color w:val="black"/>
      </w:rPr>
    </w:p>
    <w:p>
      <w:pPr>
        <w:jc w:val="both"/>
        <w:outlineLvl w:val="1"/>
      </w:pPr>
      <w:r>
        <w:rPr>
          <w:rFonts w:hAnsi="Arial"/>
          <w:rFonts w:ascii="Arial"/>
          <w:sz w:val="24"/>
          <w:b/>
          <w:color w:val="black"/>
        </w:rPr>
        <w:t xml:space="preserve">i) Mσdulos Transversales</w:t>
      </w:r>
      <w:r>
        <w:rPr>
          <w:rFonts w:hAnsi="Arial"/>
          <w:rFonts w:ascii="Arial"/>
          <w:sz w:val="24"/>
          <w:color w:val="black"/>
        </w:rPr>
        <w:t xml:space="preserve">: Son ciertas partes del curso que, relacionadas con las materias principales del mismo, aportan una serie de conocimientos de otras materias consideradas necesarias para la formaciσn del alumno. </w:t>
      </w:r>
    </w:p>
    <w:p>
      <w:pPr>
        <w:jc w:val="both"/>
        <w:outlineLvl w:val="1"/>
      </w:pPr>
      <w:rPr>
        <w:sz w:val="24"/>
        <w:b/>
        <w:color w:val="black"/>
      </w:rPr>
    </w:p>
    <w:p>
      <w:pPr>
        <w:jc w:val="both"/>
        <w:outlineLvl w:val="1"/>
      </w:pPr>
      <w:r>
        <w:rPr>
          <w:rFonts w:hAnsi="Arial"/>
          <w:rFonts w:ascii="Arial"/>
          <w:sz w:val="24"/>
          <w:b/>
          <w:color w:val="black"/>
        </w:rPr>
        <w:t xml:space="preserve">j) Elementos de las competencias: </w:t>
      </w:r>
      <w:r>
        <w:rPr>
          <w:rFonts w:hAnsi="Arial"/>
          <w:rFonts w:ascii="Arial"/>
          <w:sz w:val="24"/>
          <w:color w:val="black"/>
        </w:rPr>
        <w:t xml:space="preserve">Conocimiento (saberes), habilidades (saber hacer), las actitudes (saber estar) y el motivacional (querer hacer), en el desempeρo de las funciones. </w:t>
      </w:r>
    </w:p>
    <w:p>
      <w:pPr>
        <w:jc w:val="both"/>
        <w:outlineLvl w:val="1"/>
      </w:pPr>
      <w:rPr>
        <w:sz w:val="24"/>
        <w:b/>
        <w:color w:val="black"/>
      </w:rPr>
    </w:p>
    <w:p>
      <w:pPr>
        <w:jc w:val="both"/>
        <w:outlineLvl w:val="1"/>
      </w:pPr>
      <w:r>
        <w:rPr>
          <w:rFonts w:hAnsi="Arial"/>
          <w:rFonts w:ascii="Arial"/>
          <w:sz w:val="24"/>
          <w:b/>
          <w:color w:val="black"/>
        </w:rPr>
        <w:t xml:space="preserve">k) Competencias Laborales: </w:t>
      </w:r>
      <w:r>
        <w:rPr>
          <w:rFonts w:hAnsi="Arial"/>
          <w:rFonts w:ascii="Arial"/>
          <w:sz w:val="24"/>
          <w:color w:val="black"/>
        </w:rPr>
        <w:t xml:space="preserve">Es el conjunto de conocimientos (saberes), habilidades (saber hacer) y actitudes (saber estar), que aplicadas en el desempeρo de una determinada responsabilidad asegura el cumplimiento de los logros establecidos. </w:t>
      </w:r>
    </w:p>
    <w:p>
      <w:pPr>
        <w:jc w:val="both"/>
        <w:outlineLvl w:val="1"/>
      </w:pPr>
      <w:rPr>
        <w:sz w:val="24"/>
        <w:b/>
        <w:color w:val="black"/>
      </w:rPr>
    </w:p>
    <w:p>
      <w:pPr>
        <w:jc w:val="both"/>
        <w:outlineLvl w:val="1"/>
      </w:pPr>
      <w:r>
        <w:rPr>
          <w:rFonts w:hAnsi="Arial"/>
          <w:rFonts w:ascii="Arial"/>
          <w:sz w:val="24"/>
          <w:b/>
          <w:color w:val="black"/>
        </w:rPr>
        <w:t xml:space="preserve">l) Competencia: </w:t>
      </w:r>
      <w:r>
        <w:rPr>
          <w:rFonts w:hAnsi="Arial"/>
          <w:rFonts w:ascii="Arial"/>
          <w:sz w:val="24"/>
          <w:color w:val="black"/>
        </w:rPr>
        <w:t xml:space="preserve">Capacidad compleja que integra conocimientos, potencialidades, habilidades, destrezas, prαcticas y acciones que se manifiestan en el desempeρo en situaciones concretas, en contextos especνficos (saber hacer en forma pertinente). Las competencias se construyen, se desarrollan y evolucionan permanentemente segϊn las dinαmicas y necesidades del campo laboral. </w:t>
      </w:r>
    </w:p>
    <w:p>
      <w:pPr>
        <w:jc w:val="both"/>
        <w:outlineLvl w:val="1"/>
      </w:pPr>
      <w:rPr>
        <w:sz w:val="24"/>
        <w:b/>
        <w:color w:val="black"/>
      </w:rPr>
    </w:p>
    <w:p>
      <w:pPr>
        <w:jc w:val="both"/>
        <w:outlineLvl w:val="1"/>
      </w:pPr>
      <w:r>
        <w:rPr>
          <w:rFonts w:hAnsi="Arial"/>
          <w:rFonts w:ascii="Arial"/>
          <w:sz w:val="24"/>
          <w:b/>
          <w:color w:val="black"/>
        </w:rPr>
        <w:t xml:space="preserve">m) Unidad de aprendizaje: </w:t>
      </w:r>
      <w:r>
        <w:rPr>
          <w:rFonts w:hAnsi="Arial"/>
          <w:rFonts w:ascii="Arial"/>
          <w:sz w:val="24"/>
          <w:color w:val="black"/>
        </w:rPr>
        <w:t xml:space="preserve">Es el conjunto coherente, integral y lσgico de temαticas especνficas que se ofertan durante un perνodo, de manera pedagσgica y con una intensidad horaria determinada al personal en formaciσn del sector de la vigilancia y seguridad privada para el alcance de las habilidades y competencias laborales, las cuales deben ser evaluadas y aprobadas satisfactoriamente para que se entregue la respectiva certificaciσn del curso. En este Decreto, cada unidad de aprendizaje se entenderα como unidad y reemplazarα a lo que en el anterior modelo de formaciσn se conocνa como asignatura. </w:t>
      </w:r>
    </w:p>
    <w:p>
      <w:pPr>
        <w:jc w:val="both"/>
        <w:outlineLvl w:val="1"/>
      </w:pPr>
      <w:rPr>
        <w:sz w:val="24"/>
        <w:b/>
        <w:color w:val="black"/>
      </w:rPr>
    </w:p>
    <w:p>
      <w:pPr>
        <w:jc w:val="both"/>
        <w:outlineLvl w:val="1"/>
      </w:pPr>
      <w:r>
        <w:rPr>
          <w:rFonts w:hAnsi="Arial"/>
          <w:rFonts w:ascii="Arial"/>
          <w:sz w:val="24"/>
          <w:b/>
          <w:color w:val="black"/>
        </w:rPr>
        <w:t xml:space="preserve">n) Habilidades: </w:t>
      </w:r>
      <w:r>
        <w:rPr>
          <w:rFonts w:hAnsi="Arial"/>
          <w:rFonts w:ascii="Arial"/>
          <w:sz w:val="24"/>
          <w:color w:val="black"/>
        </w:rPr>
        <w:t xml:space="preserve">Se refiere a las capacidades que tiene un individuo para aplicar el conocimiento teσrico, tιcnico y operativo, que ha adquirido con el propσsito de completar tareas y resolver problemas. Las habilidades se describen como cognitivas (lσgicas, intuitivas y creativas) o prαcticas (involucrando destreza manual y el uso de mιtodos, materiales, herramientas e instrumentos). </w:t>
      </w:r>
    </w:p>
    <w:p>
      <w:pPr>
        <w:jc w:val="both"/>
        <w:outlineLvl w:val="1"/>
      </w:pPr>
      <w:rPr>
        <w:sz w:val="24"/>
        <w:b/>
        <w:color w:val="black"/>
      </w:rPr>
    </w:p>
    <w:p>
      <w:pPr>
        <w:jc w:val="both"/>
        <w:outlineLvl w:val="1"/>
      </w:pPr>
      <w:r>
        <w:rPr>
          <w:rFonts w:hAnsi="Arial"/>
          <w:rFonts w:ascii="Arial"/>
          <w:sz w:val="24"/>
          <w:b/>
          <w:color w:val="black"/>
        </w:rPr>
        <w:t xml:space="preserve">o) Perfil Ocupacional. </w:t>
      </w:r>
      <w:r>
        <w:rPr>
          <w:rFonts w:hAnsi="Arial"/>
          <w:rFonts w:ascii="Arial"/>
          <w:sz w:val="24"/>
          <w:color w:val="black"/>
        </w:rPr>
        <w:t xml:space="preserve">Para cada ciclo de formaciσn se definirα el conjunto de competencias de desempeρo laboral a partir de las necesidades y exigencias del mundo productivo del sector de la vigilancia y seguridad privada. Cada perfil ocupacional serα eje orientador de la capacitaciσn, enseρanza y entrenamiento que realicen Escuelas y Departamentos de Capacitaciσn de Vigilancia y Seguridad Privada con el propσsito de entregar al mercado laboral, el personal operativo en capacidad de responder a las necesidades, funciones y responsabilidades del sector. </w:t>
      </w:r>
    </w:p>
    <w:p>
      <w:pPr>
        <w:jc w:val="both"/>
        <w:outlineLvl w:val="1"/>
      </w:pPr>
      <w:rPr>
        <w:sz w:val="24"/>
        <w:b/>
        <w:color w:val="black"/>
      </w:rPr>
    </w:p>
    <w:p>
      <w:pPr>
        <w:jc w:val="both"/>
        <w:outlineLvl w:val="1"/>
      </w:pPr>
      <w:r>
        <w:rPr>
          <w:rFonts w:hAnsi="Arial"/>
          <w:rFonts w:ascii="Arial"/>
          <w:sz w:val="24"/>
          <w:b/>
          <w:color w:val="black"/>
        </w:rPr>
        <w:t xml:space="preserve">p) Perfil Egresado (Laboral). </w:t>
      </w:r>
      <w:r>
        <w:rPr>
          <w:rFonts w:hAnsi="Arial"/>
          <w:rFonts w:ascii="Arial"/>
          <w:sz w:val="24"/>
          <w:color w:val="black"/>
        </w:rPr>
        <w:t xml:space="preserve">Segϊn cada curso de capacitaciσn, se definirα el conjunto de competencias y cualidades personales que un trabajador especializado debe ser capaz de demostrar cuando realiza las funciones y actividades propias a una ocupaciσn u oficio. </w:t>
      </w:r>
    </w:p>
    <w:p>
      <w:pPr>
        <w:jc w:val="both"/>
        <w:outlineLvl w:val="1"/>
      </w:pPr>
      <w:rPr>
        <w:sz w:val="24"/>
        <w:b/>
        <w:color w:val="black"/>
      </w:rPr>
    </w:p>
    <w:p>
      <w:pPr>
        <w:jc w:val="both"/>
        <w:outlineLvl w:val="1"/>
      </w:pPr>
      <w:r>
        <w:rPr>
          <w:rFonts w:hAnsi="Arial"/>
          <w:rFonts w:ascii="Arial"/>
          <w:sz w:val="24"/>
          <w:b/>
          <w:color w:val="black"/>
        </w:rPr>
        <w:t xml:space="preserve">q) Perfil de Ingreso. </w:t>
      </w:r>
      <w:r>
        <w:rPr>
          <w:rFonts w:hAnsi="Arial"/>
          <w:rFonts w:ascii="Arial"/>
          <w:sz w:val="24"/>
          <w:color w:val="black"/>
        </w:rPr>
        <w:t xml:space="preserve">Integra el conjunto de habilidades, actitudes y valores que reϊne el aspirante que desee iniciar un ciclo de formaciσn en vigilancia y seguridad privada. </w:t>
      </w:r>
    </w:p>
    <w:p>
      <w:pPr>
        <w:jc w:val="both"/>
        <w:outlineLvl w:val="1"/>
      </w:pPr>
      <w:rPr>
        <w:sz w:val="24"/>
        <w:b/>
        <w:color w:val="black"/>
      </w:rPr>
    </w:p>
    <w:p>
      <w:pPr>
        <w:jc w:val="both"/>
        <w:outlineLvl w:val="1"/>
      </w:pPr>
      <w:r>
        <w:rPr>
          <w:rFonts w:hAnsi="Arial"/>
          <w:rFonts w:ascii="Arial"/>
          <w:sz w:val="24"/>
          <w:b/>
          <w:color w:val="black"/>
        </w:rPr>
        <w:t xml:space="preserve">r) Evaluaciσn: </w:t>
      </w:r>
      <w:r>
        <w:rPr>
          <w:rFonts w:hAnsi="Arial"/>
          <w:rFonts w:ascii="Arial"/>
          <w:sz w:val="24"/>
          <w:color w:val="black"/>
        </w:rPr>
        <w:t xml:space="preserve">Es un proceso crνtico, sistemαtico y continuo que se debe realizar al interior de las Escuelas y Departamentos de Capacitaciσn de Vigilancia y Seguridad Privada y a los planes de estudio de los cursos de capacitaciσn para verificar el cumplimiento de los objetivos previamente establecidos y programados, valorando los aciertos y desaciertos obtenidos en un perνodo de tiempo, tanto en los procesos como en los resultados, para construir y poner en marcha planes de mejora en procura de la excelencia. La evaluaciσn debe realizarse a corto, mediano y largo plazo. </w:t>
      </w:r>
    </w:p>
    <w:p>
      <w:pPr>
        <w:jc w:val="both"/>
        <w:outlineLvl w:val="1"/>
      </w:pPr>
      <w:rPr>
        <w:sz w:val="24"/>
        <w:b/>
        <w:color w:val="black"/>
      </w:rPr>
    </w:p>
    <w:p>
      <w:pPr>
        <w:jc w:val="both"/>
        <w:outlineLvl w:val="1"/>
      </w:pPr>
      <w:r>
        <w:rPr>
          <w:rFonts w:hAnsi="Arial"/>
          <w:rFonts w:ascii="Arial"/>
          <w:sz w:val="24"/>
          <w:b/>
          <w:color w:val="black"/>
        </w:rPr>
        <w:t xml:space="preserve">s) Acreditaciσn: </w:t>
      </w:r>
      <w:r>
        <w:rPr>
          <w:rFonts w:hAnsi="Arial"/>
          <w:rFonts w:ascii="Arial"/>
          <w:sz w:val="24"/>
          <w:color w:val="black"/>
        </w:rPr>
        <w:t xml:space="preserve">Se define como el reconocimiento de la calidad de los programas desarrollados en una Escuela o Departamento de capacitaciσn en vigilancia y seguridad privada. </w:t>
      </w:r>
    </w:p>
    <w:p>
      <w:pPr>
        <w:jc w:val="both"/>
        <w:outlineLvl w:val="1"/>
      </w:pPr>
      <w:rPr>
        <w:sz w:val="24"/>
        <w:b/>
        <w:color w:val="black"/>
      </w:rPr>
    </w:p>
    <w:p>
      <w:pPr>
        <w:jc w:val="both"/>
        <w:outlineLvl w:val="1"/>
      </w:pPr>
      <w:r>
        <w:rPr>
          <w:rFonts w:hAnsi="Arial"/>
          <w:rFonts w:ascii="Arial"/>
          <w:sz w:val="24"/>
          <w:b/>
          <w:color w:val="black"/>
        </w:rPr>
        <w:t xml:space="preserve">t) Planes de Mejora: </w:t>
      </w:r>
      <w:r>
        <w:rPr>
          <w:rFonts w:hAnsi="Arial"/>
          <w:rFonts w:ascii="Arial"/>
          <w:sz w:val="24"/>
          <w:color w:val="black"/>
        </w:rPr>
        <w:t xml:space="preserve">Definido como un conjunto de medidas sistemαticas de cambio, las cuales deben redundar en el mejoramiento de la escuela o academia en cuanto al aprendizaje y la empresa en general. </w:t>
      </w:r>
    </w:p>
    <w:p>
      <w:pPr>
        <w:jc w:val="both"/>
        <w:outlineLvl w:val="1"/>
      </w:pPr>
      <w:rPr>
        <w:sz w:val="24"/>
        <w:b/>
        <w:color w:val="black"/>
      </w:rPr>
    </w:p>
    <w:p>
      <w:pPr>
        <w:jc w:val="both"/>
        <w:outlineLvl w:val="1"/>
      </w:pPr>
      <w:r>
        <w:rPr>
          <w:rFonts w:hAnsi="Arial"/>
          <w:rFonts w:ascii="Arial"/>
          <w:sz w:val="24"/>
          <w:b/>
          <w:color w:val="black"/>
        </w:rPr>
        <w:t xml:space="preserve">u) Ambientes Pedagσgicos: </w:t>
      </w:r>
      <w:r>
        <w:rPr>
          <w:rFonts w:hAnsi="Arial"/>
          <w:rFonts w:ascii="Arial"/>
          <w:sz w:val="24"/>
          <w:color w:val="black"/>
        </w:rPr>
        <w:t xml:space="preserve">Es un lugar o conjunto de lugares estrechamente ligados en el que se suceden diferentes relaciones interpersonales y se llevan a cabo actividades pedagσgicas o complementarias a estas. </w:t>
      </w:r>
    </w:p>
    <w:p>
      <w:pPr>
        <w:jc w:val="both"/>
        <w:outlineLvl w:val="1"/>
      </w:pPr>
      <w:rPr>
        <w:sz w:val="24"/>
        <w:b/>
        <w:color w:val="black"/>
      </w:rPr>
    </w:p>
    <w:p>
      <w:pPr>
        <w:jc w:val="both"/>
        <w:outlineLvl w:val="1"/>
      </w:pPr>
      <w:r>
        <w:rPr>
          <w:rFonts w:hAnsi="Arial"/>
          <w:rFonts w:ascii="Arial"/>
          <w:sz w:val="24"/>
          <w:b/>
          <w:color w:val="black"/>
        </w:rPr>
        <w:t xml:space="preserve">v) Proyecto Educativo Institucional PEIS: </w:t>
      </w:r>
      <w:r>
        <w:rPr>
          <w:rFonts w:hAnsi="Arial"/>
          <w:rFonts w:ascii="Arial"/>
          <w:sz w:val="24"/>
          <w:color w:val="black"/>
        </w:rPr>
        <w:t xml:space="preserve">Es la carta de presentaciσn de una Escuela y/o Departamento de Capacitaciσn de Vigilancia y Seguridad Privada ante la sociedad, que define sus principios y valores, tanto morales como acadιmicos, sus metas y objetivos, sus recursos y acciones para ponerlos en prαctica. Es un proceso de cambio social y participativo que requiere de decisiones contextualizadas de acuerdo con la instituciσn, su propia dinαmica, realidad y entorno. </w:t>
      </w:r>
    </w:p>
    <w:p>
      <w:pPr>
        <w:jc w:val="both"/>
        <w:outlineLvl w:val="1"/>
      </w:pPr>
      <w:rPr>
        <w:sz w:val="24"/>
        <w:b/>
        <w:color w:val="black"/>
      </w:rPr>
    </w:p>
    <w:p>
      <w:pPr>
        <w:jc w:val="both"/>
        <w:outlineLvl w:val="1"/>
      </w:pPr>
      <w:r>
        <w:rPr>
          <w:rFonts w:hAnsi="Arial"/>
          <w:rFonts w:ascii="Arial"/>
          <w:sz w:val="24"/>
          <w:b/>
          <w:color w:val="black"/>
        </w:rPr>
        <w:t xml:space="preserve">w) Simulador: </w:t>
      </w:r>
      <w:r>
        <w:rPr>
          <w:rFonts w:hAnsi="Arial"/>
          <w:rFonts w:ascii="Arial"/>
          <w:sz w:val="24"/>
          <w:color w:val="black"/>
        </w:rPr>
        <w:t xml:space="preserve">Es la representaciσn virtual de la realidad para adquirir la habilidad en el empleo de las armas de fuego, con escenarios simulados que le permitan al alumno comprender y evaluar estrategias que le den la pericia a la hora de enfrentar situaciones reales. </w:t>
      </w:r>
    </w:p>
    <w:p>
      <w:pPr>
        <w:jc w:val="both"/>
        <w:keepNext/>
      </w:pPr>
      <w:rPr>
        <w:color w:val="black"/>
      </w:rPr>
    </w:p>
    <w:p>
      <w:pPr>
        <w:jc w:val="both"/>
        <w:keepNext/>
        <w:outlineLvl w:val="1"/>
      </w:pPr>
      <w:r>
        <w:rPr>
          <w:rFonts w:hAnsi="Arial"/>
          <w:rFonts w:ascii="Arial"/>
          <w:sz w:val="24"/>
          <w:b/>
          <w:vanish/>
          <w:color w:val="black"/>
        </w:rPr>
        <w:t>&amp;$</w:t>
      </w:r>
      <w:bookmarkStart w:id="62267" w:name="2.6.1.1.13.1.3"/>
      <w:r>
        <w:rPr>
          <w:rFonts w:hAnsi="Arial"/>
          <w:rFonts w:ascii="Arial"/>
          <w:sz w:val="24"/>
          <w:color w:val="navy"/>
        </w:rPr>
        <w:t xml:space="preserve">ARTΝCULO 2.6.1.1.13.1.3. ACTUALIZACIΣN PERMANENTE.</w:t>
      </w:r>
      <w:bookmarkEnd w:id="622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Corresponde a la Superintendencia de Vigilancia y Seguridad Privada velar porque los servicios de vigilancia y seguridad privada mantengan en forma permanente los mαs altos niveles de eficiencia; por lo tanto, ejercerα control, inspecciσn y vigilancia sobre el contenido y el desarrollo de los cursos de capacitaciσn y entrenamiento ofertados y desarrollados por las Escuelas y Departamentos de Capacitaciσn y Entrenamiento en Vigilancia y Seguridad Privada y podrα autorizar o negar la oferta de los mismos, previo el estudio respectivo. </w:t>
      </w:r>
    </w:p>
    <w:p>
      <w:pPr>
        <w:jc w:val="both"/>
      </w:pPr>
      <w:rPr>
        <w:color w:val="black"/>
      </w:rPr>
    </w:p>
    <w:p>
      <w:pPr>
        <w:jc w:val="both"/>
      </w:pPr>
      <w:r>
        <w:rPr>
          <w:rFonts w:hAnsi="Arial"/>
          <w:rFonts w:ascii="Arial"/>
          <w:sz w:val="24"/>
          <w:b/>
          <w:vanish/>
          <w:color w:val="black"/>
        </w:rPr>
        <w:t>&amp;$</w:t>
      </w:r>
      <w:bookmarkStart w:id="62268" w:name="2.6.1.1.13.1.4"/>
      <w:r>
        <w:rPr>
          <w:rFonts w:hAnsi="Arial"/>
          <w:rFonts w:ascii="Arial"/>
          <w:sz w:val="24"/>
          <w:color w:val="navy"/>
        </w:rPr>
        <w:t xml:space="preserve">ARTΝCULO 2.6.1.1.13.1.4. CAPACITACIΣN ESPECIALIZADA EN VIGILANCIA Y SEGURIDAD PRIVADA.</w:t>
      </w:r>
      <w:bookmarkEnd w:id="6226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Es un modelo de formaciσn que propende por capacitar, formar y actualizar en las competencias, habilidades y destrezas necesarias para el adecuado desempeρo de funciones, responsabilidades y actividades que realiza el personal operativo de los servicios de vigilancia y seguridad privada en ejercicio de su funciσn. La capacitaciσn y el entrenamiento, en ningϊn caso podrαn versar sobre organizaciσn, instrucciσn o equipamiento a personas en tαcticas, tιcnicas o procedimientos militares o terroristas.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Este modelo de educaciσn se aplica exclusivamente a las Escuelas y Departamentos de Capacitaciσn y Entrenamiento en Vigilancia y Seguridad Privada sometidos a inspecciσn, vigilancia y control de la Superintendencia de Vigilancia y Seguridad Privada, ya que por el tipo y caracterνsticas de los contenidos y las competencias a desarrollarse, implican un grado diferencial de especialidad, lo cual conlleva a que estos no puedan ser asimilados, asumidos, ni impartidos por instituciones de educaciσn formal, educaciσn no formal, educaciσn informal, y la educaciσn para el trabajo y desarrollo humano.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Las competencias y contenidos relacionadas con este tipo de educaciσn se encuentran reservadas y solo pueden ser ofertados por las Escuelas o Departamentos de Capacitaciσn y Entrenamiento en Vigilancia y Seguridad Privada que tengan licencia de funcionamiento vigente emitida por la Superintendencia de Vigilancia y Seguridad Privada, de conformidad con los requisitos exigidos en la normatividad vigente. </w:t>
      </w:r>
    </w:p>
    <w:p>
      <w:pPr>
        <w:jc w:val="both"/>
        <w:keepNext/>
      </w:pPr>
      <w:rPr>
        <w:color w:val="black"/>
      </w:rPr>
    </w:p>
    <w:p>
      <w:pPr>
        <w:jc w:val="both"/>
        <w:keepNext/>
        <w:outlineLvl w:val="1"/>
      </w:pPr>
      <w:r>
        <w:rPr>
          <w:rFonts w:hAnsi="Arial"/>
          <w:rFonts w:ascii="Arial"/>
          <w:sz w:val="24"/>
          <w:b/>
          <w:vanish/>
          <w:color w:val="black"/>
        </w:rPr>
        <w:t>&amp;$</w:t>
      </w:r>
      <w:bookmarkStart w:id="62269" w:name="2.6.1.1.13.1.5"/>
      <w:r>
        <w:rPr>
          <w:rFonts w:hAnsi="Arial"/>
          <w:rFonts w:ascii="Arial"/>
          <w:sz w:val="24"/>
          <w:color w:val="navy"/>
        </w:rPr>
        <w:t xml:space="preserve">ARTΝCULO 2.6.1.1.13.1.5. ESCUELA DE CAPACITACIΣN Y ENTRENAMIENTO EN VIGILANCIA Y SEGURIDAD PRIVADA.</w:t>
      </w:r>
      <w:bookmarkEnd w:id="6226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Se entiende por escuela de capacitaciσn y entrenamiento en vigilancia y seguridad privada, la sociedad de responsabilidad limitada legalmente constituida, cuyo ϊnico objeto social es proveer enseρanza, capacitaciσn, entrenamiento y actualizaciσn de conocimientos relacionados con vigilancia y seguridad privada. </w:t>
      </w:r>
    </w:p>
    <w:p>
      <w:pPr>
        <w:jc w:val="both"/>
      </w:pPr>
      <w:rPr>
        <w:color w:val="black"/>
      </w:rPr>
    </w:p>
    <w:p>
      <w:pPr>
        <w:jc w:val="both"/>
      </w:pPr>
      <w:r>
        <w:rPr>
          <w:rFonts w:hAnsi="Arial"/>
          <w:rFonts w:ascii="Arial"/>
          <w:sz w:val="24"/>
          <w:b/>
          <w:vanish/>
          <w:color w:val="black"/>
        </w:rPr>
        <w:t>&amp;$</w:t>
      </w:r>
      <w:bookmarkStart w:id="62270" w:name="2.6.1.1.13.1.6"/>
      <w:r>
        <w:rPr>
          <w:rFonts w:hAnsi="Arial"/>
          <w:rFonts w:ascii="Arial"/>
          <w:sz w:val="24"/>
          <w:color w:val="navy"/>
        </w:rPr>
        <w:t xml:space="preserve">ARTΝCULO 2.6.1.1.13.1.6. DEPARTAMENTOS DE CAPACITACIΣN EN VIGILANCIA Y SEGURIDAD PRIVADA.</w:t>
      </w:r>
      <w:bookmarkEnd w:id="6227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Se entiende por Departamento de Capacitaciσn en Vigilancia y Seguridad Privada, la dependencia que, al interior de un servicio de vigilancia y seguridad privada autorizado, se establece para capacitar a su personal operativo.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El servicio de vigilancia y seguridad privada con licencia de funcionamiento vigente podrα solicitar autorizaciσn para establecer un Departamento de Capacitaciσn y Entrenamiento en Vigilancia y Seguridad Privada en cualquier momento, es de precisar que la capacitaciσn brindada en los departamentos de capacitaciσn son exclusivamente para el personal operativo que se encuentra vinculado con las Empresas de vigilancia y seguridad privada con armas y sin armas, Cooperativas de vigilancia y seguridad privada con armas y sin armas, Empresas transportadoras de valores, departamentos de seguridad, servicios especiales y comunitarios que tengan autorizado el departamento de capacitaciσn.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renovaciσn del Departamento de Capacitaciσn y Entrenamiento en Vigilancia y Seguridad Privada estarα supeditada al tιrmino de licenciamiento del servicio de vigilancia y seguridad privada. </w:t>
      </w:r>
    </w:p>
    <w:p>
      <w:pPr>
        <w:jc w:val="both"/>
        <w:keepNext/>
      </w:pPr>
      <w:rPr>
        <w:color w:val="black"/>
      </w:rPr>
    </w:p>
    <w:p>
      <w:pPr>
        <w:jc w:val="both"/>
        <w:keepNext/>
        <w:outlineLvl w:val="1"/>
      </w:pPr>
      <w:r>
        <w:rPr>
          <w:rFonts w:hAnsi="Arial"/>
          <w:rFonts w:ascii="Arial"/>
          <w:sz w:val="24"/>
          <w:b/>
          <w:vanish/>
          <w:color w:val="black"/>
        </w:rPr>
        <w:t>&amp;$</w:t>
      </w:r>
      <w:bookmarkStart w:id="62271" w:name="2.6.1.1.13.1.7"/>
      <w:r>
        <w:rPr>
          <w:rFonts w:hAnsi="Arial"/>
          <w:rFonts w:ascii="Arial"/>
          <w:sz w:val="24"/>
          <w:color w:val="navy"/>
        </w:rPr>
        <w:t xml:space="preserve">ARTΝCULO 2.6.1.1.13.1.7. AUTORIZACIΣN DE CAPACITACIΣN EN VIGILANCIA Y SEGURIDAD PRIVADA.</w:t>
      </w:r>
      <w:bookmarkEnd w:id="6227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ofrecer y desarrollar un curso de capacitaciσn en Vigilancia y Seguridad Privada se requiere que las Escuelas y Departamentos de Capacitaciσn y Entrenamiento en Vigilancia y Seguridad Privada, cuenten con licencia de funcionamiento aprobada por la Superintendencia de Vigilancia y Seguridad Privada, y que tengan autorizado el Proyecto Educativo Institucional en Vigilancia y Seguridad Privada (PEIS), siendo este requisito indispensable para la aprobaciσn. </w:t>
      </w:r>
    </w:p>
    <w:p>
      <w:pPr>
        <w:jc w:val="both"/>
        <w:keepNext/>
        <w:outlineLvl w:val="1"/>
      </w:pPr>
      <w:rPr>
        <w:sz w:val="24"/>
        <w:b/>
        <w:color w:val="black"/>
      </w:rPr>
    </w:p>
    <w:p>
      <w:pPr>
        <w:jc w:val="both"/>
        <w:keepNext/>
        <w:outlineLvl w:val="1"/>
      </w:pPr>
      <w:r>
        <w:rPr>
          <w:rFonts w:hAnsi="Arial"/>
          <w:rFonts w:ascii="Arial"/>
          <w:sz w:val="24"/>
          <w:color w:val="black"/>
        </w:rPr>
        <w:t xml:space="preserve">En el Proyecto Educativo Institucional en Vigilancia y Seguridad Privada (PEIS) de cada Escuela y Departamento de Capacitaciσn en Vigilancia y Seguridad Privada se establecen los cursos de capacitaciσn que se autorizan para ser ofertados y desarrollados por estas. </w:t>
      </w:r>
    </w:p>
    <w:p>
      <w:pPr>
        <w:jc w:val="both"/>
      </w:pPr>
      <w:rPr>
        <w:color w:val="black"/>
      </w:rPr>
    </w:p>
    <w:p>
      <w:pPr>
        <w:jc w:val="both"/>
      </w:pPr>
      <w:r>
        <w:rPr>
          <w:rFonts w:hAnsi="Arial"/>
          <w:rFonts w:ascii="Arial"/>
          <w:sz w:val="24"/>
          <w:b/>
          <w:vanish/>
          <w:color w:val="black"/>
        </w:rPr>
        <w:t>&amp;$</w:t>
      </w:r>
      <w:bookmarkStart w:id="62272" w:name="2.6.1.1.13.1.8"/>
      <w:r>
        <w:rPr>
          <w:rFonts w:hAnsi="Arial"/>
          <w:rFonts w:ascii="Arial"/>
          <w:sz w:val="24"/>
          <w:color w:val="navy"/>
        </w:rPr>
        <w:t xml:space="preserve">ARTΝCULO 2.6.1.1.13.1.8. VIGENCIA DEL PEIS.</w:t>
      </w:r>
      <w:bookmarkEnd w:id="6227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Proyecto Educativo Institucional PEIS estarα limitado a la vigencia de la licencia de funcionamiento de la Escuela y Departamento de Capacitaciσn de Vigilancia y Seguridad Privada. Los cursos de capacitaciσn solo podrαn ofertarse mientras se encuentre vigente la Licencia de Funcionamiento.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Escuelas y Departamentos de Capacitaciσn en Vigilancia y Seguridad Privada deberαn presentar los planes de mejoramiento anualmente, con el fin de verificar el cumplimiento de los objetivos y metas propuestas. </w:t>
      </w:r>
    </w:p>
    <w:p>
      <w:pPr>
        <w:jc w:val="both"/>
      </w:pPr>
      <w:rPr>
        <w:color w:val="black"/>
      </w:rPr>
    </w:p>
    <w:p>
      <w:pPr>
        <w:jc w:val="both"/>
      </w:pPr>
      <w:r>
        <w:rPr>
          <w:rFonts w:hAnsi="Arial"/>
          <w:rFonts w:ascii="Arial"/>
          <w:sz w:val="24"/>
          <w:b/>
          <w:vanish/>
          <w:color w:val="black"/>
        </w:rPr>
        <w:t>&amp;$</w:t>
      </w:r>
      <w:bookmarkStart w:id="62273" w:name="2.6.1.1.13.1.9"/>
      <w:r>
        <w:rPr>
          <w:rFonts w:hAnsi="Arial"/>
          <w:rFonts w:ascii="Arial"/>
          <w:sz w:val="24"/>
          <w:color w:val="navy"/>
        </w:rPr>
        <w:t xml:space="preserve">ARTΝCULO 2.6.1.1.13.1.9. VALIDEZ DE AUTORIZACIΣN.</w:t>
      </w:r>
      <w:bookmarkEnd w:id="622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No serαn vαlidos los certificados de cursos de capacitaciσn que sean entregados por escuelas, departamentos de capacitaciσn u otros que no tengan licencia de funcionamiento y PEIS autorizado y vigente por la Superintendencia de Vigilancia y Seguridad Privada a la fecha de realizaciσn del curso.</w:t>
      </w:r>
    </w:p>
    <w:p>
      <w:pPr>
        <w:jc w:val="both"/>
        <w:outlineLvl w:val="1"/>
      </w:pPr>
      <w:rPr>
        <w:sz w:val="24"/>
        <w:b/>
        <w:color w:val="black"/>
      </w:rPr>
    </w:p>
    <w:p>
      <w:pPr>
        <w:jc w:val="both"/>
        <w:outlineLvl w:val="1"/>
      </w:pPr>
      <w:r>
        <w:rPr>
          <w:rFonts w:hAnsi="Arial"/>
          <w:rFonts w:ascii="Arial"/>
          <w:sz w:val="24"/>
          <w:color w:val="black"/>
        </w:rPr>
        <w:t xml:space="preserve">Tampoco serαn vαlidos los certificados de cursos de capacitaciσn que no estαn autorizados en el PEIS de la Escuela o Departamento de Capacitaciσn en Vigilancia y Seguridad Privada. </w:t>
      </w:r>
    </w:p>
    <w:p>
      <w:pPr>
        <w:jc w:val="both"/>
      </w:pPr>
      <w:rPr>
        <w:color w:val="black"/>
      </w:rPr>
    </w:p>
    <w:p>
      <w:pPr>
        <w:jc w:val="both"/>
        <w:outlineLvl w:val="1"/>
      </w:pPr>
      <w:r>
        <w:rPr>
          <w:rFonts w:hAnsi="Arial"/>
          <w:rFonts w:ascii="Arial"/>
          <w:sz w:val="24"/>
          <w:b/>
          <w:vanish/>
          <w:color w:val="black"/>
        </w:rPr>
        <w:t>&amp;$</w:t>
      </w:r>
      <w:bookmarkStart w:id="62274" w:name="2.6.1.1.13.1.10"/>
      <w:r>
        <w:rPr>
          <w:rFonts w:hAnsi="Arial"/>
          <w:rFonts w:ascii="Arial"/>
          <w:sz w:val="24"/>
          <w:color w:val="navy"/>
        </w:rPr>
        <w:t xml:space="preserve">ARTΝCULO 2.6.1.1.13.1.10. INSTALACIONES PARA LA CAPACITACIΣN.</w:t>
      </w:r>
      <w:bookmarkEnd w:id="622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Superintendencia de Vigilancia y Seguridad Privada establece los lineamientos de los ambientes pedagσgicos que deben tener las Escuelas y Departamentos de Capacitaciσn en Vigilancia y Seguridad Privada para ofertar los cursos de capacitaciσn con el propσsito de crear condiciones adecuadas para el proceso pedagσgico de enseρanza - aprendizaje y mantener la seguridad de los elementos que se utilizan como armas, municiones y demαs equipos electrσnicos, los cuales se distribuyen en ambientes pedagσgicos bαsicos y ambientes pedagσgicos complementarios.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Las instalaciones, deben contar con: </w:t>
      </w:r>
    </w:p>
    <w:p>
      <w:pPr>
        <w:jc w:val="both"/>
        <w:outlineLvl w:val="1"/>
      </w:pPr>
      <w:rPr>
        <w:sz w:val="24"/>
        <w:b/>
        <w:color w:val="black"/>
      </w:rPr>
    </w:p>
    <w:p>
      <w:pPr>
        <w:jc w:val="both"/>
        <w:outlineLvl w:val="1"/>
      </w:pPr>
      <w:r>
        <w:rPr>
          <w:rFonts w:hAnsi="Arial"/>
          <w:rFonts w:ascii="Arial"/>
          <w:sz w:val="24"/>
          <w:b/>
          <w:color w:val="black"/>
        </w:rPr>
        <w:t xml:space="preserve">1. Ambientes Pedagσgicos Bαsicos: </w:t>
      </w:r>
      <w:r>
        <w:rPr>
          <w:rFonts w:hAnsi="Arial"/>
          <w:rFonts w:ascii="Arial"/>
          <w:sz w:val="24"/>
          <w:color w:val="black"/>
        </w:rPr>
        <w:t xml:space="preserve">Las aulas de clase dotadas de mobiliario seguro y cσmodo, con buena ventilaciσn e iluminaciσn en donde la circulaciσn sea segura y ademαs permita que exista el escritorio del docente y los materiales utilizados en el proceso pedagσgico. El αrea en metros cuadrados es de 1.65 por estudiante, respecto del distanciamiento con el docente se deberα contar con un distanciamiento mνnimo de 2 mts. </w:t>
      </w:r>
    </w:p>
    <w:p>
      <w:pPr>
        <w:jc w:val="both"/>
        <w:outlineLvl w:val="1"/>
      </w:pPr>
      <w:rPr>
        <w:sz w:val="24"/>
        <w:b/>
        <w:color w:val="black"/>
      </w:rPr>
    </w:p>
    <w:p>
      <w:pPr>
        <w:jc w:val="both"/>
        <w:outlineLvl w:val="1"/>
      </w:pPr>
      <w:r>
        <w:rPr>
          <w:rFonts w:hAnsi="Arial"/>
          <w:rFonts w:ascii="Arial"/>
          <w:sz w:val="24"/>
          <w:color w:val="black"/>
        </w:rPr>
        <w:t xml:space="preserve">Las instalaciones para las sedes principales de las escuelas deberαn tener mνnimo tres aulas de clase y para las sucursales y agencias mνnimo de dos aulas. El nϊmero de aulas se incrementarα teniendo en cuenta el nϊmero de estudiantes atendido en esa agencia o sucursal. </w:t>
      </w:r>
    </w:p>
    <w:p>
      <w:pPr>
        <w:jc w:val="both"/>
        <w:outlineLvl w:val="1"/>
      </w:pPr>
      <w:rPr>
        <w:sz w:val="24"/>
        <w:b/>
        <w:color w:val="black"/>
      </w:rPr>
    </w:p>
    <w:p>
      <w:pPr>
        <w:jc w:val="both"/>
        <w:outlineLvl w:val="1"/>
      </w:pPr>
      <w:r>
        <w:rPr>
          <w:rFonts w:hAnsi="Arial"/>
          <w:rFonts w:ascii="Arial"/>
          <w:sz w:val="24"/>
          <w:b/>
          <w:color w:val="black"/>
        </w:rPr>
        <w:t xml:space="preserve">2. Biblioteca: </w:t>
      </w:r>
      <w:r>
        <w:rPr>
          <w:rFonts w:hAnsi="Arial"/>
          <w:rFonts w:ascii="Arial"/>
          <w:sz w:val="24"/>
          <w:color w:val="black"/>
        </w:rPr>
        <w:t xml:space="preserve">La escuela o departamento de capacitaciσn y entrenamiento en vigilancia y seguridad privada, podrαn contar con una biblioteca fνsica o virtual para el desarrollo de las actividades pedagσgicas, en lo que tiene que ver con la consulta de libros, normas, leyes y todo lo relacionado con el curso objeto de capacitaciσn. </w:t>
      </w:r>
    </w:p>
    <w:p>
      <w:pPr>
        <w:jc w:val="both"/>
        <w:outlineLvl w:val="1"/>
      </w:pPr>
      <w:rPr>
        <w:sz w:val="24"/>
        <w:b/>
        <w:color w:val="black"/>
      </w:rPr>
    </w:p>
    <w:p>
      <w:pPr>
        <w:jc w:val="both"/>
        <w:outlineLvl w:val="1"/>
      </w:pPr>
      <w:r>
        <w:rPr>
          <w:rFonts w:hAnsi="Arial"/>
          <w:rFonts w:ascii="Arial"/>
          <w:sz w:val="24"/>
          <w:b/>
          <w:color w:val="black"/>
        </w:rPr>
        <w:t xml:space="preserve">3. Sala de Audiovisuales: </w:t>
      </w:r>
      <w:r>
        <w:rPr>
          <w:rFonts w:hAnsi="Arial"/>
          <w:rFonts w:ascii="Arial"/>
          <w:sz w:val="24"/>
          <w:color w:val="black"/>
        </w:rPr>
        <w:t xml:space="preserve">La escuela o departamento de capacitaciσn y entrenamiento en vigilancia y seguridad privada, podrαn contar con un espacio dotado de elementos en donde se realicen las prαcticas de acuerdo con la formaciσn de los estudiantes, estas deben ser iluminadas, y equipadas con elementos electrσnicos de acuerdo con el nϊmero de estudiantes. </w:t>
      </w:r>
    </w:p>
    <w:p>
      <w:pPr>
        <w:jc w:val="both"/>
        <w:outlineLvl w:val="1"/>
      </w:pPr>
      <w:rPr>
        <w:sz w:val="24"/>
        <w:b/>
        <w:color w:val="black"/>
      </w:rPr>
    </w:p>
    <w:p>
      <w:pPr>
        <w:jc w:val="both"/>
        <w:outlineLvl w:val="1"/>
      </w:pPr>
      <w:r>
        <w:rPr>
          <w:rFonts w:hAnsi="Arial"/>
          <w:rFonts w:ascii="Arial"/>
          <w:sz w:val="24"/>
          <w:b/>
          <w:color w:val="black"/>
        </w:rPr>
        <w:t xml:space="preserve">4. Ambientes Pedagσgicos Complementarios: </w:t>
      </w:r>
      <w:r>
        <w:rPr>
          <w:rFonts w:hAnsi="Arial"/>
          <w:rFonts w:ascii="Arial"/>
          <w:sz w:val="24"/>
          <w:color w:val="black"/>
        </w:rPr>
        <w:t xml:space="preserve">Corresponde a la sala de informαtica, dotada de mobiliario cσmodo y computadores, asν como otro tipo de equipos tecnolσgicos o herramientas remotas por medio de las cuales los estudiantes y profesores puedan desarrollar actividades de tipo pedagσgico. </w:t>
      </w:r>
    </w:p>
    <w:p>
      <w:pPr>
        <w:jc w:val="both"/>
        <w:outlineLvl w:val="1"/>
      </w:pPr>
      <w:rPr>
        <w:sz w:val="24"/>
        <w:b/>
        <w:color w:val="black"/>
      </w:rPr>
    </w:p>
    <w:p>
      <w:pPr>
        <w:jc w:val="both"/>
        <w:outlineLvl w:val="1"/>
      </w:pPr>
      <w:r>
        <w:rPr>
          <w:rFonts w:hAnsi="Arial"/>
          <w:rFonts w:ascii="Arial"/>
          <w:sz w:val="24"/>
          <w:b/>
          <w:color w:val="black"/>
        </w:rPr>
        <w:t xml:space="preserve">5. Servicios Sanitarios: </w:t>
      </w:r>
      <w:r>
        <w:rPr>
          <w:rFonts w:hAnsi="Arial"/>
          <w:rFonts w:ascii="Arial"/>
          <w:sz w:val="24"/>
          <w:color w:val="black"/>
        </w:rPr>
        <w:t xml:space="preserve">Se encuentran dentro del ambiente pedagσgico complementario, y de acuerdo con el nϊmero de estudiantes deben existir las baterνas de baρo un total de 4 baterνas en las principales y sucursales o agencias 2 baterνas, de las cuales se deben distribuir 50% hombres y 50% mujeres dotadas con mobiliario cσmodo de sanitarios y lavado de manos, iluminados, aireados y seguros. </w:t>
      </w:r>
    </w:p>
    <w:p>
      <w:pPr>
        <w:jc w:val="both"/>
        <w:outlineLvl w:val="1"/>
      </w:pPr>
      <w:rPr>
        <w:sz w:val="24"/>
        <w:b/>
        <w:color w:val="black"/>
      </w:rPr>
    </w:p>
    <w:p>
      <w:pPr>
        <w:jc w:val="both"/>
        <w:outlineLvl w:val="1"/>
      </w:pPr>
      <w:r>
        <w:rPr>
          <w:rFonts w:hAnsi="Arial"/>
          <w:rFonts w:ascii="Arial"/>
          <w:sz w:val="24"/>
          <w:color w:val="black"/>
        </w:rPr>
        <w:t xml:space="preserve">Para docentes y el personal administrativo de acuerdo con el nϊmero de empleados, los cuales deben estar equipados con lo necesario: lavamanos y sanitarios, tanto para hombres como mujeres, amplios, iluminados y seguros. </w:t>
      </w:r>
    </w:p>
    <w:p>
      <w:pPr>
        <w:jc w:val="both"/>
        <w:outlineLvl w:val="1"/>
      </w:pPr>
      <w:rPr>
        <w:sz w:val="24"/>
        <w:b/>
        <w:color w:val="black"/>
      </w:rPr>
    </w:p>
    <w:p>
      <w:pPr>
        <w:jc w:val="both"/>
        <w:outlineLvl w:val="1"/>
      </w:pPr>
      <w:r>
        <w:rPr>
          <w:rFonts w:hAnsi="Arial"/>
          <w:rFonts w:ascii="Arial"/>
          <w:sz w:val="24"/>
          <w:color w:val="black"/>
        </w:rPr>
        <w:t xml:space="preserve">En todo caso se deberαn adoptar las recomendaciones sanitarias que determine el Gobierno nacional, el Ministerio de Salud y las respectivas Secretarνas de Salud en los distintos niveles o quien haga sus veces. </w:t>
      </w:r>
    </w:p>
    <w:p>
      <w:pPr>
        <w:jc w:val="both"/>
        <w:outlineLvl w:val="1"/>
      </w:pPr>
      <w:rPr>
        <w:sz w:val="24"/>
        <w:b/>
        <w:color w:val="black"/>
      </w:rPr>
    </w:p>
    <w:p>
      <w:pPr>
        <w:jc w:val="both"/>
        <w:outlineLvl w:val="1"/>
      </w:pPr>
      <w:r>
        <w:rPr>
          <w:rFonts w:hAnsi="Arial"/>
          <w:rFonts w:ascii="Arial"/>
          <w:sz w:val="24"/>
          <w:b/>
          <w:color w:val="black"/>
        </w:rPr>
        <w:t xml:space="preserve">6. Ambiente para el personal directivo, acadιmico administrativo y de servicios generales: </w:t>
      </w:r>
      <w:r>
        <w:rPr>
          <w:rFonts w:hAnsi="Arial"/>
          <w:rFonts w:ascii="Arial"/>
          <w:sz w:val="24"/>
          <w:color w:val="black"/>
        </w:rPr>
        <w:t xml:space="preserve">Espacios que permitan el desarrollo de las funciones, dotados de mobiliario adecuado y cσmodo, archivadores, computadores y demαs elementos que permitan el desarrollo de las funciones de manera eficiente y segura. </w:t>
      </w:r>
    </w:p>
    <w:p>
      <w:pPr>
        <w:jc w:val="both"/>
        <w:outlineLvl w:val="1"/>
      </w:pPr>
      <w:rPr>
        <w:sz w:val="24"/>
        <w:b/>
        <w:color w:val="black"/>
      </w:rPr>
    </w:p>
    <w:p>
      <w:pPr>
        <w:jc w:val="both"/>
        <w:outlineLvl w:val="1"/>
      </w:pPr>
      <w:r>
        <w:rPr>
          <w:rFonts w:hAnsi="Arial"/>
          <w:rFonts w:ascii="Arial"/>
          <w:sz w:val="24"/>
          <w:color w:val="black"/>
        </w:rPr>
        <w:t xml:space="preserve">Para el personal de servicios generales se requiere, el espacio para almacenar los elementos de aseo y demαs indumentaria para el desarrollo de su labor. </w:t>
      </w:r>
    </w:p>
    <w:p>
      <w:pPr>
        <w:jc w:val="both"/>
        <w:outlineLvl w:val="1"/>
      </w:pPr>
      <w:rPr>
        <w:sz w:val="24"/>
        <w:b/>
        <w:color w:val="black"/>
      </w:rPr>
    </w:p>
    <w:p>
      <w:pPr>
        <w:jc w:val="both"/>
        <w:outlineLvl w:val="1"/>
      </w:pPr>
      <w:r>
        <w:rPr>
          <w:rFonts w:hAnsi="Arial"/>
          <w:rFonts w:ascii="Arial"/>
          <w:sz w:val="24"/>
          <w:b/>
          <w:color w:val="black"/>
        </w:rPr>
        <w:t xml:space="preserve">7. Ambiente para docentes: </w:t>
      </w:r>
      <w:r>
        <w:rPr>
          <w:rFonts w:hAnsi="Arial"/>
          <w:rFonts w:ascii="Arial"/>
          <w:sz w:val="24"/>
          <w:color w:val="black"/>
        </w:rPr>
        <w:t xml:space="preserve">Mσdulo y/o Cubνculo dotado de mobiliario en donde realizan actividades de acuerdo con su funciσn como docente y en el cual se puedan guardar de manera segura los materiales pedagσgicos existentes previendo el cuidado y conservaciσn de estos para su capacitaciσn. </w:t>
      </w:r>
    </w:p>
    <w:p>
      <w:pPr>
        <w:jc w:val="both"/>
        <w:outlineLvl w:val="1"/>
      </w:pPr>
      <w:rPr>
        <w:sz w:val="24"/>
        <w:b/>
        <w:color w:val="black"/>
      </w:rPr>
    </w:p>
    <w:p>
      <w:pPr>
        <w:jc w:val="both"/>
        <w:outlineLvl w:val="1"/>
      </w:pPr>
      <w:r>
        <w:rPr>
          <w:rFonts w:hAnsi="Arial"/>
          <w:rFonts w:ascii="Arial"/>
          <w:sz w:val="24"/>
          <w:b/>
          <w:color w:val="black"/>
        </w:rPr>
        <w:t xml:space="preserve">8. Αrea de Cafeterνa: </w:t>
      </w:r>
      <w:r>
        <w:rPr>
          <w:rFonts w:hAnsi="Arial"/>
          <w:rFonts w:ascii="Arial"/>
          <w:sz w:val="24"/>
          <w:color w:val="black"/>
        </w:rPr>
        <w:t xml:space="preserve">Tanto para estudiantes como docentes, se requiere contar con mobiliario propicio para desarrollar diferentes actividades en esta αrea como cafetera, sillas, mesas o barras de acuerdo con la organizaciσn de la escuela para que tomen sus alimentos y evitando las aglomeraciones. </w:t>
      </w:r>
    </w:p>
    <w:p>
      <w:pPr>
        <w:jc w:val="both"/>
        <w:outlineLvl w:val="1"/>
      </w:pPr>
      <w:rPr>
        <w:sz w:val="24"/>
        <w:b/>
        <w:color w:val="black"/>
      </w:rPr>
    </w:p>
    <w:p>
      <w:pPr>
        <w:jc w:val="both"/>
        <w:outlineLvl w:val="1"/>
      </w:pPr>
      <w:r>
        <w:rPr>
          <w:rFonts w:hAnsi="Arial"/>
          <w:rFonts w:ascii="Arial"/>
          <w:sz w:val="24"/>
          <w:b/>
          <w:color w:val="black"/>
        </w:rPr>
        <w:t xml:space="preserve">9. Αreas comunes: </w:t>
      </w:r>
      <w:r>
        <w:rPr>
          <w:rFonts w:hAnsi="Arial"/>
          <w:rFonts w:ascii="Arial"/>
          <w:sz w:val="24"/>
          <w:color w:val="black"/>
        </w:rPr>
        <w:t xml:space="preserve">Los espacios de las Escuelas y Departamentos de Capacitaciσn en Vigilancia y Seguridad Privada deben garantizar el acceso y/o circulaciσn de personas con discapacidad. </w:t>
      </w:r>
    </w:p>
    <w:p>
      <w:pPr>
        <w:jc w:val="both"/>
        <w:outlineLvl w:val="1"/>
      </w:pPr>
      <w:rPr>
        <w:sz w:val="24"/>
        <w:b/>
        <w:color w:val="black"/>
      </w:rPr>
    </w:p>
    <w:p>
      <w:pPr>
        <w:jc w:val="both"/>
        <w:outlineLvl w:val="1"/>
      </w:pPr>
      <w:r>
        <w:rPr>
          <w:rFonts w:hAnsi="Arial"/>
          <w:rFonts w:ascii="Arial"/>
          <w:sz w:val="24"/>
          <w:b/>
          <w:color w:val="black"/>
        </w:rPr>
        <w:t xml:space="preserve">10. Plano de Evacuaciσn: </w:t>
      </w:r>
      <w:r>
        <w:rPr>
          <w:rFonts w:hAnsi="Arial"/>
          <w:rFonts w:ascii="Arial"/>
          <w:sz w:val="24"/>
          <w:color w:val="black"/>
        </w:rPr>
        <w:t xml:space="preserve">ubicando en los puntos de encuentro, rutas de evacuaciσn, salidas de emergencia, extintores, camillas, botiquνn de primeros auxilios debidamente dotado con los elementos exigidos por las autoridades competentes. </w:t>
      </w:r>
    </w:p>
    <w:p>
      <w:pPr>
        <w:jc w:val="both"/>
        <w:outlineLvl w:val="1"/>
      </w:pPr>
      <w:rPr>
        <w:sz w:val="24"/>
        <w:b/>
        <w:color w:val="black"/>
      </w:rPr>
    </w:p>
    <w:p>
      <w:pPr>
        <w:jc w:val="both"/>
        <w:outlineLvl w:val="1"/>
      </w:pPr>
      <w:r>
        <w:rPr>
          <w:rFonts w:hAnsi="Arial"/>
          <w:rFonts w:ascii="Arial"/>
          <w:sz w:val="24"/>
          <w:b/>
          <w:color w:val="black"/>
        </w:rPr>
        <w:t xml:space="preserve">11. Elementos Especiales: </w:t>
      </w:r>
      <w:r>
        <w:rPr>
          <w:rFonts w:hAnsi="Arial"/>
          <w:rFonts w:ascii="Arial"/>
          <w:sz w:val="24"/>
          <w:color w:val="black"/>
        </w:rPr>
        <w:t xml:space="preserve">Para el caso de las armas, deben encontrarse dentro de un Armerillo el cual estarα ubicado en un sitio seguro y de acceso restringido. </w:t>
      </w:r>
    </w:p>
    <w:p>
      <w:pPr>
        <w:jc w:val="both"/>
        <w:keepNext/>
      </w:pPr>
      <w:rPr>
        <w:color w:val="black"/>
      </w:rPr>
    </w:p>
    <w:p>
      <w:pPr>
        <w:jc w:val="both"/>
        <w:keepNext/>
        <w:outlineLvl w:val="1"/>
      </w:pPr>
      <w:r>
        <w:rPr>
          <w:rFonts w:hAnsi="Arial"/>
          <w:rFonts w:ascii="Arial"/>
          <w:sz w:val="24"/>
          <w:b/>
          <w:vanish/>
          <w:color w:val="black"/>
        </w:rPr>
        <w:t>&amp;$</w:t>
      </w:r>
      <w:bookmarkStart w:id="62275" w:name="2.6.1.1.13.1.11"/>
      <w:r>
        <w:rPr>
          <w:rFonts w:hAnsi="Arial"/>
          <w:rFonts w:ascii="Arial"/>
          <w:sz w:val="24"/>
          <w:color w:val="navy"/>
        </w:rPr>
        <w:t xml:space="preserve">ARTΝCULO 2.6.1.1.13.1.11. INSTALACIONES REFERENTES A LA UNIDAD CANINA.</w:t>
      </w:r>
      <w:bookmarkEnd w:id="622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en Vigilancia y Seguridad Privada que tengan aprobado el ciclo de manejador canino, deberαn contar con instalaciones para su uso exclusivo, las cuales serαn adecuadas contando con la infraestructura y las αreas apropiadas para la prαctica y realizaciσn de las competencias del ciclo de manejador canino, las cuales deben reunir las caracterνsticas de cuidado, protecciσn de los caninos y los requerimientos legales establecidos para tal fin. </w:t>
      </w:r>
    </w:p>
    <w:p>
      <w:pPr>
        <w:jc w:val="both"/>
        <w:keepNext/>
        <w:outlineLvl w:val="1"/>
      </w:pPr>
      <w:rPr>
        <w:sz w:val="24"/>
        <w:b/>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Las Escuelas y/o Departamentos de Capacitaciσn en Vigilancia y Seguridad Privada, pueden establecer convenios con el Ejιrcito Nacional, la Policνa Nacional, empresas y cooperativas de vigilancia y seguridad privada que tengan aprobado el medio canino, para las prαcticas caninas.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color w:val="black"/>
        </w:rPr>
        <w:t xml:space="preserve"> Reuniendo los requisitos establecidos para la autorizaciσn del medio canino, la Escuela y/o Departamento de Capacitaciσn deben solicitar a la Superintendencia de Vigilancia y Seguridad Privada, la autorizaciσn para el funcionamiento de la unidad y el medio caninos exclusivamente para el ejercicio de capacitaciσn y entrenamiento en vigilancia y seguridad privada. </w:t>
      </w:r>
    </w:p>
    <w:p>
      <w:pPr>
        <w:jc w:val="both"/>
      </w:pPr>
      <w:rPr>
        <w:color w:val="black"/>
      </w:rPr>
    </w:p>
    <w:p>
      <w:pPr>
        <w:jc w:val="both"/>
      </w:pPr>
      <w:r>
        <w:rPr>
          <w:rFonts w:hAnsi="Arial"/>
          <w:rFonts w:ascii="Arial"/>
          <w:sz w:val="24"/>
          <w:b/>
          <w:vanish/>
          <w:color w:val="black"/>
        </w:rPr>
        <w:t>&amp;$</w:t>
      </w:r>
      <w:bookmarkStart w:id="62276" w:name="2.6.1.1.13.1.12"/>
      <w:r>
        <w:rPr>
          <w:rFonts w:hAnsi="Arial"/>
          <w:rFonts w:ascii="Arial"/>
          <w:sz w:val="24"/>
          <w:color w:val="navy"/>
        </w:rPr>
        <w:t xml:space="preserve">ARTΝCULO 2.6.1.1.13.1.12 REQUISITOS DE INFRAESTRUCTURA FΝSICA EN LA UNIDAD CANINA.</w:t>
      </w:r>
      <w:bookmarkEnd w:id="6227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requisitos de infraestructura, identificaciσn y seρalizaciσn, ambientales y de protecciσn o bienestar animal de las Unidades Caninas de las Escuelas y Departamentos de Capacitaciσn en Vigilancia y Seguridad Privada serαn establecidos mediante acto administrativo por la Superintendencia de Vigilancia y Seguridad Privada. </w:t>
      </w:r>
    </w:p>
    <w:p>
      <w:pPr>
        <w:jc w:val="center"/>
        <w:outlineLvl w:val="1"/>
      </w:pPr>
      <w:rPr>
        <w:sz w:val="24"/>
        <w:b/>
        <w:color w:val="black"/>
      </w:rPr>
    </w:p>
    <w:p>
      <w:pPr>
        <w:jc w:val="center"/>
        <w:outlineLvl w:val="1"/>
      </w:pPr>
      <w:r>
        <w:rPr>
          <w:rFonts w:hAnsi="Arial"/>
          <w:rFonts w:ascii="Arial"/>
          <w:sz w:val="24"/>
          <w:b/>
          <w:vanish/>
          <w:color w:val="black"/>
        </w:rPr>
        <w:t>&amp;$</w:t>
      </w:r>
      <w:bookmarkStart w:id="62277" w:name="Tx2.6.1.1.13.1.13"/>
      <w:r>
        <w:rPr>
          <w:rFonts w:hAnsi="Arial"/>
          <w:rFonts w:ascii="Arial"/>
          <w:sz w:val="24"/>
          <w:color w:val="navy"/>
        </w:rPr>
        <w:t xml:space="preserve">PRΑCTICAS DE POLΝGONO.</w:t>
      </w:r>
      <w:bookmarkEnd w:id="6227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2278" w:name="2.6.1.1.13.1.13"/>
      <w:r>
        <w:rPr>
          <w:rFonts w:hAnsi="Arial"/>
          <w:rFonts w:ascii="Arial"/>
          <w:sz w:val="24"/>
          <w:color w:val="navy"/>
        </w:rPr>
        <w:t xml:space="preserve">ARTΝCULO 2.6.1.1.13.1.13. POLΝGONOS.</w:t>
      </w:r>
      <w:bookmarkEnd w:id="6227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polνgonos utilizados para las prαcticas de tiro con armas deben estar previamente autorizados por la autoridad competente.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prαcticas de tiro se desarrollarαn de manera presencial en los polνgonos que cuenten con licencia de funcionamiento de polνgonos expedida por el Departamento Control Comercio de Armas, Municiones y Explosivos (DCCAE) de las Fuerzas Militares.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Las Escuelas y Departamentos de Capacitaciσn y Entrenamiento en Seguridad Privada que no cuenten con instalaciones de polνgono propias podrαn contratar o suscribir convenios con aquellas que cuenten con instalaciones debidamente autorizadas.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Prohνbase las prαcticas de tiro presencial con elementos diferentes a las armas de fuego, traumαticas o de menor letalidad, en lugares diferentes a los polνgonos autorizados por la autoridad competente. </w:t>
      </w:r>
    </w:p>
    <w:p>
      <w:pPr>
        <w:jc w:val="both"/>
        <w:outlineLvl w:val="1"/>
      </w:pPr>
      <w:rPr>
        <w:sz w:val="24"/>
        <w:color w:val="black"/>
      </w:rPr>
    </w:p>
    <w:p>
      <w:pPr>
        <w:jc w:val="both"/>
        <w:outlineLvl w:val="1"/>
      </w:pPr>
      <w:r>
        <w:rPr>
          <w:rFonts w:hAnsi="Arial"/>
          <w:rFonts w:ascii="Arial"/>
          <w:sz w:val="24"/>
          <w:color w:val="navy"/>
        </w:rPr>
        <w:t xml:space="preserve">PARΑGRAFO 4o.</w:t>
      </w:r>
      <w:r>
        <w:rPr>
          <w:rFonts w:hAnsi="Arial"/>
          <w:rFonts w:ascii="Arial"/>
          <w:sz w:val="24"/>
          <w:color w:val="black"/>
        </w:rPr>
        <w:t xml:space="preserve"> El plan de capacitaciσn de tiro en las Escuelas y Departamentos de Capacitaciσn y Entrenamiento en Seguridad Privada se desarrollarα de manera presencial en un cien por ciento (100%), en los polνgonos debidamente autorizados por la autoridad competente. </w:t>
      </w:r>
    </w:p>
    <w:p>
      <w:pPr>
        <w:jc w:val="both"/>
      </w:pPr>
      <w:rPr>
        <w:color w:val="black"/>
      </w:rPr>
    </w:p>
    <w:p>
      <w:pPr>
        <w:jc w:val="both"/>
      </w:pPr>
      <w:r>
        <w:rPr>
          <w:rFonts w:hAnsi="Arial"/>
          <w:rFonts w:ascii="Arial"/>
          <w:sz w:val="24"/>
          <w:b/>
          <w:vanish/>
          <w:color w:val="black"/>
        </w:rPr>
        <w:t>&amp;$</w:t>
      </w:r>
      <w:bookmarkStart w:id="62279" w:name="2.6.1.1.13.1.14"/>
      <w:r>
        <w:rPr>
          <w:rFonts w:hAnsi="Arial"/>
          <w:rFonts w:ascii="Arial"/>
          <w:sz w:val="24"/>
          <w:color w:val="navy"/>
        </w:rPr>
        <w:t xml:space="preserve">ARTΝCULO 2.6.1.1.13.1.14. USO DE SIMULADORES DE TIRO.</w:t>
      </w:r>
      <w:bookmarkEnd w:id="6227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y Entrenamiento en Seguridad Privada podrαn utilizar simuladores de tiro como apoyo dentro de su plan de capacitaciσn. El uso de simuladores de tiro dentro de los planes de capacitaciσn podrα ser autorizado mαximo hasta un cuarenta por ciento (40%) de la prαctica de tiro. El Gobierno nacional por conducto del Comando General de las Fuerzas Militares, reglamentarα esta materia en un plazo no mayor a 8 meses prorrogables por un periodo igual por una ϊnica vez. </w:t>
      </w:r>
    </w:p>
    <w:p>
      <w:pPr>
        <w:jc w:val="both"/>
      </w:pPr>
      <w:rPr>
        <w:color w:val="black"/>
      </w:rPr>
    </w:p>
    <w:p>
      <w:pPr>
        <w:jc w:val="both"/>
        <w:outlineLvl w:val="1"/>
      </w:pPr>
      <w:r>
        <w:rPr>
          <w:rFonts w:hAnsi="Arial"/>
          <w:rFonts w:ascii="Arial"/>
          <w:sz w:val="24"/>
          <w:b/>
          <w:vanish/>
          <w:color w:val="black"/>
        </w:rPr>
        <w:t>&amp;$</w:t>
      </w:r>
      <w:bookmarkStart w:id="62280" w:name="2.6.1.1.13.1.15"/>
      <w:r>
        <w:rPr>
          <w:rFonts w:hAnsi="Arial"/>
          <w:rFonts w:ascii="Arial"/>
          <w:sz w:val="24"/>
          <w:color w:val="navy"/>
        </w:rPr>
        <w:t xml:space="preserve">ARTΝCULO 2.6.1.1.13.1.15. PRΑCTICA DE POLΝGONO EN SIMULADOR.</w:t>
      </w:r>
      <w:bookmarkEnd w:id="6228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ejercicio de polνgono en simulador se define como la representaciσn virtual de la realidad que permite adquirir la habilidad en el empleo de las armas de fuego, con escenarios simulados que le ayuden al alumno a comprender y evaluar estrategias que le den la pericia a la hora de enfrentar el desarrollo del polνgono con armas las situaciones cotidianas en las cuales se desempeρa el personal de vigilancia y seguridad privada. </w:t>
      </w:r>
    </w:p>
    <w:p>
      <w:pPr>
        <w:jc w:val="both"/>
      </w:pPr>
      <w:rPr>
        <w:color w:val="black"/>
      </w:rPr>
    </w:p>
    <w:p>
      <w:pPr>
        <w:jc w:val="both"/>
        <w:outlineLvl w:val="1"/>
      </w:pPr>
      <w:r>
        <w:rPr>
          <w:rFonts w:hAnsi="Arial"/>
          <w:rFonts w:ascii="Arial"/>
          <w:sz w:val="24"/>
          <w:b/>
          <w:vanish/>
          <w:color w:val="black"/>
        </w:rPr>
        <w:t>&amp;$</w:t>
      </w:r>
      <w:bookmarkStart w:id="62281" w:name="2.6.1.1.13.1.16"/>
      <w:r>
        <w:rPr>
          <w:rFonts w:hAnsi="Arial"/>
          <w:rFonts w:ascii="Arial"/>
          <w:sz w:val="24"/>
          <w:color w:val="navy"/>
        </w:rPr>
        <w:t xml:space="preserve">ARTΝCULO 2.6.1.1.13.1.16. CARACTERΝSTICAS MΝNIMAS.</w:t>
      </w:r>
      <w:bookmarkEnd w:id="622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simuladores para la prαctica de polνgono en simulador deben cumplir como mνnimo con las siguientes caracterνsticas: </w:t>
      </w:r>
    </w:p>
    <w:p>
      <w:pPr>
        <w:jc w:val="both"/>
        <w:outlineLvl w:val="1"/>
      </w:pPr>
      <w:rPr>
        <w:sz w:val="24"/>
        <w:b/>
        <w:color w:val="black"/>
      </w:rPr>
    </w:p>
    <w:p>
      <w:pPr>
        <w:jc w:val="both"/>
        <w:outlineLvl w:val="1"/>
      </w:pPr>
      <w:r>
        <w:rPr>
          <w:rFonts w:hAnsi="Arial"/>
          <w:rFonts w:ascii="Arial"/>
          <w:sz w:val="24"/>
          <w:color w:val="black"/>
        </w:rPr>
        <w:t xml:space="preserve">a) Modelo balνstico realista (Permita la calibraciσn arma - tirador). </w:t>
      </w:r>
    </w:p>
    <w:p>
      <w:pPr>
        <w:jc w:val="both"/>
        <w:outlineLvl w:val="1"/>
      </w:pPr>
      <w:rPr>
        <w:sz w:val="24"/>
        <w:b/>
        <w:color w:val="black"/>
      </w:rPr>
    </w:p>
    <w:p>
      <w:pPr>
        <w:jc w:val="both"/>
        <w:outlineLvl w:val="1"/>
      </w:pPr>
      <w:r>
        <w:rPr>
          <w:rFonts w:hAnsi="Arial"/>
          <w:rFonts w:ascii="Arial"/>
          <w:sz w:val="24"/>
          <w:color w:val="black"/>
        </w:rPr>
        <w:t xml:space="preserve">b) Siluetas reconocidas por la autoridad competente. </w:t>
      </w:r>
    </w:p>
    <w:p>
      <w:pPr>
        <w:jc w:val="both"/>
        <w:outlineLvl w:val="1"/>
      </w:pPr>
      <w:rPr>
        <w:sz w:val="24"/>
        <w:b/>
        <w:color w:val="black"/>
      </w:rPr>
    </w:p>
    <w:p>
      <w:pPr>
        <w:jc w:val="both"/>
        <w:outlineLvl w:val="1"/>
      </w:pPr>
      <w:r>
        <w:rPr>
          <w:rFonts w:hAnsi="Arial"/>
          <w:rFonts w:ascii="Arial"/>
          <w:sz w:val="24"/>
          <w:color w:val="black"/>
        </w:rPr>
        <w:t xml:space="preserve">c) Escenarios ajustados al contexto colombiano (5 escenarios mνnimo), que recreen polνgonos cerrados y abiertos y sus condiciones ambientales. </w:t>
      </w:r>
    </w:p>
    <w:p>
      <w:pPr>
        <w:jc w:val="both"/>
        <w:outlineLvl w:val="1"/>
      </w:pPr>
      <w:rPr>
        <w:sz w:val="24"/>
        <w:b/>
        <w:color w:val="black"/>
      </w:rPr>
    </w:p>
    <w:p>
      <w:pPr>
        <w:jc w:val="both"/>
        <w:outlineLvl w:val="1"/>
      </w:pPr>
      <w:r>
        <w:rPr>
          <w:rFonts w:hAnsi="Arial"/>
          <w:rFonts w:ascii="Arial"/>
          <w:sz w:val="24"/>
          <w:color w:val="black"/>
        </w:rPr>
        <w:t xml:space="preserve">d) Mϊltiples ejercicios de entrenamiento progresivo (30 ejercicios mνnimo), con la descripciσn del ejercicio a realizar, indicando el nϊmero de cartuchos, el tipo de blanco y el tiempo para la ejecuciσn de este. </w:t>
      </w:r>
    </w:p>
    <w:p>
      <w:pPr>
        <w:jc w:val="both"/>
        <w:outlineLvl w:val="1"/>
      </w:pPr>
      <w:rPr>
        <w:sz w:val="24"/>
        <w:b/>
        <w:color w:val="black"/>
      </w:rPr>
    </w:p>
    <w:p>
      <w:pPr>
        <w:jc w:val="both"/>
        <w:outlineLvl w:val="1"/>
      </w:pPr>
      <w:r>
        <w:rPr>
          <w:rFonts w:hAnsi="Arial"/>
          <w:rFonts w:ascii="Arial"/>
          <w:sz w:val="24"/>
          <w:color w:val="black"/>
        </w:rPr>
        <w:t xml:space="preserve">e) Sistema de control remoto del simulador. </w:t>
      </w:r>
    </w:p>
    <w:p>
      <w:pPr>
        <w:jc w:val="both"/>
        <w:outlineLvl w:val="1"/>
      </w:pPr>
      <w:rPr>
        <w:sz w:val="24"/>
        <w:b/>
        <w:color w:val="black"/>
      </w:rPr>
    </w:p>
    <w:p>
      <w:pPr>
        <w:jc w:val="both"/>
        <w:outlineLvl w:val="1"/>
      </w:pPr>
      <w:r>
        <w:rPr>
          <w:rFonts w:hAnsi="Arial"/>
          <w:rFonts w:ascii="Arial"/>
          <w:sz w:val="24"/>
          <w:color w:val="black"/>
        </w:rPr>
        <w:t xml:space="preserve">f) Visualizaciσn de alta calidad. </w:t>
      </w:r>
    </w:p>
    <w:p>
      <w:pPr>
        <w:jc w:val="both"/>
        <w:outlineLvl w:val="1"/>
      </w:pPr>
      <w:rPr>
        <w:sz w:val="24"/>
        <w:b/>
        <w:color w:val="black"/>
      </w:rPr>
    </w:p>
    <w:p>
      <w:pPr>
        <w:jc w:val="both"/>
        <w:outlineLvl w:val="1"/>
      </w:pPr>
      <w:r>
        <w:rPr>
          <w:rFonts w:hAnsi="Arial"/>
          <w:rFonts w:ascii="Arial"/>
          <w:sz w:val="24"/>
          <w:color w:val="black"/>
        </w:rPr>
        <w:t xml:space="preserve">g) Sistema de audio envolvente. </w:t>
      </w:r>
    </w:p>
    <w:p>
      <w:pPr>
        <w:jc w:val="both"/>
        <w:outlineLvl w:val="1"/>
      </w:pPr>
      <w:rPr>
        <w:sz w:val="24"/>
        <w:b/>
        <w:color w:val="black"/>
      </w:rPr>
    </w:p>
    <w:p>
      <w:pPr>
        <w:jc w:val="both"/>
        <w:outlineLvl w:val="1"/>
      </w:pPr>
      <w:r>
        <w:rPr>
          <w:rFonts w:hAnsi="Arial"/>
          <w:rFonts w:ascii="Arial"/>
          <w:sz w:val="24"/>
          <w:color w:val="black"/>
        </w:rPr>
        <w:t xml:space="preserve">h) Rιplicas idιnticas que recreen el retroceso de las armas reales. </w:t>
      </w:r>
    </w:p>
    <w:p>
      <w:pPr>
        <w:jc w:val="both"/>
        <w:outlineLvl w:val="1"/>
      </w:pPr>
      <w:rPr>
        <w:sz w:val="24"/>
        <w:b/>
        <w:color w:val="black"/>
      </w:rPr>
    </w:p>
    <w:p>
      <w:pPr>
        <w:jc w:val="both"/>
        <w:outlineLvl w:val="1"/>
      </w:pPr>
      <w:r>
        <w:rPr>
          <w:rFonts w:hAnsi="Arial"/>
          <w:rFonts w:ascii="Arial"/>
          <w:sz w:val="24"/>
          <w:color w:val="black"/>
        </w:rPr>
        <w:t xml:space="preserve">i) Sistema de evaluaciσn de prαctica de tiro que debe incluir: Identificaciσn biomιtrica, registro fotogrαfico, reporte de resultados obtenidos y conectividad en tiempo real con las bases de datos de la Supervigilancia. </w:t>
      </w:r>
    </w:p>
    <w:p>
      <w:pPr>
        <w:jc w:val="both"/>
        <w:keepNext/>
      </w:pPr>
      <w:rPr>
        <w:color w:val="black"/>
      </w:rPr>
    </w:p>
    <w:p>
      <w:pPr>
        <w:jc w:val="both"/>
        <w:keepNext/>
        <w:outlineLvl w:val="1"/>
      </w:pPr>
      <w:r>
        <w:rPr>
          <w:rFonts w:hAnsi="Arial"/>
          <w:rFonts w:ascii="Arial"/>
          <w:sz w:val="24"/>
          <w:b/>
          <w:vanish/>
          <w:color w:val="black"/>
        </w:rPr>
        <w:t>&amp;$</w:t>
      </w:r>
      <w:bookmarkStart w:id="62282" w:name="2.6.1.1.13.1.17"/>
      <w:r>
        <w:rPr>
          <w:rFonts w:hAnsi="Arial"/>
          <w:rFonts w:ascii="Arial"/>
          <w:sz w:val="24"/>
          <w:color w:val="navy"/>
        </w:rPr>
        <w:t xml:space="preserve">ARTΝCULO 2.6.1.1.13.1.17. LUGAR DE DESARROLLO DE LOS CURSOS.</w:t>
      </w:r>
      <w:bookmarkEnd w:id="6228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oferta y desarrollo de los cursos de Capacitaciσn y Entrenamiento en Vigilancia y Seguridad Privada deben realizarse en la sede principal, sucursales y agencias autorizadas por la Superintendencia de Vigilancia y Seguridad Privada a cada Escuela y Departamento de Capacitaciσn. Excepcionalmente, se podrαn autorizar capacitaciones fuera de la sede de acuerdo con el cumplimiento de los requisitos establecidos para tal fin. </w:t>
      </w:r>
    </w:p>
    <w:p>
      <w:pPr>
        <w:jc w:val="both"/>
      </w:pPr>
      <w:rPr>
        <w:color w:val="black"/>
      </w:rPr>
    </w:p>
    <w:p>
      <w:pPr>
        <w:jc w:val="both"/>
      </w:pPr>
      <w:r>
        <w:rPr>
          <w:rFonts w:hAnsi="Arial"/>
          <w:rFonts w:ascii="Arial"/>
          <w:sz w:val="24"/>
          <w:b/>
          <w:vanish/>
          <w:color w:val="black"/>
        </w:rPr>
        <w:t>&amp;$</w:t>
      </w:r>
      <w:bookmarkStart w:id="62283" w:name="2.6.1.1.13.1.18"/>
      <w:r>
        <w:rPr>
          <w:rFonts w:hAnsi="Arial"/>
          <w:rFonts w:ascii="Arial"/>
          <w:sz w:val="24"/>
          <w:color w:val="navy"/>
        </w:rPr>
        <w:t xml:space="preserve">ARTΝCULO 2.6.1.1.13.1.18. AUTORIZACIΣN DE APERTURA DE SUCURSALES Y AGENCIAS.</w:t>
      </w:r>
      <w:bookmarkEnd w:id="6228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la autorizaciσn de una nueva sucursal o agencia, cada Escuela de Capacitaciσn y Entrenamiento de Vigilancia y Seguridad Privada debe acreditar ante la Superintendencia de Vigilancia y Seguridad Privada el cumplimiento de los requisitos normativos y de infraestructura, para el desarrollo de su objeto social, asν como las condiciones de calidad requeridas para el Proyecto Educativo Institucional en Vigilancia y Seguridad Privada (PEIS). En todo caso la autorizaciσn es previa. </w:t>
      </w:r>
    </w:p>
    <w:p>
      <w:pPr>
        <w:jc w:val="both"/>
      </w:pPr>
      <w:rPr>
        <w:color w:val="black"/>
      </w:rPr>
    </w:p>
    <w:p>
      <w:pPr>
        <w:jc w:val="both"/>
        <w:outlineLvl w:val="1"/>
      </w:pPr>
      <w:r>
        <w:rPr>
          <w:rFonts w:hAnsi="Arial"/>
          <w:rFonts w:ascii="Arial"/>
          <w:sz w:val="24"/>
          <w:b/>
          <w:vanish/>
          <w:color w:val="black"/>
        </w:rPr>
        <w:t>&amp;$</w:t>
      </w:r>
      <w:bookmarkStart w:id="62284" w:name="2.6.1.1.13.1.19"/>
      <w:r>
        <w:rPr>
          <w:rFonts w:hAnsi="Arial"/>
          <w:rFonts w:ascii="Arial"/>
          <w:sz w:val="24"/>
          <w:color w:val="navy"/>
        </w:rPr>
        <w:t xml:space="preserve">ARTΝCULO 2.6.1.1.13.1.19. CAPACITACIONES VIRTUALES.</w:t>
      </w:r>
      <w:bookmarkEnd w:id="6228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y Entrenamiento en Vigilancia y Seguridad Privada, pueden desarrollar capacitaciones virtuales previa solicitud y autorizaciσn por parte de la Superintendencia de Vigilancia y Seguridad Privada, presentando con antelaciσn los registros de los estudiantes, identificaciσn, intensidad horaria, fecha de inicio y terminaciσn del mismo con la preparaciσn de las unidades de aprendizaje en donde se evidencie de manera clara el ιnfasis de los contenidos, los cuales deben estar dirigidos al ciclo de formaciσn y curso, ya sea fundamentaciσn, reentrenamiento, especializaciones, profundizaciones o seminarios. </w:t>
      </w:r>
    </w:p>
    <w:p>
      <w:pPr>
        <w:jc w:val="both"/>
        <w:outlineLvl w:val="1"/>
      </w:pPr>
      <w:rPr>
        <w:sz w:val="24"/>
        <w:b/>
        <w:color w:val="black"/>
      </w:rPr>
    </w:p>
    <w:p>
      <w:pPr>
        <w:jc w:val="both"/>
        <w:outlineLvl w:val="1"/>
      </w:pPr>
      <w:r>
        <w:rPr>
          <w:rFonts w:hAnsi="Arial"/>
          <w:rFonts w:ascii="Arial"/>
          <w:sz w:val="24"/>
          <w:color w:val="black"/>
        </w:rPr>
        <w:t xml:space="preserve">Para el desarrollo de los cursos virtuales, las Escuelas y Departamentos de Capacitaciσn y Entrenamiento de Vigilancia y Seguridad Privada deben implementar plataformas seguras en donde se haga seguimiento al proceso y desarrollo de las unidades de aprendizaje aprobadas por la Superintendencia de Vigilancia y Seguridad Privada. </w:t>
      </w:r>
    </w:p>
    <w:p>
      <w:pPr>
        <w:jc w:val="both"/>
        <w:outlineLvl w:val="1"/>
      </w:pPr>
      <w:rPr>
        <w:sz w:val="24"/>
        <w:b/>
        <w:color w:val="black"/>
      </w:rPr>
    </w:p>
    <w:p>
      <w:pPr>
        <w:jc w:val="both"/>
        <w:outlineLvl w:val="1"/>
      </w:pPr>
      <w:r>
        <w:rPr>
          <w:rFonts w:hAnsi="Arial"/>
          <w:rFonts w:ascii="Arial"/>
          <w:sz w:val="24"/>
          <w:color w:val="black"/>
        </w:rPr>
        <w:t xml:space="preserve">Al momento de implementar el desarrollo de la educaciσn virtual, cada Escuela y/o Departamento de Capacitaciσn y Entrenamiento de Vigilancia y Seguridad Privada basado en su autonomνa institucional, debe garantizar la formaciσn individual y el progreso de los estudiantes en el curso, establecer auditorνas permanentes para los diferentes cursos a desarrollar en lo relacionado a metodologνas, tutores, estrategias de aprendizaje y la evaluaciσn de los procesos pedagσgicos. </w:t>
      </w:r>
    </w:p>
    <w:p>
      <w:pPr>
        <w:jc w:val="both"/>
        <w:keepNext/>
      </w:pPr>
      <w:rPr>
        <w:color w:val="black"/>
      </w:rPr>
    </w:p>
    <w:p>
      <w:pPr>
        <w:jc w:val="both"/>
        <w:keepNext/>
        <w:outlineLvl w:val="1"/>
      </w:pPr>
      <w:r>
        <w:rPr>
          <w:rFonts w:hAnsi="Arial"/>
          <w:rFonts w:ascii="Arial"/>
          <w:sz w:val="24"/>
          <w:b/>
          <w:vanish/>
          <w:color w:val="black"/>
        </w:rPr>
        <w:t>&amp;$</w:t>
      </w:r>
      <w:bookmarkStart w:id="62285" w:name="2.6.1.1.13.1.20"/>
      <w:r>
        <w:rPr>
          <w:rFonts w:hAnsi="Arial"/>
          <w:rFonts w:ascii="Arial"/>
          <w:sz w:val="24"/>
          <w:color w:val="navy"/>
        </w:rPr>
        <w:t xml:space="preserve">ARTΝCULO 2.6.1.1.13.1.20. REQUISITOS DE LA PLATAFORMA DE APRENDIZAJE VIRTUAL.</w:t>
      </w:r>
      <w:bookmarkEnd w:id="6228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w:t>
      </w:r>
    </w:p>
    <w:p>
      <w:pPr>
        <w:jc w:val="both"/>
        <w:keepNext/>
        <w:outlineLvl w:val="1"/>
      </w:pPr>
      <w:rPr>
        <w:sz w:val="24"/>
        <w:b/>
        <w:color w:val="black"/>
      </w:rPr>
    </w:p>
    <w:p>
      <w:pPr>
        <w:jc w:val="both"/>
        <w:keepNext/>
        <w:outlineLvl w:val="1"/>
      </w:pPr>
      <w:r>
        <w:rPr>
          <w:rFonts w:hAnsi="Arial"/>
          <w:rFonts w:ascii="Arial"/>
          <w:sz w:val="24"/>
          <w:color w:val="black"/>
        </w:rPr>
        <w:t xml:space="preserve">a) Espacios de aprendizaje que permitan la interacciσn entre los tutores y estudiantes, flexibilizando procesos de aprendizaje y permitiendo la actualizaciσn de estos. </w:t>
      </w:r>
    </w:p>
    <w:p>
      <w:pPr>
        <w:jc w:val="both"/>
        <w:keepNext/>
        <w:outlineLvl w:val="1"/>
      </w:pPr>
      <w:rPr>
        <w:sz w:val="24"/>
        <w:b/>
        <w:color w:val="black"/>
      </w:rPr>
    </w:p>
    <w:p>
      <w:pPr>
        <w:jc w:val="both"/>
        <w:keepNext/>
        <w:outlineLvl w:val="1"/>
      </w:pPr>
      <w:r>
        <w:rPr>
          <w:rFonts w:hAnsi="Arial"/>
          <w:rFonts w:ascii="Arial"/>
          <w:sz w:val="24"/>
          <w:color w:val="black"/>
        </w:rPr>
        <w:t xml:space="preserve">b) Sistema de autenticaciσn que permita evitar la suplantaciσn de estudiantes en un curso. </w:t>
      </w:r>
    </w:p>
    <w:p>
      <w:pPr>
        <w:jc w:val="both"/>
        <w:keepNext/>
        <w:outlineLvl w:val="1"/>
      </w:pPr>
      <w:rPr>
        <w:sz w:val="24"/>
        <w:b/>
        <w:color w:val="black"/>
      </w:rPr>
    </w:p>
    <w:p>
      <w:pPr>
        <w:jc w:val="both"/>
        <w:keepNext/>
        <w:outlineLvl w:val="1"/>
      </w:pPr>
      <w:r>
        <w:rPr>
          <w:rFonts w:hAnsi="Arial"/>
          <w:rFonts w:ascii="Arial"/>
          <w:sz w:val="24"/>
          <w:color w:val="black"/>
        </w:rPr>
        <w:t xml:space="preserve">c) Mecanismos de seguridad para la realizaciσn de exαmenes para evitar la suplantaciσn de estudiantes. </w:t>
      </w:r>
    </w:p>
    <w:p>
      <w:pPr>
        <w:jc w:val="both"/>
        <w:keepNext/>
        <w:outlineLvl w:val="1"/>
      </w:pPr>
      <w:rPr>
        <w:sz w:val="24"/>
        <w:b/>
        <w:color w:val="black"/>
      </w:rPr>
    </w:p>
    <w:p>
      <w:pPr>
        <w:jc w:val="both"/>
        <w:keepNext/>
        <w:outlineLvl w:val="1"/>
      </w:pPr>
      <w:r>
        <w:rPr>
          <w:rFonts w:hAnsi="Arial"/>
          <w:rFonts w:ascii="Arial"/>
          <w:sz w:val="24"/>
          <w:color w:val="black"/>
        </w:rPr>
        <w:t xml:space="preserve">d) Permitir mostrar los contenidos necesarios para el desarrollo del curso y sus actividades.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Las capacitaciones se podrαn realizar de manera virtual mαximo hasta un 40% y de manera presencial hasta un 60% del total de la capacitaciσn.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color w:val="black"/>
        </w:rPr>
        <w:t xml:space="preserve"> Las prαcticas con medio canino se desarrollarαn 100% presencial en las unidades caninas autorizadas por la Superintendencia de Vigilancia y Seguridad Privada, o las de convenios suscritos y vigentes. </w:t>
      </w:r>
    </w:p>
    <w:p>
      <w:pPr>
        <w:jc w:val="both"/>
        <w:keepNext/>
        <w:outlineLvl w:val="1"/>
      </w:pPr>
      <w:rPr>
        <w:sz w:val="24"/>
        <w:color w:val="black"/>
      </w:rPr>
    </w:p>
    <w:p>
      <w:pPr>
        <w:jc w:val="both"/>
        <w:keepNext/>
        <w:outlineLvl w:val="1"/>
      </w:pPr>
      <w:r>
        <w:rPr>
          <w:rFonts w:hAnsi="Arial"/>
          <w:rFonts w:ascii="Arial"/>
          <w:sz w:val="24"/>
          <w:color w:val="navy"/>
        </w:rPr>
        <w:t xml:space="preserve">PARΑGRAFO 3o.</w:t>
      </w:r>
      <w:r>
        <w:rPr>
          <w:rFonts w:hAnsi="Arial"/>
          <w:rFonts w:ascii="Arial"/>
          <w:sz w:val="24"/>
          <w:color w:val="black"/>
        </w:rPr>
        <w:t xml:space="preserve"> En todo caso la Superintendencia de Vigilancia y Seguridad Privada, en cualquier momento, podrα suspender o cancelar el desarrollo de las capacitaciones virtuales, por incumplimiento de las disposiciones establecidas en el presente Decreto y cualquier irregularidad que vaya en contra de los principios, deberes y obligaciones que rigen la prestaciσn del servicio de vigilancia y seguridad privada. </w:t>
      </w:r>
    </w:p>
    <w:p>
      <w:pPr>
        <w:jc w:val="both"/>
        <w:keepNext/>
        <w:outlineLvl w:val="1"/>
      </w:pPr>
      <w:rPr>
        <w:sz w:val="24"/>
        <w:color w:val="black"/>
      </w:rPr>
    </w:p>
    <w:p>
      <w:pPr>
        <w:jc w:val="both"/>
        <w:keepNext/>
        <w:outlineLvl w:val="1"/>
      </w:pPr>
      <w:r>
        <w:rPr>
          <w:rFonts w:hAnsi="Arial"/>
          <w:rFonts w:ascii="Arial"/>
          <w:sz w:val="24"/>
          <w:color w:val="navy"/>
        </w:rPr>
        <w:t xml:space="preserve">PARΑGRAFO 4o.</w:t>
      </w:r>
      <w:r>
        <w:rPr>
          <w:rFonts w:hAnsi="Arial"/>
          <w:rFonts w:ascii="Arial"/>
          <w:sz w:val="24"/>
          <w:color w:val="black"/>
        </w:rPr>
        <w:t xml:space="preserve"> Las Escuelas y Departamentos de Capacitaciσn y Entrenamiento en Vigilancia y Seguridad Privada tendrαn la obligaciσn de remitir el informe mensual detallado de las actividades teσricas y prαcticas realizadas, con los debidos soportes, a fin de poder validar dichos cursos, en aras de promover y facilitar los procesos de capacitaciσn del personal operativo de los servicios de vigilancia y seguridad privada. La Superintendencia de Vigilancia y Seguridad Privada dispondrα de los medios y herramientas con que cuenta para el suministro de informaciσn. </w:t>
      </w:r>
    </w:p>
    <w:p>
      <w:pPr>
        <w:jc w:val="both"/>
      </w:pPr>
      <w:rPr>
        <w:color w:val="black"/>
      </w:rPr>
    </w:p>
    <w:p>
      <w:pPr>
        <w:jc w:val="both"/>
      </w:pPr>
      <w:r>
        <w:rPr>
          <w:rFonts w:hAnsi="Arial"/>
          <w:rFonts w:ascii="Arial"/>
          <w:sz w:val="24"/>
          <w:b/>
          <w:vanish/>
          <w:color w:val="black"/>
        </w:rPr>
        <w:t>&amp;$</w:t>
      </w:r>
      <w:bookmarkStart w:id="62286" w:name="2.6.1.1.13.1.21"/>
      <w:r>
        <w:rPr>
          <w:rFonts w:hAnsi="Arial"/>
          <w:rFonts w:ascii="Arial"/>
          <w:sz w:val="24"/>
          <w:color w:val="navy"/>
        </w:rPr>
        <w:t xml:space="preserve">ARTΝCULO 2.6.1.1.13.1.21. CELEBRACIΣN DE CONVENIOS.</w:t>
      </w:r>
      <w:bookmarkEnd w:id="6228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servicios de vigilancia y seguridad privada, podrαn celebrar convenios de formaciσn y/o capacitaciσn con instituciones pϊblicas, privadas u oficiales para la profesionalizaciσn del personal operativo y administrativo mediante la realizaciσn de los cursos tιcnicos y/o tecnolσgicos, siempre que se aborden temαticas, asignaturas y competencias diferentes a las que se establecen en el modelo de capacitaciσn especializado que se reglamenta en la presente secciσn. </w:t>
      </w:r>
    </w:p>
    <w:p>
      <w:pPr>
        <w:jc w:val="both"/>
      </w:pPr>
      <w:rPr>
        <w:color w:val="black"/>
      </w:rPr>
    </w:p>
    <w:p>
      <w:pPr>
        <w:jc w:val="both"/>
        <w:outlineLvl w:val="1"/>
      </w:pPr>
      <w:r>
        <w:rPr>
          <w:rFonts w:hAnsi="Arial"/>
          <w:rFonts w:ascii="Arial"/>
          <w:sz w:val="24"/>
          <w:b/>
          <w:vanish/>
          <w:color w:val="black"/>
        </w:rPr>
        <w:t>&amp;$</w:t>
      </w:r>
      <w:bookmarkStart w:id="62287" w:name="2.6.1.1.13.1.22"/>
      <w:r>
        <w:rPr>
          <w:rFonts w:hAnsi="Arial"/>
          <w:rFonts w:ascii="Arial"/>
          <w:sz w:val="24"/>
          <w:color w:val="navy"/>
        </w:rPr>
        <w:t xml:space="preserve">ARTΝCULO 2.6.1.1.13.1.22. EXCLUSIVIDAD EN LA FORMACIΣN ESPECIALIZADA EN VIGILANCIA Y SEGURIDAD PRIVADA.</w:t>
      </w:r>
      <w:bookmarkEnd w:id="6228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y/o Departamentos de Capacitaciσn y Entrenamiento en Vigilancia y Seguridad Privada con licencia de funcionamiento otorgada por la Superintendencia de Vigilancia y Seguridad Privada, son las ϊnicas autorizadas para brindar la capacitaciσn y entrenamiento en vigilancia y seguridad privada, los conocimientos y destrezas que se proporcionan para el ejercicio de las actividades que realiza el personal de los servicios de vigilancia y seguridad privada, en ejercicio de su funciσn, en todo caso la capacitaciσn y el entrenamiento a que se refiere este artνculo, no podrα versar sobre organizaciσn, instrucciσn o equipamiento a personas en tαcticas, tιcnicas o procedimientos militares o terroristas, de que trata el artνculo </w:t>
      </w:r>
      <w:r>
        <w:fldChar w:fldCharType="begin"/>
      </w:r>
      <w:r>
        <w:instrText>HYPERLINK "http://www.redjurista.com/document.aspx?ajcode=d0356_94&amp;arts=63"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del Decreto ley 356 de 1994.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formaciσn tιcnica, tecnolσgica y el pιnsum acadιmico con ciclos de competencias laborales, tιcnico en seguridad y tecnσlogo, impartido por otras instituciones pϊblicas, privadas u oficiales, no reemplaza, no homologa, ni convalida, ni hace parte de la formaciσn especializada en vigilancia y seguridad privada obligatoria para acreditar al personal operativo que se desempeρarα en el sector de la vigilancia y seguridad privada, y que es ofertada exclusivamente por las Escuelas y Departamentos de Capacitaciσn y Entrenamiento en Vigilancia y Seguridad Privada autorizadas por la Superintendencia de Vigilancia y Seguridad Privada. </w:t>
      </w:r>
    </w:p>
    <w:p>
      <w:pPr>
        <w:jc w:val="center"/>
        <w:keepNext/>
        <w:outlineLvl w:val="1"/>
      </w:pPr>
      <w:rPr>
        <w:sz w:val="24"/>
        <w:b/>
        <w:color w:val="black"/>
      </w:rPr>
    </w:p>
    <w:p>
      <w:pPr>
        <w:jc w:val="center"/>
        <w:keepNext/>
        <w:outlineLvl w:val="1"/>
      </w:pPr>
      <w:r>
        <w:rPr>
          <w:rFonts w:hAnsi="Arial"/>
          <w:rFonts w:ascii="Arial"/>
          <w:sz w:val="24"/>
          <w:b/>
          <w:vanish/>
          <w:color w:val="black"/>
        </w:rPr>
        <w:t>&amp;$</w:t>
      </w:r>
      <w:bookmarkStart w:id="62288" w:name="SUBSECCIÓN 2.6.1.1.13.2"/>
      <w:r>
        <w:rPr>
          <w:rFonts w:hAnsi="Arial"/>
          <w:rFonts w:ascii="Arial"/>
          <w:sz w:val="24"/>
          <w:color w:val="navy"/>
        </w:rPr>
        <w:t xml:space="preserve">SUBSECCIΣN 2. </w:t>
      </w:r>
    </w:p>
    <w:p>
      <w:pPr>
        <w:jc w:val="center"/>
        <w:keepNext/>
        <w:outlineLvl w:val="1"/>
      </w:pPr>
      <w:r>
        <w:rPr>
          <w:rFonts w:hAnsi="Arial"/>
          <w:rFonts w:ascii="Arial"/>
          <w:sz w:val="24"/>
          <w:color w:val="navy"/>
        </w:rPr>
        <w:t xml:space="preserve">ESTRUCTURA DE LA CAPACITACIΣN Y ENTRENAMIENTO EN VIGILANCIA Y SEGURIDAD PRIVADA  DISPOSICIONES COMUNES.</w:t>
      </w:r>
      <w:bookmarkEnd w:id="62288"/>
      <w:r>
        <w:rPr>
          <w:rFonts w:hAnsi="Arial"/>
          <w:rFonts w:ascii="Arial"/>
          <w:sz w:val="24"/>
          <w:b/>
          <w:color w:val="black"/>
        </w:rPr>
        <w:t xml:space="preserve"> </w:t>
      </w:r>
    </w:p>
    <w:p>
      <w:pPr>
        <w:jc w:val="both"/>
        <w:keepNext/>
        <w:outlineLvl w:val="1"/>
      </w:pPr>
      <w:rPr>
        <w:sz w:val="24"/>
        <w:b/>
        <w:color w:val="black"/>
      </w:rPr>
    </w:p>
    <w:p>
      <w:pPr>
        <w:jc w:val="both"/>
        <w:keepNext/>
        <w:outlineLvl w:val="1"/>
      </w:pPr>
      <w:r>
        <w:rPr>
          <w:rFonts w:hAnsi="Arial"/>
          <w:rFonts w:ascii="Arial"/>
          <w:sz w:val="24"/>
          <w:b/>
          <w:vanish/>
          <w:color w:val="black"/>
        </w:rPr>
        <w:t>&amp;$</w:t>
      </w:r>
      <w:bookmarkStart w:id="62289" w:name="2.6.1.1.13.2.1"/>
      <w:r>
        <w:rPr>
          <w:rFonts w:hAnsi="Arial"/>
          <w:rFonts w:ascii="Arial"/>
          <w:sz w:val="24"/>
          <w:color w:val="navy"/>
        </w:rPr>
        <w:t xml:space="preserve">ARTΝCULO 2.6.1.1.13.2.1. FORMACIΣN POR COMPETENCIAS LABORALES.</w:t>
      </w:r>
      <w:bookmarkEnd w:id="6228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modelo de capacitaciσn especializada del sector de la vigilancia y seguridad privada estarα fundamentado por un enfoque de formaciσn en competencias laborales, el cual es multidimensional e incluye niveles del </w:t>
      </w:r>
      <w:r>
        <w:rPr>
          <w:rFonts w:hAnsi="Arial"/>
          <w:rFonts w:ascii="Arial"/>
          <w:sz w:val="24"/>
          <w:b/>
          <w:u w:val="none"/>
          <w:color w:val="black"/>
        </w:rPr>
        <w:t xml:space="preserve">Saber </w:t>
      </w:r>
      <w:r>
        <w:rPr>
          <w:rFonts w:hAnsi="Arial"/>
          <w:rFonts w:ascii="Arial"/>
          <w:sz w:val="24"/>
          <w:u w:val="none"/>
          <w:color w:val="black"/>
        </w:rPr>
        <w:t xml:space="preserve">(datos, conceptos, conocimientos); </w:t>
      </w:r>
      <w:r>
        <w:rPr>
          <w:rFonts w:hAnsi="Arial"/>
          <w:rFonts w:ascii="Arial"/>
          <w:sz w:val="24"/>
          <w:b/>
          <w:u w:val="none"/>
          <w:color w:val="black"/>
        </w:rPr>
        <w:t xml:space="preserve">Saber hacer </w:t>
      </w:r>
      <w:r>
        <w:rPr>
          <w:rFonts w:hAnsi="Arial"/>
          <w:rFonts w:ascii="Arial"/>
          <w:sz w:val="24"/>
          <w:u w:val="none"/>
          <w:color w:val="black"/>
        </w:rPr>
        <w:t xml:space="preserve">(habilidades, destrezas, mιtodos de actuaciσn); Saber ser (actitudes y valores que guνan el comportamiento) y </w:t>
      </w:r>
      <w:r>
        <w:rPr>
          <w:rFonts w:hAnsi="Arial"/>
          <w:rFonts w:ascii="Arial"/>
          <w:sz w:val="24"/>
          <w:b/>
          <w:u w:val="none"/>
          <w:color w:val="black"/>
        </w:rPr>
        <w:t xml:space="preserve">saber estar </w:t>
      </w:r>
      <w:r>
        <w:rPr>
          <w:rFonts w:hAnsi="Arial"/>
          <w:rFonts w:ascii="Arial"/>
          <w:sz w:val="24"/>
          <w:u w:val="none"/>
          <w:color w:val="black"/>
        </w:rPr>
        <w:t xml:space="preserve">(capacidades con la comunicaciσn interpersonal y el trabajo cooperativo). La competencia es la capacidad de un buen desempeρo en contextos complejos y autιnticos, basada en la integraciσn y activaciσn de conocimientos, habilidades, destrezas, actitudes y valores. </w:t>
      </w:r>
    </w:p>
    <w:p>
      <w:pPr>
        <w:jc w:val="both"/>
        <w:keepNext/>
        <w:outlineLvl w:val="1"/>
      </w:pPr>
      <w:rPr>
        <w:sz w:val="24"/>
        <w:b/>
        <w:color w:val="black"/>
      </w:rPr>
    </w:p>
    <w:p>
      <w:pPr>
        <w:jc w:val="both"/>
        <w:keepNext/>
        <w:outlineLvl w:val="1"/>
      </w:pPr>
      <w:r>
        <w:rPr>
          <w:rFonts w:hAnsi="Arial"/>
          <w:rFonts w:ascii="Arial"/>
          <w:sz w:val="24"/>
          <w:color w:val="black"/>
        </w:rPr>
        <w:t xml:space="preserve">El enfoque de formaciσn por competencias del sector de la vigilancia y seguridad privada se caracteriza por contar con los siguientes aspectos: </w:t>
      </w:r>
    </w:p>
    <w:p>
      <w:pPr>
        <w:jc w:val="both"/>
        <w:keepNext/>
        <w:outlineLvl w:val="1"/>
      </w:pPr>
      <w:rPr>
        <w:sz w:val="24"/>
        <w:b/>
        <w:color w:val="black"/>
      </w:rPr>
    </w:p>
    <w:p>
      <w:pPr>
        <w:jc w:val="both"/>
        <w:keepNext/>
        <w:outlineLvl w:val="1"/>
      </w:pPr>
      <w:r>
        <w:rPr>
          <w:rFonts w:hAnsi="Arial"/>
          <w:rFonts w:ascii="Arial"/>
          <w:sz w:val="24"/>
          <w:color w:val="black"/>
        </w:rPr>
        <w:t xml:space="preserve">1. Estα orientado a competencias bαsicas y comunes con ιnfasis segϊn los ciclos de formaciσn. </w:t>
      </w:r>
    </w:p>
    <w:p>
      <w:pPr>
        <w:jc w:val="both"/>
        <w:keepNext/>
        <w:outlineLvl w:val="1"/>
      </w:pPr>
      <w:rPr>
        <w:sz w:val="24"/>
        <w:b/>
        <w:color w:val="black"/>
      </w:rPr>
    </w:p>
    <w:p>
      <w:pPr>
        <w:jc w:val="both"/>
        <w:keepNext/>
        <w:outlineLvl w:val="1"/>
      </w:pPr>
      <w:r>
        <w:rPr>
          <w:rFonts w:hAnsi="Arial"/>
          <w:rFonts w:ascii="Arial"/>
          <w:sz w:val="24"/>
          <w:color w:val="black"/>
        </w:rPr>
        <w:t xml:space="preserve">2. Estα organizado por ciclos y cursos de formaciσn. </w:t>
      </w:r>
    </w:p>
    <w:p>
      <w:pPr>
        <w:jc w:val="both"/>
        <w:keepNext/>
        <w:outlineLvl w:val="1"/>
      </w:pPr>
      <w:rPr>
        <w:sz w:val="24"/>
        <w:b/>
        <w:color w:val="black"/>
      </w:rPr>
    </w:p>
    <w:p>
      <w:pPr>
        <w:jc w:val="both"/>
        <w:keepNext/>
        <w:outlineLvl w:val="1"/>
      </w:pPr>
      <w:r>
        <w:rPr>
          <w:rFonts w:hAnsi="Arial"/>
          <w:rFonts w:ascii="Arial"/>
          <w:sz w:val="24"/>
          <w:color w:val="black"/>
        </w:rPr>
        <w:t xml:space="preserve">3. Hace ιnfasis en el saber hacer, saber estar y saber ser. </w:t>
      </w:r>
    </w:p>
    <w:p>
      <w:pPr>
        <w:jc w:val="both"/>
        <w:keepNext/>
        <w:outlineLvl w:val="1"/>
      </w:pPr>
      <w:rPr>
        <w:sz w:val="24"/>
        <w:b/>
        <w:color w:val="black"/>
      </w:rPr>
    </w:p>
    <w:p>
      <w:pPr>
        <w:jc w:val="both"/>
        <w:keepNext/>
        <w:outlineLvl w:val="1"/>
      </w:pPr>
      <w:r>
        <w:rPr>
          <w:rFonts w:hAnsi="Arial"/>
          <w:rFonts w:ascii="Arial"/>
          <w:sz w:val="24"/>
          <w:color w:val="black"/>
        </w:rPr>
        <w:t xml:space="preserve">4. Integrar el saber, el hacer y el ser desde el proceso mismo de la capacitaciσn. </w:t>
      </w:r>
    </w:p>
    <w:p>
      <w:pPr>
        <w:jc w:val="both"/>
        <w:keepNext/>
        <w:outlineLvl w:val="1"/>
      </w:pPr>
      <w:rPr>
        <w:sz w:val="24"/>
        <w:b/>
        <w:color w:val="black"/>
      </w:rPr>
    </w:p>
    <w:p>
      <w:pPr>
        <w:jc w:val="both"/>
        <w:keepNext/>
        <w:outlineLvl w:val="1"/>
      </w:pPr>
      <w:r>
        <w:rPr>
          <w:rFonts w:hAnsi="Arial"/>
          <w:rFonts w:ascii="Arial"/>
          <w:sz w:val="24"/>
          <w:color w:val="black"/>
        </w:rPr>
        <w:t xml:space="preserve">5. Estα orientado a facilitar aprendizaje. </w:t>
      </w:r>
    </w:p>
    <w:p>
      <w:pPr>
        <w:jc w:val="both"/>
        <w:keepNext/>
        <w:outlineLvl w:val="1"/>
      </w:pPr>
      <w:rPr>
        <w:sz w:val="24"/>
        <w:b/>
        <w:color w:val="black"/>
      </w:rPr>
    </w:p>
    <w:p>
      <w:pPr>
        <w:jc w:val="both"/>
        <w:keepNext/>
        <w:outlineLvl w:val="1"/>
      </w:pPr>
      <w:r>
        <w:rPr>
          <w:rFonts w:hAnsi="Arial"/>
          <w:rFonts w:ascii="Arial"/>
          <w:sz w:val="24"/>
          <w:color w:val="black"/>
        </w:rPr>
        <w:t xml:space="preserve">6. Se centra en el resultado del aprendizaje. </w:t>
      </w:r>
    </w:p>
    <w:p>
      <w:pPr>
        <w:jc w:val="both"/>
        <w:keepNext/>
        <w:outlineLvl w:val="1"/>
      </w:pPr>
      <w:rPr>
        <w:sz w:val="24"/>
        <w:b/>
        <w:color w:val="black"/>
      </w:rPr>
    </w:p>
    <w:p>
      <w:pPr>
        <w:jc w:val="both"/>
        <w:keepNext/>
        <w:outlineLvl w:val="1"/>
      </w:pPr>
      <w:r>
        <w:rPr>
          <w:rFonts w:hAnsi="Arial"/>
          <w:rFonts w:ascii="Arial"/>
          <w:sz w:val="24"/>
          <w:color w:val="black"/>
        </w:rPr>
        <w:t xml:space="preserve">7. Se centra en el personal operativo en formaciσn. </w:t>
      </w:r>
    </w:p>
    <w:p>
      <w:pPr>
        <w:jc w:val="both"/>
        <w:keepNext/>
        <w:outlineLvl w:val="1"/>
      </w:pPr>
      <w:rPr>
        <w:sz w:val="24"/>
        <w:b/>
        <w:color w:val="black"/>
      </w:rPr>
    </w:p>
    <w:p>
      <w:pPr>
        <w:jc w:val="both"/>
        <w:keepNext/>
        <w:outlineLvl w:val="1"/>
      </w:pPr>
      <w:r>
        <w:rPr>
          <w:rFonts w:hAnsi="Arial"/>
          <w:rFonts w:ascii="Arial"/>
          <w:sz w:val="24"/>
          <w:color w:val="black"/>
        </w:rPr>
        <w:t xml:space="preserve">8. Planea una evaluaciσn de la competencia, segϊn condiciones autιnticas y complejas, segϊn las necesidades laborales de cada ocupaciσn y su sector laboral. </w:t>
      </w:r>
    </w:p>
    <w:p>
      <w:pPr>
        <w:jc w:val="both"/>
        <w:keepNext/>
        <w:outlineLvl w:val="1"/>
      </w:pPr>
      <w:rPr>
        <w:sz w:val="24"/>
        <w:b/>
        <w:color w:val="black"/>
      </w:rPr>
    </w:p>
    <w:p>
      <w:pPr>
        <w:jc w:val="both"/>
        <w:keepNext/>
        <w:outlineLvl w:val="1"/>
      </w:pPr>
      <w:r>
        <w:rPr>
          <w:rFonts w:hAnsi="Arial"/>
          <w:rFonts w:ascii="Arial"/>
          <w:sz w:val="24"/>
          <w:color w:val="black"/>
        </w:rPr>
        <w:t xml:space="preserve">9. Se basa en la evaluaciσn en evidencias del aprendizaje. </w:t>
      </w:r>
    </w:p>
    <w:p>
      <w:pPr>
        <w:jc w:val="both"/>
      </w:pPr>
      <w:rPr>
        <w:color w:val="black"/>
      </w:rPr>
    </w:p>
    <w:p>
      <w:pPr>
        <w:jc w:val="both"/>
      </w:pPr>
      <w:r>
        <w:rPr>
          <w:rFonts w:hAnsi="Arial"/>
          <w:rFonts w:ascii="Arial"/>
          <w:sz w:val="24"/>
          <w:b/>
          <w:vanish/>
          <w:color w:val="black"/>
        </w:rPr>
        <w:t>&amp;$</w:t>
      </w:r>
      <w:bookmarkStart w:id="62290" w:name="2.6.1.1.13.2.2"/>
      <w:r>
        <w:rPr>
          <w:rFonts w:hAnsi="Arial"/>
          <w:rFonts w:ascii="Arial"/>
          <w:sz w:val="24"/>
          <w:color w:val="navy"/>
        </w:rPr>
        <w:t xml:space="preserve">ARTΝCULO 2.6.1.1.13.2.2. PROYECTO EDUCATIVO INSTITUCIONAL EN VIGILANCIA Y SEGURIDAD PRIVADA (PEIS).</w:t>
      </w:r>
      <w:bookmarkEnd w:id="62290"/>
      <w:r>
        <w:rPr>
          <w:rFonts w:hAnsi="Arial"/>
          <w:rFonts w:ascii="Arial"/>
          <w:sz w:val="24"/>
          <w:color w:val="black"/>
        </w:rPr>
        <w:t xml:space="preserve"> &lt;Artνculo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Es el documento que define la identidad institucional de la Escuela o el Departamento de Capacitaciσn y Entrenamiento en Vigilancia y Seguridad Privada, mediante el cual se especifican entre otros aspectos, los principios y fines del establecimiento, los recursos docentes, y didαcticos disponibles y necesarios, las estrategias pedagσgicas, la estructura curricular, las unidades de estudio en cada curso de capacitaciσn, las metodologνas a utilizar en el desarrollo pedagσgico, los cursos de capacitaciσn, la evaluaciσn, el reglamento para docentes y estudiantes, el perfil del egresado y el sistema de bienestar, la estructura administrativa con las funciones, el protocolo en la elaboraciσn de certificados, protocolo en el manejo de armas y municiones, al igual que las condiciones de calidad. </w:t>
      </w:r>
    </w:p>
    <w:p>
      <w:pPr>
        <w:jc w:val="both"/>
      </w:pPr>
      <w:rPr>
        <w:color w:val="black"/>
      </w:rPr>
    </w:p>
    <w:p>
      <w:pPr>
        <w:jc w:val="both"/>
        <w:outlineLvl w:val="1"/>
      </w:pPr>
      <w:r>
        <w:rPr>
          <w:rFonts w:hAnsi="Arial"/>
          <w:rFonts w:ascii="Arial"/>
          <w:sz w:val="24"/>
          <w:b/>
          <w:vanish/>
          <w:color w:val="black"/>
        </w:rPr>
        <w:t>&amp;$</w:t>
      </w:r>
      <w:bookmarkStart w:id="62291" w:name="2.6.1.1.13.2.3"/>
      <w:r>
        <w:rPr>
          <w:rFonts w:hAnsi="Arial"/>
          <w:rFonts w:ascii="Arial"/>
          <w:sz w:val="24"/>
          <w:color w:val="navy"/>
        </w:rPr>
        <w:t xml:space="preserve">ARTΝCULO 2.6.1.1.13.2.3. CONDICIONES DE CALIDAD.</w:t>
      </w:r>
      <w:bookmarkEnd w:id="6229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Corresponden a requisitos bαsicos que deben satisfacer y cumplir las Escuelas o Departamentos de Capacitaciσn y Entrenamiento en Vigilancia y Seguridad Privada para la autorizaciσn de la oferta de cursos de capacitaciσn, a saber: </w:t>
      </w:r>
    </w:p>
    <w:p>
      <w:pPr>
        <w:jc w:val="both"/>
        <w:outlineLvl w:val="1"/>
      </w:pPr>
      <w:rPr>
        <w:sz w:val="24"/>
        <w:b/>
        <w:color w:val="black"/>
      </w:rPr>
    </w:p>
    <w:p>
      <w:pPr>
        <w:jc w:val="both"/>
        <w:outlineLvl w:val="1"/>
      </w:pPr>
      <w:r>
        <w:rPr>
          <w:rFonts w:hAnsi="Arial"/>
          <w:rFonts w:ascii="Arial"/>
          <w:sz w:val="24"/>
          <w:b/>
          <w:color w:val="black"/>
        </w:rPr>
        <w:t xml:space="preserve">1. Filosofνa Institucional: </w:t>
      </w:r>
      <w:r>
        <w:rPr>
          <w:rFonts w:hAnsi="Arial"/>
          <w:rFonts w:ascii="Arial"/>
          <w:sz w:val="24"/>
          <w:color w:val="black"/>
        </w:rPr>
        <w:t xml:space="preserve">Misiσn, visiσn, objetivos y las estrategias de enseρanza, capacitaciσn, entrenamiento y actualizaciσn de conocimientos en Vigilancia y Seguridad Privada propias de cada Escuela o Departamento de Capacitaciσn y Entrenamiento en Vigilancia y Seguridad Privada. </w:t>
      </w:r>
    </w:p>
    <w:p>
      <w:pPr>
        <w:jc w:val="both"/>
        <w:outlineLvl w:val="1"/>
      </w:pPr>
      <w:rPr>
        <w:sz w:val="24"/>
        <w:b/>
        <w:color w:val="black"/>
      </w:rPr>
    </w:p>
    <w:p>
      <w:pPr>
        <w:jc w:val="both"/>
        <w:outlineLvl w:val="1"/>
      </w:pPr>
      <w:r>
        <w:rPr>
          <w:rFonts w:hAnsi="Arial"/>
          <w:rFonts w:ascii="Arial"/>
          <w:sz w:val="24"/>
          <w:b/>
          <w:color w:val="black"/>
        </w:rPr>
        <w:t xml:space="preserve">2. Estructura Acadιmico - Administrativa: </w:t>
      </w:r>
      <w:r>
        <w:rPr>
          <w:rFonts w:hAnsi="Arial"/>
          <w:rFonts w:ascii="Arial"/>
          <w:sz w:val="24"/>
          <w:color w:val="black"/>
        </w:rPr>
        <w:t xml:space="preserve">Diagrama de flujo con cargos y funciones que especifique como se encuentra organizada administrativa y acadιmicamente la Escuela o Departamento de Capacitaciσn en Vigilancia y Seguridad Privada. </w:t>
      </w:r>
    </w:p>
    <w:p>
      <w:pPr>
        <w:jc w:val="both"/>
        <w:outlineLvl w:val="1"/>
      </w:pPr>
      <w:rPr>
        <w:sz w:val="24"/>
        <w:b/>
        <w:color w:val="black"/>
      </w:rPr>
    </w:p>
    <w:p>
      <w:pPr>
        <w:jc w:val="both"/>
        <w:outlineLvl w:val="1"/>
      </w:pPr>
      <w:r>
        <w:rPr>
          <w:rFonts w:hAnsi="Arial"/>
          <w:rFonts w:ascii="Arial"/>
          <w:sz w:val="24"/>
          <w:b/>
          <w:color w:val="black"/>
        </w:rPr>
        <w:t xml:space="preserve">3. Plan de Evaluaciσn Institucional: </w:t>
      </w:r>
      <w:r>
        <w:rPr>
          <w:rFonts w:hAnsi="Arial"/>
          <w:rFonts w:ascii="Arial"/>
          <w:sz w:val="24"/>
          <w:color w:val="black"/>
        </w:rPr>
        <w:t xml:space="preserve">Plan con estrategias de corto, mediano y largo plazo orientadas hacia la mejora continua de los procesos administrativos, acadιmicos y de capacitaciσn de la Escuela o Departamento de Capacitaciσn en Vigilancia y Seguridad Privada, dichas estrategias deben estar sustentadas en un ejercicio de evaluaciσn y retroalimentaciσn semestral de los procesos y procedimientos internos. </w:t>
      </w:r>
    </w:p>
    <w:p>
      <w:pPr>
        <w:jc w:val="both"/>
        <w:outlineLvl w:val="1"/>
      </w:pPr>
      <w:rPr>
        <w:sz w:val="24"/>
        <w:b/>
        <w:color w:val="black"/>
      </w:rPr>
    </w:p>
    <w:p>
      <w:pPr>
        <w:jc w:val="both"/>
        <w:outlineLvl w:val="1"/>
      </w:pPr>
      <w:r>
        <w:rPr>
          <w:rFonts w:hAnsi="Arial"/>
          <w:rFonts w:ascii="Arial"/>
          <w:sz w:val="24"/>
          <w:b/>
          <w:color w:val="black"/>
        </w:rPr>
        <w:t xml:space="preserve">4. Capacidad Institucional: </w:t>
      </w:r>
      <w:r>
        <w:rPr>
          <w:rFonts w:hAnsi="Arial"/>
          <w:rFonts w:ascii="Arial"/>
          <w:sz w:val="24"/>
          <w:color w:val="black"/>
        </w:rPr>
        <w:t xml:space="preserve">Relaciσn (listados y matrices) de los medios y recursos educativos, la infraestructura fνsica, el equipamiento fνsico que tiene la Escuela y Departamento de Capacitaciσn y Entrenamiento en Vigilancia y Seguridad Privada para cumplir con calidad su objeto social. De igual manera, se debe adjuntar relaciσn y copia de los convenios o contratos con polνgonos de entrenamiento y prαctica con armas y unidades caninas para la prαctica con medio canino, que posee la Escuela o Departamento de Capacitaciσn en su sede principal, sucursales y agencias. </w:t>
      </w:r>
    </w:p>
    <w:p>
      <w:pPr>
        <w:jc w:val="both"/>
        <w:outlineLvl w:val="1"/>
      </w:pPr>
      <w:rPr>
        <w:sz w:val="24"/>
        <w:b/>
        <w:color w:val="black"/>
      </w:rPr>
    </w:p>
    <w:p>
      <w:pPr>
        <w:jc w:val="both"/>
        <w:outlineLvl w:val="1"/>
      </w:pPr>
      <w:r>
        <w:rPr>
          <w:rFonts w:hAnsi="Arial"/>
          <w:rFonts w:ascii="Arial"/>
          <w:sz w:val="24"/>
          <w:b/>
          <w:color w:val="black"/>
        </w:rPr>
        <w:t xml:space="preserve">5. Protocolo de Seguridad, elaboraciσn y entrega de certificados: </w:t>
      </w:r>
      <w:r>
        <w:rPr>
          <w:rFonts w:hAnsi="Arial"/>
          <w:rFonts w:ascii="Arial"/>
          <w:sz w:val="24"/>
          <w:color w:val="black"/>
        </w:rPr>
        <w:t xml:space="preserve">Documento con los lineamentos y procedimientos internos para la emisiσn de certificados y diplomas. Adjuntar diagrama de flujo con tiempos y responsables en cada etapa del proceso. </w:t>
      </w:r>
    </w:p>
    <w:p>
      <w:pPr>
        <w:jc w:val="both"/>
        <w:outlineLvl w:val="1"/>
      </w:pPr>
      <w:rPr>
        <w:sz w:val="24"/>
        <w:b/>
        <w:color w:val="black"/>
      </w:rPr>
    </w:p>
    <w:p>
      <w:pPr>
        <w:jc w:val="both"/>
        <w:outlineLvl w:val="1"/>
      </w:pPr>
      <w:r>
        <w:rPr>
          <w:rFonts w:hAnsi="Arial"/>
          <w:rFonts w:ascii="Arial"/>
          <w:sz w:val="24"/>
          <w:b/>
          <w:color w:val="black"/>
        </w:rPr>
        <w:t xml:space="preserve">6. Protocolo de Seguridad, manejo y almacenamiento de armas y equipos</w:t>
      </w:r>
      <w:r>
        <w:rPr>
          <w:rFonts w:hAnsi="Arial"/>
          <w:rFonts w:ascii="Arial"/>
          <w:sz w:val="24"/>
          <w:color w:val="black"/>
        </w:rPr>
        <w:t xml:space="preserve">: Documento que explique los lineamentos y procedimientos internos para almacenar armas, municiones, armas traumαticas y, equipos electrσnicos y de comunicaciσn entre otros. Adjuntar protocolo de seguridad para el manejo y control de armamento y municiones. </w:t>
      </w:r>
    </w:p>
    <w:p>
      <w:pPr>
        <w:jc w:val="both"/>
        <w:outlineLvl w:val="1"/>
      </w:pPr>
      <w:rPr>
        <w:sz w:val="24"/>
        <w:b/>
        <w:color w:val="black"/>
      </w:rPr>
    </w:p>
    <w:p>
      <w:pPr>
        <w:jc w:val="both"/>
        <w:outlineLvl w:val="1"/>
      </w:pPr>
      <w:r>
        <w:rPr>
          <w:rFonts w:hAnsi="Arial"/>
          <w:rFonts w:ascii="Arial"/>
          <w:sz w:val="24"/>
          <w:b/>
          <w:color w:val="black"/>
        </w:rPr>
        <w:t xml:space="preserve">7. Planes de Estudio. </w:t>
      </w:r>
      <w:r>
        <w:rPr>
          <w:rFonts w:hAnsi="Arial"/>
          <w:rFonts w:ascii="Arial"/>
          <w:sz w:val="24"/>
          <w:color w:val="black"/>
        </w:rPr>
        <w:t xml:space="preserve">Por cada curso que la Escuela o Departamento de Capacitaciσn y Entrenamiento en Vigilancia y Seguridad Privada espere ofertar, deberα reportar la siguiente informaciσn de manera organizada y detallada: </w:t>
      </w:r>
    </w:p>
    <w:p>
      <w:pPr>
        <w:jc w:val="both"/>
        <w:outlineLvl w:val="1"/>
      </w:pPr>
      <w:rPr>
        <w:sz w:val="24"/>
        <w:b/>
        <w:color w:val="black"/>
      </w:rPr>
    </w:p>
    <w:p>
      <w:pPr>
        <w:jc w:val="both"/>
        <w:outlineLvl w:val="1"/>
      </w:pPr>
      <w:r>
        <w:rPr>
          <w:rFonts w:hAnsi="Arial"/>
          <w:rFonts w:ascii="Arial"/>
          <w:sz w:val="24"/>
          <w:b/>
          <w:color w:val="black"/>
        </w:rPr>
        <w:t xml:space="preserve">a) Ciclo de Formaciσn: </w:t>
      </w:r>
      <w:r>
        <w:rPr>
          <w:rFonts w:hAnsi="Arial"/>
          <w:rFonts w:ascii="Arial"/>
          <w:sz w:val="24"/>
          <w:color w:val="black"/>
        </w:rPr>
        <w:t xml:space="preserve">Definir a quι ciclo de formaciσn pertenece el curso de capacitaciσn (vigilante, supervisor, escolta, operador de medio tecnolσgico o manejador canino). </w:t>
      </w:r>
    </w:p>
    <w:p>
      <w:pPr>
        <w:jc w:val="both"/>
        <w:outlineLvl w:val="1"/>
      </w:pPr>
      <w:rPr>
        <w:sz w:val="24"/>
        <w:b/>
        <w:color w:val="black"/>
      </w:rPr>
    </w:p>
    <w:p>
      <w:pPr>
        <w:jc w:val="both"/>
        <w:outlineLvl w:val="1"/>
      </w:pPr>
      <w:r>
        <w:rPr>
          <w:rFonts w:hAnsi="Arial"/>
          <w:rFonts w:ascii="Arial"/>
          <w:sz w:val="24"/>
          <w:b/>
          <w:color w:val="black"/>
        </w:rPr>
        <w:t xml:space="preserve">b) Perfil Ocupacional: </w:t>
      </w:r>
      <w:r>
        <w:rPr>
          <w:rFonts w:hAnsi="Arial"/>
          <w:rFonts w:ascii="Arial"/>
          <w:sz w:val="24"/>
          <w:color w:val="black"/>
        </w:rPr>
        <w:t xml:space="preserve">Segϊn el ciclo de formaciσn, cada Escuela o Departamento de Capacitaciσn y Entrenamiento en Vigilancia y Seguridad Privada debe elaborar y redactar el perfil ocupacional en el que se fundamentarα el curso que se espera ofertar. </w:t>
      </w:r>
    </w:p>
    <w:p>
      <w:pPr>
        <w:jc w:val="both"/>
        <w:outlineLvl w:val="1"/>
      </w:pPr>
      <w:rPr>
        <w:sz w:val="24"/>
        <w:b/>
        <w:color w:val="black"/>
      </w:rPr>
    </w:p>
    <w:p>
      <w:pPr>
        <w:jc w:val="both"/>
        <w:outlineLvl w:val="1"/>
      </w:pPr>
      <w:r>
        <w:rPr>
          <w:rFonts w:hAnsi="Arial"/>
          <w:rFonts w:ascii="Arial"/>
          <w:sz w:val="24"/>
          <w:b/>
          <w:color w:val="black"/>
        </w:rPr>
        <w:t xml:space="preserve">c) Nivel de Capacitaciσn y Entrenamiento: </w:t>
      </w:r>
      <w:r>
        <w:rPr>
          <w:rFonts w:hAnsi="Arial"/>
          <w:rFonts w:ascii="Arial"/>
          <w:sz w:val="24"/>
          <w:color w:val="black"/>
        </w:rPr>
        <w:t xml:space="preserve">Definir si el curso de capacitaciσn es de nivel bαsico (fundamentaciσn o reentrenamiento) especializaciσn, profundizaciσn o seminarios. </w:t>
      </w:r>
    </w:p>
    <w:p>
      <w:pPr>
        <w:jc w:val="both"/>
        <w:outlineLvl w:val="1"/>
      </w:pPr>
      <w:rPr>
        <w:sz w:val="24"/>
        <w:b/>
        <w:color w:val="black"/>
      </w:rPr>
    </w:p>
    <w:p>
      <w:pPr>
        <w:jc w:val="both"/>
        <w:outlineLvl w:val="1"/>
      </w:pPr>
      <w:r>
        <w:rPr>
          <w:rFonts w:hAnsi="Arial"/>
          <w:rFonts w:ascii="Arial"/>
          <w:sz w:val="24"/>
          <w:b/>
          <w:color w:val="black"/>
        </w:rPr>
        <w:t xml:space="preserve">d) Nombre del Curso: </w:t>
      </w:r>
      <w:r>
        <w:rPr>
          <w:rFonts w:hAnsi="Arial"/>
          <w:rFonts w:ascii="Arial"/>
          <w:sz w:val="24"/>
          <w:color w:val="black"/>
        </w:rPr>
        <w:t xml:space="preserve">El nombre del curso debe estar alineado a las denominaciones de curso establecidas en el presente Decreto. </w:t>
      </w:r>
    </w:p>
    <w:p>
      <w:pPr>
        <w:jc w:val="both"/>
        <w:outlineLvl w:val="1"/>
      </w:pPr>
      <w:rPr>
        <w:sz w:val="24"/>
        <w:b/>
        <w:color w:val="black"/>
      </w:rPr>
    </w:p>
    <w:p>
      <w:pPr>
        <w:jc w:val="both"/>
        <w:outlineLvl w:val="1"/>
      </w:pPr>
      <w:r>
        <w:rPr>
          <w:rFonts w:hAnsi="Arial"/>
          <w:rFonts w:ascii="Arial"/>
          <w:sz w:val="24"/>
          <w:b/>
          <w:color w:val="black"/>
        </w:rPr>
        <w:t xml:space="preserve">e) Perfil de Ingreso y Requisitos para Selecciσn e Ingreso: </w:t>
      </w:r>
      <w:r>
        <w:rPr>
          <w:rFonts w:hAnsi="Arial"/>
          <w:rFonts w:ascii="Arial"/>
          <w:sz w:val="24"/>
          <w:color w:val="black"/>
        </w:rPr>
        <w:t xml:space="preserve">Toda Escuela o Departamento de Capacitaciσn y Entrenamiento en Vigilancia y Seguridad Privada de acuerdo con su autonomνa deberα elaborar el perfil del estudiante con el fin de organizar el desarrollo acadιmico de acuerdo con las necesidades de los estudiantes. </w:t>
      </w:r>
    </w:p>
    <w:p>
      <w:pPr>
        <w:jc w:val="both"/>
        <w:outlineLvl w:val="1"/>
      </w:pPr>
      <w:rPr>
        <w:sz w:val="24"/>
        <w:b/>
        <w:color w:val="black"/>
      </w:rPr>
    </w:p>
    <w:p>
      <w:pPr>
        <w:jc w:val="both"/>
        <w:outlineLvl w:val="1"/>
      </w:pPr>
      <w:r>
        <w:rPr>
          <w:rFonts w:hAnsi="Arial"/>
          <w:rFonts w:ascii="Arial"/>
          <w:sz w:val="24"/>
          <w:b/>
          <w:color w:val="black"/>
        </w:rPr>
        <w:t xml:space="preserve">f) Currνculo: </w:t>
      </w:r>
      <w:r>
        <w:rPr>
          <w:rFonts w:hAnsi="Arial"/>
          <w:rFonts w:ascii="Arial"/>
          <w:sz w:val="24"/>
          <w:color w:val="black"/>
        </w:rPr>
        <w:t xml:space="preserve">Enunciar las unidades de aprendizaje (antes denominadas asignaturas) y los conocimientos esenciales (antes llamados temαticas) que desarrollan las competencias laborales que se trabajarαn y potencializarαn a lo largo del curso. Tambiιn se definirα la distribuciσn del tiempo (horas de clase) y las secuencias del proceso de formaciσn, seρalando los objetivos esperados del proceso de capacitaciσn describiendo las acciones que se planea para alcanzar dichos objetivos. </w:t>
      </w:r>
    </w:p>
    <w:p>
      <w:pPr>
        <w:jc w:val="both"/>
        <w:outlineLvl w:val="1"/>
      </w:pPr>
      <w:rPr>
        <w:sz w:val="24"/>
        <w:b/>
        <w:color w:val="black"/>
      </w:rPr>
    </w:p>
    <w:p>
      <w:pPr>
        <w:jc w:val="both"/>
        <w:outlineLvl w:val="1"/>
      </w:pPr>
      <w:r>
        <w:rPr>
          <w:rFonts w:hAnsi="Arial"/>
          <w:rFonts w:ascii="Arial"/>
          <w:sz w:val="24"/>
          <w:b/>
          <w:color w:val="black"/>
        </w:rPr>
        <w:t xml:space="preserve">g) Perfil de Egreso: </w:t>
      </w:r>
      <w:r>
        <w:rPr>
          <w:rFonts w:hAnsi="Arial"/>
          <w:rFonts w:ascii="Arial"/>
          <w:sz w:val="24"/>
          <w:color w:val="black"/>
        </w:rPr>
        <w:t xml:space="preserve">Son las funciones y actividades que el egresado estα en capacidad de ejecutar y realizar en el respectivo ciclo de formaciσn. </w:t>
      </w:r>
    </w:p>
    <w:p>
      <w:pPr>
        <w:jc w:val="both"/>
        <w:outlineLvl w:val="1"/>
      </w:pPr>
      <w:rPr>
        <w:sz w:val="24"/>
        <w:b/>
        <w:color w:val="black"/>
      </w:rPr>
    </w:p>
    <w:p>
      <w:pPr>
        <w:jc w:val="both"/>
        <w:outlineLvl w:val="1"/>
      </w:pPr>
      <w:r>
        <w:rPr>
          <w:rFonts w:hAnsi="Arial"/>
          <w:rFonts w:ascii="Arial"/>
          <w:sz w:val="24"/>
          <w:color w:val="black"/>
        </w:rPr>
        <w:t xml:space="preserve">Estas funciones serαn definidas por cada Escuela o Departamento de Capacitaciσn y Entrenamiento en Vigilancia y Seguridad Privada y son fundamentales para que el personal operativo y el sector empresarial conozcan las αreas de desempeρo, los conocimientos, habilidades y actitudes que tiene cada uno de los egresados de acuerdo con el ciclo y nivel de formaciσn, y el campo laboral especνfico en el sector de la vigilancia y la seguridad privada. </w:t>
      </w:r>
    </w:p>
    <w:p>
      <w:pPr>
        <w:jc w:val="both"/>
        <w:outlineLvl w:val="1"/>
      </w:pPr>
      <w:rPr>
        <w:sz w:val="24"/>
        <w:b/>
        <w:color w:val="black"/>
      </w:rPr>
    </w:p>
    <w:p>
      <w:pPr>
        <w:jc w:val="both"/>
        <w:outlineLvl w:val="1"/>
      </w:pPr>
      <w:r>
        <w:rPr>
          <w:rFonts w:hAnsi="Arial"/>
          <w:rFonts w:ascii="Arial"/>
          <w:sz w:val="24"/>
          <w:b/>
          <w:color w:val="black"/>
        </w:rPr>
        <w:t xml:space="preserve">h) Perfil Docente: </w:t>
      </w:r>
      <w:r>
        <w:rPr>
          <w:rFonts w:hAnsi="Arial"/>
          <w:rFonts w:ascii="Arial"/>
          <w:sz w:val="24"/>
          <w:color w:val="black"/>
        </w:rPr>
        <w:t xml:space="preserve">Persona con formaciσn pedagσgica, tιcnica, tecnolσgica o universitaria de acuerdo con la unidad acadιmica a desarrollar. </w:t>
      </w:r>
    </w:p>
    <w:p>
      <w:pPr>
        <w:jc w:val="both"/>
        <w:outlineLvl w:val="1"/>
      </w:pPr>
      <w:rPr>
        <w:sz w:val="24"/>
        <w:b/>
        <w:color w:val="black"/>
      </w:rPr>
    </w:p>
    <w:p>
      <w:pPr>
        <w:jc w:val="both"/>
        <w:outlineLvl w:val="1"/>
      </w:pPr>
      <w:r>
        <w:rPr>
          <w:rFonts w:hAnsi="Arial"/>
          <w:rFonts w:ascii="Arial"/>
          <w:sz w:val="24"/>
          <w:b/>
          <w:color w:val="black"/>
        </w:rPr>
        <w:t xml:space="preserve">i) Instructor: </w:t>
      </w:r>
      <w:r>
        <w:rPr>
          <w:rFonts w:hAnsi="Arial"/>
          <w:rFonts w:ascii="Arial"/>
          <w:sz w:val="24"/>
          <w:color w:val="black"/>
        </w:rPr>
        <w:t xml:space="preserve">Persona que enseρa una tιcnica o actividad especνfica, debidamente certificada, en competencias de acuerdo con la unidad acadιmica que va a impartir. Un Instructor o docente puede dictar hasta tres (3) conjuntos de unidades didαcticas, que tengan relaciσn con su formaciσn pedagσgica. </w:t>
      </w:r>
    </w:p>
    <w:p>
      <w:pPr>
        <w:jc w:val="both"/>
        <w:outlineLvl w:val="1"/>
      </w:pPr>
      <w:rPr>
        <w:sz w:val="24"/>
        <w:b/>
        <w:color w:val="black"/>
      </w:rPr>
    </w:p>
    <w:p>
      <w:pPr>
        <w:jc w:val="both"/>
        <w:outlineLvl w:val="1"/>
      </w:pPr>
      <w:r>
        <w:rPr>
          <w:rFonts w:hAnsi="Arial"/>
          <w:rFonts w:ascii="Arial"/>
          <w:sz w:val="24"/>
          <w:b/>
          <w:color w:val="black"/>
        </w:rPr>
        <w:t xml:space="preserve">j) Diagnσstico: </w:t>
      </w:r>
      <w:r>
        <w:rPr>
          <w:rFonts w:hAnsi="Arial"/>
          <w:rFonts w:ascii="Arial"/>
          <w:sz w:val="24"/>
          <w:color w:val="black"/>
        </w:rPr>
        <w:t xml:space="preserve">Definido como el proceso de reconocimiento, anαlisis y evaluaciσn, con el fin de buscar estrategias de soluciσn que permitan redireccionar los procesos y alcanzar los objetivos propuestos. </w:t>
      </w:r>
    </w:p>
    <w:p>
      <w:pPr>
        <w:jc w:val="both"/>
        <w:outlineLvl w:val="1"/>
      </w:pPr>
      <w:rPr>
        <w:sz w:val="24"/>
        <w:b/>
        <w:color w:val="black"/>
      </w:rPr>
    </w:p>
    <w:p>
      <w:pPr>
        <w:jc w:val="both"/>
        <w:outlineLvl w:val="1"/>
      </w:pPr>
      <w:r>
        <w:rPr>
          <w:rFonts w:hAnsi="Arial"/>
          <w:rFonts w:ascii="Arial"/>
          <w:sz w:val="24"/>
          <w:b/>
          <w:color w:val="black"/>
        </w:rPr>
        <w:t xml:space="preserve">k) Plan de Bienestar: </w:t>
      </w:r>
      <w:r>
        <w:rPr>
          <w:rFonts w:hAnsi="Arial"/>
          <w:rFonts w:ascii="Arial"/>
          <w:sz w:val="24"/>
          <w:color w:val="black"/>
        </w:rPr>
        <w:t xml:space="preserve">Documento que reϊne las actividades, acciones desarrolladas para generar un ambiente de aprendizaje y capacitaciσn agradable que potencie el desarrollo fνsico, social y mental del personal administrativo, personal operativo en formaciσn y docentes. </w:t>
      </w:r>
    </w:p>
    <w:p>
      <w:pPr>
        <w:jc w:val="both"/>
        <w:keepNext/>
      </w:pPr>
      <w:rPr>
        <w:color w:val="black"/>
      </w:rPr>
    </w:p>
    <w:p>
      <w:pPr>
        <w:jc w:val="both"/>
        <w:keepNext/>
        <w:outlineLvl w:val="1"/>
      </w:pPr>
      <w:r>
        <w:rPr>
          <w:rFonts w:hAnsi="Arial"/>
          <w:rFonts w:ascii="Arial"/>
          <w:sz w:val="24"/>
          <w:b/>
          <w:vanish/>
          <w:color w:val="black"/>
        </w:rPr>
        <w:t>&amp;$</w:t>
      </w:r>
      <w:bookmarkStart w:id="62292" w:name="2.6.1.1.13.2.4"/>
      <w:r>
        <w:rPr>
          <w:rFonts w:hAnsi="Arial"/>
          <w:rFonts w:ascii="Arial"/>
          <w:sz w:val="24"/>
          <w:color w:val="navy"/>
        </w:rPr>
        <w:t xml:space="preserve">ARTΝCULO 2.6.1.1.13.2.4. CICLOS DE FORMACIΣN.</w:t>
      </w:r>
      <w:bookmarkEnd w:id="6229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capacitaciσn y entrenamiento del personal operativo en vigilancia y seguridad privada estα estructurada con base en los siguientes ciclos de formaciσn: </w:t>
      </w:r>
    </w:p>
    <w:p>
      <w:pPr>
        <w:jc w:val="both"/>
        <w:keepNext/>
        <w:outlineLvl w:val="1"/>
      </w:pPr>
      <w:rPr>
        <w:sz w:val="24"/>
        <w:b/>
        <w:color w:val="black"/>
      </w:rPr>
    </w:p>
    <w:p>
      <w:pPr>
        <w:jc w:val="both"/>
        <w:keepNext/>
        <w:outlineLvl w:val="1"/>
      </w:pPr>
      <w:r>
        <w:rPr>
          <w:rFonts w:hAnsi="Arial"/>
          <w:rFonts w:ascii="Arial"/>
          <w:sz w:val="24"/>
          <w:color w:val="black"/>
        </w:rPr>
        <w:t xml:space="preserve">1. Ciclo de Vigilante. </w:t>
      </w:r>
    </w:p>
    <w:p>
      <w:pPr>
        <w:jc w:val="both"/>
        <w:keepNext/>
        <w:outlineLvl w:val="1"/>
      </w:pPr>
      <w:r>
        <w:rPr>
          <w:rFonts w:hAnsi="Arial"/>
          <w:rFonts w:ascii="Arial"/>
          <w:sz w:val="24"/>
          <w:color w:val="black"/>
        </w:rPr>
        <w:t xml:space="preserve">2. Ciclo de Supervisor. </w:t>
      </w:r>
    </w:p>
    <w:p>
      <w:pPr>
        <w:jc w:val="both"/>
        <w:keepNext/>
        <w:outlineLvl w:val="1"/>
      </w:pPr>
      <w:r>
        <w:rPr>
          <w:rFonts w:hAnsi="Arial"/>
          <w:rFonts w:ascii="Arial"/>
          <w:sz w:val="24"/>
          <w:color w:val="black"/>
        </w:rPr>
        <w:t xml:space="preserve">3. Ciclo de Escolta. </w:t>
      </w:r>
    </w:p>
    <w:p>
      <w:pPr>
        <w:jc w:val="both"/>
        <w:keepNext/>
        <w:outlineLvl w:val="1"/>
      </w:pPr>
      <w:r>
        <w:rPr>
          <w:rFonts w:hAnsi="Arial"/>
          <w:rFonts w:ascii="Arial"/>
          <w:sz w:val="24"/>
          <w:color w:val="black"/>
        </w:rPr>
        <w:t xml:space="preserve">4. Ciclo de Operador de Medio Tecnolσgico. </w:t>
      </w:r>
    </w:p>
    <w:p>
      <w:pPr>
        <w:jc w:val="both"/>
        <w:keepNext/>
        <w:outlineLvl w:val="1"/>
      </w:pPr>
      <w:r>
        <w:rPr>
          <w:rFonts w:hAnsi="Arial"/>
          <w:rFonts w:ascii="Arial"/>
          <w:sz w:val="24"/>
          <w:color w:val="black"/>
        </w:rPr>
        <w:t xml:space="preserve">5. Ciclo de Manejador Canino. </w:t>
      </w:r>
    </w:p>
    <w:p>
      <w:pPr>
        <w:jc w:val="both"/>
      </w:pPr>
      <w:rPr>
        <w:color w:val="black"/>
      </w:rPr>
    </w:p>
    <w:p>
      <w:pPr>
        <w:jc w:val="both"/>
      </w:pPr>
      <w:r>
        <w:rPr>
          <w:rFonts w:hAnsi="Arial"/>
          <w:rFonts w:ascii="Arial"/>
          <w:sz w:val="24"/>
          <w:b/>
          <w:vanish/>
          <w:color w:val="black"/>
        </w:rPr>
        <w:t>&amp;$</w:t>
      </w:r>
      <w:bookmarkStart w:id="62293" w:name="2.6.1.1.13.2.5"/>
      <w:r>
        <w:rPr>
          <w:rFonts w:hAnsi="Arial"/>
          <w:rFonts w:ascii="Arial"/>
          <w:sz w:val="24"/>
          <w:color w:val="navy"/>
        </w:rPr>
        <w:t xml:space="preserve">ARTΝCULO 2.6.1.1.13.2.5. NIVELES DE FORMACIΣN.</w:t>
      </w:r>
      <w:bookmarkEnd w:id="62293"/>
      <w:r>
        <w:rPr>
          <w:rFonts w:hAnsi="Arial"/>
          <w:rFonts w:ascii="Arial"/>
          <w:sz w:val="24"/>
          <w:color w:val="black"/>
        </w:rPr>
        <w:t xml:space="preserve"> &lt;Artνculo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Cada ciclo de formaciσn se encuentra estructurado por los siguientes niveles de formaciσn: </w:t>
      </w:r>
    </w:p>
    <w:p>
      <w:pPr>
        <w:jc w:val="both"/>
        <w:outlineLvl w:val="1"/>
      </w:pPr>
      <w:rPr>
        <w:sz w:val="24"/>
        <w:b/>
        <w:color w:val="black"/>
      </w:rPr>
    </w:p>
    <w:p>
      <w:pPr>
        <w:jc w:val="both"/>
        <w:outlineLvl w:val="1"/>
      </w:pPr>
      <w:r>
        <w:rPr>
          <w:rFonts w:hAnsi="Arial"/>
          <w:rFonts w:ascii="Arial"/>
          <w:sz w:val="24"/>
          <w:b/>
          <w:color w:val="black"/>
        </w:rPr>
        <w:t xml:space="preserve">1. Nivel Bαsico: </w:t>
      </w:r>
      <w:r>
        <w:rPr>
          <w:rFonts w:hAnsi="Arial"/>
          <w:rFonts w:ascii="Arial"/>
          <w:sz w:val="24"/>
          <w:color w:val="black"/>
        </w:rPr>
        <w:t xml:space="preserve">Estα conformado por dos (02) cursos (Fundamentaciσn y Reentrenamiento), los cuales tendrαn como objetivo proveer enseρanza, capacitaciσn, entrenamiento, actualizaciσn y mejora continua en las competencias bαsicas, conocimientos, habilidades y destrezas que se requieren para un adecuado desempeρo laboral del personal operativo del sector de la vigilancia y la seguridad privada. </w:t>
      </w:r>
    </w:p>
    <w:p>
      <w:pPr>
        <w:jc w:val="both"/>
        <w:outlineLvl w:val="1"/>
      </w:pPr>
      <w:rPr>
        <w:sz w:val="24"/>
        <w:b/>
        <w:color w:val="black"/>
      </w:rPr>
    </w:p>
    <w:p>
      <w:pPr>
        <w:jc w:val="both"/>
        <w:outlineLvl w:val="1"/>
      </w:pPr>
      <w:r>
        <w:rPr>
          <w:rFonts w:hAnsi="Arial"/>
          <w:rFonts w:ascii="Arial"/>
          <w:sz w:val="24"/>
          <w:b/>
          <w:color w:val="black"/>
        </w:rPr>
        <w:t xml:space="preserve">a) Curso de Fundamentaciσn. </w:t>
      </w:r>
      <w:r>
        <w:rPr>
          <w:rFonts w:hAnsi="Arial"/>
          <w:rFonts w:ascii="Arial"/>
          <w:sz w:val="24"/>
          <w:color w:val="black"/>
        </w:rPr>
        <w:t xml:space="preserve">Es el curso bαsico, introductorio y obligatorio para el desempeρo laboral. </w:t>
      </w:r>
    </w:p>
    <w:p>
      <w:pPr>
        <w:jc w:val="both"/>
        <w:outlineLvl w:val="1"/>
      </w:pPr>
      <w:rPr>
        <w:sz w:val="24"/>
        <w:b/>
        <w:color w:val="black"/>
      </w:rPr>
    </w:p>
    <w:p>
      <w:pPr>
        <w:jc w:val="both"/>
        <w:outlineLvl w:val="1"/>
      </w:pPr>
      <w:r>
        <w:rPr>
          <w:rFonts w:hAnsi="Arial"/>
          <w:rFonts w:ascii="Arial"/>
          <w:sz w:val="24"/>
          <w:color w:val="black"/>
        </w:rPr>
        <w:t xml:space="preserve">El personal operativo deberα acreditar la realizaciσn y cumplimiento de los requisitos del curso de fundamentaciσn en el ciclo respectivo y es prerrequisito para el desarrollo de los demαs cursos en vigilancia y seguridad privada.</w:t>
      </w:r>
    </w:p>
    <w:p>
      <w:pPr>
        <w:jc w:val="both"/>
        <w:outlineLvl w:val="1"/>
      </w:pPr>
      <w:rPr>
        <w:sz w:val="24"/>
        <w:b/>
        <w:color w:val="black"/>
      </w:rPr>
    </w:p>
    <w:p>
      <w:pPr>
        <w:jc w:val="both"/>
        <w:outlineLvl w:val="1"/>
      </w:pPr>
      <w:r>
        <w:rPr>
          <w:rFonts w:hAnsi="Arial"/>
          <w:rFonts w:ascii="Arial"/>
          <w:sz w:val="24"/>
          <w:b/>
          <w:color w:val="black"/>
        </w:rPr>
        <w:t xml:space="preserve">b) Curso de Reentrenamiento: </w:t>
      </w:r>
      <w:r>
        <w:rPr>
          <w:rFonts w:hAnsi="Arial"/>
          <w:rFonts w:ascii="Arial"/>
          <w:sz w:val="24"/>
          <w:color w:val="black"/>
        </w:rPr>
        <w:t xml:space="preserve">El personal operativo mientras se encuentre vinculado al sector de la vigilancia y seguridad privada, deberα realizar anualmente el curso de reentrenamiento, contado a partir de la fecha del diploma del curso de fundamentaciσn. </w:t>
      </w:r>
    </w:p>
    <w:p>
      <w:pPr>
        <w:jc w:val="both"/>
        <w:outlineLvl w:val="1"/>
      </w:pPr>
      <w:rPr>
        <w:sz w:val="24"/>
        <w:b/>
        <w:color w:val="black"/>
      </w:rPr>
    </w:p>
    <w:p>
      <w:pPr>
        <w:jc w:val="both"/>
        <w:outlineLvl w:val="1"/>
      </w:pPr>
      <w:r>
        <w:rPr>
          <w:rFonts w:hAnsi="Arial"/>
          <w:rFonts w:ascii="Arial"/>
          <w:sz w:val="24"/>
          <w:color w:val="black"/>
        </w:rPr>
        <w:t xml:space="preserve">Se permitirα la oferta de dos tipos de cursos: </w:t>
      </w:r>
    </w:p>
    <w:p>
      <w:pPr>
        <w:jc w:val="both"/>
        <w:outlineLvl w:val="1"/>
      </w:pPr>
      <w:rPr>
        <w:sz w:val="24"/>
        <w:b/>
        <w:color w:val="black"/>
      </w:rPr>
    </w:p>
    <w:p>
      <w:pPr>
        <w:jc w:val="both"/>
        <w:outlineLvl w:val="1"/>
      </w:pPr>
      <w:r>
        <w:rPr>
          <w:rFonts w:hAnsi="Arial"/>
          <w:rFonts w:ascii="Arial"/>
          <w:sz w:val="24"/>
          <w:color w:val="black"/>
        </w:rPr>
        <w:t xml:space="preserve">1. Curso de Reentrenamiento Bαsico </w:t>
      </w:r>
    </w:p>
    <w:p>
      <w:pPr>
        <w:jc w:val="both"/>
        <w:outlineLvl w:val="1"/>
      </w:pPr>
      <w:r>
        <w:rPr>
          <w:rFonts w:hAnsi="Arial"/>
          <w:rFonts w:ascii="Arial"/>
          <w:sz w:val="24"/>
          <w:color w:val="black"/>
        </w:rPr>
        <w:t xml:space="preserve">2. Curso de Reentrenamiento Electivo </w:t>
      </w:r>
    </w:p>
    <w:p>
      <w:pPr>
        <w:jc w:val="both"/>
        <w:outlineLvl w:val="1"/>
      </w:pPr>
      <w:rPr>
        <w:sz w:val="24"/>
        <w:b/>
        <w:color w:val="black"/>
      </w:rPr>
    </w:p>
    <w:p>
      <w:pPr>
        <w:jc w:val="both"/>
        <w:outlineLvl w:val="1"/>
      </w:pPr>
      <w:r>
        <w:rPr>
          <w:rFonts w:hAnsi="Arial"/>
          <w:rFonts w:ascii="Arial"/>
          <w:sz w:val="24"/>
          <w:b/>
          <w:color w:val="black"/>
        </w:rPr>
        <w:t xml:space="preserve">2. Nivel de Especializaciσn: </w:t>
      </w:r>
      <w:r>
        <w:rPr>
          <w:rFonts w:hAnsi="Arial"/>
          <w:rFonts w:ascii="Arial"/>
          <w:sz w:val="24"/>
          <w:color w:val="black"/>
        </w:rPr>
        <w:t xml:space="preserve">Son cursos de capacitaciσn en los que se aborda en profundidad competencias, conocimientos, habilidades y destrezas especializadas segϊn los campos laborales especνficos al interior del sector de la vigilancia y la seguridad privada. El curso de reentrenamiento no es prerrequisito para optar por las especializaciones en los diferentes ciclos. </w:t>
      </w:r>
    </w:p>
    <w:p>
      <w:pPr>
        <w:jc w:val="both"/>
        <w:outlineLvl w:val="1"/>
      </w:pPr>
      <w:rPr>
        <w:sz w:val="24"/>
        <w:b/>
        <w:color w:val="black"/>
      </w:rPr>
    </w:p>
    <w:p>
      <w:pPr>
        <w:jc w:val="both"/>
        <w:outlineLvl w:val="1"/>
      </w:pPr>
      <w:r>
        <w:rPr>
          <w:rFonts w:hAnsi="Arial"/>
          <w:rFonts w:ascii="Arial"/>
          <w:sz w:val="24"/>
          <w:b/>
          <w:color w:val="black"/>
        </w:rPr>
        <w:t xml:space="preserve">3. Nivel de Profundizaciσn: </w:t>
      </w:r>
      <w:r>
        <w:rPr>
          <w:rFonts w:hAnsi="Arial"/>
          <w:rFonts w:ascii="Arial"/>
          <w:sz w:val="24"/>
          <w:color w:val="black"/>
        </w:rPr>
        <w:t xml:space="preserve">Son cursos que permiten la actualizaciσn de las especializaciones en los diferentes ciclos de formaciσn. </w:t>
      </w:r>
    </w:p>
    <w:p>
      <w:pPr>
        <w:jc w:val="both"/>
        <w:keepNext/>
      </w:pPr>
      <w:rPr>
        <w:color w:val="black"/>
      </w:rPr>
    </w:p>
    <w:p>
      <w:pPr>
        <w:jc w:val="both"/>
        <w:keepNext/>
        <w:outlineLvl w:val="1"/>
      </w:pPr>
      <w:r>
        <w:rPr>
          <w:rFonts w:hAnsi="Arial"/>
          <w:rFonts w:ascii="Arial"/>
          <w:sz w:val="24"/>
          <w:b/>
          <w:vanish/>
          <w:color w:val="black"/>
        </w:rPr>
        <w:t>&amp;$</w:t>
      </w:r>
      <w:bookmarkStart w:id="62294" w:name="2.6.1.1.13.2.6"/>
      <w:r>
        <w:rPr>
          <w:rFonts w:hAnsi="Arial"/>
          <w:rFonts w:ascii="Arial"/>
          <w:sz w:val="24"/>
          <w:color w:val="navy"/>
        </w:rPr>
        <w:t xml:space="preserve">ARTΝCULO 2.6.1.1.13.2.6. INTENSIDAD HORARIA.</w:t>
      </w:r>
      <w:bookmarkEnd w:id="6229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cursos de capacitaciσn y entrenamiento tendrαn la siguiente intensidad horaria: </w:t>
      </w:r>
    </w:p>
    <w:p>
      <w:pPr>
        <w:jc w:val="both"/>
        <w:keepNext/>
        <w:outlineLvl w:val="1"/>
      </w:pPr>
      <w:rPr>
        <w:sz w:val="24"/>
        <w:b/>
        <w:color w:val="black"/>
      </w:rPr>
    </w:p>
    <w:p>
      <w:pPr>
        <w:jc w:val="both"/>
        <w:keepNext/>
        <w:outlineLvl w:val="1"/>
      </w:pPr>
      <w:r>
        <w:rPr>
          <w:rFonts w:hAnsi="Arial"/>
          <w:rFonts w:ascii="Arial"/>
          <w:sz w:val="24"/>
          <w:b/>
          <w:color w:val="black"/>
        </w:rPr>
        <w:t xml:space="preserve">1. Curso de Fundamentaciσn. </w:t>
      </w:r>
    </w:p>
    <w:p>
      <w:pPr>
        <w:jc w:val="both"/>
        <w:keepNext/>
        <w:outlineLvl w:val="1"/>
      </w:pPr>
      <w:rPr>
        <w:sz w:val="24"/>
        <w:b/>
        <w:color w:val="black"/>
      </w:rPr>
    </w:p>
    <w:p>
      <w:pPr>
        <w:jc w:val="both"/>
        <w:keepNext/>
        <w:outlineLvl w:val="1"/>
      </w:pPr>
      <w:r>
        <w:rPr>
          <w:rFonts w:hAnsi="Arial"/>
          <w:rFonts w:ascii="Arial"/>
          <w:sz w:val="24"/>
          <w:color w:val="black"/>
        </w:rPr>
        <w:t xml:space="preserve">a) Para Vigilante con una intensidad mνnima de ciento veinte (120) horas. </w:t>
      </w:r>
    </w:p>
    <w:p>
      <w:pPr>
        <w:jc w:val="both"/>
        <w:keepNext/>
        <w:outlineLvl w:val="1"/>
      </w:pPr>
      <w:rPr>
        <w:sz w:val="24"/>
        <w:b/>
        <w:color w:val="black"/>
      </w:rPr>
    </w:p>
    <w:p>
      <w:pPr>
        <w:jc w:val="both"/>
        <w:keepNext/>
        <w:outlineLvl w:val="1"/>
      </w:pPr>
      <w:r>
        <w:rPr>
          <w:rFonts w:hAnsi="Arial"/>
          <w:rFonts w:ascii="Arial"/>
          <w:sz w:val="24"/>
          <w:color w:val="black"/>
        </w:rPr>
        <w:t xml:space="preserve">b) Para Supervisor, con una intensidad mνnima de ciento veinte (120) horas. </w:t>
      </w:r>
    </w:p>
    <w:p>
      <w:pPr>
        <w:jc w:val="both"/>
        <w:keepNext/>
        <w:outlineLvl w:val="1"/>
      </w:pPr>
      <w:rPr>
        <w:sz w:val="24"/>
        <w:b/>
        <w:color w:val="black"/>
      </w:rPr>
    </w:p>
    <w:p>
      <w:pPr>
        <w:jc w:val="both"/>
        <w:keepNext/>
        <w:outlineLvl w:val="1"/>
      </w:pPr>
      <w:r>
        <w:rPr>
          <w:rFonts w:hAnsi="Arial"/>
          <w:rFonts w:ascii="Arial"/>
          <w:sz w:val="24"/>
          <w:color w:val="black"/>
        </w:rPr>
        <w:t xml:space="preserve">c) Para Escolta, con una intensidad mνnima de ciento veinte (120) horas. </w:t>
      </w:r>
    </w:p>
    <w:p>
      <w:pPr>
        <w:jc w:val="both"/>
        <w:keepNext/>
        <w:outlineLvl w:val="1"/>
      </w:pPr>
      <w:rPr>
        <w:sz w:val="24"/>
        <w:b/>
        <w:color w:val="black"/>
      </w:rPr>
    </w:p>
    <w:p>
      <w:pPr>
        <w:jc w:val="both"/>
        <w:keepNext/>
        <w:outlineLvl w:val="1"/>
      </w:pPr>
      <w:r>
        <w:rPr>
          <w:rFonts w:hAnsi="Arial"/>
          <w:rFonts w:ascii="Arial"/>
          <w:sz w:val="24"/>
          <w:color w:val="black"/>
        </w:rPr>
        <w:t xml:space="preserve">d) Para Operador de Medio Tecnolσgico con una intensidad mνnima de ciento veinte (120) horas. </w:t>
      </w:r>
    </w:p>
    <w:p>
      <w:pPr>
        <w:jc w:val="both"/>
        <w:keepNext/>
        <w:outlineLvl w:val="1"/>
      </w:pPr>
      <w:rPr>
        <w:sz w:val="24"/>
        <w:b/>
        <w:color w:val="black"/>
      </w:rPr>
    </w:p>
    <w:p>
      <w:pPr>
        <w:jc w:val="both"/>
        <w:keepNext/>
        <w:outlineLvl w:val="1"/>
      </w:pPr>
      <w:r>
        <w:rPr>
          <w:rFonts w:hAnsi="Arial"/>
          <w:rFonts w:ascii="Arial"/>
          <w:sz w:val="24"/>
          <w:color w:val="black"/>
        </w:rPr>
        <w:t xml:space="preserve">e) Para Manejador Canino, con una intensidad mνnima de trescientas (300) horas. </w:t>
      </w:r>
    </w:p>
    <w:p>
      <w:pPr>
        <w:jc w:val="both"/>
        <w:keepNext/>
        <w:outlineLvl w:val="1"/>
      </w:pPr>
      <w:rPr>
        <w:sz w:val="24"/>
        <w:b/>
        <w:color w:val="black"/>
      </w:rPr>
    </w:p>
    <w:p>
      <w:pPr>
        <w:jc w:val="both"/>
        <w:keepNext/>
        <w:outlineLvl w:val="1"/>
      </w:pPr>
      <w:r>
        <w:rPr>
          <w:rFonts w:hAnsi="Arial"/>
          <w:rFonts w:ascii="Arial"/>
          <w:sz w:val="24"/>
          <w:b/>
          <w:color w:val="black"/>
        </w:rPr>
        <w:t xml:space="preserve">2. Curso de Reentrenamiento. </w:t>
      </w:r>
      <w:r>
        <w:rPr>
          <w:rFonts w:hAnsi="Arial"/>
          <w:rFonts w:ascii="Arial"/>
          <w:sz w:val="24"/>
          <w:color w:val="black"/>
        </w:rPr>
        <w:t xml:space="preserve">Intensidad mνnima de treinta (30) horas para cualquier Ciclo de Formaciσn. </w:t>
      </w:r>
    </w:p>
    <w:p>
      <w:pPr>
        <w:jc w:val="both"/>
        <w:keepNext/>
        <w:outlineLvl w:val="1"/>
      </w:pPr>
      <w:rPr>
        <w:sz w:val="24"/>
        <w:b/>
        <w:color w:val="black"/>
      </w:rPr>
    </w:p>
    <w:p>
      <w:pPr>
        <w:jc w:val="both"/>
        <w:keepNext/>
        <w:outlineLvl w:val="1"/>
      </w:pPr>
      <w:r>
        <w:rPr>
          <w:rFonts w:hAnsi="Arial"/>
          <w:rFonts w:ascii="Arial"/>
          <w:sz w:val="24"/>
          <w:b/>
          <w:color w:val="black"/>
        </w:rPr>
        <w:t xml:space="preserve">3. Curso de Especializaciσn. </w:t>
      </w:r>
      <w:r>
        <w:rPr>
          <w:rFonts w:hAnsi="Arial"/>
          <w:rFonts w:ascii="Arial"/>
          <w:sz w:val="24"/>
          <w:color w:val="black"/>
        </w:rPr>
        <w:t xml:space="preserve">Intensidad mνnima de ochenta (80) horas para cualquier Ciclo de Formaciσn. </w:t>
      </w:r>
    </w:p>
    <w:p>
      <w:pPr>
        <w:jc w:val="both"/>
        <w:keepNext/>
        <w:outlineLvl w:val="1"/>
      </w:pPr>
      <w:rPr>
        <w:sz w:val="24"/>
        <w:b/>
        <w:color w:val="black"/>
      </w:rPr>
    </w:p>
    <w:p>
      <w:pPr>
        <w:jc w:val="both"/>
        <w:keepNext/>
        <w:outlineLvl w:val="1"/>
      </w:pPr>
      <w:r>
        <w:rPr>
          <w:rFonts w:hAnsi="Arial"/>
          <w:rFonts w:ascii="Arial"/>
          <w:sz w:val="24"/>
          <w:b/>
          <w:color w:val="black"/>
        </w:rPr>
        <w:t xml:space="preserve">4. Cursos de Profundizaciσn. </w:t>
      </w:r>
      <w:r>
        <w:rPr>
          <w:rFonts w:hAnsi="Arial"/>
          <w:rFonts w:ascii="Arial"/>
          <w:sz w:val="24"/>
          <w:color w:val="black"/>
        </w:rPr>
        <w:t xml:space="preserve">Intensidad horaria mνnima de treinta (30) horas. </w:t>
      </w:r>
    </w:p>
    <w:p>
      <w:pPr>
        <w:jc w:val="both"/>
        <w:keepNext/>
        <w:outlineLvl w:val="1"/>
      </w:pPr>
      <w:rPr>
        <w:sz w:val="24"/>
        <w:b/>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 hora acadιmica en todos los casos serα de 60 minutos. </w:t>
      </w:r>
    </w:p>
    <w:p>
      <w:pPr>
        <w:jc w:val="both"/>
      </w:pPr>
      <w:rPr>
        <w:color w:val="black"/>
      </w:rPr>
    </w:p>
    <w:p>
      <w:pPr>
        <w:jc w:val="both"/>
      </w:pPr>
      <w:r>
        <w:rPr>
          <w:rFonts w:hAnsi="Arial"/>
          <w:rFonts w:ascii="Arial"/>
          <w:sz w:val="24"/>
          <w:b/>
          <w:vanish/>
          <w:color w:val="black"/>
        </w:rPr>
        <w:t>&amp;$</w:t>
      </w:r>
      <w:bookmarkStart w:id="62295" w:name="2.6.1.1.13.2.7"/>
      <w:r>
        <w:rPr>
          <w:rFonts w:hAnsi="Arial"/>
          <w:rFonts w:ascii="Arial"/>
          <w:sz w:val="24"/>
          <w:color w:val="navy"/>
        </w:rPr>
        <w:t xml:space="preserve">ARTΝCULO 2.6.1.1.13.2.7. PRERREQUISITOS.</w:t>
      </w:r>
      <w:bookmarkEnd w:id="6229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tomar los cursos de reentrenamiento, especializaciones y profundizaciσn, es prerrequisito haber cursado y aprobado el curso de fundamentaciσn en el mismo ciclo de formaciσn, asν: </w:t>
      </w:r>
    </w:p>
    <w:p>
      <w:pPr>
        <w:jc w:val="both"/>
        <w:outlineLvl w:val="1"/>
      </w:pPr>
      <w:rPr>
        <w:sz w:val="24"/>
        <w:b/>
        <w:color w:val="black"/>
      </w:rPr>
    </w:p>
    <w:p>
      <w:pPr>
        <w:jc w:val="both"/>
        <w:outlineLvl w:val="1"/>
      </w:pPr>
      <w:r>
        <w:rPr>
          <w:rFonts w:hAnsi="Arial"/>
          <w:rFonts w:ascii="Arial"/>
          <w:sz w:val="24"/>
          <w:color w:val="black"/>
        </w:rPr>
        <w:t xml:space="preserve">a) Para adelantar el curso de reentrenamiento es necesario haber aprobado el curso de fundamentaciσn en el ciclo correspondiente. </w:t>
      </w:r>
    </w:p>
    <w:p>
      <w:pPr>
        <w:jc w:val="both"/>
        <w:outlineLvl w:val="1"/>
      </w:pPr>
      <w:rPr>
        <w:sz w:val="24"/>
        <w:b/>
        <w:color w:val="black"/>
      </w:rPr>
    </w:p>
    <w:p>
      <w:pPr>
        <w:jc w:val="both"/>
        <w:outlineLvl w:val="1"/>
      </w:pPr>
      <w:r>
        <w:rPr>
          <w:rFonts w:hAnsi="Arial"/>
          <w:rFonts w:ascii="Arial"/>
          <w:sz w:val="24"/>
          <w:color w:val="black"/>
        </w:rPr>
        <w:t xml:space="preserve">b) Para adelantar el curso de especializaciσn, es necesario haber aprobado el curso de fundamentaciσn en el ciclo correspondiente. </w:t>
      </w:r>
    </w:p>
    <w:p>
      <w:pPr>
        <w:jc w:val="both"/>
        <w:outlineLvl w:val="1"/>
      </w:pPr>
      <w:rPr>
        <w:sz w:val="24"/>
        <w:b/>
        <w:color w:val="black"/>
      </w:rPr>
    </w:p>
    <w:p>
      <w:pPr>
        <w:jc w:val="both"/>
        <w:outlineLvl w:val="1"/>
      </w:pPr>
      <w:r>
        <w:rPr>
          <w:rFonts w:hAnsi="Arial"/>
          <w:rFonts w:ascii="Arial"/>
          <w:sz w:val="24"/>
          <w:color w:val="black"/>
        </w:rPr>
        <w:t xml:space="preserve">c) Para adelantar el curso de profundizaciσn se debe haber aprobado el curso de la especializaciσn en el ciclo correspondiente. </w:t>
      </w:r>
    </w:p>
    <w:p>
      <w:pPr>
        <w:jc w:val="both"/>
      </w:pPr>
      <w:rPr>
        <w:color w:val="black"/>
      </w:rPr>
    </w:p>
    <w:p>
      <w:pPr>
        <w:jc w:val="both"/>
        <w:outlineLvl w:val="1"/>
      </w:pPr>
      <w:r>
        <w:rPr>
          <w:rFonts w:hAnsi="Arial"/>
          <w:rFonts w:ascii="Arial"/>
          <w:sz w:val="24"/>
          <w:b/>
          <w:vanish/>
          <w:color w:val="black"/>
        </w:rPr>
        <w:t>&amp;$</w:t>
      </w:r>
      <w:bookmarkStart w:id="62296" w:name="2.6.1.1.13.2.8"/>
      <w:r>
        <w:rPr>
          <w:rFonts w:hAnsi="Arial"/>
          <w:rFonts w:ascii="Arial"/>
          <w:sz w:val="24"/>
          <w:color w:val="navy"/>
        </w:rPr>
        <w:t xml:space="preserve">ARTΝCULO 2.6.1.1.13.2.8. REQUISITOS DE INGRESO.</w:t>
      </w:r>
      <w:bookmarkEnd w:id="6229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y/o Departamentos de Capacitaciσn y Entrenamiento en Vigilancia y Seguridad Privada, serαn responsables de revisar y verificar el cumplimiento de los requisitos, previo a la iniciaciσn del curso respectivo: </w:t>
      </w:r>
    </w:p>
    <w:p>
      <w:pPr>
        <w:jc w:val="both"/>
        <w:outlineLvl w:val="1"/>
      </w:pPr>
      <w:rPr>
        <w:sz w:val="24"/>
        <w:b/>
        <w:color w:val="black"/>
      </w:rPr>
    </w:p>
    <w:p>
      <w:pPr>
        <w:jc w:val="both"/>
        <w:outlineLvl w:val="1"/>
      </w:pPr>
      <w:r>
        <w:rPr>
          <w:rFonts w:hAnsi="Arial"/>
          <w:rFonts w:ascii="Arial"/>
          <w:sz w:val="24"/>
          <w:b/>
          <w:color w:val="black"/>
        </w:rPr>
        <w:t xml:space="preserve">1. Curso de Fundamentaciσn: </w:t>
      </w:r>
      <w:r>
        <w:rPr>
          <w:rFonts w:hAnsi="Arial"/>
          <w:rFonts w:ascii="Arial"/>
          <w:sz w:val="24"/>
          <w:color w:val="black"/>
        </w:rPr>
        <w:t xml:space="preserve">Para realizar el curso de fundamentaciσn, el aspirante debe cumplir los siguientes requisitos: </w:t>
      </w:r>
    </w:p>
    <w:p>
      <w:pPr>
        <w:jc w:val="both"/>
        <w:outlineLvl w:val="1"/>
      </w:pPr>
      <w:rPr>
        <w:sz w:val="24"/>
        <w:b/>
        <w:color w:val="black"/>
      </w:rPr>
    </w:p>
    <w:p>
      <w:pPr>
        <w:jc w:val="both"/>
        <w:outlineLvl w:val="1"/>
      </w:pPr>
      <w:r>
        <w:rPr>
          <w:rFonts w:hAnsi="Arial"/>
          <w:rFonts w:ascii="Arial"/>
          <w:sz w:val="24"/>
          <w:color w:val="black"/>
        </w:rPr>
        <w:t xml:space="preserve">a) Ciclo de vigilante, ciclo de operador de medios tecnolσgicos y manejador canino: </w:t>
      </w:r>
    </w:p>
    <w:p>
      <w:pPr>
        <w:jc w:val="both"/>
        <w:outlineLvl w:val="1"/>
      </w:pPr>
      <w:rPr>
        <w:sz w:val="24"/>
        <w:b/>
        <w:color w:val="black"/>
      </w:rPr>
    </w:p>
    <w:p>
      <w:pPr>
        <w:jc w:val="both"/>
        <w:outlineLvl w:val="1"/>
      </w:pPr>
      <w:r>
        <w:rPr>
          <w:rFonts w:hAnsi="Arial"/>
          <w:rFonts w:ascii="Arial"/>
          <w:sz w:val="24"/>
          <w:color w:val="black"/>
        </w:rPr>
        <w:t xml:space="preserve">- Ser ciudadano colombiano o extranjero con permiso de trabajo vigente. </w:t>
      </w:r>
    </w:p>
    <w:p>
      <w:pPr>
        <w:jc w:val="both"/>
        <w:outlineLvl w:val="1"/>
      </w:pPr>
      <w:r>
        <w:rPr>
          <w:rFonts w:hAnsi="Arial"/>
          <w:rFonts w:ascii="Arial"/>
          <w:sz w:val="24"/>
          <w:color w:val="black"/>
        </w:rPr>
        <w:t xml:space="preserve">- Ser mayor de edad. </w:t>
      </w:r>
    </w:p>
    <w:p>
      <w:pPr>
        <w:jc w:val="both"/>
        <w:outlineLvl w:val="1"/>
      </w:pPr>
      <w:r>
        <w:rPr>
          <w:rFonts w:hAnsi="Arial"/>
          <w:rFonts w:ascii="Arial"/>
          <w:sz w:val="24"/>
          <w:color w:val="black"/>
        </w:rPr>
        <w:t xml:space="preserve">- No registrar antecedentes judiciales. </w:t>
      </w:r>
    </w:p>
    <w:p>
      <w:pPr>
        <w:jc w:val="both"/>
        <w:outlineLvl w:val="1"/>
      </w:pPr>
      <w:rPr>
        <w:sz w:val="24"/>
        <w:b/>
        <w:color w:val="black"/>
      </w:rPr>
    </w:p>
    <w:p>
      <w:pPr>
        <w:jc w:val="both"/>
        <w:outlineLvl w:val="1"/>
      </w:pPr>
      <w:r>
        <w:rPr>
          <w:rFonts w:hAnsi="Arial"/>
          <w:rFonts w:ascii="Arial"/>
          <w:sz w:val="24"/>
          <w:color w:val="black"/>
        </w:rPr>
        <w:t xml:space="preserve">b) Ciclo de escolta y ciclo de supervisor: se deberαn cumplir los requisitos anteriores y adicionalmente tener licencia de conducciσn de moto y/o vehνculo vigente. </w:t>
      </w:r>
    </w:p>
    <w:p>
      <w:pPr>
        <w:jc w:val="both"/>
        <w:outlineLvl w:val="1"/>
      </w:pPr>
      <w:rPr>
        <w:sz w:val="24"/>
        <w:b/>
        <w:color w:val="black"/>
      </w:rPr>
    </w:p>
    <w:p>
      <w:pPr>
        <w:jc w:val="both"/>
        <w:outlineLvl w:val="1"/>
      </w:pPr>
      <w:r>
        <w:rPr>
          <w:rFonts w:hAnsi="Arial"/>
          <w:rFonts w:ascii="Arial"/>
          <w:sz w:val="24"/>
          <w:b/>
          <w:color w:val="black"/>
        </w:rPr>
        <w:t xml:space="preserve">2. Curso de Reentrenamiento: </w:t>
      </w:r>
      <w:r>
        <w:rPr>
          <w:rFonts w:hAnsi="Arial"/>
          <w:rFonts w:ascii="Arial"/>
          <w:sz w:val="24"/>
          <w:color w:val="black"/>
        </w:rPr>
        <w:t xml:space="preserve">Para adelantar el curso de reentrenamiento es necesario haber aprobado el curso de fundamentaciσn del ciclo correspondiente. El curso de reentrenamiento tendrα vigencia anual y serα obligatorio para acreditarse laboralmente como personal operativo en el sector de la Vigilancia y la Seguridad privada. </w:t>
      </w:r>
    </w:p>
    <w:p>
      <w:pPr>
        <w:jc w:val="both"/>
        <w:outlineLvl w:val="1"/>
      </w:pPr>
      <w:rPr>
        <w:sz w:val="24"/>
        <w:b/>
        <w:color w:val="black"/>
      </w:rPr>
    </w:p>
    <w:p>
      <w:pPr>
        <w:jc w:val="both"/>
        <w:outlineLvl w:val="1"/>
      </w:pPr>
      <w:r>
        <w:rPr>
          <w:rFonts w:hAnsi="Arial"/>
          <w:rFonts w:ascii="Arial"/>
          <w:sz w:val="24"/>
          <w:b/>
          <w:color w:val="black"/>
        </w:rPr>
        <w:t xml:space="preserve">3. Curso de Especializaciσn: </w:t>
      </w:r>
      <w:r>
        <w:rPr>
          <w:rFonts w:hAnsi="Arial"/>
          <w:rFonts w:ascii="Arial"/>
          <w:sz w:val="24"/>
          <w:color w:val="black"/>
        </w:rPr>
        <w:t xml:space="preserve">Para adelantar el curso de especializaciσn, se debe haber aprobado el curso de fundamentaciσn en el ciclo correspondiente. </w:t>
      </w:r>
    </w:p>
    <w:p>
      <w:pPr>
        <w:jc w:val="both"/>
        <w:outlineLvl w:val="1"/>
      </w:pPr>
      <w:rPr>
        <w:sz w:val="24"/>
        <w:b/>
        <w:color w:val="black"/>
      </w:rPr>
    </w:p>
    <w:p>
      <w:pPr>
        <w:jc w:val="both"/>
        <w:outlineLvl w:val="1"/>
      </w:pPr>
      <w:r>
        <w:rPr>
          <w:rFonts w:hAnsi="Arial"/>
          <w:rFonts w:ascii="Arial"/>
          <w:sz w:val="24"/>
          <w:b/>
          <w:color w:val="black"/>
        </w:rPr>
        <w:t xml:space="preserve">4. Curso de Profundizaciσn: </w:t>
      </w:r>
      <w:r>
        <w:rPr>
          <w:rFonts w:hAnsi="Arial"/>
          <w:rFonts w:ascii="Arial"/>
          <w:sz w:val="24"/>
          <w:color w:val="black"/>
        </w:rPr>
        <w:t xml:space="preserve">Para adelantar el curso de profundizaciσn se debe haber aprobado el curso de especializaciσn en el ciclo correspondiente.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Es responsabilidad de los servicios de vigilancia y seguridad privada velar por la actualizaciσn del personal de vigilancia y seguridad privada a su cargo de manera continua. </w:t>
      </w:r>
    </w:p>
    <w:p>
      <w:pPr>
        <w:jc w:val="both"/>
        <w:keepNext/>
      </w:pPr>
      <w:rPr>
        <w:color w:val="black"/>
      </w:rPr>
    </w:p>
    <w:p>
      <w:pPr>
        <w:jc w:val="both"/>
        <w:keepNext/>
        <w:outlineLvl w:val="1"/>
      </w:pPr>
      <w:r>
        <w:rPr>
          <w:rFonts w:hAnsi="Arial"/>
          <w:rFonts w:ascii="Arial"/>
          <w:sz w:val="24"/>
          <w:b/>
          <w:vanish/>
          <w:color w:val="black"/>
        </w:rPr>
        <w:t>&amp;$</w:t>
      </w:r>
      <w:bookmarkStart w:id="62297" w:name="2.6.1.1.13.2.9"/>
      <w:r>
        <w:rPr>
          <w:rFonts w:hAnsi="Arial"/>
          <w:rFonts w:ascii="Arial"/>
          <w:sz w:val="24"/>
          <w:color w:val="navy"/>
        </w:rPr>
        <w:t xml:space="preserve">ARTΝCULO 2.6.1.1.13.2.9. PRESENTACIΣN DEL PROYECTO EDUCATIVO INSTITUCIONAL EN VIGILANCIA Y SEGURIDAD PRIVADA (PEIS).</w:t>
      </w:r>
      <w:bookmarkEnd w:id="6229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o Departamentos de Capacitaciσn y Entrenamiento en Vigilancia y Seguridad Privada establecerαn de manera autσnoma los formatos para la presentaciσn del Proyecto Educativo Institucional en Vigilancia y Seguridad Privada (PEIS), los cuales deben contener entre otros aspectos, los seρalados en las condiciones de calidad. </w:t>
      </w:r>
    </w:p>
    <w:p>
      <w:pPr>
        <w:jc w:val="both"/>
      </w:pPr>
      <w:rPr>
        <w:color w:val="black"/>
      </w:rPr>
    </w:p>
    <w:p>
      <w:pPr>
        <w:jc w:val="both"/>
      </w:pPr>
      <w:r>
        <w:rPr>
          <w:rFonts w:hAnsi="Arial"/>
          <w:rFonts w:ascii="Arial"/>
          <w:sz w:val="24"/>
          <w:b/>
          <w:vanish/>
          <w:color w:val="black"/>
        </w:rPr>
        <w:t>&amp;$</w:t>
      </w:r>
      <w:bookmarkStart w:id="62298" w:name="2.6.1.1.13.2.10"/>
      <w:r>
        <w:rPr>
          <w:rFonts w:hAnsi="Arial"/>
          <w:rFonts w:ascii="Arial"/>
          <w:sz w:val="24"/>
          <w:color w:val="navy"/>
        </w:rPr>
        <w:t xml:space="preserve">ARTΝCULO 2.6.1.1.13.2.10. INTEROPERABILIDAD.</w:t>
      </w:r>
      <w:bookmarkEnd w:id="6229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y/o Departamentos de Capacitaciσn en Vigilancia y Seguridad Privada en virtud de los principios, deberes y obligaciones de que trata el Decreto ley </w:t>
      </w:r>
      <w:r>
        <w:fldChar w:fldCharType="begin"/>
      </w:r>
      <w:r>
        <w:instrText>HYPERLINK "http://www.redjurista.com/document.aspx?ajcode=d0356_94&amp;arts=INICIO"</w:instrText>
      </w:r>
      <w:r>
        <w:fldChar w:fldCharType="separate"/>
      </w:r>
      <w:r>
        <w:rPr>
          <w:rFonts w:hAnsi="Arial"/>
          <w:rFonts w:ascii="Arial"/>
          <w:sz w:val="24"/>
          <w:u w:val="single"/>
          <w:color w:val="black"/>
        </w:rPr>
        <w:t>356</w:t>
      </w:r>
      <w:r>
        <w:fldChar w:fldCharType="end"/>
      </w:r>
      <w:r>
        <w:rPr>
          <w:rFonts w:hAnsi="Arial"/>
          <w:rFonts w:ascii="Arial"/>
          <w:sz w:val="24"/>
          <w:u w:val="none"/>
          <w:color w:val="black"/>
        </w:rPr>
        <w:t xml:space="preserve"> de 1994, adoptarαn los sistemas tecnolσgicos o plataformas digitales (software) necesarios para intercambiar informaciσn en tiempo real con la Superintendencia de Vigilancia y Seguridad Privada, ya sean datos, documentos u otros objetos digitales, de manera uniforme y eficiente generando interoperabilidad con el Sistema de Registro, Autenticaciσn, Validaciσn e Identificaciσn de los estudiantes para el control en el proceso de formaciσn en vigilancia y seguridad privada. </w:t>
      </w:r>
    </w:p>
    <w:p>
      <w:pPr>
        <w:jc w:val="both"/>
      </w:pPr>
      <w:rPr>
        <w:color w:val="black"/>
      </w:rPr>
    </w:p>
    <w:p>
      <w:pPr>
        <w:jc w:val="both"/>
        <w:outlineLvl w:val="1"/>
      </w:pPr>
      <w:r>
        <w:rPr>
          <w:rFonts w:hAnsi="Arial"/>
          <w:rFonts w:ascii="Arial"/>
          <w:sz w:val="24"/>
          <w:b/>
          <w:vanish/>
          <w:color w:val="black"/>
        </w:rPr>
        <w:t>&amp;$</w:t>
      </w:r>
      <w:bookmarkStart w:id="62299" w:name="2.6.1.1.13.2.11"/>
      <w:r>
        <w:rPr>
          <w:rFonts w:hAnsi="Arial"/>
          <w:rFonts w:ascii="Arial"/>
          <w:sz w:val="24"/>
          <w:color w:val="navy"/>
        </w:rPr>
        <w:t xml:space="preserve">ARTΝCULO 2.6.1.1.13.2.11. PROHIBICIΣN DE CAPACITACIΣN Y ENTRENAMIENTO EN ORGANIZACIΣN, INSTRUCCIΣN Y EQUIPAMIENTO EN TΑCTICAS O TΙCNICAS MILITARES O TERRORISTAS.</w:t>
      </w:r>
      <w:bookmarkEnd w:id="6229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o Departamentos de Capacitaciσn y Entrenamiento en Vigilancia y Seguridad Privada en ningϊn caso podrαn capacitar en temas relacionados con la organizaciσn, instrucciσn y equipamiento a personas en tαcticas, tιcnicas o procedimientos militares o terroristas. </w:t>
      </w:r>
    </w:p>
    <w:p>
      <w:pPr>
        <w:jc w:val="both"/>
      </w:pPr>
      <w:rPr>
        <w:color w:val="black"/>
      </w:rPr>
    </w:p>
    <w:p>
      <w:pPr>
        <w:jc w:val="both"/>
        <w:outlineLvl w:val="1"/>
      </w:pPr>
      <w:r>
        <w:rPr>
          <w:rFonts w:hAnsi="Arial"/>
          <w:rFonts w:ascii="Arial"/>
          <w:sz w:val="24"/>
          <w:b/>
          <w:vanish/>
          <w:color w:val="black"/>
        </w:rPr>
        <w:t>&amp;$</w:t>
      </w:r>
      <w:bookmarkStart w:id="62300" w:name="2.6.1.1.13.2.12"/>
      <w:r>
        <w:rPr>
          <w:rFonts w:hAnsi="Arial"/>
          <w:rFonts w:ascii="Arial"/>
          <w:sz w:val="24"/>
          <w:color w:val="navy"/>
        </w:rPr>
        <w:t xml:space="preserve">ARTΝCULO 2.6.1.1.13.2.12. MANEJO DE ARMAMENTO Y MUNICIONES.</w:t>
      </w:r>
      <w:bookmarkEnd w:id="6230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y Entrenamiento en Vigilancia y Seguridad Privada deberαn seguir estrictamente lo dispuesto tanto en el Decreto ley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el Decreto Ϊnico Reglamentario del Sector Defensa </w:t>
      </w:r>
      <w:r>
        <w:fldChar w:fldCharType="begin"/>
      </w:r>
      <w:r>
        <w:instrText>HYPERLINK "http://www.redjurista.com/document.aspx?ajcode=d1070015&amp;arts=INICIO"</w:instrText>
      </w:r>
      <w:r>
        <w:fldChar w:fldCharType="separate"/>
      </w:r>
      <w:r>
        <w:rPr>
          <w:rFonts w:hAnsi="Arial"/>
          <w:rFonts w:ascii="Arial"/>
          <w:sz w:val="24"/>
          <w:u w:val="single"/>
          <w:color w:val="black"/>
        </w:rPr>
        <w:t>1070</w:t>
      </w:r>
      <w:r>
        <w:fldChar w:fldCharType="end"/>
      </w:r>
      <w:r>
        <w:rPr>
          <w:rFonts w:hAnsi="Arial"/>
          <w:rFonts w:ascii="Arial"/>
          <w:sz w:val="24"/>
          <w:u w:val="none"/>
          <w:color w:val="black"/>
        </w:rPr>
        <w:t xml:space="preserve"> de 2015, el Decreto </w:t>
      </w:r>
      <w:r>
        <w:fldChar w:fldCharType="begin"/>
      </w:r>
      <w:r>
        <w:instrText>HYPERLINK "http://www.redjurista.com/document.aspx?ajcode=d1417021&amp;arts=INICIO"</w:instrText>
      </w:r>
      <w:r>
        <w:fldChar w:fldCharType="separate"/>
      </w:r>
      <w:r>
        <w:rPr>
          <w:rFonts w:hAnsi="Arial"/>
          <w:rFonts w:ascii="Arial"/>
          <w:sz w:val="24"/>
          <w:u w:val="single"/>
          <w:color w:val="black"/>
        </w:rPr>
        <w:t>1417</w:t>
      </w:r>
      <w:r>
        <w:fldChar w:fldCharType="end"/>
      </w:r>
      <w:r>
        <w:rPr>
          <w:rFonts w:hAnsi="Arial"/>
          <w:rFonts w:ascii="Arial"/>
          <w:sz w:val="24"/>
          <w:u w:val="none"/>
          <w:color w:val="black"/>
        </w:rPr>
        <w:t xml:space="preserve"> de 2021 y las normas que les adicionen, modifiquen o sustituyan en materia de armas y municiones, asν como lo establecido en los protocolos de manejo y almacenamiento de armas, municiones y equipos de comunicaciσn que hacen parte del Proyecto Educativo Institucional en Vigilancia y Seguridad Privada - PEIS. Para efectos del ciclo de manejador canino se deberαn tramitar las solicitudes y permisos a que haya lugar ante las autoridades competentes para el uso de explosivos.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El armamento y la municiσn deberα estar registrado por la Escuela o Departamento de Capacitaciσn en Vigilancia y Seguridad Privada ante el DCCAE y su uso serα exclusivamente para la capacitaciσn y entrenamiento. La responsabilidad en su custodia y manejo serα de la instituciσn.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La capacitaciσn en armas, elementos y dispositivos menos letales no podrα reemplazar en ninguna circunstancia las unidades de aprendizaje, las competencias y las prαcticas o ejercicios de tiro relacionados con las armas de fuego de defensa personal o traumαticas autorizadas para el sector de la vigilancia y seguridad privada. </w:t>
      </w:r>
    </w:p>
    <w:p>
      <w:pPr>
        <w:jc w:val="both"/>
        <w:keepNext/>
      </w:pPr>
      <w:rPr>
        <w:color w:val="black"/>
      </w:rPr>
    </w:p>
    <w:p>
      <w:pPr>
        <w:jc w:val="both"/>
        <w:keepNext/>
        <w:outlineLvl w:val="1"/>
      </w:pPr>
      <w:r>
        <w:rPr>
          <w:rFonts w:hAnsi="Arial"/>
          <w:rFonts w:ascii="Arial"/>
          <w:sz w:val="24"/>
          <w:b/>
          <w:vanish/>
          <w:color w:val="black"/>
        </w:rPr>
        <w:t>&amp;$</w:t>
      </w:r>
      <w:bookmarkStart w:id="62301" w:name="2.6.1.1.13.2.13"/>
      <w:r>
        <w:rPr>
          <w:rFonts w:hAnsi="Arial"/>
          <w:rFonts w:ascii="Arial"/>
          <w:sz w:val="24"/>
          <w:color w:val="navy"/>
        </w:rPr>
        <w:t xml:space="preserve">ARTΝCULO 2.6.1.1.13.2.13. ARMAS Y MUNICIONES AUTORIZADAS.</w:t>
      </w:r>
      <w:bookmarkEnd w:id="6230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En los ejercicios de entrenamiento y capacitaciσn se deberα efectuar prαctica de tiro con las armas y municiones autorizadas por la entidad competente para los cursos de Fundamentaciσn, Reentrenamiento y Especializaciσn de los diferentes ciclos. </w:t>
      </w:r>
    </w:p>
    <w:p>
      <w:pPr>
        <w:jc w:val="both"/>
        <w:keepNext/>
        <w:outlineLvl w:val="1"/>
      </w:pPr>
      <w:rPr>
        <w:sz w:val="24"/>
        <w:color w:val="black"/>
      </w:rPr>
    </w:p>
    <w:p>
      <w:pPr>
        <w:jc w:val="both"/>
        <w:keepNext/>
        <w:outlineLvl w:val="1"/>
      </w:pPr>
      <w:r>
        <w:rPr>
          <w:rFonts w:hAnsi="Arial"/>
          <w:rFonts w:ascii="Arial"/>
          <w:sz w:val="24"/>
          <w:color w:val="navy"/>
        </w:rPr>
        <w:t xml:space="preserve">PARΑGRAFO 1o.</w:t>
      </w:r>
      <w:r>
        <w:rPr>
          <w:rFonts w:hAnsi="Arial"/>
          <w:rFonts w:ascii="Arial"/>
          <w:sz w:val="24"/>
          <w:color w:val="black"/>
        </w:rPr>
        <w:t xml:space="preserve"> Las armas y municiones que se utilicen para el entrenamiento y capacitaciσn en vigilancia y seguridad privada deberαn ceρirse a las caracterνsticas autorizadas para los servicios de vigilancia y seguridad privada previstas en el Decreto ley </w:t>
      </w:r>
      <w:r>
        <w:fldChar w:fldCharType="begin"/>
      </w:r>
      <w:r>
        <w:instrText>HYPERLINK "http://www.redjurista.com/document.aspx?ajcode=d2535_93&amp;arts=INICIO"</w:instrText>
      </w:r>
      <w:r>
        <w:fldChar w:fldCharType="separate"/>
      </w:r>
      <w:r>
        <w:rPr>
          <w:rFonts w:hAnsi="Arial"/>
          <w:rFonts w:ascii="Arial"/>
          <w:sz w:val="24"/>
          <w:u w:val="single"/>
          <w:color w:val="black"/>
        </w:rPr>
        <w:t>2535</w:t>
      </w:r>
      <w:r>
        <w:fldChar w:fldCharType="end"/>
      </w:r>
      <w:r>
        <w:rPr>
          <w:rFonts w:hAnsi="Arial"/>
          <w:rFonts w:ascii="Arial"/>
          <w:sz w:val="24"/>
          <w:u w:val="none"/>
          <w:color w:val="black"/>
        </w:rPr>
        <w:t xml:space="preserve"> de 1993 o las normas que lo sustituyan, modifiquen o adicionen. </w:t>
      </w:r>
    </w:p>
    <w:p>
      <w:pPr>
        <w:jc w:val="both"/>
        <w:keepNext/>
        <w:outlineLvl w:val="1"/>
      </w:pPr>
      <w:rPr>
        <w:sz w:val="24"/>
        <w:color w:val="black"/>
      </w:rPr>
    </w:p>
    <w:p>
      <w:pPr>
        <w:jc w:val="both"/>
        <w:keepNext/>
        <w:outlineLvl w:val="1"/>
      </w:pPr>
      <w:r>
        <w:rPr>
          <w:rFonts w:hAnsi="Arial"/>
          <w:rFonts w:ascii="Arial"/>
          <w:sz w:val="24"/>
          <w:color w:val="navy"/>
        </w:rPr>
        <w:t xml:space="preserve">PARΑGRAFO 2o.</w:t>
      </w:r>
      <w:r>
        <w:rPr>
          <w:rFonts w:hAnsi="Arial"/>
          <w:rFonts w:ascii="Arial"/>
          <w:sz w:val="24"/>
          <w:color w:val="black"/>
        </w:rPr>
        <w:t xml:space="preserve"> Las Escuelas y Departamentos de Capacitaciσn y Entrenamiento en Vigilancia y Seguridad Privada deberαn reportar a la Superintendencia de Vigilancia y Seguridad Privada a travιs de las plataformas o medios dispuestos para tal fin, un informe de armamento y municiones usadas en la Capacitaciσn del Personal Operativo en Vigilancia y Seguridad Privada, el cual debe contener como mνnimo la informaciσn del personal que realiza capacitaciσn al interior de Escuelas y Departamentos de Capacitaciσn en Vigilancia y Seguridad Privada, asν como, las capacitaciones que se adelanten fuera de sede. </w:t>
      </w:r>
    </w:p>
    <w:p>
      <w:pPr>
        <w:jc w:val="both"/>
        <w:keepNext/>
        <w:outlineLvl w:val="1"/>
      </w:pPr>
      <w:rPr>
        <w:sz w:val="24"/>
        <w:color w:val="black"/>
      </w:rPr>
    </w:p>
    <w:p>
      <w:pPr>
        <w:jc w:val="both"/>
        <w:keepNext/>
        <w:outlineLvl w:val="1"/>
      </w:pPr>
      <w:r>
        <w:rPr>
          <w:rFonts w:hAnsi="Arial"/>
          <w:rFonts w:ascii="Arial"/>
          <w:sz w:val="24"/>
          <w:color w:val="black"/>
        </w:rPr>
        <w:t xml:space="preserve">Este informe debe dar cuenta del tipo de arma, tipo de municiσn y el nϊmero de municiones usadas por el personal en capacitaciσn; los datos de la compra de la municiσn, asν como el nϊmero de cada factura de compra y el nϊmero de lote de cada caja de municiσn. </w:t>
      </w:r>
    </w:p>
    <w:p>
      <w:pPr>
        <w:jc w:val="both"/>
      </w:pPr>
      <w:rPr>
        <w:color w:val="black"/>
      </w:rPr>
    </w:p>
    <w:p>
      <w:pPr>
        <w:jc w:val="both"/>
      </w:pPr>
      <w:r>
        <w:rPr>
          <w:rFonts w:hAnsi="Arial"/>
          <w:rFonts w:ascii="Arial"/>
          <w:sz w:val="24"/>
          <w:b/>
          <w:vanish/>
          <w:color w:val="black"/>
        </w:rPr>
        <w:t>&amp;$</w:t>
      </w:r>
      <w:bookmarkStart w:id="62302" w:name="2.6.1.1.13.2.14"/>
      <w:r>
        <w:rPr>
          <w:rFonts w:hAnsi="Arial"/>
          <w:rFonts w:ascii="Arial"/>
          <w:sz w:val="24"/>
          <w:color w:val="navy"/>
        </w:rPr>
        <w:t xml:space="preserve">ARTΝCULO 2.6.1.1.13.2.14. INSTRUCTORES DE TIRO DE POLΝGONOS.</w:t>
      </w:r>
      <w:bookmarkEnd w:id="6230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Instructores de tiro que impartan la capacitaciσn en armas al personal operativo de vigilancia y seguridad privada deberαn acreditar experiencia, capacidad e idoneidad. </w:t>
      </w:r>
    </w:p>
    <w:p>
      <w:pPr>
        <w:jc w:val="both"/>
      </w:pPr>
      <w:rPr>
        <w:color w:val="black"/>
      </w:rPr>
    </w:p>
    <w:p>
      <w:pPr>
        <w:jc w:val="both"/>
      </w:pPr>
      <w:r>
        <w:rPr>
          <w:rFonts w:hAnsi="Arial"/>
          <w:rFonts w:ascii="Arial"/>
          <w:sz w:val="24"/>
          <w:b/>
          <w:vanish/>
          <w:color w:val="black"/>
        </w:rPr>
        <w:t>&amp;$</w:t>
      </w:r>
      <w:bookmarkStart w:id="62303" w:name="2.6.1.1.13.2.15"/>
      <w:r>
        <w:rPr>
          <w:rFonts w:hAnsi="Arial"/>
          <w:rFonts w:ascii="Arial"/>
          <w:sz w:val="24"/>
          <w:color w:val="navy"/>
        </w:rPr>
        <w:t xml:space="preserve">ARTΝCULO 2.6.1.1.13.2.15. ESTRUCTURA CURRICULAR DE CAPACITACIΣN ESPECIALIZADA.</w:t>
      </w:r>
      <w:bookmarkEnd w:id="6230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w:t>
      </w:r>
    </w:p>
    <w:p>
      <w:pPr>
        <w:outlineLvl w:val="1"/>
      </w:pPr>
      <w:rPr>
        <w:sz w:val="8"/>
        <w:color w:val="222222"/>
      </w:rPr>
    </w:p>
    <w:p>
      <w:pPr>
        <w:jc w:val="center"/>
        <w:outlineLvl w:val="1"/>
      </w:pPr>
      <w:rPr>
        <w:sz w:val="8"/>
        <w:color w:val="222222"/>
      </w:rPr>
    </w:p>
    <w:p>
      <w:pPr>
        <w:jc w:val="center"/>
        <w:outlineLvl w:val="1"/>
      </w:pPr>
      <w:pPr>
        <w:pBdr>
          <w:top w:val="single" w:sz="1" w:space="0" w:color="auto"/>
          <w:left w:val="single" w:sz="1" w:space="0" w:color="auto"/>
          <w:right w:val="single" w:sz="5" w:space="0" w:color="auto"/>
          <w:bottom w:val="single" w:sz="1" w:space="0" w:color="auto"/>
        </w:pBdr>
      </w:pPr>
      <w:r>
        <w:rPr>
          <w:rFonts w:hAnsi="Arial"/>
          <w:rFonts w:ascii="Arial"/>
          <w:sz w:val="16"/>
          <w:b/>
          <w:color w:val="222222"/>
        </w:rPr>
        <w:t xml:space="preserve">CICLOS OE CAPACITACIΣN Y ENTRENAMIENTO EN VIGILANCIA Y SEGURIDAD PRIVADA</w:t>
      </w:r>
    </w:p>
    <w:p>
      <w:pPr/>
      <w:pPr>
        <w:pBdr>
          <w:top w:val="single" w:sz="1" w:space="0" w:color="auto"/>
          <w:left w:val="single" w:sz="1" w:space="0" w:color="auto"/>
          <w:right w:val="single" w:sz="1" w:space="0" w:color="auto"/>
          <w:bottom w:val="single" w:sz="1" w:space="0" w:color="auto"/>
        </w:pBdr>
      </w:pPr>
      <w:rPr>
        <w:sz w:val="24"/>
        <w:color w:val="black"/>
      </w:rPr>
    </w:p>
    <w:p>
      <w:pPr>
        <w:jc w:val="both"/>
        <w:keepNext/>
        <w:outlineLvl w:val="1"/>
      </w:pPr>
      <w:rPr>
        <w:sz w:val="24"/>
        <w:b/>
        <w:color w:val="black"/>
      </w:rPr>
    </w:p>
    <w:tbl>
      <w:tblGrid>
        <w:gridCol w:w="220"/>
        <w:gridCol w:w="800"/>
        <w:gridCol w:w="240"/>
        <w:gridCol w:w="100"/>
        <w:gridCol w:w="140"/>
        <w:gridCol w:w="100"/>
        <w:gridCol w:w="100"/>
        <w:gridCol w:w="140"/>
        <w:gridCol w:w="60"/>
        <w:gridCol w:w="240"/>
        <w:gridCol w:w="480"/>
        <w:gridCol w:w="100"/>
        <w:gridCol w:w="140"/>
        <w:gridCol w:w="340"/>
        <w:gridCol w:w="200"/>
        <w:gridCol w:w="480"/>
        <w:gridCol w:w="340"/>
        <w:gridCol w:w="220"/>
        <w:gridCol w:w="120"/>
        <w:gridCol w:w="220"/>
        <w:gridCol w:w="440"/>
        <w:gridCol w:w="380"/>
        <w:gridCol w:w="160"/>
        <w:gridCol w:w="40"/>
        <w:gridCol w:w="200"/>
        <w:gridCol w:w="100"/>
        <w:gridCol w:w="240"/>
        <w:gridCol w:w="220"/>
        <w:gridCol w:w="580"/>
        <w:gridCol w:w="200"/>
        <w:gridCol w:w="40"/>
        <w:gridCol w:w="300"/>
        <w:gridCol w:w="1020"/>
      </w:tblGrid>
      <w:tblPr>
        <w:tblW w:w="8715" w:type="dxa"/>
        <w:tblBorders/>
      </w:tblPr>
      <w:tr>
        <w:trPr/>
        <w:tc>
          <w:tcPr>
            <w:tcW w:w="102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
              <w:br w:type="textWrapping"/>
              <w:t/>
              <w:br w:type="textWrapping"/>
              <w:t/>
              <w:br w:type="textWrapping"/>
              <w:t/>
              <w:br w:type="textWrapping"/>
              <w:t/>
              <w:br w:type="textWrapping"/>
              <w:t/>
              <w:br w:type="textWrapping"/>
              <w:t/>
              <w:br w:type="textWrapping"/>
              <w:t>NIVEL REENTRENA</w:t>
              <w:br w:type="textWrapping"/>
              <w:t>MIENTO ANUAL EFECTIVO OBLIGATO</w:t>
              <w:br w:type="textWrapping"/>
              <w:t>RIO</w:t>
            </w:r>
          </w:p>
        </w:tc>
        <w:tc>
          <w:tcPr>
            <w:tcW w:w="239"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8"/>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CURSO DE REENTRENA-MIENTO</w:t>
            </w:r>
          </w:p>
        </w:tc>
        <w:tc>
          <w:tcPr>
            <w:tcW w:w="239" w:type="dxa"/>
            <w:gridSpan w:val="2"/>
            <w:tcMar/>
            <w:tcBorders>
              <w:top w:val="single" w:sz="1" w:space="0" w:color="auto"/>
              <w:left w:val="single" w:sz="1" w:space="0" w:color="auto"/>
              <w:right w:val="single" w:sz="5" w:space="0" w:color="auto"/>
              <w:bottom w:val="single" w:sz="1" w:space="0" w:color="auto"/>
            </w:tcBorders>
          </w:tcPr>
          <w:p>
            <w:pPr>
              <w:jc w:val="center"/>
            </w:pPr>
            <w:rPr>
              <w:sz w:val="14"/>
              <w:color w:val="black"/>
            </w:rPr>
          </w:p>
        </w:tc>
        <w:tc>
          <w:tcPr>
            <w:tcW w:w="1367" w:type="dxa"/>
            <w:gridSpan w:val="4"/>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CURSO DE REENTRENA</w:t>
              <w:br w:type="textWrapping"/>
              <w:t>MIENTO</w:t>
            </w:r>
          </w:p>
        </w:tc>
        <w:tc>
          <w:tcPr>
            <w:tcW w:w="205" w:type="dxa"/>
            <w:tcMar/>
            <w:tcBorders>
              <w:top w:val="single" w:sz="1" w:space="0" w:color="auto"/>
              <w:left w:val="single" w:sz="1" w:space="0" w:color="auto"/>
              <w:right w:val="single" w:sz="5" w:space="0" w:color="auto"/>
              <w:bottom w:val="single" w:sz="1" w:space="0" w:color="auto"/>
            </w:tcBorders>
          </w:tcPr>
          <w:p>
            <w:pPr>
              <w:jc w:val="center"/>
            </w:pPr>
            <w:rPr>
              <w:sz w:val="14"/>
              <w:color w:val="black"/>
            </w:rPr>
          </w:p>
        </w:tc>
        <w:tc>
          <w:tcPr>
            <w:tcW w:w="1162" w:type="dxa"/>
            <w:gridSpan w:val="4"/>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CURSO DE REENTRENA</w:t>
              <w:br w:type="textWrapping"/>
              <w:t>MIENTO</w:t>
            </w:r>
          </w:p>
        </w:tc>
        <w:tc>
          <w:tcPr>
            <w:tcW w:w="206" w:type="dxa"/>
            <w:gridSpan w:val="2"/>
            <w:tcMar/>
            <w:tcBorders>
              <w:top w:val="single" w:sz="1" w:space="0" w:color="auto"/>
              <w:left w:val="single" w:sz="1" w:space="0" w:color="auto"/>
              <w:right w:val="single" w:sz="5" w:space="0" w:color="auto"/>
              <w:bottom w:val="single" w:sz="1" w:space="0" w:color="auto"/>
            </w:tcBorders>
          </w:tcPr>
          <w:p>
            <w:pPr>
              <w:jc w:val="center"/>
            </w:pPr>
            <w:rPr>
              <w:sz w:val="14"/>
              <w:color w:val="black"/>
            </w:rPr>
          </w:p>
        </w:tc>
        <w:tc>
          <w:tcPr>
            <w:tcW w:w="1332" w:type="dxa"/>
            <w:gridSpan w:val="5"/>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CURSO DE REENTRENA</w:t>
              <w:br w:type="textWrapping"/>
              <w:t>MIENTO</w:t>
            </w:r>
          </w:p>
        </w:tc>
        <w:tc>
          <w:tcPr>
            <w:tcW w:w="240" w:type="dxa"/>
            <w:gridSpan w:val="2"/>
            <w:tcMar/>
            <w:tcBorders>
              <w:top w:val="single" w:sz="1" w:space="0" w:color="auto"/>
              <w:left w:val="single" w:sz="1" w:space="0" w:color="auto"/>
              <w:right w:val="single" w:sz="5" w:space="0" w:color="auto"/>
              <w:bottom w:val="single" w:sz="1" w:space="0" w:color="auto"/>
            </w:tcBorders>
          </w:tcPr>
          <w:p>
            <w:pPr>
              <w:jc w:val="center"/>
            </w:pPr>
            <w:rPr>
              <w:sz w:val="14"/>
              <w:color w:val="black"/>
            </w:rPr>
          </w:p>
        </w:tc>
        <w:tc>
          <w:tcPr>
            <w:tcW w:w="1333"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CURSO DE REENTRENA-MIENTO</w:t>
            </w:r>
          </w:p>
        </w:tc>
      </w:tr>
      <w:tr>
        <w:trPr/>
        <w:tc>
          <w:tcPr>
            <w:tcW w:w="239"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5"/>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OPCIONES:</w:t>
              <w:br w:type="textWrapping"/>
              <w:t>R. BASICO AEROPORTUARIA COMERCIAL EDUCATIVA</w:t>
              <w:br w:type="textWrapping"/>
              <w:t>ENTIDADES OFICIALES</w:t>
              <w:br w:type="textWrapping"/>
              <w:t>EVENTOS PUBLICOS</w:t>
              <w:br w:type="textWrapping"/>
              <w:t>GRANDES SUPERFICIES </w:t>
              <w:br w:type="textWrapping"/>
              <w:t>HOSPITALARIA</w:t>
              <w:br w:type="textWrapping"/>
              <w:t>INDUSTRIAL</w:t>
              <w:br w:type="textWrapping"/>
              <w:t>MINERA,</w:t>
              <w:br w:type="textWrapping"/>
              <w:t>PORTUARIA</w:t>
              <w:br w:type="textWrapping"/>
              <w:t>RESIDENCIAL</w:t>
              <w:br w:type="textWrapping"/>
              <w:t>SECTOR FINANCIERO</w:t>
              <w:br w:type="textWrapping"/>
              <w:t>TRANSPORTE MASIVO TURISTICA</w:t>
              <w:br w:type="textWrapping"/>
              <w:t/>
            </w:r>
          </w:p>
        </w:tc>
        <w:tc>
          <w:tcPr>
            <w:tcW w:w="239" w:type="dxa"/>
            <w:gridSpan w:val="2"/>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6"/>
            <w:tcMar/>
            <w:tcBorders>
              <w:top w:val="single" w:sz="1" w:space="0" w:color="auto"/>
              <w:left w:val="single" w:sz="1" w:space="0" w:color="auto"/>
              <w:right w:val="single" w:sz="5" w:space="0" w:color="auto"/>
              <w:bottom w:val="single" w:sz="1" w:space="0" w:color="auto"/>
            </w:tcBorders>
          </w:tcPr>
          <w:p>
            <w:pPr/>
            <w:r>
              <w:rPr>
                <w:rFonts w:hAnsi="Arial"/>
                <w:rFonts w:ascii="Arial"/>
                <w:sz w:val="14"/>
                <w:color w:val="black"/>
              </w:rPr>
              <w:t xml:space="preserve">OPCIONES:</w:t>
              <w:br w:type="textWrapping"/>
              <w:t>R. BASICO AEROPORTUARIA COMERCIAL EDUCATIVA</w:t>
              <w:br w:type="textWrapping"/>
              <w:t>ENTIDADES OFICIALES</w:t>
              <w:br w:type="textWrapping"/>
              <w:t>EVENTOS PUBLICOS</w:t>
              <w:br w:type="textWrapping"/>
              <w:t>GRANDES SUPERFICIES </w:t>
              <w:br w:type="textWrapping"/>
              <w:t>HOSPITALARIA</w:t>
              <w:br w:type="textWrapping"/>
              <w:t>INDUSTRIAL</w:t>
              <w:br w:type="textWrapping"/>
              <w:t>MINERA,</w:t>
              <w:br w:type="textWrapping"/>
              <w:t>PORTUARIA</w:t>
              <w:br w:type="textWrapping"/>
              <w:t>RESIDENCIAL</w:t>
              <w:br w:type="textWrapping"/>
              <w:t>SECTOR FINANCIERO</w:t>
              <w:br w:type="textWrapping"/>
              <w:t>TRANSPORTE MASIVO TURISTICA</w:t>
              <w:br w:type="textWrapping"/>
              <w:t/>
            </w:r>
          </w:p>
        </w:tc>
        <w:tc>
          <w:tcPr>
            <w:tcW w:w="205"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162" w:type="dxa"/>
            <w:gridSpan w:val="4"/>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OPCIONES:</w:t>
              <w:br w:type="textWrapping"/>
              <w:t/>
              <w:br w:type="textWrapping"/>
              <w:t>R. BASICO</w:t>
              <w:br w:type="textWrapping"/>
              <w:t>PERSONAS</w:t>
              <w:br w:type="textWrapping"/>
              <w:t>VEHICULOS</w:t>
              <w:br w:type="textWrapping"/>
              <w:t>MERCANCIAS</w:t>
              <w:br w:type="textWrapping"/>
              <w:t>MANEJO DEFENSIVO</w:t>
              <w:br w:type="textWrapping"/>
              <w:t>TRANSPORTE DE VALORES</w:t>
              <w:br w:type="textWrapping"/>
              <w:t>PROTECCION A DIGNATARIOS</w:t>
            </w:r>
          </w:p>
        </w:tc>
        <w:tc>
          <w:tcPr>
            <w:tcW w:w="206"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332" w:type="dxa"/>
            <w:gridSpan w:val="6"/>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OPCIONES:</w:t>
              <w:br w:type="textWrapping"/>
              <w:t/>
              <w:br w:type="textWrapping"/>
              <w:t>R. BASICO</w:t>
              <w:br w:type="textWrapping"/>
              <w:t>COORDINADOR DE MEDIOS TECNOLOGICOS </w:t>
              <w:br w:type="textWrapping"/>
              <w:t/>
              <w:br w:type="textWrapping"/>
              <w:t>INSTALADOR DE MEDIOS TECNOLOGICOS</w:t>
              <w:br w:type="textWrapping"/>
              <w:t/>
            </w:r>
          </w:p>
        </w:tc>
        <w:tc>
          <w:tcPr>
            <w:tcW w:w="240"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333" w:type="dxa"/>
            <w:gridSpan w:val="6"/>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OPCIONES DE ENFASIS:</w:t>
              <w:br w:type="textWrapping"/>
              <w:t/>
              <w:br w:type="textWrapping"/>
              <w:t>DEFENSA CONTROLADA DETECCION DE EXPLOSIVOS DETECCION DE NARCOTICOS</w:t>
              <w:br w:type="textWrapping"/>
              <w:t>DETECCIΣN DE MONEDA </w:t>
            </w:r>
          </w:p>
        </w:tc>
      </w:tr>
      <w:tr>
        <w:trPr/>
        <w:tc>
          <w:tcPr>
            <w:tcW w:w="1264" w:type="dxa"/>
            <w:gridSpan w:val="3"/>
            <w:tcMar/>
            <w:tcBorders>
              <w:left w:val="single" w:sz="1" w:space="0" w:color="auto"/>
              <w:right w:val="single" w:sz="5" w:space="0" w:color="auto"/>
            </w:tcBorders>
          </w:tcPr>
          <w:p>
            <w:pPr>
              <w:jc w:val="center"/>
            </w:pPr>
            <w:r>
              <w:rPr>
                <w:rFonts w:hAnsi="Arial"/>
                <w:rFonts w:ascii="Arial"/>
                <w:sz w:val="14"/>
                <w:color w:val="black"/>
              </w:rPr>
              <w:t xml:space="preserve"/>
              <w:br w:type="textWrapping"/>
              <w:t/>
              <w:br w:type="textWrapping"/>
              <w:t/>
              <w:br w:type="textWrapping"/>
              <w:t/>
              <w:br w:type="textWrapping"/>
              <w:t/>
              <w:br w:type="textWrapping"/>
              <w:t/>
              <w:br w:type="textWrapping"/>
              <w:t/>
              <w:br w:type="textWrapping"/>
              <w:t/>
              <w:br w:type="textWrapping"/>
              <w:t>NIVEL</w:t>
              <w:br w:type="textWrapping"/>
              <w:t>ESPECIALIZA</w:t>
              <w:br w:type="textWrapping"/>
              <w:t>CION ELECTIVO NO OBLIGATORIO</w:t>
            </w:r>
          </w:p>
        </w:tc>
        <w:tc>
          <w:tcPr>
            <w:tcW w:w="239" w:type="dxa"/>
            <w:gridSpan w:val="2"/>
            <w:tcMar/>
            <w:tcBorders>
              <w:top w:val="single" w:sz="1" w:space="0" w:color="auto"/>
              <w:left w:val="single" w:sz="1" w:space="0" w:color="auto"/>
              <w:right w:val="single" w:sz="5" w:space="0" w:color="auto"/>
              <w:bottom w:val="single" w:sz="1" w:space="0" w:color="auto"/>
            </w:tcBorders>
          </w:tcPr>
          <w:p>
            <w:pPr/>
            <w:rPr>
              <w:sz w:val="14"/>
              <w:color w:val="black"/>
            </w:rPr>
          </w:p>
        </w:tc>
        <w:tc>
          <w:tcPr>
            <w:tcW w:w="205" w:type="dxa"/>
            <w:gridSpan w:val="2"/>
            <w:tcMar/>
            <w:tcBorders>
              <w:top w:val="single" w:sz="1" w:space="0" w:color="auto"/>
              <w:left w:val="single" w:sz="1" w:space="0" w:color="auto"/>
              <w:right w:val="single" w:sz="5" w:space="0" w:color="auto"/>
              <w:bottom w:val="single" w:sz="1" w:space="0" w:color="auto"/>
            </w:tcBorders>
          </w:tcPr>
          <w:p>
            <w:pPr/>
            <w:rPr>
              <w:sz w:val="14"/>
              <w:color w:val="black"/>
            </w:rPr>
          </w:p>
        </w:tc>
        <w:tc>
          <w:tcPr>
            <w:tcW w:w="206" w:type="dxa"/>
            <w:gridSpan w:val="2"/>
            <w:tcMar/>
            <w:tcBorders>
              <w:top w:val="single" w:sz="1" w:space="0" w:color="auto"/>
              <w:left w:val="single" w:sz="1" w:space="0" w:color="auto"/>
              <w:right w:val="single" w:sz="5" w:space="0" w:color="auto"/>
              <w:bottom w:val="single" w:sz="1" w:space="0" w:color="auto"/>
            </w:tcBorders>
          </w:tcPr>
          <w:p>
            <w:pPr/>
            <w:rPr>
              <w:sz w:val="14"/>
              <w:color w:val="black"/>
            </w:rPr>
          </w:p>
        </w:tc>
        <w:tc>
          <w:tcPr>
            <w:tcW w:w="240" w:type="dxa"/>
            <w:gridSpan w:val="24"/>
            <w:tcMar/>
            <w:tcBorders>
              <w:top w:val="single" w:sz="1" w:space="0" w:color="auto"/>
              <w:left w:val="single" w:sz="1" w:space="0" w:color="auto"/>
              <w:right w:val="single" w:sz="5" w:space="0" w:color="auto"/>
              <w:bottom w:val="single" w:sz="1" w:space="0" w:color="auto"/>
            </w:tcBorders>
          </w:tcPr>
          <w:p>
            <w:pPr/>
            <w:rPr>
              <w:sz w:val="14"/>
              <w:color w:val="black"/>
            </w:rPr>
          </w:p>
        </w:tc>
      </w:tr>
      <w:tr>
        <w:trPr/>
        <w:tc>
          <w:tcPr>
            <w:tcW w:w="1367" w:type="dxa"/>
            <w:gridSpan w:val="4"/>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8"/>
            <w:tcMar/>
            <w:tcBorders>
              <w:top w:val="single" w:sz="1" w:space="0" w:color="auto"/>
              <w:left w:val="single" w:sz="1" w:space="0" w:color="auto"/>
              <w:right w:val="single" w:sz="5" w:space="0" w:color="auto"/>
              <w:bottom w:val="single" w:sz="1" w:space="0" w:color="auto"/>
            </w:tcBorders>
          </w:tcPr>
          <w:p>
            <w:pPr/>
            <w:rPr>
              <w:sz w:val="14"/>
              <w:color w:val="black"/>
            </w:rPr>
          </w:p>
        </w:tc>
        <w:tc>
          <w:tcPr>
            <w:tcW w:w="1162" w:type="dxa"/>
            <w:gridSpan w:val="4"/>
            <w:tcMar/>
            <w:tcBorders>
              <w:top w:val="single" w:sz="1" w:space="0" w:color="auto"/>
              <w:left w:val="single" w:sz="1" w:space="0" w:color="auto"/>
              <w:right w:val="single" w:sz="5" w:space="0" w:color="auto"/>
              <w:bottom w:val="single" w:sz="1" w:space="0" w:color="auto"/>
            </w:tcBorders>
          </w:tcPr>
          <w:p>
            <w:pPr/>
            <w:rPr>
              <w:sz w:val="14"/>
              <w:color w:val="black"/>
            </w:rPr>
          </w:p>
        </w:tc>
        <w:tc>
          <w:tcPr>
            <w:tcW w:w="1332" w:type="dxa"/>
            <w:gridSpan w:val="5"/>
            <w:tcMar/>
            <w:tcBorders>
              <w:top w:val="single" w:sz="1" w:space="0" w:color="auto"/>
              <w:left w:val="single" w:sz="1" w:space="0" w:color="auto"/>
              <w:right w:val="single" w:sz="5" w:space="0" w:color="auto"/>
              <w:bottom w:val="single" w:sz="1" w:space="0" w:color="auto"/>
            </w:tcBorders>
          </w:tcPr>
          <w:p>
            <w:pPr/>
            <w:rPr>
              <w:sz w:val="14"/>
              <w:color w:val="black"/>
            </w:rPr>
          </w:p>
        </w:tc>
        <w:tc>
          <w:tcPr>
            <w:tcW w:w="1333" w:type="dxa"/>
            <w:gridSpan w:val="12"/>
            <w:tcMar/>
            <w:tcBorders>
              <w:top w:val="single" w:sz="1" w:space="0" w:color="auto"/>
              <w:left w:val="single" w:sz="1" w:space="0" w:color="auto"/>
              <w:right w:val="single" w:sz="5" w:space="0" w:color="auto"/>
              <w:bottom w:val="single" w:sz="1" w:space="0" w:color="auto"/>
            </w:tcBorders>
          </w:tcPr>
          <w:p>
            <w:pPr/>
            <w:rPr>
              <w:sz w:val="14"/>
              <w:color w:val="black"/>
            </w:rPr>
          </w:p>
        </w:tc>
      </w:tr>
      <w:tr>
        <w:trPr/>
        <w:tc>
          <w:tcPr>
            <w:tcW w:w="1367" w:type="dxa"/>
            <w:gridSpan w:val="4"/>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8"/>
            <w:tcMar/>
            <w:tcBorders>
              <w:top w:val="single" w:sz="1" w:space="0" w:color="auto"/>
              <w:left w:val="single" w:sz="1" w:space="0" w:color="auto"/>
              <w:right w:val="single" w:sz="5" w:space="0" w:color="auto"/>
              <w:bottom w:val="single" w:sz="1" w:space="0" w:color="auto"/>
            </w:tcBorders>
          </w:tcPr>
          <w:p>
            <w:pPr/>
            <w:rPr>
              <w:sz w:val="14"/>
              <w:color w:val="black"/>
            </w:rPr>
          </w:p>
        </w:tc>
        <w:tc>
          <w:tcPr>
            <w:tcW w:w="1162" w:type="dxa"/>
            <w:gridSpan w:val="4"/>
            <w:tcMar/>
            <w:tcBorders>
              <w:top w:val="single" w:sz="1" w:space="0" w:color="auto"/>
              <w:left w:val="single" w:sz="1" w:space="0" w:color="auto"/>
              <w:right w:val="single" w:sz="5" w:space="0" w:color="auto"/>
              <w:bottom w:val="single" w:sz="1" w:space="0" w:color="auto"/>
            </w:tcBorders>
          </w:tcPr>
          <w:p>
            <w:pPr/>
            <w:rPr>
              <w:sz w:val="14"/>
              <w:color w:val="black"/>
            </w:rPr>
          </w:p>
        </w:tc>
        <w:tc>
          <w:tcPr>
            <w:tcW w:w="1332" w:type="dxa"/>
            <w:gridSpan w:val="5"/>
            <w:tcMar/>
            <w:tcBorders>
              <w:top w:val="single" w:sz="1" w:space="0" w:color="auto"/>
              <w:left w:val="single" w:sz="1" w:space="0" w:color="auto"/>
              <w:right w:val="single" w:sz="5" w:space="0" w:color="auto"/>
              <w:bottom w:val="single" w:sz="1" w:space="0" w:color="auto"/>
            </w:tcBorders>
          </w:tcPr>
          <w:p>
            <w:pPr/>
            <w:rPr>
              <w:sz w:val="14"/>
              <w:color w:val="black"/>
            </w:rPr>
          </w:p>
        </w:tc>
        <w:tc>
          <w:tcPr>
            <w:tcW w:w="1333" w:type="dxa"/>
            <w:gridSpan w:val="12"/>
            <w:tcMar/>
            <w:tcBorders>
              <w:top w:val="single" w:sz="1" w:space="0" w:color="auto"/>
              <w:left w:val="single" w:sz="1" w:space="0" w:color="auto"/>
              <w:right w:val="single" w:sz="5" w:space="0" w:color="auto"/>
              <w:bottom w:val="single" w:sz="1" w:space="0" w:color="auto"/>
            </w:tcBorders>
          </w:tcPr>
          <w:p>
            <w:pPr/>
            <w:rPr>
              <w:sz w:val="14"/>
              <w:color w:val="black"/>
            </w:rPr>
          </w:p>
        </w:tc>
      </w:tr>
      <w:tr>
        <w:trPr/>
        <w:tc>
          <w:tcPr>
            <w:tcW w:w="102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color w:val="black"/>
              </w:rPr>
              <w:t xml:space="preserve"/>
              <w:br w:type="textWrapping"/>
              <w:t/>
              <w:br w:type="textWrapping"/>
              <w:t/>
              <w:br w:type="textWrapping"/>
              <w:t/>
              <w:br w:type="textWrapping"/>
              <w:t/>
              <w:br w:type="textWrapping"/>
              <w:t>NIVEL ESPECIALI-</w:t>
              <w:br w:type="textWrapping"/>
              <w:t>ZACION ELECTIVO NO OBLIGATORIO</w:t>
            </w:r>
          </w:p>
        </w:tc>
        <w:tc>
          <w:tcPr>
            <w:tcW w:w="239" w:type="dxa"/>
            <w:tcMar/>
            <w:tcBorders>
              <w:top w:val="single" w:sz="1" w:space="0" w:color="auto"/>
              <w:left w:val="single" w:sz="1" w:space="0" w:color="auto"/>
              <w:right w:val="single" w:sz="5" w:space="0" w:color="auto"/>
              <w:bottom w:val="single" w:sz="1" w:space="0" w:color="auto"/>
            </w:tcBorders>
          </w:tcPr>
          <w:p>
            <w:pPr/>
            <w:rPr>
              <w:sz w:val="14"/>
              <w:color w:val="black"/>
            </w:rPr>
          </w:p>
        </w:tc>
        <w:tc>
          <w:tcPr>
            <w:tcW w:w="1367" w:type="dxa"/>
            <w:gridSpan w:val="8"/>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b/>
                <w:color w:val="black"/>
              </w:rPr>
              <w:t xml:space="preserve">CURSO DE ESPECIALIZA-CION 10 H</w:t>
            </w:r>
          </w:p>
        </w:tc>
        <w:tc>
          <w:tcPr>
            <w:tcW w:w="239" w:type="dxa"/>
            <w:gridSpan w:val="2"/>
            <w:tcMar/>
            <w:tcBorders>
              <w:top w:val="single" w:sz="1" w:space="0" w:color="auto"/>
              <w:left w:val="single" w:sz="1" w:space="0" w:color="auto"/>
              <w:right w:val="single" w:sz="5" w:space="0" w:color="auto"/>
              <w:bottom w:val="single" w:sz="1" w:space="0" w:color="auto"/>
            </w:tcBorders>
          </w:tcPr>
          <w:p>
            <w:pPr>
              <w:jc w:val="center"/>
            </w:pPr>
            <w:rPr>
              <w:sz w:val="14"/>
              <w:b/>
              <w:color w:val="black"/>
            </w:rPr>
          </w:p>
        </w:tc>
        <w:tc>
          <w:tcPr>
            <w:tcW w:w="1367" w:type="dxa"/>
            <w:gridSpan w:val="4"/>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b/>
                <w:color w:val="black"/>
              </w:rPr>
              <w:t xml:space="preserve">CURSO DE ESPECIALIZA-CION 10 H</w:t>
            </w:r>
          </w:p>
        </w:tc>
        <w:tc>
          <w:tcPr>
            <w:tcW w:w="206" w:type="dxa"/>
            <w:tcMar/>
            <w:tcBorders>
              <w:top w:val="single" w:sz="1" w:space="0" w:color="auto"/>
              <w:left w:val="single" w:sz="1" w:space="0" w:color="auto"/>
              <w:right w:val="single" w:sz="5" w:space="0" w:color="auto"/>
              <w:bottom w:val="single" w:sz="1" w:space="0" w:color="auto"/>
            </w:tcBorders>
          </w:tcPr>
          <w:p>
            <w:pPr>
              <w:jc w:val="center"/>
            </w:pPr>
            <w:rPr>
              <w:sz w:val="14"/>
              <w:b/>
              <w:color w:val="black"/>
            </w:rPr>
          </w:p>
        </w:tc>
        <w:tc>
          <w:tcPr>
            <w:tcW w:w="1332" w:type="dxa"/>
            <w:gridSpan w:val="5"/>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b/>
                <w:color w:val="black"/>
              </w:rPr>
              <w:t xml:space="preserve">CURSO DE ESPECIALIZA-CION 10 H</w:t>
            </w:r>
          </w:p>
        </w:tc>
        <w:tc>
          <w:tcPr>
            <w:tcW w:w="240" w:type="dxa"/>
            <w:gridSpan w:val="2"/>
            <w:tcMar/>
            <w:tcBorders>
              <w:top w:val="single" w:sz="1" w:space="0" w:color="auto"/>
              <w:left w:val="single" w:sz="1" w:space="0" w:color="auto"/>
              <w:right w:val="single" w:sz="5" w:space="0" w:color="auto"/>
              <w:bottom w:val="single" w:sz="1" w:space="0" w:color="auto"/>
            </w:tcBorders>
          </w:tcPr>
          <w:p>
            <w:pPr>
              <w:jc w:val="center"/>
            </w:pPr>
            <w:rPr>
              <w:sz w:val="14"/>
              <w:b/>
              <w:color w:val="black"/>
            </w:rPr>
          </w:p>
        </w:tc>
        <w:tc>
          <w:tcPr>
            <w:tcW w:w="1333" w:type="dxa"/>
            <w:gridSpan w:val="8"/>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4"/>
                <w:b/>
                <w:color w:val="black"/>
              </w:rPr>
              <w:t xml:space="preserve">CURSO DE ESPECIALIZA-CION 10 H</w:t>
            </w:r>
          </w:p>
        </w:tc>
      </w:tr>
    </w:tbl>
    <w:p>
      <w:pPr>
        <w:jc w:val="both"/>
        <w:keepNext/>
      </w:pPr>
      <w:rPr>
        <w:color w:val="black"/>
      </w:rPr>
    </w:p>
    <w:p>
      <w:pPr>
        <w:jc w:val="center"/>
        <w:keepNext/>
        <w:outlineLvl w:val="1"/>
      </w:pPr>
      <w:r>
        <w:rPr>
          <w:rFonts w:hAnsi="Arial"/>
          <w:rFonts w:ascii="Arial"/>
          <w:sz w:val="24"/>
          <w:b/>
          <w:vanish/>
          <w:color w:val="black"/>
        </w:rPr>
        <w:t>&amp;$</w:t>
      </w:r>
      <w:bookmarkStart w:id="62304" w:name="Tx2.6.1.1.13.2.16"/>
      <w:r>
        <w:rPr>
          <w:rFonts w:hAnsi="Arial"/>
          <w:rFonts w:ascii="Arial"/>
          <w:sz w:val="24"/>
          <w:color w:val="navy"/>
        </w:rPr>
        <w:t xml:space="preserve">CURSO DE FUNDAMENTACIΣN.</w:t>
      </w:r>
      <w:bookmarkEnd w:id="62304"/>
      <w:r>
        <w:rPr>
          <w:rFonts w:hAnsi="Arial"/>
          <w:rFonts w:ascii="Arial"/>
          <w:sz w:val="24"/>
          <w:b/>
          <w:color w:val="black"/>
        </w:rPr>
        <w:t xml:space="preserve">  </w:t>
      </w:r>
    </w:p>
    <w:p>
      <w:pPr>
        <w:jc w:val="both"/>
        <w:keepNext/>
        <w:outlineLvl w:val="1"/>
      </w:pPr>
      <w:rPr>
        <w:sz w:val="24"/>
        <w:b/>
        <w:color w:val="black"/>
      </w:rPr>
    </w:p>
    <w:p>
      <w:pPr>
        <w:jc w:val="both"/>
        <w:keepNext/>
        <w:outlineLvl w:val="1"/>
      </w:pPr>
      <w:r>
        <w:rPr>
          <w:rFonts w:hAnsi="Arial"/>
          <w:rFonts w:ascii="Arial"/>
          <w:sz w:val="24"/>
          <w:b/>
          <w:vanish/>
          <w:color w:val="black"/>
        </w:rPr>
        <w:t>&amp;$</w:t>
      </w:r>
      <w:bookmarkStart w:id="62305" w:name="2.6.1.1.13.2.16"/>
      <w:r>
        <w:rPr>
          <w:rFonts w:hAnsi="Arial"/>
          <w:rFonts w:ascii="Arial"/>
          <w:sz w:val="24"/>
          <w:color w:val="navy"/>
        </w:rPr>
        <w:t xml:space="preserve">ARTΝCULO 2.6.1.1.13.2.16. ESTRUCTURA DEL CURSO DE FUNDAMENTACIΣN.</w:t>
      </w:r>
      <w:bookmarkEnd w:id="6230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curso de fundamentaciσn de todos los ciclos de formaciσn estarα estructurado en dos partes: mσdulo bαsico comϊn y mσdulo de ιnfasis. </w:t>
      </w:r>
    </w:p>
    <w:p>
      <w:pPr>
        <w:jc w:val="both"/>
        <w:keepNext/>
        <w:outlineLvl w:val="1"/>
      </w:pPr>
      <w:rPr>
        <w:sz w:val="24"/>
        <w:b/>
        <w:color w:val="black"/>
      </w:rPr>
    </w:p>
    <w:p>
      <w:pPr>
        <w:jc w:val="both"/>
        <w:keepNext/>
        <w:outlineLvl w:val="1"/>
      </w:pPr>
      <w:r>
        <w:rPr>
          <w:rFonts w:hAnsi="Arial"/>
          <w:rFonts w:ascii="Arial"/>
          <w:sz w:val="24"/>
          <w:b/>
          <w:color w:val="black"/>
        </w:rPr>
        <w:t xml:space="preserve">Mσdulo bαsico comϊn: </w:t>
      </w:r>
      <w:r>
        <w:rPr>
          <w:rFonts w:hAnsi="Arial"/>
          <w:rFonts w:ascii="Arial"/>
          <w:sz w:val="24"/>
          <w:color w:val="black"/>
        </w:rPr>
        <w:t xml:space="preserve">En este mσdulo se abordarαn unidades de aprendizaje de competencias bαsicas, transversales y comunes a todas las ocupaciones de la vigilancia y la seguridad privada (vigilante, supervisor, escolta, operador de medios tecnolσgicos y manejador canino), el cual corresponde al 60% de la capacitaciσn. </w:t>
      </w:r>
    </w:p>
    <w:p>
      <w:pPr>
        <w:jc w:val="both"/>
        <w:keepNext/>
        <w:outlineLvl w:val="1"/>
      </w:pPr>
      <w:rPr>
        <w:sz w:val="24"/>
        <w:b/>
        <w:color w:val="black"/>
      </w:rPr>
    </w:p>
    <w:p>
      <w:pPr>
        <w:jc w:val="both"/>
        <w:keepNext/>
        <w:outlineLvl w:val="1"/>
      </w:pPr>
      <w:r>
        <w:rPr>
          <w:rFonts w:hAnsi="Arial"/>
          <w:rFonts w:ascii="Arial"/>
          <w:sz w:val="24"/>
          <w:b/>
          <w:color w:val="black"/>
        </w:rPr>
        <w:t xml:space="preserve">Mσdulo ιnfasis: </w:t>
      </w:r>
      <w:r>
        <w:rPr>
          <w:rFonts w:hAnsi="Arial"/>
          <w:rFonts w:ascii="Arial"/>
          <w:sz w:val="24"/>
          <w:color w:val="black"/>
        </w:rPr>
        <w:t xml:space="preserve">Debe tener unidades de aprendizaje relacionadas con las competencias laborales especializadas para cada ciclo, el cual corresponde al 40% de la capacitaciσn.</w:t>
      </w:r>
    </w:p>
    <w:p>
      <w:pPr>
        <w:keepNext/>
        <w:outlineLvl w:val="1"/>
      </w:pPr>
      <w:rPr>
        <w:sz w:val="20"/>
        <w:b/>
        <w:i/>
        <w:color w:val="black"/>
      </w:rPr>
    </w:p>
    <w:p>
      <w:pPr>
        <w:jc w:val="center"/>
        <w:keepNext/>
        <w:outlineLvl w:val="1"/>
      </w:pPr>
      <w:pPr>
        <w:pBdr>
          <w:top w:val="single" w:sz="1" w:space="0" w:color="auto"/>
          <w:left w:val="single" w:sz="1" w:space="0" w:color="auto"/>
          <w:right w:val="single" w:sz="5" w:space="0" w:color="auto"/>
          <w:bottom w:val="single" w:sz="1" w:space="0" w:color="auto"/>
        </w:pBdr>
      </w:pPr>
      <w:r>
        <w:rPr>
          <w:rFonts w:hAnsi="Arial"/>
          <w:rFonts w:ascii="Arial"/>
          <w:sz w:val="16"/>
          <w:b/>
          <w:color w:val="black"/>
        </w:rPr>
        <w:t>FUNDAMENTACION_</w:t>
      </w:r>
    </w:p>
    <w:tbl>
      <w:tblGrid>
        <w:gridCol w:w="460"/>
        <w:gridCol w:w="2480"/>
        <w:gridCol w:w="3740"/>
        <w:gridCol w:w="1960"/>
      </w:tblGrid>
      <w:tblPr>
        <w:tblW w:w="8647" w:type="dxa"/>
        <w:tblBorders>
          <w:top w:val="single" w:sz="1" w:space="0" w:color="auto"/>
          <w:left w:val="single" w:sz="1" w:space="0" w:color="auto"/>
          <w:right w:val="single" w:sz="5" w:space="0" w:color="auto"/>
          <w:bottom w:val="single" w:sz="1" w:space="0" w:color="auto"/>
        </w:tblBorders>
      </w:tblPr>
      <w:tr>
        <w:trPr/>
        <w:tc>
          <w:tcPr>
            <w:tcW w:w="474"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No.</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73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CONOCIMIENTOS ESENCIALES</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ELEMENTOS BASICOS EN VIGILANCIA Y SEGURIDAD PRIVADA</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--Introducciσn, Principios Bαsicos del Estado Colombiano</w:t>
              <w:br w:type="textWrapping"/>
              <w:t>--Conceptos Bαsicos</w:t>
              <w:br w:type="textWrapping"/>
              <w:t>--Competencias y funciones, instituciones publicas de la seguridad y Defensa</w:t>
              <w:br w:type="textWrapping"/>
              <w:t>--Introducciσn al Sistema Penal Colombiano. Ley 599 de 2000. Ley 906 de 2004.</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w:br w:type="textWrapping"/>
              <w:t/>
              <w:br w:type="textWrapping"/>
              <w:t/>
              <w:br w:type="textWrapping"/>
              <w:t>TEORICO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EL SISTEMA NORMATIVO COLOMBIANO EN VIGILANCIA Y SEGURIDAD PRIVADA</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--Derechos Humanos</w:t>
              <w:br w:type="textWrapping"/>
              <w:t>--Normatividad vigente. Superintendencia de Vigilancia (Decreto Ley 356 de 1994, DUR 1070 de 2015, Decreto Ley 2335 de 1993)</w:t>
              <w:br w:type="textWrapping"/>
              <w:t>--Cσdigo Nacional de Convive3ncia y seguridad ciudadana (Ley 1801 de 2016)</w:t>
              <w:br w:type="textWrapping"/>
              <w:t>--Red de apoyo y solidaridad ciudadana RASCI</w:t>
              <w:br w:type="textWrapping"/>
              <w:t>--Medios y modalidades</w:t>
              <w:br w:type="textWrapping"/>
              <w:t>--Seguridad Mσvil y fija</w:t>
              <w:br w:type="textWrapping"/>
              <w:t>--Seguridad Electrσnica y fνsica</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w:br w:type="textWrapping"/>
              <w:t/>
              <w:br w:type="textWrapping"/>
              <w:t/>
              <w:br w:type="textWrapping"/>
              <w:t>TEORICO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E IDENTIFICA LAS AREAS Y PROCEDIMIENTOS EN VIGILANCIA Y SEGURIDAD PRIVADA</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--Productos de Seguridad, Concepto, objetivos responsables, condiciones generales de la prestaciσn del servicio.</w:t>
              <w:br w:type="textWrapping"/>
              <w:t/>
              <w:br w:type="textWrapping"/>
              <w:t>--Factores de inseguridad. Estudio de seguridad: anαlisis de αreas de perdidas potenciales, medidas de seguridad, problemas, amenazas y vulnerabilidades potenciales. Anαlisis de riegos &lt;sic&gt; y niveles de riesgo. Identificaciσn de personas. Principios y tιcnicas de identificaciσn.</w:t>
              <w:br w:type="textWrapping"/>
              <w:t/>
              <w:br w:type="textWrapping"/>
              <w:t>--Procedimientos de vigilancia</w:t>
              <w:br w:type="textWrapping"/>
              <w:t/>
              <w:br w:type="textWrapping"/>
              <w:t>Procedimientos de prevenciσn de incidentes. Sistemas de rondas, operaciσn de sistemas tecnolσgicos.</w:t>
              <w:br w:type="textWrapping"/>
              <w:t/>
              <w:br w:type="textWrapping"/>
              <w:t>Modus Operandi delincuencia y riesgo pϊblico.</w:t>
              <w:br w:type="textWrapping"/>
              <w:t/>
            </w:r>
          </w:p>
        </w:tc>
        <w:tc>
          <w:tcPr>
            <w:tcW w:w="1967"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w:br w:type="textWrapping"/>
              <w:t/>
              <w:br w:type="textWrapping"/>
              <w:t/>
              <w:br w:type="textWrapping"/>
              <w:t/>
              <w:br w:type="textWrapping"/>
              <w:t>TEORICO PRACTICO</w:t>
              <w:br w:type="textWrapping"/>
              <w:t/>
              <w:br w:type="textWrapping"/>
              <w:t/>
              <w:br w:type="textWrapping"/>
              <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ADQUIERE CONOCIMIENTOS BASICOS EN TECNOLOGIA Y COMUNICACIΣN</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--Sistemas Operativos</w:t>
              <w:br w:type="textWrapping"/>
              <w:t>--Conocimiento y manejo de equipos de comunicaciσn</w:t>
              <w:br w:type="textWrapping"/>
              <w:t>--Conocimiento de manejo de equipos tecnolσgicos</w:t>
              <w:br w:type="textWrapping"/>
              <w:t>--Conocimiento bαsico de seguridad informαtica y electrσnica (tipos, normativa, procedimientos de uso).</w:t>
              <w:br w:type="textWrapping"/>
              <w:t>--Tecnologνas para identificaciσn y control de accesos (objetos y personas)</w:t>
              <w:br w:type="textWrapping"/>
              <w:t>--Manejo de informaciσn</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TEORICO PRACTICO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ADQUIERE TECNICAS DE CUIDADO Y CONSERVACION</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--Defensa Personal</w:t>
              <w:br w:type="textWrapping"/>
              <w:t>--Acondicionamiento fνsico</w:t>
              <w:br w:type="textWrapping"/>
              <w:t>--Situaciσn de crisis, Definiciσn, clases, valoraciσn</w:t>
              <w:br w:type="textWrapping"/>
              <w:t>--Seguridad y salud en el trabajo. Plan de emergencias</w:t>
              <w:br w:type="textWrapping"/>
              <w:t>--Respuesta ante incendios</w:t>
              <w:br w:type="textWrapping"/>
              <w:t>--Protocolo para responder a alarmas y alertas.</w:t>
              <w:br w:type="textWrapping"/>
              <w:t>--Respuesta ante intrusiones no autorizadas</w:t>
              <w:br w:type="textWrapping"/>
              <w:t>--Amenazas terroristas o actos criminales.</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
              <w:br w:type="textWrapping"/>
              <w:t>TEORICO PRACTICO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EL MANEJO Y CUIDADO DE LAS ARMAS</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w:t>
              <w:br w:type="textWrapping"/>
              <w:t>--Tipos, clases y formas de uso, respecto de armas permitidas en la vigilancia y la seguridad privada.</w:t>
              <w:br w:type="textWrapping"/>
              <w:t>--Normas y protocolos de seguridad en el manejo.</w:t>
              <w:br w:type="textWrapping"/>
              <w:t>--Ejercicios prαcticos de tiro</w:t>
              <w:br w:type="textWrapping"/>
              <w:t>--Ejercicios prαcticos de uso</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TEORICO PRACTICO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APLICA TECNICAS DEL DESARROLLO HUMANO Y SOCIAL</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--Relaciones humanas e interpersonales</w:t>
              <w:br w:type="textWrapping"/>
              <w:t>--Ιtica y prevenciσn de adicciones</w:t>
              <w:br w:type="textWrapping"/>
              <w:t>--Liderazgo y motivaciσn personal</w:t>
              <w:br w:type="textWrapping"/>
              <w:t>--Manejo de servicios</w:t>
              <w:br w:type="textWrapping"/>
              <w:t>--Protocolo de atenciσn al cliente</w:t>
              <w:br w:type="textWrapping"/>
              <w:t>--Toma de decisiones</w:t>
              <w:br w:type="textWrapping"/>
              <w:t/>
            </w:r>
          </w:p>
        </w:tc>
        <w:tc>
          <w:tcPr>
            <w:tcW w:w="1967"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TEORICO PRACTICO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MITIGACION DE RIESGO BIOLOGICO Y AMBIENTAL</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bioseguridad</w:t>
              <w:br w:type="textWrapping"/>
              <w:t>--Elementos de protecciσn</w:t>
              <w:br w:type="textWrapping"/>
              <w:t>--Cuidado personal y social</w:t>
            </w:r>
          </w:p>
        </w:tc>
        <w:tc>
          <w:tcPr>
            <w:tcW w:w="1967"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w:br w:type="textWrapping"/>
              <w:t>TEORICO PRACTICO</w:t>
            </w:r>
          </w:p>
        </w:tc>
      </w:tr>
      <w:tr>
        <w:trPr/>
        <w:tc>
          <w:tcPr>
            <w:tcW w:w="47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76"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EMERGENCIA Y PRIMEROS AUXILIOS</w:t>
              <w:br w:type="textWrapping"/>
              <w:t/>
            </w:r>
          </w:p>
        </w:tc>
        <w:tc>
          <w:tcPr>
            <w:tcW w:w="373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bαsico de primeros auxilios</w:t>
              <w:br w:type="textWrapping"/>
              <w:t>--Primer respondiente</w:t>
              <w:br w:type="textWrapping"/>
              <w:t>--Prevenciσn y manejo de equipo de primeros auxilios</w:t>
              <w:br w:type="textWrapping"/>
              <w:t>--Protocolo de atenciσn de emergencias mιdicas.</w:t>
              <w:br w:type="textWrapping"/>
              <w:t/>
            </w:r>
          </w:p>
        </w:tc>
        <w:tc>
          <w:tcPr>
            <w:tcW w:w="1967"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w:br w:type="textWrapping"/>
              <w:t/>
              <w:br w:type="textWrapping"/>
              <w:t>TEORICO PRACTICO</w:t>
            </w:r>
          </w:p>
        </w:tc>
      </w:tr>
    </w:tbl>
    <w:p>
      <w:pPr>
        <w:jc w:val="center"/>
        <w:outlineLvl w:val="1"/>
      </w:pPr>
      <w:pPr>
        <w:pBdr>
          <w:top w:val="single" w:sz="1" w:space="0" w:color="auto"/>
          <w:left w:val="single" w:sz="1" w:space="0" w:color="auto"/>
          <w:right w:val="single" w:sz="5" w:space="0" w:color="auto"/>
          <w:bottom w:val="single" w:sz="1" w:space="0" w:color="auto"/>
        </w:pBdr>
      </w:pPr>
      <w:r>
        <w:rPr>
          <w:rFonts w:hAnsi="Arial"/>
          <w:rFonts w:ascii="Arial"/>
          <w:sz w:val="18"/>
          <w:b/>
          <w:color w:val="black"/>
        </w:rPr>
        <w:t xml:space="preserve">COMPETENCIAS COMPORTAMENTALES</w:t>
      </w:r>
    </w:p>
    <w:p>
      <w:pPr>
        <w:jc w:val="center"/>
        <w:outlineLvl w:val="1"/>
      </w:pPr>
      <w:pPr>
        <w:pBdr>
          <w:top w:val="single" w:sz="1" w:space="0" w:color="auto"/>
          <w:left w:val="single" w:sz="1" w:space="0" w:color="auto"/>
          <w:right w:val="single" w:sz="5" w:space="0" w:color="auto"/>
          <w:bottom w:val="single" w:sz="1" w:space="0" w:color="auto"/>
        </w:pBdr>
      </w:pPr>
      <w:r>
        <w:rPr>
          <w:rFonts w:hAnsi="Arial"/>
          <w:rFonts w:ascii="Arial"/>
          <w:sz w:val="18"/>
          <w:b/>
          <w:color w:val="black"/>
        </w:rPr>
        <w:t xml:space="preserve">TOTAL DE HORAS DE FUNDAMENTACION:  90</w:t>
      </w:r>
    </w:p>
    <w:p>
      <w:pPr>
        <w:jc w:val="center"/>
      </w:pPr>
      <w:rPr>
        <w:sz w:val="24"/>
        <w:color w:val="black"/>
      </w:rPr>
    </w:p>
    <w:p>
      <w:pPr>
        <w:jc w:val="both"/>
        <w:keepNext/>
      </w:pPr>
      <w:rPr>
        <w:color w:val="black"/>
      </w:rPr>
    </w:p>
    <w:p>
      <w:pPr>
        <w:jc w:val="both"/>
        <w:keepNext/>
        <w:outlineLvl w:val="1"/>
      </w:pPr>
      <w:r>
        <w:rPr>
          <w:rFonts w:hAnsi="Arial"/>
          <w:rFonts w:ascii="Arial"/>
          <w:sz w:val="24"/>
          <w:b/>
          <w:vanish/>
          <w:color w:val="black"/>
        </w:rPr>
        <w:t>&amp;$</w:t>
      </w:r>
      <w:bookmarkStart w:id="62306" w:name="2.6.1.1.13.2.17"/>
      <w:r>
        <w:rPr>
          <w:rFonts w:hAnsi="Arial"/>
          <w:rFonts w:ascii="Arial"/>
          <w:sz w:val="24"/>
          <w:color w:val="navy"/>
        </w:rPr>
        <w:t xml:space="preserve">ARTΝCULO 2.6.1.1.13.2.17. MΣDULOS DE ΙNFASIS.</w:t>
      </w:r>
      <w:bookmarkEnd w:id="623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En estos mσdulos se abordarαn las unidades de aprendizaje de competencias especνficas a cada ocupaciσn sea vigilante, supervisor, escolta, operador de medio tecnolσgico o manejador canino. </w:t>
      </w:r>
    </w:p>
    <w:p>
      <w:pPr>
        <w:jc w:val="both"/>
        <w:keepNext/>
        <w:outlineLvl w:val="1"/>
      </w:pPr>
      <w:rPr>
        <w:sz w:val="24"/>
        <w:b/>
        <w:color w:val="black"/>
      </w:rPr>
    </w:p>
    <w:p>
      <w:pPr>
        <w:jc w:val="both"/>
        <w:keepNext/>
        <w:outlineLvl w:val="1"/>
      </w:pPr>
      <w:r>
        <w:rPr>
          <w:rFonts w:hAnsi="Arial"/>
          <w:rFonts w:ascii="Arial"/>
          <w:sz w:val="24"/>
          <w:color w:val="black"/>
        </w:rPr>
        <w:t xml:space="preserve">Los mσdulos de ιnfasis deberαn tener en cuenta las siguientes unidades de competencias especνficas para cada curso de capacitaciσn:</w:t>
      </w:r>
    </w:p>
    <w:p>
      <w:pPr>
        <w:keepNext/>
        <w:outlineLvl w:val="1"/>
      </w:pPr>
      <w:rPr>
        <w:sz w:val="20"/>
        <w:b/>
        <w:i/>
        <w:color w:val="black"/>
      </w:rPr>
    </w:p>
    <w:p>
      <w:pPr>
        <w:keepNext/>
        <w:outlineLvl w:val="1"/>
      </w:pPr>
      <w:r>
        <w:rPr>
          <w:rFonts w:hAnsi="Arial"/>
          <w:rFonts w:ascii="Arial"/>
          <w:sz w:val="20"/>
          <w:b/>
          <w:color w:val="black"/>
        </w:rPr>
        <w:t xml:space="preserve">1. CICLO DE VIGILANTE:</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--Conceptos bαsicos</w:t>
              <w:br w:type="textWrapping"/>
              <w:t>--Funciones y responsabilidades del vigilante.</w:t>
              <w:br w:type="textWrapping"/>
              <w:t>--Tιcnicas de observaciσn y conocimiento del entorno.</w:t>
              <w:br w:type="textWrapping"/>
              <w:t>--Conocimientos bαsicos del sistema de salud y riesgos en el trabajo.</w:t>
              <w:br w:type="textWrapping"/>
              <w:t>--Factores de inseguridad delincuencial</w:t>
              <w:br w:type="textWrapping"/>
              <w:t>--Modus Operandi</w:t>
              <w:br w:type="textWrapping"/>
              <w:t>--Protocolos y procedimientos de vigilancia</w:t>
              <w:br w:type="textWrapping"/>
              <w:t>--Conocimiento y empleo de equipos de comunicaciσn  </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
              <w:br w:type="textWrapping"/>
              <w:t>TEORICO PRACTICO</w:t>
              <w:br w:type="textWrapping"/>
              <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PARA MANTENER UN ACONDICIONAMIENTO FISICO ADECUADO PARA LA PRESTACION DEL SERVICIO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--Conocimientos bαsicos y diferencias entre acondicionamiento y actividad fνsica</w:t>
              <w:br w:type="textWrapping"/>
              <w:t>--Tιcnicas de defensa personas.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
              <w:br w:type="textWrapping"/>
              <w:t>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EL MANEJO Y CUIDADO DE LAS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autorizadas para los servicios de vigilancia y seguridad privada.</w:t>
              <w:br w:type="textWrapping"/>
              <w:t>--Instrucciσn para el manejo seguro de armas, posiciones, protocolos y recomendaciones.</w:t>
              <w:br w:type="textWrapping"/>
              <w:t>--Ejercicios prαcticos de tiro.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Y NORMAS DE LOS CENTROS O ESTABLECIMIENTOS DE DETENCION PREVENTIVA Y CARCELARIA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--Constituciσn Polνtica de Colombia</w:t>
              <w:br w:type="textWrapping"/>
              <w:t>--Reglas mνnimas para el tratamiento de los reclusos</w:t>
              <w:br w:type="textWrapping"/>
              <w:t>--Conocimiento de normas propias del sistema penitenciario y carcelario – centros o establecimientos de detenciσn preventiva.</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w:br w:type="textWrapping"/>
              <w:t/>
              <w:br w:type="textWrapping"/>
              <w:t>TEORICO PRACTICO</w:t>
            </w:r>
          </w:p>
        </w:tc>
      </w:tr>
    </w:tbl>
    <w:p>
      <w:rPr>
        <w:sz w:val="24"/>
        <w:color w:val="black"/>
      </w:rPr>
    </w:p>
    <w:p>
      <w:r>
        <w:rPr>
          <w:rFonts w:hAnsi="Arial"/>
          <w:rFonts w:ascii="Arial"/>
          <w:sz w:val="18"/>
          <w:b/>
          <w:color w:val="black"/>
        </w:rPr>
        <w:t xml:space="preserve">2. CICLO DE SUPERVISOR</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CONOCE Y APLICA LOS ELEMENTOS BASICOS DE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--Introducciσn, conceptos bαsicos de seguridad privada.</w:t>
              <w:br w:type="textWrapping"/>
              <w:t>--Competencias y funciones del supervisor en vigilancia privada. Funciones y responsabilidades del supervisor.</w:t>
              <w:br w:type="textWrapping"/>
              <w:t>--Normas y procesos asociados a la gestiσn del talento humano. Metodolσgica, planeaciσn, roles de trabajo.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w:br w:type="textWrapping"/>
              <w:t/>
              <w:br w:type="textWrapping"/>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VIGENTE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--Derechos Humanos</w:t>
              <w:br w:type="textWrapping"/>
              <w:t>--Normatividad vigente</w:t>
              <w:br w:type="textWrapping"/>
              <w:t>--Cσdigo Nacional de Policνa y Convivencia ciudadana</w:t>
              <w:br w:type="textWrapping"/>
              <w:t>--Normatividad distrital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br w:type="textWrapping"/>
              <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LOS FUNDAMENTOS DE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y procedimientos del supervisor</w:t>
              <w:br w:type="textWrapping"/>
              <w:t>--Estudios de Seguridad y anαlisis del riesgo y amenazas.</w:t>
              <w:br w:type="textWrapping"/>
              <w:t>--Modus Operandi delincuencial y riesgo pϊblico.</w:t>
              <w:br w:type="textWrapping"/>
              <w:t>--Tιcnicas de observaciσn y conocimiento del entorno</w:t>
              <w:br w:type="textWrapping"/>
              <w:t>--Tιcnicas de investigaciσn y elaboraciσn de informes.</w:t>
              <w:br w:type="textWrapping"/>
              <w:t>--Sistemas de seguridad y controles de acceso.</w:t>
              <w:br w:type="textWrapping"/>
              <w:t>--Detecciσn, retardo y respuesta.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
              <w:br w:type="textWrapping"/>
              <w:t/>
              <w:br w:type="textWrapping"/>
              <w:t/>
              <w:br w:type="textWrapping"/>
              <w:t/>
              <w:br w:type="textWrapping"/>
              <w:t>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br w:type="textWrapping"/>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MANIPULA Y CUIDA LOS EQUIPOS TECNOLOGICOS EXISTENTES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y manejo de armas, elementos y dispositivos menos letales.</w:t>
              <w:br w:type="textWrapping"/>
              <w:t>--Conocimiento y manejo de equipos de comunicaciσn.</w:t>
              <w:br w:type="textWrapping"/>
              <w:t>--Aplicaciσn de herramientas de informαtica</w:t>
              <w:br w:type="textWrapping"/>
              <w:t>--Seguridad informαtica y manejo documental de manera segura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DE DEFENSA PERSONAL Y ACONDICIONAMIENTO FISICO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--Tιcnicas de Defensa personal</w:t>
              <w:br w:type="textWrapping"/>
              <w:t>--Hαbitos de cuidado alimenticio y fνsico.</w:t>
              <w:br w:type="textWrapping"/>
              <w:t>--Cuidado personal y fνsico.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TEΣRICO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autorizadas para los servicios de vigilancia y seguridad privada.</w:t>
              <w:br w:type="textWrapping"/>
              <w:t>--Instrucciσn para el manejo seguro de armas, posiciones, protocolos y recomendaciones.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CONCEPTOS EN SEGURIDAD Y SALUD OCUPACIONAL</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--Procedimientos y protocolos en seguridad y salud en el trabajo</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DE TIPO SOCIAL Y HUMANO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--Relaciones humanas e interpersonales – empatνa y escuchaactiva</w:t>
              <w:br w:type="textWrapping"/>
              <w:t>--Resoluciσn de conflictos</w:t>
              <w:br w:type="textWrapping"/>
              <w:t>--Manejo de emociones</w:t>
              <w:br w:type="textWrapping"/>
              <w:t>--Liderazgo y motivaciσn personal</w:t>
              <w:br w:type="textWrapping"/>
              <w:t>--Manejo del servicio</w:t>
              <w:br w:type="textWrapping"/>
              <w:t>--Atenciσn al cliente.</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br w:type="textWrapping"/>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MITIGACION DEL RIESGO BIOLOGICO Y AMBIENTAL</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bioseguridad.</w:t>
              <w:br w:type="textWrapping"/>
              <w:t>--Estrategias y elementos de protecciσn personal, grupal y social.</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TECNICAS DE EMERGENCIA Y PRIMEROS AUXILIOS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--Control de emergencias y primeros auxilios.</w:t>
              <w:br w:type="textWrapping"/>
              <w:t>--Primer respondiente</w:t>
              <w:br w:type="textWrapping"/>
              <w:t>--Prevenciσn, mantenimiento, cuidado y manejo de equipos de primeros auxilios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Y NORMAS DE LOS CENTROS O ESTABLECIMIENTOS DE DETENCION PREVENTIVA Y CARCELARIA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--Constituciσn Polνtica de Colombia</w:t>
              <w:br w:type="textWrapping"/>
              <w:t>--Reglas mνnimas para el tratamiento de los reclusos</w:t>
              <w:br w:type="textWrapping"/>
              <w:t>--Conocimiento de normas propias del sistema penitenciario y carcelario – centros o establecimientos de detenciσn preventiva.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
              <w:br w:type="textWrapping"/>
              <w:t/>
              <w:br w:type="textWrapping"/>
              <w:t>TEORICO PRACTICO</w:t>
            </w:r>
          </w:p>
        </w:tc>
      </w:tr>
    </w:tbl>
    <w:p>
      <w:rPr>
        <w:sz w:val="16"/>
        <w:color w:val="black"/>
      </w:rPr>
    </w:p>
    <w:p>
      <w:r>
        <w:rPr>
          <w:rFonts w:hAnsi="Arial"/>
          <w:rFonts w:ascii="Arial"/>
          <w:sz w:val="16"/>
          <w:b/>
          <w:u w:val="single"/>
          <w:color w:val="black"/>
        </w:rPr>
        <w:t xml:space="preserve">3. CICLO DE ESCOLTA</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br w:type="textWrapping"/>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LOS ELEMENTOS BASICOS DE VIGILANCIA Y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--Introducciσn, conceptos avanzados en seguridad.</w:t>
              <w:br w:type="textWrapping"/>
              <w:t>--Funciones y responsabilidades del escolta a personas, vehνculos y mercancνas.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VIGENTE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--Derechos Humanos</w:t>
              <w:br w:type="textWrapping"/>
              <w:t>--Normatividad vigente</w:t>
              <w:br w:type="textWrapping"/>
              <w:t>--Cσdigo Nacional de Policνa y Convivencia ciudadana.</w:t>
              <w:br w:type="textWrapping"/>
              <w:t>--Normatividad distrital</w:t>
              <w:br w:type="textWrapping"/>
              <w:t>--Ιtica profesional</w:t>
              <w:br w:type="textWrapping"/>
              <w:t>--Administraciσn de recursos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LOS FUNDAMENTOS DE VIGILANCIA Y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y procedimientos de seguridad</w:t>
              <w:br w:type="textWrapping"/>
              <w:t>--Factores de inseguridad</w:t>
              <w:br w:type="textWrapping"/>
              <w:t>--Tιcnicas de observaciσn y conocimiento del entorno.</w:t>
              <w:br w:type="textWrapping"/>
              <w:t>--Anαlisis, evaluaciσn e identificaciσn.</w:t>
              <w:br w:type="textWrapping"/>
              <w:t>--Modus operandi delincuencial y </w:t>
              <w:br w:type="textWrapping"/>
              <w:t>--Seguridad – controles de acceso, detecciσn de alertas.</w:t>
              <w:br w:type="textWrapping"/>
              <w:t>--Caravanas y desplazamientos seguros (motocicleta y vehνculo)</w:t>
              <w:br w:type="textWrapping"/>
              <w:t>-Protocolos de evacuaciσn.</w:t>
              <w:br w:type="textWrapping"/>
              <w:t>--Inspecciσn de rutas</w:t>
              <w:br w:type="textWrapping"/>
              <w:t>--Anαlisis de rutinas</w:t>
              <w:br w:type="textWrapping"/>
              <w:t>-Esquema de seguridad.</w:t>
              <w:br w:type="textWrapping"/>
              <w:t>--Evasiσn de amenazas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MANEJA EQUIPOS DE COMUNICACIΣN Y TECNOLOGICOS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y manejo de armas, elementos y dispositivos menos letales</w:t>
              <w:br w:type="textWrapping"/>
              <w:t>--Conocimiento y manejo de equipos de comunicaciσn.</w:t>
              <w:br w:type="textWrapping"/>
              <w:t>--Conocimiento de manejo de equipos tecnolσgicos.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 DE DEFENSA PERSONAL Y ACONDICIONAMIENTO FISICO.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--Tιcnicas de Defensa personal</w:t>
              <w:br w:type="textWrapping"/>
              <w:t>--Acondicionamiento fνsico.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autorizadas para los servicios de vigilancia y seguridad privada.</w:t>
              <w:br w:type="textWrapping"/>
              <w:t>--Instrucciσn para el manejo seguro de armas, posiciones, protocolos y recomendaciones.</w:t>
              <w:br w:type="textWrapping"/>
              <w:t>--Ejercicios prαcticos de tiro.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br w:type="textWrapping"/>
              <w:t/>
            </w:r>
          </w:p>
        </w:tc>
        <w:tc>
          <w:tcPr>
            <w:tcW w:w="2428"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CONOCE Y DESARROLLA HABILIDADES DE TIPO SOCIAL Y HUMANO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--Relaciones Humanas e interpersonales</w:t>
              <w:br w:type="textWrapping"/>
              <w:t>--Manejo de emociones y estrιs</w:t>
              <w:br w:type="textWrapping"/>
              <w:t>--Ιtica y prevenciσn de adicciones</w:t>
              <w:br w:type="textWrapping"/>
              <w:t>--Liderazgo y motivaciσn personal</w:t>
              <w:br w:type="textWrapping"/>
              <w:t>--Atenciσn de situaciones de crisis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MITIGACION DEL RIESGO BIOLOGICO Y AMBIENTAL</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bioseguridad</w:t>
              <w:br w:type="textWrapping"/>
              <w:t>--Estrategias y elementos de protecciσn personal, grupal y social</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TECNICAS DE EMERGENCIA Y PRIMEROS AUXILIOS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--Control de emergencias y primeros auxilios</w:t>
              <w:br w:type="textWrapping"/>
              <w:t>--Primer respondiente</w:t>
              <w:br w:type="textWrapping"/>
              <w:t>--Prevenciσn, manteniendo cuidados y manejo de equipos de primeros auxilios.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bl>
    <w:p>
      <w:rPr>
        <w:sz w:val="16"/>
        <w:color w:val="black"/>
      </w:rPr>
    </w:p>
    <w:p>
      <w:r>
        <w:rPr>
          <w:rFonts w:hAnsi="Arial"/>
          <w:rFonts w:ascii="Arial"/>
          <w:sz w:val="16"/>
          <w:b/>
          <w:u w:val="single"/>
          <w:color w:val="black"/>
        </w:rPr>
        <w:t xml:space="preserve">4. CICLO DE OPERADOR DE MEDIOS TECNOLOGICOS</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LOS ELEMENTOS BASICOS DE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--Introducciσn.</w:t>
              <w:br w:type="textWrapping"/>
              <w:t>--Conceptos bαsicos</w:t>
              <w:br w:type="textWrapping"/>
              <w:t>--Funciones y responsabilidades del operador de medios tecnolσgicos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VIGENTE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--Derechos humanos</w:t>
              <w:br w:type="textWrapping"/>
              <w:t>--Cσdigo Nacional de Policνa y Convivencia ciudadana</w:t>
              <w:br w:type="textWrapping"/>
              <w:t>--Normatividad distrital</w:t>
              <w:br w:type="textWrapping"/>
              <w:t>--Ιtica profesional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LOS FUNDAMENTOS DE SEGURIDAD Y VIGILANCIA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 factores de inseguridad, procedimientos de vigilancia como operador de medios tecnolσgicos.</w:t>
              <w:br w:type="textWrapping"/>
              <w:t>--Redacciσn y metodologνa de reportes, recolecciσn y administraciσn de informaciσn.</w:t>
              <w:br w:type="textWrapping"/>
              <w:t>--Modus Operandi Delincuencial.</w:t>
              <w:br w:type="textWrapping"/>
              <w:t>--Planimetrνa y Georreferencias en sistemas de seguridad.</w:t>
              <w:br w:type="textWrapping"/>
              <w:t>--Controles de acceso – automatizaciσn en sistemas integrales de seguridad a instalaciones.</w:t>
              <w:br w:type="textWrapping"/>
              <w:t>--Apoyo de mecanismos tιcnicos y herramientas facilitadoras del servicio.</w:t>
              <w:br w:type="textWrapping"/>
              <w:t>--Administraciσn de recursos</w:t>
              <w:br w:type="textWrapping"/>
              <w:t>--Seguridad de la informaciσn.</w:t>
              <w:br w:type="textWrapping"/>
              <w:t>--Criterios de selecciσn de medios tecnolσgicos y recursos.</w:t>
              <w:br w:type="textWrapping"/>
              <w:t>--Conexiσn, programaciσn, mantenimiento e instalaciσn de medios tecnolσgicos.</w:t>
              <w:br w:type="textWrapping"/>
              <w:t>--Protocolos de transmisiσn.</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MANEJA EQUIPOS DE COMUNICACIΣN Y TECNOLOGICOS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y manejo de armas, elementos y dispositivos menos letales.</w:t>
              <w:br w:type="textWrapping"/>
              <w:t>--Conocimientos en ofimαtica</w:t>
              <w:br w:type="textWrapping"/>
              <w:t>--Profundizaciσn en conocimiento, manejo, mantenimiento, instalaciσn y reparaciσn de medios tecnolσgicos.</w:t>
              <w:br w:type="textWrapping"/>
              <w:t>--Principios de la detecciσn, clasificaciσn de detecciσn interior, perifιrica, exterior y perimetral.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DE TIPO SOCIAL Y HUMANO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--Desarrollo de relaciones humanas e interpersonales.</w:t>
              <w:br w:type="textWrapping"/>
              <w:t>--Ιtica y prevenciσn de adicciones</w:t>
              <w:br w:type="textWrapping"/>
              <w:t>--Liderazgo y motivaciσn personal</w:t>
              <w:br w:type="textWrapping"/>
              <w:t>--Manejo del servicio.</w:t>
              <w:br w:type="textWrapping"/>
              <w:t>--Atenciσn al cliente.</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PARA LA MITIGACION DEL RIESGO BIOLOGICO Y AMBIENTAL</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bioseguridad</w:t>
              <w:br w:type="textWrapping"/>
              <w:t>--Estrategias y elementos de protecciσn personal, grupal y social.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br w:type="textWrapping"/>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TECNICAS DE EMERGENCIA Y PRIMEROS AUXILIOS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--Control de emergencias y primeros auxilios.</w:t>
              <w:br w:type="textWrapping"/>
              <w:t>--Primer respondiente</w:t>
              <w:br w:type="textWrapping"/>
              <w:t>--Prevenciσn, mantenimiento y cuidado de los equipos de primeros auxilios.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Y NORMAS DE LOS CENTROS O ESTABLECIMIENTOS DE DETENCION PREVENTIVA Y CARCELARIA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--Constituciσn Polνtica de Colombia</w:t>
              <w:br w:type="textWrapping"/>
              <w:t>--Reglas mνnimas para el tratamiento de los reclusos.</w:t>
              <w:br w:type="textWrapping"/>
              <w:t>--Conocimiento de normas propias del sistema penitenciario y carcelario – centros o establecimientos de detenciσn preventiva.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bl>
    <w:p>
      <w:rPr>
        <w:sz w:val="16"/>
        <w:color w:val="black"/>
      </w:rPr>
    </w:p>
    <w:p>
      <w:r>
        <w:rPr>
          <w:rFonts w:hAnsi="Arial"/>
          <w:rFonts w:ascii="Arial"/>
          <w:sz w:val="16"/>
          <w:b/>
          <w:u w:val="single"/>
          <w:color w:val="black"/>
        </w:rPr>
        <w:t xml:space="preserve">5. CICLO DE MANEJADOR CANINO</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ELEMENTOS BASICOS DE SEGURIDAD Y VIGILANCIA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--Introducciσn. Conceptos bαsicos.</w:t>
              <w:br w:type="textWrapping"/>
              <w:t>--Funciones y responsabilidades del manejador canino.</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COLOMBIANA EN VIGILANCIA Y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 Derechos Humanos.</w:t>
              <w:br w:type="textWrapping"/>
              <w:t>--Cσdigo Nacional de Policνa y Convivencia ciudadana.</w:t>
              <w:br w:type="textWrapping"/>
              <w:t>--Normatividad distrital</w:t>
              <w:br w:type="textWrapping"/>
              <w:t>--Ιtica profesional</w:t>
              <w:br w:type="textWrapping"/>
              <w:t>--Protecciσn y bienestar animal</w:t>
              <w:br w:type="textWrapping"/>
              <w:t>--Normativa ambiental</w:t>
              <w:br w:type="textWrapping"/>
              <w:t>--Plan de manejo ambiental de residuos.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E IDENTIFICA LAS AREAS Y PROCEDIMIENTOS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seguridad</w:t>
              <w:br w:type="textWrapping"/>
              <w:t>--Protocolos de seguridad, manejo y cuidado canino.</w:t>
              <w:br w:type="textWrapping"/>
              <w:t>--Identificaciσn del riesgo y vulnerabilidades.</w:t>
              <w:br w:type="textWrapping"/>
              <w:t>--Tιcnicas de observaciσn y conocimiento del entorno.</w:t>
              <w:br w:type="textWrapping"/>
              <w:t>--Modus operandi delincuencial y riesgo pϊblico.</w:t>
              <w:br w:type="textWrapping"/>
              <w:t>--Defensa controlada.</w:t>
              <w:br w:type="textWrapping"/>
              <w:t>--Detecciσn de explosivos y narcσticos.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ADQUIERE CONOCIMIENTOS BASICOS DEL MEDIO CANINO, PROTECCION Y BIENESTAR ANIMAL</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--Fundamentos de adiestramiento canino para la asociaciσn o intervenciσn del binomio (manejador – perro).</w:t>
              <w:br w:type="textWrapping"/>
              <w:t>--Componentes esenciales para el manejo de caninos.</w:t>
              <w:br w:type="textWrapping"/>
              <w:t>--Conocimiento y selecciσn de caninos para entrenamiento.</w:t>
              <w:br w:type="textWrapping"/>
              <w:t>--Razas y especialidades caninas autorizadas para servicios de vigilancia y seguridad privada.</w:t>
              <w:br w:type="textWrapping"/>
              <w:t>--Cuidado y guνa de caninos de manera responsable y tιcnica.</w:t>
              <w:br w:type="textWrapping"/>
              <w:t>--Ejercicios de entrenamiento</w:t>
              <w:br w:type="textWrapping"/>
              <w:t>--Comandos – estνmulos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ADQUIERE TECNICAS DE CUIDADO Y CONSERVACION FISICA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--Defensa personal</w:t>
              <w:br w:type="textWrapping"/>
              <w:t>--Salubridad y acondicionamiento fνsico.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LAS TECNICAS ADECUADAS PARA EL CUIDADO Y MANTENIMIENTO CANINO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cuidado canino</w:t>
              <w:br w:type="textWrapping"/>
              <w:t>--Alimentaciσn, descanso canino y recreaciσn.</w:t>
              <w:br w:type="textWrapping"/>
              <w:t>--Limpieza y desinfecciσn.</w:t>
              <w:br w:type="textWrapping"/>
              <w:t>--Tιcnicas, clases de insumos tipos de instrumentos, dosis y procedimientos de bioseguridad.</w:t>
              <w:br w:type="textWrapping"/>
              <w:t>--Primeros auxilios en caninos. Protocolos de atenciσn, tipos de heridas, fracturas, lesiones, intoxicaciσn, ahogamiento, contingencias.</w:t>
              <w:br w:type="textWrapping"/>
              <w:t>--Tratamiento y protocolo en estado de celo y preρez.</w:t>
              <w:br w:type="textWrapping"/>
              <w:t>--Nutriciσn y alimentaciσn animal</w:t>
              <w:br w:type="textWrapping"/>
              <w:t>--Actividad recreativa</w:t>
              <w:br w:type="textWrapping"/>
              <w:t>--Accesorios y elementos del medio canino.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ESTRATEGIAS QUE CONLLEVEN A FORTALECER LAS RELACIONES SOCIALES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--Relaciones Humanas e interpersonales</w:t>
              <w:br w:type="textWrapping"/>
              <w:t>--Ιtica y buen trato</w:t>
              <w:br w:type="textWrapping"/>
              <w:t>--Liderazgo y motivaciσn personal</w:t>
              <w:br w:type="textWrapping"/>
              <w:t>--Atenciσn al cliente.</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RIESGOS BIOLOGICOS Y AMBIENTALES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bioseguridad</w:t>
              <w:br w:type="textWrapping"/>
              <w:t>--Estrategias y elementos de protecciσn personal, grupal y social.</w:t>
              <w:br w:type="textWrapping"/>
              <w:t>----Organizaciσn, mantenimiento y limpieza de caniles.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ESTRATEGIAS DE SEGURIDAD Y PRIMEROS AUXILIOS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--Manejo del servicio</w:t>
              <w:br w:type="textWrapping"/>
              <w:t>--Primer respondiente</w:t>
              <w:br w:type="textWrapping"/>
              <w:t>--Prevenciσn, cuidado y manejo de los elementos de primeros auxilios.</w:t>
              <w:br w:type="textWrapping"/>
              <w:t>--Intervenciσn primaria por decaimiento, fatiga, dolor y golpe de calor del canino.</w:t>
              <w:br w:type="textWrapping"/>
              <w:t>--Primeros auxilios caninos</w:t>
              <w:br w:type="textWrapping"/>
              <w:t>--Gestiσn y control de contingencias.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TEΣRICO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Y NORMAS DE LOS CENTROS O ESTABLECIMIENTOS DE DETENCION PREVENTIVA Y CARCELARIA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--Constituciσn Polνtica de Colombia</w:t>
              <w:br w:type="textWrapping"/>
              <w:t>--Reglas mνnima para el tratamiento de los recursos</w:t>
              <w:br w:type="textWrapping"/>
              <w:t>--Conocimiento de normas propias del sistema penitenciario y carcelario – centros o establecimientos de detenciσn preventiva.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br w:type="textWrapping"/>
              <w:t/>
            </w:r>
          </w:p>
        </w:tc>
      </w:tr>
    </w:tbl>
    <w:p>
      <w:pPr>
        <w:jc w:val="center"/>
      </w:pPr>
      <w:rPr>
        <w:sz w:val="24"/>
        <w:color w:val="black"/>
      </w:rPr>
    </w:p>
    <w:p>
      <w:pPr>
        <w:jc w:val="both"/>
        <w:keepNext/>
      </w:pPr>
      <w:rPr>
        <w:color w:val="black"/>
      </w:rPr>
    </w:p>
    <w:p>
      <w:pPr>
        <w:jc w:val="both"/>
        <w:keepNext/>
        <w:outlineLvl w:val="1"/>
      </w:pPr>
      <w:r>
        <w:rPr>
          <w:rFonts w:hAnsi="Arial"/>
          <w:rFonts w:ascii="Arial"/>
          <w:sz w:val="24"/>
          <w:b/>
          <w:vanish/>
          <w:color w:val="black"/>
        </w:rPr>
        <w:t>&amp;$</w:t>
      </w:r>
      <w:bookmarkStart w:id="62307" w:name="2.6.1.1.13.2.18"/>
      <w:r>
        <w:rPr>
          <w:rFonts w:hAnsi="Arial"/>
          <w:rFonts w:ascii="Arial"/>
          <w:sz w:val="24"/>
          <w:color w:val="navy"/>
        </w:rPr>
        <w:t xml:space="preserve">ARTΝCULO 2.6.1.1.13.2.18. CURSO DE REENTRENAMIENTO BΑSICO.</w:t>
      </w:r>
      <w:bookmarkEnd w:id="6230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Unidades de Aprendizaje relacionadas en este curso estarαn contenidas en las normas de competencia laboral especνfica que garanticen que el personal operativo del sector de vigilancia y seguridad privada mantenga de manera permanente altos niveles de eficiencia tιcnica y profesional para atender sus obligaciones. </w:t>
      </w:r>
    </w:p>
    <w:p>
      <w:pPr>
        <w:jc w:val="both"/>
        <w:keepNext/>
        <w:outlineLvl w:val="1"/>
      </w:pPr>
      <w:rPr>
        <w:sz w:val="24"/>
        <w:b/>
        <w:color w:val="black"/>
      </w:rPr>
    </w:p>
    <w:p>
      <w:pPr>
        <w:jc w:val="both"/>
        <w:keepNext/>
        <w:outlineLvl w:val="1"/>
      </w:pPr>
      <w:r>
        <w:rPr>
          <w:rFonts w:hAnsi="Arial"/>
          <w:rFonts w:ascii="Arial"/>
          <w:sz w:val="24"/>
          <w:color w:val="black"/>
        </w:rPr>
        <w:t xml:space="preserve">El pιnsum de los cursos de reentrenamiento debe estructurarse teniendo en cuenta las siguientes competencias especνficas segϊn cada Ciclo de Formaciσn: con una duraciσn de treinta (30) horas.</w:t>
      </w:r>
    </w:p>
    <w:p>
      <w:pPr>
        <w:jc w:val="both"/>
        <w:keepNext/>
        <w:outlineLvl w:val="1"/>
      </w:pPr>
      <w:rPr>
        <w:sz w:val="24"/>
        <w:color w:val="black"/>
      </w:rPr>
    </w:p>
    <w:p>
      <w:pPr>
        <w:keepNext/>
        <w:outlineLvl w:val="1"/>
      </w:pPr>
      <w:r>
        <w:rPr>
          <w:rFonts w:hAnsi="Arial"/>
          <w:rFonts w:ascii="Arial"/>
          <w:sz w:val="20"/>
          <w:b/>
          <w:u w:val="single"/>
          <w:color w:val="black"/>
        </w:rPr>
        <w:t xml:space="preserve">1. CICLO DE VIGILANTE:</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No.</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625"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CONOCIMIENTOS ESENCIALES</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IDENTIFICA Y CONTROLA LOS ACCESOS EXISTENTES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 de seguridad</w:t>
              <w:br w:type="textWrapping"/>
              <w:t>--Tecnologνas existentes</w:t>
              <w:br w:type="textWrapping"/>
              <w:t>--Manejo de la informaciσn</w:t>
              <w:br w:type="textWrapping"/>
              <w:t>--Comunicaciσn, procedimientos tιcnicos de prevenciσn de incidentes</w:t>
              <w:br w:type="textWrapping"/>
              <w:t>--Anαlisis del riesgo</w:t>
              <w:br w:type="textWrapping"/>
              <w:t>--Identificaciσn de personas</w:t>
              <w:br w:type="textWrapping"/>
              <w:t>--Tιcnicas de comunicaciσn</w:t>
              <w:br w:type="textWrapping"/>
              <w:t>--procedimientos u tιcnicas de seguridad.</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ATIENDE SITUACIONES DE CRISIS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--Identificaciσn de situaciones de crisis</w:t>
              <w:br w:type="textWrapping"/>
              <w:t>--Plan de emergencia, normas, simulacro reportes.</w:t>
              <w:br w:type="textWrapping"/>
              <w:t>--Normatividad: concepto de seguridad y salud en el trabajo.</w:t>
              <w:br w:type="textWrapping"/>
              <w:t>--Respuesta ante emergencias medicas</w:t>
              <w:br w:type="textWrapping"/>
              <w:t>--Respuestas ante incendios</w:t>
              <w:br w:type="textWrapping"/>
              <w:t>--Respuesta ante intrusiones no autorizadas</w:t>
              <w:br w:type="textWrapping"/>
              <w:t>--Amenazas terroristas o actos criminales.</w:t>
              <w:br w:type="textWrapping"/>
              <w:t>--Normatividad Distrital aplicable.</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DA RESPUESTA A ALARMAS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seguridad</w:t>
              <w:br w:type="textWrapping"/>
              <w:t>--Puestos de vigilancia, sistemas de rondas, operaciones de sistemas tecnolσgicos, procedimientos.</w:t>
              <w:br w:type="textWrapping"/>
              <w:t>--Condiciones de prestaciσn de servicios.</w:t>
              <w:br w:type="textWrapping"/>
              <w:t>--Servicio de respuesta, procedimiento de verificaciσn, sistemas de alarmas, clasificaciσn, partes, tipos de detecciones y sensores.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PROTOCOLOS DE ATENCION AL CLIENTE</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atenciσn al cliente</w:t>
              <w:br w:type="textWrapping"/>
              <w:t>--Confidencialidad de la informaciσn</w:t>
              <w:br w:type="textWrapping"/>
              <w:t>--Definiciσn y criterios ιticos</w:t>
              <w:br w:type="textWrapping"/>
              <w:t>--Registro de entradas y salidas de personal y objetos</w:t>
              <w:br w:type="textWrapping"/>
              <w:t>--Toma de decisiones</w:t>
              <w:br w:type="textWrapping"/>
              <w:t>--Protocolos de seguridad para la recepciσn y despacho de documentos y artνculos.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LAS DICSEN LA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--Sistemas operativos</w:t>
              <w:br w:type="textWrapping"/>
              <w:t>--Paquetes integrados de seguridad informαtica</w:t>
              <w:br w:type="textWrapping"/>
              <w:t>--Conceptos bαsicos de hardware y software</w:t>
              <w:br w:type="textWrapping"/>
              <w:t>--Sistemas de seguridad electrσnica</w:t>
              <w:br w:type="textWrapping"/>
              <w:t>--Utilidad de las redes sociales y su aplicabilidad en vigilancia privada.</w:t>
              <w:br w:type="textWrapping"/>
              <w:t>--Uso adecuado de equipos de comunicaciσn y canales de comunicaciσn.</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autorizadas para los servicios de vigilancia y seguridad privada.</w:t>
              <w:br w:type="textWrapping"/>
              <w:t>--Instrucciσn para el manejo seguro de armas, posiciones, protocolos y recomendaciones.</w:t>
              <w:br w:type="textWrapping"/>
              <w:t>--Ejercicios prαcticos de tiro.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EXISTENTE EN COLOMBIA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 Derechos Humanos.</w:t>
              <w:br w:type="textWrapping"/>
              <w:t>--Cσdigo Nacional de Convivencia y seguridad ciudadana (Ley 1801 de 2016)</w:t>
              <w:br w:type="textWrapping"/>
              <w:t>--Red de apoyo y solidaridad ciudadana RASCI</w:t>
              <w:br w:type="textWrapping"/>
              <w:t>--Normas Distritales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--Conceptos bαsicos</w:t>
              <w:br w:type="textWrapping"/>
              <w:t>--Competencias y funciones del vigilante</w:t>
              <w:br w:type="textWrapping"/>
              <w:t>--Tιcnicas de observaciσn y conocimiento del entorno.</w:t>
              <w:br w:type="textWrapping"/>
              <w:t>--Conocimiento bαsico del sistema de salud y riesgos en el trabajo.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PROCEDIMIENTOS DE PRIMEROS AUXILIOS Y MANEJAR ESTRATEGIAS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 y procedimientos de primeros auxilios.</w:t>
              <w:br w:type="textWrapping"/>
              <w:t>--Medidas de bioseguridad.</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
              <w:br w:type="textWrapping"/>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PERSONALES Y SOCIALES</w:t>
              <w:br w:type="textWrapping"/>
              <w:t/>
            </w:r>
          </w:p>
        </w:tc>
        <w:tc>
          <w:tcPr>
            <w:tcW w:w="3625" w:type="dxa"/>
            <w:gridSpan w:val="2"/>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--Conducta asertiva, empatνa y escucha activa. Autocontrol y gestiσn del estrιs</w:t>
              <w:br w:type="textWrapping"/>
              <w:t>--Tιcnica de comunicaciσn y interpersonal</w:t>
              <w:br w:type="textWrapping"/>
              <w:t>--Tιcnica de control de masas</w:t>
              <w:br w:type="textWrapping"/>
              <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REDACTA Y PRESENTA INFORMES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--Normas de comunicaciσn verbal y escrita, tιcnicas de redacciσn y presentaciσn de escritos,, tipos de informes.</w:t>
              <w:br w:type="textWrapping"/>
              <w:t>--Libros de control</w:t>
              <w:br w:type="textWrapping"/>
              <w:t>--Estilo, uso y presentaciσn de informes.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PARA MANTENER UN ACONDICIONAIENTO FISICO ADECUADO PARA LA PRESTACION DEL SERVICIO DE VIGILANCIA Y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--Diferencia entre acondicionamiento y actividad fνsica</w:t>
              <w:br w:type="textWrapping"/>
              <w:t>--Hαbitos saludables</w:t>
              <w:br w:type="textWrapping"/>
              <w:t>--Tιcnicas de defensa personal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bl>
    <w:p>
      <w:rPr>
        <w:sz w:val="16"/>
        <w:color w:val="black"/>
      </w:rPr>
    </w:p>
    <w:p>
      <w:r>
        <w:rPr>
          <w:rFonts w:hAnsi="Arial"/>
          <w:rFonts w:ascii="Arial"/>
          <w:sz w:val="16"/>
          <w:b/>
          <w:u w:val="single"/>
          <w:color w:val="black"/>
        </w:rPr>
        <w:t xml:space="preserve">2. CICLO DE SUPERVISOR</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No.</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625"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CONOCIMIENTOS ESENCIALES</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IDENTIFICA Y CONTROLA LOS ACCESOS EXISTENTES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 de seguridad</w:t>
              <w:br w:type="textWrapping"/>
              <w:t>--Procedimientos operativos en prevenciσn de incidentes</w:t>
              <w:br w:type="textWrapping"/>
              <w:t>--Tecnologνas existentes</w:t>
              <w:br w:type="textWrapping"/>
              <w:t>--Manejo de la informaciσn</w:t>
              <w:br w:type="textWrapping"/>
              <w:t>--Comunicaciσn, procedimientos tιcnicos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ATIENDE SITUACIONES DE CRISIS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--Identificaciσn de situaciones de crisis</w:t>
              <w:br w:type="textWrapping"/>
              <w:t>--Plan de emergencia, normas, simulacro, reportes.</w:t>
              <w:br w:type="textWrapping"/>
              <w:t>--Normatividad. Concepto de seguridad y salud en el trabajo</w:t>
              <w:br w:type="textWrapping"/>
              <w:t>--Respuesta ante emergencias medicas</w:t>
              <w:br w:type="textWrapping"/>
              <w:t>--Respuesta ante intrusiones no autorizadas</w:t>
              <w:br w:type="textWrapping"/>
              <w:t>--Amenazas terroristas o actos criminales.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DA RESPUESTA Y CONOCE LOS PROTOCOLOS DE ATENCION AL CLIENTE</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seguridad</w:t>
              <w:br w:type="textWrapping"/>
              <w:t>--Puestos de vigilancia, sistemas de rondas, operaciones sistemas tecnolσgicos, procedimientos.</w:t>
              <w:br w:type="textWrapping"/>
              <w:t>--Condiciones de prestaciσn del servicio.</w:t>
              <w:br w:type="textWrapping"/>
              <w:t>--Servicio de respuesta, procedimiento de verificaciσn, sistemas de alarmas, clasificaciσn, partes, tipos de detectores y sensores.</w:t>
              <w:br w:type="textWrapping"/>
              <w:t>--Normas y procesos asociados a la gestiσn del talento humano. Metodolσgica, planeaciσn, roles de trabajo.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PROTOCOLOS DE ATENCION AL CLIENTE</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atenciσn al cliente</w:t>
              <w:br w:type="textWrapping"/>
              <w:t>--Confidencialidad de la informaciσn, definiciσn y criterios ιticos.</w:t>
              <w:br w:type="textWrapping"/>
              <w:t>--Registro de entradas y salidas de personas y objetos.</w:t>
              <w:br w:type="textWrapping"/>
              <w:t>--Toma de decisiones.</w:t>
              <w:br w:type="textWrapping"/>
              <w:t>--Protocolos de seguridad para la recepciσn y despacho de documentos y artνculos.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LAS TICS EN LA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--Sistemas operativos</w:t>
              <w:br w:type="textWrapping"/>
              <w:t>--Paquetes integrados de seguridad informαtica</w:t>
              <w:br w:type="textWrapping"/>
              <w:t>--Conocimientos bαsicos en seguridad informαtica</w:t>
              <w:br w:type="textWrapping"/>
              <w:t>--Uso adecuado de equipos de comunicaciσn.</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autorizadas para los servicios de vigilancia y seguridad privada.</w:t>
              <w:br w:type="textWrapping"/>
              <w:t>--Instrucciσn para el manejo seguro de armas, posiciones, protocolos y recomendaciones.</w:t>
              <w:br w:type="textWrapping"/>
              <w:t>--Ejercicios prαcticos de tiro.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EXISTENTE EN COLOMBIA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 Derechos Humanos.</w:t>
              <w:br w:type="textWrapping"/>
              <w:t>--Cσdigo Nacional de Policνa y Convivencia ciudadana</w:t>
              <w:br w:type="textWrapping"/>
              <w:t>--Normatividad distrital.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--Conceptos bαsicos</w:t>
              <w:br w:type="textWrapping"/>
              <w:t>--Competencias y funciones del supervisor</w:t>
              <w:br w:type="textWrapping"/>
              <w:t>--Tιcnicas de observaciσn y conocimiento del entorno.</w:t>
              <w:br w:type="textWrapping"/>
              <w:t>--Conocimiento bαsico del sistema de salud y riesgos en el trabajo.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PROCEDIMIENTOS DE PRIMEROS AUXILIOS TEORICO – PRACTICO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 y procedimientos de Primeros auxilios.</w:t>
              <w:br w:type="textWrapping"/>
              <w:t>--Primer respondiente</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PERSONALES Y SOCIALES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--Conducta asertiva, empatνa y escucha activa, autocontrol y manejo del estrιs.</w:t>
              <w:br w:type="textWrapping"/>
              <w:t>--Tιcnica de comunicaciσn interpersonal</w:t>
              <w:br w:type="textWrapping"/>
              <w:t>--Tιcnica de control de masas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REDACTA Y PRESENTA INFORMES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--Normas de comunicaciσn verbal y escrita, tιcnicas de redacciσn y presentaciσn de escritos, tipos de informes.</w:t>
              <w:br w:type="textWrapping"/>
              <w:t>--Libros de control</w:t>
              <w:br w:type="textWrapping"/>
              <w:t>--Estilo, uso y presentaciσn de informes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br w:type="textWrapping"/>
              <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PARA MANTENER UN ACONDICIONAMIENTO FISICO ADECUADO PARA LA PRESTACION DEL SERVICIO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--Diferencia entre acondicionamiento y actividad fνsica</w:t>
              <w:br w:type="textWrapping"/>
              <w:t>--Hαbitos saludables</w:t>
              <w:br w:type="textWrapping"/>
              <w:t>--Tιcnicas de defensa personal</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br w:type="textWrapping"/>
              <w:t/>
            </w:r>
          </w:p>
        </w:tc>
      </w:tr>
    </w:tbl>
    <w:p>
      <w:rPr>
        <w:sz w:val="20"/>
        <w:b/>
        <w:i/>
        <w:color w:val="black"/>
      </w:rPr>
    </w:p>
    <w:p>
      <w:r>
        <w:rPr>
          <w:rFonts w:hAnsi="Arial"/>
          <w:rFonts w:ascii="Arial"/>
          <w:sz w:val="16"/>
          <w:b/>
          <w:u w:val="single"/>
          <w:color w:val="black"/>
        </w:rPr>
        <w:t xml:space="preserve">3. CICLO DE ESCOLTA:</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No.</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625"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CONOCMIIENTOS ESENCIALES</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IDENTIFICA Y CONTROLA LOS ACCESOS EXISTENTES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 de seguridad</w:t>
              <w:br w:type="textWrapping"/>
              <w:t>--Tecnologνas existentes</w:t>
              <w:br w:type="textWrapping"/>
              <w:t>--Manejo de la informaciσn</w:t>
              <w:br w:type="textWrapping"/>
              <w:t>--Comunicaciσn, procedimientos tιcnicos</w:t>
              <w:br w:type="textWrapping"/>
              <w:t>--Tιcnicas de comunicaciσn</w:t>
              <w:br w:type="textWrapping"/>
              <w:t>--Procedimientos y tιcnicas de seguridad</w:t>
              <w:br w:type="textWrapping"/>
              <w:t>--Identificaciσn de personas</w:t>
              <w:br w:type="textWrapping"/>
              <w:t>--Funciones y responsabilidades del escolta a personas, vehνculos y mercancνas.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ATIENDE SITUACIONES DE CRISIS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--Identificaciσn de situaciones de crisis</w:t>
              <w:br w:type="textWrapping"/>
              <w:t>--Plan de emergencia, normas simulacro, reportes</w:t>
              <w:br w:type="textWrapping"/>
              <w:t>--Normatividad: concepto de seguridad y salud en el trabajo.</w:t>
              <w:br w:type="textWrapping"/>
              <w:t>--Respuesta ante emergencias medicas</w:t>
              <w:br w:type="textWrapping"/>
              <w:t>--Amenazas terroristas o actos criminales.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DA RESPUESTA Y CONOCE LOS PROTOCOLOS DE ATENCION ALARMAS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seguridad</w:t>
              <w:br w:type="textWrapping"/>
              <w:t>--Puestos de vigilancia sistemas de rondas, operaciones sistemas tecnolσgicos, procedimientos.</w:t>
              <w:br w:type="textWrapping"/>
              <w:t>--Conocimientos de prestaciσn del servicio.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PROTOCOLOS DE ATENCION AL CLIENTE</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atenciσn al cliente</w:t>
              <w:br w:type="textWrapping"/>
              <w:t>--Confidencialidad de la informaciσn, definiciσn y criterios ιticos.</w:t>
              <w:br w:type="textWrapping"/>
              <w:t>--Registro de entradas y salidas de personas y objetos.</w:t>
              <w:br w:type="textWrapping"/>
              <w:t>--Toma de decisiones.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LAS TICS EN LA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--Sistemas operativos</w:t>
              <w:br w:type="textWrapping"/>
              <w:t>--Paquetes integrados de seguridad informαtica</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de fuego autorizadas para los servicios de vigilancia y seguridad privada.</w:t>
              <w:br w:type="textWrapping"/>
              <w:t>-Instrucciσn para el manejo seguro de armas posiciones, protocolos y recomendaciones.</w:t>
              <w:br w:type="textWrapping"/>
              <w:t>-Ejercicios prαcticos de tiro.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EXISTENTE EN COLOMBIA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 Derechos Humanos</w:t>
              <w:br w:type="textWrapping"/>
              <w:t>--Cσdigo Nacional de Policνa y Convivencia ciudadana.</w:t>
              <w:br w:type="textWrapping"/>
              <w:t>--Normatividad distrital.</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DE VIGILANCIA Y SEGURIDAD PRIVADA</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--Conceptos bαsicos</w:t>
              <w:br w:type="textWrapping"/>
              <w:t>--Competencias y funciones del vigilante</w:t>
              <w:br w:type="textWrapping"/>
              <w:t>--Tιcnicas de observaciσn y conocimiento del entorno.</w:t>
              <w:br w:type="textWrapping"/>
              <w:t>--Conocimiento bαsico del sistema de salud y riesgos en el trabajo.</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PROCEDIMIENTOS DE PRIMEROS AUXILIOS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 y procedimientos de primeros auxilios</w:t>
              <w:br w:type="textWrapping"/>
              <w:t>--Primer respondiente</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REDACTA Y PRESENTA INFORMES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--Normas de comunicaciσn verbal y escrita, tιcnicas de redacciσn y presentaciσn de escritos, tipos de informes, minutas.</w:t>
              <w:br w:type="textWrapping"/>
              <w:t>--Estilo, uso y presentaciσn de informes.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ELABORA ESQUEMAS DE SEGURIDAD A PROTEGIDOS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--Evaluar los riesgos, amenazas y vulnerabilidades.</w:t>
              <w:br w:type="textWrapping"/>
              <w:t>--Seguridad y protecciσn a personas, vehνculos y mercancνas.</w:t>
              <w:br w:type="textWrapping"/>
              <w:t>--Ιtica profesional y normas vigentes.</w:t>
              <w:br w:type="textWrapping"/>
              <w:t>--Esquema de seguridad fνsica, tecnologνas de la informaciσn.</w:t>
              <w:br w:type="textWrapping"/>
              <w:t>--Protecciσn de personas.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CONDUCE VEHICULOS Y MOTOS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w:t>
              <w:br w:type="textWrapping"/>
              <w:t>--Tιcnicas de conducciσn de vehνculos y motos. Evasiσn y amenazas.</w:t>
              <w:br w:type="textWrapping"/>
              <w:t>--Estudio y selecciσn de rutas</w:t>
              <w:br w:type="textWrapping"/>
              <w:t>--Localizaciσn estratιgica para la seguridad.</w:t>
              <w:br w:type="textWrapping"/>
              <w:t>--Lectura e interpretaciσn de planimetrνa</w:t>
              <w:br w:type="textWrapping"/>
              <w:t>--Inteligencia emocional bajo presiσn.</w:t>
              <w:br w:type="textWrapping"/>
              <w:t>--Toma de decisiones.</w:t>
              <w:br w:type="textWrapping"/>
              <w:t>--Elementos de Protecciσn personal</w:t>
              <w:br w:type="textWrapping"/>
              <w:t>--Caravanas y desplazamientos seguros (motocicleta y vehνculo).</w:t>
              <w:br w:type="textWrapping"/>
              <w:t>--Conducciσn preventiva, defensiva y reactiva de vehνculos.</w:t>
              <w:br w:type="textWrapping"/>
              <w:t>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DESARROLLA HABILIDADES PARA MANTENER UN ACONDICIONAMIENTO FISICO ADECUADO PARA LA PRESTACION DEL SERVICIO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--Diferencia entre acondicionamiento y actividad fνsica.</w:t>
              <w:br w:type="textWrapping"/>
              <w:t>--Hαbitos saludables</w:t>
              <w:br w:type="textWrapping"/>
              <w:t>--Tιcnicas de defensa personal</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bl>
    <w:p>
      <w:rPr>
        <w:sz w:val="16"/>
        <w:color w:val="black"/>
      </w:rPr>
    </w:p>
    <w:p>
      <w:r>
        <w:rPr>
          <w:rFonts w:hAnsi="Arial"/>
          <w:rFonts w:ascii="Arial"/>
          <w:sz w:val="18"/>
          <w:b/>
          <w:u w:val="single"/>
          <w:color w:val="black"/>
        </w:rPr>
        <w:t xml:space="preserve">4. CICLO DE OPERADOR DE MEDIOS TECNOLOGICOS</w:t>
      </w:r>
    </w:p>
    <w:tbl>
      <w:tblGrid>
        <w:gridCol w:w="440"/>
        <w:gridCol w:w="2420"/>
        <w:gridCol w:w="3620"/>
        <w:gridCol w:w="2240"/>
      </w:tblGrid>
      <w:tblPr>
        <w:tblW w:w="8720" w:type="dxa"/>
        <w:tblBorders/>
      </w:tblP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 xml:space="preserve">No.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625"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CONOCIMIENTOS ESENCIALES</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IDENTIFICA Y CONTROLA LOS ACCESOS EXISTENTES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 de seguridad</w:t>
              <w:br w:type="textWrapping"/>
              <w:t>--Tecnologνas existentes</w:t>
              <w:br w:type="textWrapping"/>
              <w:t>--Manejo de la informaciσn.</w:t>
              <w:br w:type="textWrapping"/>
              <w:t>--Comunicaciσn, procedimientos tιcnicos</w:t>
              <w:br w:type="textWrapping"/>
              <w:t>--Tιcnicas de comunicaciσn</w:t>
              <w:br w:type="textWrapping"/>
              <w:t>--Procedimientos, tιcnicas de seguridad y prevenciσn de incidentes.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DA RESPUESTA Y CONOCE LOS PROTOCOLOS DE ATENCION</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seguridad</w:t>
              <w:br w:type="textWrapping"/>
              <w:t>--Puestos de vigilancia, sistemas de rondas, operaciones de sistemas tecnolσgicos y procedimientos.</w:t>
              <w:br w:type="textWrapping"/>
              <w:t>--Condiciones de prestaciσn del servicio.</w:t>
              <w:br w:type="textWrapping"/>
              <w:t>--Servicio de respuesta, procedimiento de verificaciσn, sistemas de alarmas, clasificaciσn, partes, tipos de detectores y sensores.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PROTOCOLOS DE ATENCION AL CLIENTE</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--Protocolos de atenciσn al cliente</w:t>
              <w:br w:type="textWrapping"/>
              <w:t>--Confidencialidad de la informaciσn, definiciσn y criterios</w:t>
              <w:br w:type="textWrapping"/>
              <w:t>--Registros de entradas y salidas de personas y objetos</w:t>
              <w:br w:type="textWrapping"/>
              <w:t>--Toma de decisiones</w:t>
              <w:br w:type="textWrapping"/>
              <w:t>--Protocolos de seguridad para la recepciσn y despacho de documentos y artνculos.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br w:type="textWrapping"/>
              <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DESARROLLA HABILIDADES EN EL MANEJO DE ARMAS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--Conocimiento de las armas de fuego para los servicios de vigilancia y seguridad privada.</w:t>
              <w:br w:type="textWrapping"/>
              <w:t>--Instrucciσn para el manejo seguro de armas, posiciones, protocolos y recomendaciones.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LA NORMATIVIDAD EXISTENTE EN COLOMBIA EN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--Normatividad vigente de Derechos Humanos</w:t>
              <w:br w:type="textWrapping"/>
              <w:t>--Cσdigo Nacional de Policνa y Convivencia ciudadana.</w:t>
              <w:br w:type="textWrapping"/>
              <w:t>--Normatividad distrital</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Y APLICA PROCEDIMIENTOS DE PRIMEROS AUXILIOS</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--Tιcnica y procedimientos de Primeros Auxilios</w:t>
              <w:br w:type="textWrapping"/>
              <w:t>--Primer respondiente</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REDACTAR Y PRESENTAR INFORMES</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--Normas de comunicaciσn verbal y escrita, tιcnicas de redacciσn y presentaciσn de escritos, tipo de informes.</w:t>
              <w:br w:type="textWrapping"/>
              <w:t>--Libros de control</w:t>
              <w:br w:type="textWrapping"/>
              <w:t>--Estilo, uso y presentaciσn de informes.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LOS FUNDAMENTOS DE VIGILANCIA Y SEGURIDAD PRIVADA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--Modus operandi delincuencial, ιnfasis en operador de medios tecnolσgicos.</w:t>
              <w:br w:type="textWrapping"/>
              <w:t>--Funciones, responsabilidades y actividades propias del operador de medios tecnolσgicos.</w:t>
              <w:br w:type="textWrapping"/>
              <w:t>--Tιcnicas de observaciσn y conocimiento del entorno</w:t>
              <w:br w:type="textWrapping"/>
              <w:t>--Sistema de seguridad y salud en el trabajo.</w:t>
              <w:br w:type="textWrapping"/>
              <w:t>--Factores de seguridad</w:t>
              <w:br w:type="textWrapping"/>
              <w:t>--Procedimientos de operador de medios tecnolσgicos.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SOBRE TECNOLOGIAS DE VIGILANCIA ELECTRONICA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--Fundamentos de medios tecnolσgicos y manejo de la informaciσn.</w:t>
              <w:br w:type="textWrapping"/>
              <w:t>--Criterios de selecciσn de elementos convencionales, cαmaras CCTV, elementos de capacitaciσn.</w:t>
              <w:br w:type="textWrapping"/>
              <w:t>--Monitores, transmisiσn y almacenamiento, elementos auxiliares, tecnologνas, y videos, transmisiσn por IP, formatos de comprensiσn, Cαmaras IP, video grabaciσn digital, gestiσn de video IP, instalaciones de video.</w:t>
              <w:br w:type="textWrapping"/>
              <w:t>--Aplicaciσn y ubicaciσn de cαmaras en funciσn de identificaciσn de riesgos.</w:t>
              <w:br w:type="textWrapping"/>
              <w:t>--Conexiσn y programaciσn.</w:t>
              <w:br w:type="textWrapping"/>
              <w:t>--Protocolos de transmisiσn, mantenimiento de instalaciones de seguridad.</w:t>
              <w:br w:type="textWrapping"/>
              <w:t>--Calidad en las instalaciones.</w:t>
              <w:br w:type="textWrapping"/>
              <w:t>--Tecnologνas para la identificaciσn y el control de acceso.</w:t>
              <w:br w:type="textWrapping"/>
              <w:t>--Identificaciσn mediante sistemas RFD. Control de acceso mediante tarjetas, biometrνa, estructura y aplicaciσn de sistemas de control de acceso.</w:t>
              <w:br w:type="textWrapping"/>
              <w:t>--Aplicaciones especificas de sistemas ID y CA, sistemas auxiliares, sistemas autσnomos, sistemas centralizados. Integraciσn con otros subsistemas de seguridad contra intrusiσn. Protocolos de transmisiσn.</w:t>
              <w:br w:type="textWrapping"/>
              <w:t>--Procedimientos para instalaciσn de equipos electrσnicos de seguridad.</w:t>
              <w:br w:type="textWrapping"/>
              <w:t>--Mantenimiento de instalaciones de seguridad.</w:t>
              <w:br w:type="textWrapping"/>
              <w:t>--Manejo de recursos.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 CRITERIOS DE SELECCIΣN DE DETECTORES DE INTRUSION Y CENTRALES DE RIESGO</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--Clasificaciσn de mecanismos de detecciσn inferior, perifιrica, exterior y perimetral.</w:t>
              <w:br w:type="textWrapping"/>
              <w:t>--Clasificaciσn y aplicaciσn de controles de alarmas de detecciσn.</w:t>
              <w:br w:type="textWrapping"/>
              <w:t/>
            </w:r>
          </w:p>
        </w:tc>
        <w:tc>
          <w:tcPr>
            <w:tcW w:w="2223"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PROGRAMAR EQUIPOS DE SEGURIDAD ELECTRONICA</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--Equipos electrσnicos de seguridad bαsica. Manual de operaciσn y programaciσn de los equipos. Conexiσn y programaciσn de centrales de alarmas.</w:t>
              <w:br w:type="textWrapping"/>
              <w:t>--Protocolos de transmisiσn.</w:t>
              <w:br w:type="textWrapping"/>
              <w:t>--Normas de seguridad industrial</w:t>
              <w:br w:type="textWrapping"/>
              <w:t>--Protocolo de atenciσn al cliente.</w:t>
              <w:br w:type="textWrapping"/>
              <w:t>--Manejo de recursos.</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4"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12</w:t>
            </w:r>
          </w:p>
        </w:tc>
        <w:tc>
          <w:tcPr>
            <w:tcW w:w="2428"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ACTUALIZACION DE EQUIPOS ELECTRONICOS DE SEGURIDAD</w:t>
              <w:br w:type="textWrapping"/>
              <w:t/>
            </w:r>
          </w:p>
        </w:tc>
        <w:tc>
          <w:tcPr>
            <w:tcW w:w="3625"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--Actualizaciσn de bosquejos formatos de zonificaciσn y/o planos</w:t>
              <w:br w:type="textWrapping"/>
              <w:t>--Manual de operaciσn y programaciσn de los equipos</w:t>
              <w:br w:type="textWrapping"/>
              <w:t>--Normas de seguridad industrial.</w:t>
              <w:br w:type="textWrapping"/>
              <w:t>--Acciones y estrategias para el mantenimiento de equipos de seguridad.</w:t>
              <w:br w:type="textWrapping"/>
              <w:t/>
            </w:r>
          </w:p>
        </w:tc>
        <w:tc>
          <w:tcPr>
            <w:tcW w:w="2223"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br w:type="textWrapping"/>
              <w:t/>
            </w:r>
          </w:p>
        </w:tc>
      </w:tr>
    </w:tbl>
    <w:p>
      <w:rPr>
        <w:sz w:val="24"/>
        <w:color w:val="black"/>
      </w:rPr>
    </w:p>
    <w:p>
      <w:r>
        <w:rPr>
          <w:rFonts w:hAnsi="Arial"/>
          <w:rFonts w:ascii="Arial"/>
          <w:sz w:val="18"/>
          <w:b/>
          <w:u w:val="single"/>
          <w:color w:val="black"/>
        </w:rPr>
        <w:t xml:space="preserve">5. CILO DE MANEJADOR CANINO</w:t>
      </w:r>
    </w:p>
    <w:tbl>
      <w:tblGrid>
        <w:gridCol w:w="440"/>
        <w:gridCol w:w="1960"/>
        <w:gridCol w:w="440"/>
        <w:gridCol w:w="1680"/>
        <w:gridCol w:w="2040"/>
        <w:gridCol w:w="2100"/>
      </w:tblGrid>
      <w:tblPr>
        <w:tblW w:w="8676" w:type="dxa"/>
        <w:tblBorders/>
      </w:tblP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 xml:space="preserve">No.. </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NOMBRE DE LA COMPETENCIA</w:t>
            </w:r>
          </w:p>
        </w:tc>
        <w:tc>
          <w:tcPr>
            <w:tcW w:w="3709"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CONOCIMIENTOS ESENCIALES</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b/>
                <w:color w:val="black"/>
              </w:rPr>
              <w:t xml:space="preserve">ESTRATEGIA DIDACTICA</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IDENTIFICAR Y CONTROLAR LOS ACCESOS EXISTENTES</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--Protocolo de seguridad</w:t>
              <w:br w:type="textWrapping"/>
              <w:t>--Tecnologνas existentes</w:t>
              <w:br w:type="textWrapping"/>
              <w:t>--Manejo de la informaciσn</w:t>
              <w:br w:type="textWrapping"/>
              <w:t>--Comunicaciσn, procedimientos tιcnicos</w:t>
              <w:br w:type="textWrapping"/>
              <w:t>--Procedimientos, tιcnicas y procedimientos de seguridad.</w:t>
              <w:br w:type="textWrapping"/>
              <w:t>--Anαlisis de riesgos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2</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ATENCION DE SITUACIONES DE CRISIS</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--Identificaciσn de situaciones de crisis</w:t>
              <w:br w:type="textWrapping"/>
              <w:t>--Plan de emergencia, normas, simulacro, reportes.</w:t>
              <w:br w:type="textWrapping"/>
              <w:t>--Normatividad, concepto de seguridad y salud en el trabajo.</w:t>
              <w:br w:type="textWrapping"/>
              <w:t>--Respuesta ante incendios, emergencias mιdicas, intrusiones no autorizadas, amenazas terroristas o criminales.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3</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CONOCER LA NORMATIVIDAD EXISTENTE EN COLOMBIA EN VIGILANCIA Y SEGURIDAD PRIVADA</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--Normatividad vigente</w:t>
              <w:br w:type="textWrapping"/>
              <w:t>--Derechos humanos</w:t>
              <w:br w:type="textWrapping"/>
              <w:t>--Cσdigo Nacional de Policνa y Convivencia ciudadana</w:t>
              <w:br w:type="textWrapping"/>
              <w:t>--Normatividad distrital.</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TEORICO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4</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REDACTAR Y PRESENTAR INFORMES</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--Normas de comunicaciσn verbal y escrita, tιcnicas de redacciσn y presentaciσn de escritos, tipos de informes</w:t>
              <w:br w:type="textWrapping"/>
              <w:t>--Libros de control</w:t>
              <w:br w:type="textWrapping"/>
              <w:t>--Estilo, uso y presentaciσn de informes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br w:type="textWrapping"/>
              <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5</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CONOCIMIENTO DE LOS FUNDAMENTOS DE VIGILANCIA Y SEGURIDAD PRIVADA</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--Modus operandi delincuencial. Ιnfasis manejador canino</w:t>
              <w:br w:type="textWrapping"/>
              <w:t>--Funciones, responsabilidades y actividades propias del manejador canino</w:t>
              <w:br w:type="textWrapping"/>
              <w:t>--Tιcnicas de observaciσn y conocimiento del entorno</w:t>
              <w:br w:type="textWrapping"/>
              <w:t>--Sistema de seguridad y de salud en el trabajo.</w:t>
              <w:br w:type="textWrapping"/>
              <w:t>--Factores de inseguridad, procedimientos de manejador canino.</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6</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CONOCIMIENTO DE LA NORMATIVIDAD DEL MEDIO CANINO, PROTECCION Y BIENESTAR ANIMAL</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--Normatividad vigente</w:t>
              <w:br w:type="textWrapping"/>
              <w:t>--Derechos humanos y normatividad distrital</w:t>
              <w:br w:type="textWrapping"/>
              <w:t>--Cσdigo Nacional de Policνa y Convivencia ciudadana</w:t>
              <w:br w:type="textWrapping"/>
              <w:t>--Protecciσn y bienestar animal.</w:t>
              <w:br w:type="textWrapping"/>
              <w:t>--Normativa ambiental. Plan de manejo ambiental de residuos.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7</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MANEJADOR CANINO DE ACUERDO CON SU ESPECIALIDAD Y NORMATIVIDAD VIGENTE</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--Razas y especialidades caninas, caracterνsticas de los caninos autorizados para los servicios de vigilancia y seguridad privada.</w:t>
              <w:br w:type="textWrapping"/>
              <w:t>--Etiologνa, caracterνsticas de comportamiento canino.</w:t>
              <w:br w:type="textWrapping"/>
              <w:t>--Equipo, herramientas y elementos de trabajo para el manejo de caninos</w:t>
              <w:br w:type="textWrapping"/>
              <w:t>--Tenencia responsable de caninos y tιcnicas de protecciσn al animal e interpretaciσn de la normativa.</w:t>
              <w:br w:type="textWrapping"/>
              <w:t>--Mecanismos de protecciσn de personas.</w:t>
              <w:br w:type="textWrapping"/>
              <w:t>--Ejercicios de reentrenamiento, comandos, estνmulos.</w:t>
              <w:br w:type="textWrapping"/>
              <w:t>--Motivaciσn, conceptos, clasificaciσn de mιtodos y tιcnicas.</w:t>
              <w:br w:type="textWrapping"/>
              <w:t/>
              <w:br w:type="textWrapping"/>
              <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8</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MANTENIMIENTO DE UNIDADES CANINAS Y ZONAS DE DESCANSO CANINO</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--Limpieza y desinfecciσn, procedimiento, mιtodos, tιcnicas, clases e insumos, tipos de instrumentos.</w:t>
              <w:br w:type="textWrapping"/>
              <w:t>--Dosis y procedimiento de bioseguridad.</w:t>
              <w:br w:type="textWrapping"/>
              <w:t>--Normas de bioseguridad, clasificaciσn de riesgos, tιcnicas de uso de elementos de protecciσn personal, protocolo de bioseguridad.</w:t>
              <w:br w:type="textWrapping"/>
              <w:t>--Prevenciσn de accidentes laborales.</w:t>
              <w:br w:type="textWrapping"/>
              <w:t>--Organizaciσn y mantenimiento de caniles y guacales.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9</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GESTION Y CONTROL DE CONTINGENCIA CON CANINOS</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--Intervenciσn primaria para decaimiento, fatiga, dolor y golpe de calor. Plan oficial de vacunaciσn.</w:t>
              <w:br w:type="textWrapping"/>
              <w:t>--Primeros auxilios en caninos, procedimientos bαsicos, protocolo de atenciσn, tipos de heridas, intoxicaciσn, ahogamiento, atragantamiento.</w:t>
              <w:br w:type="textWrapping"/>
              <w:t>--Recomendaciones del profesional (Alimentaciσn, estado de αnimo, horario laboral).</w:t>
              <w:br w:type="textWrapping"/>
              <w:t>--Contingencias, plan de contingencia en escapada, heridas, fracturas, lesiones y agresiones.</w:t>
              <w:br w:type="textWrapping"/>
              <w:t>--Tratamiento y protocolo en estado de celo y preρez.</w:t>
              <w:br w:type="textWrapping"/>
              <w:t>--Yuso de elementos de botiquνn.</w:t>
              <w:br w:type="textWrapping"/>
              <w:t>--Tιcnicas de control de parαsitos.</w:t>
              <w:br w:type="textWrapping"/>
              <w:t/>
            </w:r>
          </w:p>
        </w:tc>
        <w:tc>
          <w:tcPr>
            <w:tcW w:w="211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10</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CONOCIMIENTO DE FUNDAMENTOS DE NUTRICION, SALUD DE CANINOS Y NORMATIVIDAD AMBIENTAL</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--Concepto de salud, signos de alarma, tιcnicas de manejo,</w:t>
              <w:br w:type="textWrapping"/>
              <w:t>--Nutriciσn y alimentaciσn, caracterνsticas.</w:t>
              <w:br w:type="textWrapping"/>
              <w:t>-Mιtodos de hidrataciσn.</w:t>
              <w:br w:type="textWrapping"/>
              <w:t>--Actividad recreativa, tipos y mιtodos.</w:t>
              <w:br w:type="textWrapping"/>
              <w:t>--Normatividad ambiental, tιcnicas de manejo y disposiciσn de residuos, clases e implementos y utensilios.</w:t>
              <w:br w:type="textWrapping"/>
              <w:t>--Plan de manejo integral de residuos.</w:t>
              <w:br w:type="textWrapping"/>
              <w:t>--Manual de bioseguridad.</w:t>
              <w:br w:type="textWrapping"/>
              <w:t>--Clases y caracterνsticas de contaminaciσn.</w:t>
              <w:br w:type="textWrapping"/>
              <w:t/>
            </w:r>
          </w:p>
        </w:tc>
        <w:tc>
          <w:tcPr>
            <w:tcW w:w="2110" w:type="dxa"/>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11</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SEGURIDAD Y SALUD EN EL TRABAJO</w:t>
              <w:br w:type="textWrapping"/>
              <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Accesorios y elementos de caninos, caracterνsticas, tipos de instrumentos, tιcnicas de manejo y uso, clases de correas, tipos de collares, clases de bozal, estacas de anclaje cordel.</w:t>
              <w:br w:type="textWrapping"/>
              <w:t> </w:t>
            </w:r>
          </w:p>
        </w:tc>
        <w:tc>
          <w:tcPr>
            <w:tcW w:w="211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442" w:type="dxa"/>
            <w:tcMar/>
            <w:tcBorders>
              <w:top w:val="single" w:sz="1" w:space="0" w:color="auto"/>
              <w:left w:val="single" w:sz="1" w:space="0" w:color="auto"/>
              <w:right w:val="single" w:sz="5" w:space="0" w:color="auto"/>
              <w:bottom w:val="single" w:sz="1" w:space="0" w:color="auto"/>
            </w:tcBorders>
          </w:tcPr>
          <w:p>
            <w:pPr/>
            <w:r>
              <w:rPr>
                <w:rFonts w:hAnsi="Arial"/>
                <w:rFonts w:ascii="Arial"/>
                <w:sz w:val="18"/>
                <w:b/>
                <w:color w:val="black"/>
              </w:rPr>
              <w:t>12</w:t>
            </w:r>
          </w:p>
        </w:tc>
        <w:tc>
          <w:tcPr>
            <w:tcW w:w="2415" w:type="dxa"/>
            <w:gridSpan w:val="2"/>
            <w:tcMar/>
            <w:tcBorders>
              <w:top w:val="single" w:sz="1" w:space="0" w:color="auto"/>
              <w:left w:val="single" w:sz="1" w:space="0" w:color="auto"/>
              <w:right w:val="single" w:sz="5" w:space="0" w:color="auto"/>
              <w:bottom w:val="single" w:sz="1" w:space="0" w:color="auto"/>
            </w:tcBorders>
          </w:tcPr>
          <w:p>
            <w:pPr>
              <w:jc w:val="center"/>
            </w:pPr>
            <w:r>
              <w:rPr>
                <w:rFonts w:hAnsi="Arial"/>
                <w:rFonts w:ascii="Arial"/>
                <w:sz w:val="18"/>
                <w:color w:val="black"/>
              </w:rPr>
              <w:t xml:space="preserve">PRACTICA DE ENTRENAMIENTO BINOMIO SEGΪN ESPECIALIDAD SELECCIONADA</w:t>
            </w:r>
          </w:p>
        </w:tc>
        <w:tc>
          <w:tcPr>
            <w:tcW w:w="3709" w:type="dxa"/>
            <w:gridSpan w:val="2"/>
            <w:tcMar/>
            <w:tcBorders>
              <w:top w:val="single" w:sz="1" w:space="0" w:color="auto"/>
              <w:left w:val="single" w:sz="1" w:space="0" w:color="auto"/>
              <w:right w:val="single" w:sz="5" w:space="0" w:color="auto"/>
              <w:bottom w:val="single" w:sz="1" w:space="0" w:color="auto"/>
            </w:tcBorders>
          </w:tcPr>
          <w:p>
            <w:pPr>
              <w:jc w:val="both"/>
            </w:pPr>
            <w:r>
              <w:rPr>
                <w:rFonts w:hAnsi="Arial"/>
                <w:rFonts w:ascii="Arial"/>
                <w:sz w:val="18"/>
                <w:color w:val="black"/>
              </w:rPr>
              <w:t xml:space="preserve">Fundamentos de adiestramiento canino para la asociaciσn o intervenciσn del binomio (manejador-canino) en alguno de los siguientes ιnfasis: narcσticos, explosivos, o defensa controlada.</w:t>
              <w:br w:type="textWrapping"/>
              <w:t>e</w:t>
            </w:r>
          </w:p>
        </w:tc>
        <w:tc>
          <w:tcPr>
            <w:tcW w:w="2110" w:type="dxa"/>
            <w:tcMar/>
            <w:tcBorders>
              <w:top w:val="single" w:sz="1" w:space="0" w:color="auto"/>
              <w:left w:val="single" w:sz="1" w:space="0" w:color="auto"/>
              <w:right w:val="single" w:sz="5" w:space="0" w:color="auto"/>
              <w:bottom w:val="single" w:sz="1" w:space="0" w:color="auto"/>
            </w:tcBorders>
          </w:tcPr>
          <w:p>
            <w:pPr/>
            <w:r>
              <w:rPr>
                <w:rFonts w:hAnsi="Arial"/>
                <w:rFonts w:ascii="Arial"/>
                <w:sz w:val="18"/>
                <w:color w:val="black"/>
              </w:rPr>
              <w:t xml:space="preserve">TEORICO PRACTICO</w:t>
            </w:r>
          </w:p>
        </w:tc>
      </w:tr>
      <w:tr>
        <w:trPr/>
        <w:tc>
          <w:tcPr>
            <w:tcW w:w="2415" w:type="dxa"/>
            <w:gridSpan w:val="2"/>
            <w:tcMar/>
            <w:tcBorders>
              <w:top w:val="single" w:sz="1" w:space="0" w:color="auto"/>
              <w:left w:val="single" w:sz="1" w:space="0" w:color="auto"/>
              <w:right w:val="single" w:sz="5" w:space="0" w:color="auto"/>
              <w:bottom w:val="single" w:sz="1" w:space="0" w:color="auto"/>
            </w:tcBorders>
          </w:tcPr>
          <w:p>
            <w:pPr>
              <w:jc w:val="center"/>
            </w:pPr>
            <w:rPr>
              <w:sz w:val="18"/>
              <w:color w:val="black"/>
            </w:rPr>
          </w:p>
        </w:tc>
        <w:tc>
          <w:tcPr>
            <w:tcW w:w="2110" w:type="dxa"/>
            <w:gridSpan w:val="4"/>
            <w:tcMar/>
            <w:tcBorders>
              <w:top w:val="single" w:sz="1" w:space="0" w:color="auto"/>
              <w:left w:val="single" w:sz="1" w:space="0" w:color="auto"/>
              <w:right w:val="single" w:sz="5" w:space="0" w:color="auto"/>
              <w:bottom w:val="single" w:sz="1" w:space="0" w:color="auto"/>
            </w:tcBorders>
          </w:tcPr>
          <w:p>
            <w:pPr/>
            <w:rPr>
              <w:sz w:val="18"/>
              <w:color w:val="black"/>
            </w:rPr>
          </w:p>
        </w:tc>
      </w:tr>
    </w:tbl>
    <w:p>
      <w:pPr>
        <w:jc w:val="both"/>
        <w:keepNext/>
      </w:pPr>
      <w:rPr>
        <w:color w:val="black"/>
      </w:rPr>
    </w:p>
    <w:p>
      <w:pPr>
        <w:jc w:val="both"/>
        <w:keepNext/>
      </w:pPr>
      <w:r>
        <w:rPr>
          <w:rFonts w:hAnsi="Arial"/>
          <w:rFonts w:ascii="Arial"/>
          <w:sz w:val="24"/>
          <w:b/>
          <w:vanish/>
          <w:color w:val="black"/>
        </w:rPr>
        <w:t>&amp;$</w:t>
      </w:r>
      <w:bookmarkStart w:id="62308" w:name="2.6.1.1.13.2.19"/>
      <w:r>
        <w:rPr>
          <w:rFonts w:hAnsi="Arial"/>
          <w:rFonts w:ascii="Arial"/>
          <w:sz w:val="24"/>
          <w:color w:val="navy"/>
        </w:rPr>
        <w:t xml:space="preserve">ARTΝCULO 2.6.1.1.13.2.19 CURSOS DE REENTRENAMIENTO ELECTIVO.</w:t>
      </w:r>
      <w:bookmarkEnd w:id="6230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propσsito de estos cursos va encaminado a reforzar los protocolos de seguridad establecidos para cada sector donde se preste el servicio de vigilancia y seguridad privada, permitiendo formar al personal operativo de manera idσnea el desempeρo de la labor de seguridad, el cual tendrα una intensidad de treinta (30) horas.</w:t>
      </w:r>
    </w:p>
    <w:p>
      <w:pPr>
        <w:jc w:val="both"/>
        <w:keepNext/>
      </w:pPr>
      <w:rPr>
        <w:sz w:val="24"/>
        <w:color w:val="black"/>
      </w:rPr>
    </w:p>
    <w:tbl>
      <w:tblGrid>
        <w:gridCol w:w="1640"/>
        <w:gridCol w:w="1760"/>
        <w:gridCol w:w="1760"/>
        <w:gridCol w:w="20"/>
        <w:gridCol w:w="1760"/>
        <w:gridCol w:w="20"/>
        <w:gridCol w:w="1760"/>
      </w:tblGrid>
      <w:tblPr>
        <w:tblW w:w="8720" w:type="dxa"/>
        <w:tblBorders/>
      </w:tblPr>
      <w:tr>
        <w:trPr/>
        <w:tc>
          <w:tcPr>
            <w:tcW w:w="1641" w:type="dxa"/>
            <w:tcMar/>
            <w:tcBorders>
              <w:top w:val="single" w:sz="1" w:space="0" w:color="auto"/>
              <w:left w:val="single" w:sz="5" w:space="0" w:color="auto"/>
            </w:tcBorders>
          </w:tcPr>
          <w:p>
            <w:pPr>
              <w:jc w:val="center"/>
            </w:pPr>
            <w:r>
              <w:rPr>
                <w:rFonts w:hAnsi="Arial"/>
                <w:rFonts w:ascii="Arial"/>
                <w:sz w:val="18"/>
                <w:b/>
                <w:color w:val="black"/>
              </w:rPr>
              <w:t xml:space="preserve">VIGILANTE 30 HORAS</w:t>
            </w:r>
          </w:p>
        </w:tc>
        <w:tc>
          <w:tcPr>
            <w:tcW w:w="1778" w:type="dxa"/>
            <w:tcMar/>
            <w:tcBorders>
              <w:top w:val="single" w:sz="1" w:space="0" w:color="auto"/>
              <w:left w:val="single" w:sz="5" w:space="0" w:color="auto"/>
            </w:tcBorders>
          </w:tcPr>
          <w:p>
            <w:pPr>
              <w:jc w:val="center"/>
            </w:pPr>
            <w:r>
              <w:rPr>
                <w:rFonts w:hAnsi="Arial"/>
                <w:rFonts w:ascii="Arial"/>
                <w:sz w:val="18"/>
                <w:b/>
                <w:color w:val="black"/>
              </w:rPr>
              <w:t xml:space="preserve">SUPERVISOR 30 HORAS</w:t>
            </w:r>
          </w:p>
        </w:tc>
        <w:tc>
          <w:tcPr>
            <w:tcW w:w="1778" w:type="dxa"/>
            <w:gridSpan w:val="2"/>
            <w:tcMar/>
            <w:tcBorders>
              <w:top w:val="single" w:sz="1" w:space="0" w:color="auto"/>
              <w:left w:val="single" w:sz="5" w:space="0" w:color="auto"/>
            </w:tcBorders>
          </w:tcPr>
          <w:p>
            <w:pPr>
              <w:jc w:val="center"/>
            </w:pPr>
            <w:r>
              <w:rPr>
                <w:rFonts w:hAnsi="Arial"/>
                <w:rFonts w:ascii="Arial"/>
                <w:sz w:val="18"/>
                <w:b/>
                <w:color w:val="black"/>
              </w:rPr>
              <w:t xml:space="preserve">ESCOLTA 30 HORAS</w:t>
            </w:r>
          </w:p>
        </w:tc>
        <w:tc>
          <w:tcPr>
            <w:tcW w:w="1744" w:type="dxa"/>
            <w:tcMar/>
            <w:tcBorders>
              <w:top w:val="single" w:sz="1" w:space="0" w:color="auto"/>
              <w:left w:val="single" w:sz="5" w:space="0" w:color="auto"/>
            </w:tcBorders>
          </w:tcPr>
          <w:p>
            <w:pPr>
              <w:jc w:val="center"/>
            </w:pPr>
            <w:r>
              <w:rPr>
                <w:rFonts w:hAnsi="Arial"/>
                <w:rFonts w:ascii="Arial"/>
                <w:sz w:val="18"/>
                <w:b/>
                <w:color w:val="black"/>
              </w:rPr>
              <w:t xml:space="preserve">OPERADOR DE MEDIOS TECNOLOGICOS 30 HORAS</w:t>
            </w:r>
          </w:p>
        </w:tc>
        <w:tc>
          <w:tcPr>
            <w:tcW w:w="1779" w:type="dxa"/>
            <w:gridSpan w:val="2"/>
            <w:tcMar/>
            <w:tcBorders>
              <w:top w:val="single" w:sz="1" w:space="0" w:color="auto"/>
              <w:left w:val="single" w:sz="1" w:space="0" w:color="auto"/>
              <w:right w:val="single" w:sz="5" w:space="0" w:color="auto"/>
            </w:tcBorders>
          </w:tcPr>
          <w:p>
            <w:pPr>
              <w:jc w:val="center"/>
            </w:pPr>
            <w:r>
              <w:rPr>
                <w:rFonts w:hAnsi="Arial"/>
                <w:rFonts w:ascii="Arial"/>
                <w:sz w:val="18"/>
                <w:b/>
                <w:color w:val="black"/>
              </w:rPr>
              <w:t xml:space="preserve">MANEJADOR CANINO</w:t>
              <w:br w:type="textWrapping"/>
              <w:t>30 HORAS</w:t>
            </w:r>
          </w:p>
        </w:tc>
      </w:tr>
      <w:tr>
        <w:trPr/>
        <w:tc>
          <w:tcPr>
            <w:tcW w:w="1641" w:type="dxa"/>
            <w:tcMar/>
            <w:tcBorders>
              <w:left w:val="single" w:sz="5" w:space="0" w:color="auto"/>
            </w:tcBorders>
          </w:tcPr>
          <w:p>
            <w:pPr>
              <w:jc w:val="center"/>
            </w:pPr>
            <w:r>
              <w:rPr>
                <w:rFonts w:hAnsi="Arial"/>
                <w:rFonts w:ascii="Arial"/>
                <w:sz w:val="18"/>
                <w:b/>
                <w:color w:val="black"/>
              </w:rPr>
              <w:t>OPCIONES</w:t>
            </w:r>
          </w:p>
        </w:tc>
        <w:tc>
          <w:tcPr>
            <w:tcW w:w="1778" w:type="dxa"/>
            <w:tcMar/>
            <w:tcBorders>
              <w:left w:val="single" w:sz="1" w:space="0" w:color="auto"/>
            </w:tcBorders>
          </w:tcPr>
          <w:p>
            <w:pPr>
              <w:jc w:val="center"/>
            </w:pPr>
            <w:r>
              <w:rPr>
                <w:rFonts w:hAnsi="Arial"/>
                <w:rFonts w:ascii="Arial"/>
                <w:sz w:val="18"/>
                <w:b/>
                <w:color w:val="black"/>
              </w:rPr>
              <w:t>OPCIONES</w:t>
            </w:r>
          </w:p>
        </w:tc>
        <w:tc>
          <w:tcPr>
            <w:tcW w:w="1778" w:type="dxa"/>
            <w:gridSpan w:val="2"/>
            <w:tcMar/>
            <w:tcBorders>
              <w:left w:val="single" w:sz="1" w:space="0" w:color="auto"/>
            </w:tcBorders>
          </w:tcPr>
          <w:p>
            <w:pPr>
              <w:jc w:val="center"/>
            </w:pPr>
            <w:r>
              <w:rPr>
                <w:rFonts w:hAnsi="Arial"/>
                <w:rFonts w:ascii="Arial"/>
                <w:sz w:val="18"/>
                <w:b/>
                <w:color w:val="black"/>
              </w:rPr>
              <w:t>OPCIONES</w:t>
            </w:r>
          </w:p>
        </w:tc>
        <w:tc>
          <w:tcPr>
            <w:tcW w:w="1744" w:type="dxa"/>
            <w:tcMar/>
            <w:tcBorders>
              <w:left w:val="single" w:sz="1" w:space="0" w:color="auto"/>
            </w:tcBorders>
          </w:tcPr>
          <w:p>
            <w:pPr>
              <w:jc w:val="center"/>
            </w:pPr>
            <w:r>
              <w:rPr>
                <w:rFonts w:hAnsi="Arial"/>
                <w:rFonts w:ascii="Arial"/>
                <w:sz w:val="18"/>
                <w:b/>
                <w:color w:val="black"/>
              </w:rPr>
              <w:t>OPCIONES</w:t>
            </w:r>
          </w:p>
        </w:tc>
        <w:tc>
          <w:tcPr>
            <w:tcW w:w="1779" w:type="dxa"/>
            <w:gridSpan w:val="2"/>
            <w:tcMar/>
            <w:tcBorders>
              <w:right w:val="single" w:sz="5" w:space="0" w:color="auto"/>
            </w:tcBorders>
          </w:tcPr>
          <w:p>
            <w:pPr>
              <w:jc w:val="center"/>
            </w:pPr>
            <w:r>
              <w:rPr>
                <w:rFonts w:hAnsi="Arial"/>
                <w:rFonts w:ascii="Arial"/>
                <w:sz w:val="18"/>
                <w:b/>
                <w:color w:val="black"/>
              </w:rPr>
              <w:t>OPCIONES</w:t>
            </w:r>
          </w:p>
        </w:tc>
      </w:tr>
      <w:tr>
        <w:trPr/>
        <w:tc>
          <w:tcPr>
            <w:tcW w:w="1641" w:type="dxa"/>
            <w:tcMar/>
            <w:tcBorders>
              <w:left w:val="single" w:sz="5" w:space="0" w:color="auto"/>
            </w:tcBorders>
          </w:tcPr>
          <w:p>
            <w:pPr>
              <w:jc w:val="center"/>
            </w:pPr>
            <w:r>
              <w:rPr>
                <w:rFonts w:hAnsi="Arial"/>
                <w:rFonts w:ascii="Arial"/>
                <w:sz w:val="18"/>
                <w:b/>
                <w:color w:val="black"/>
              </w:rPr>
              <w:t xml:space="preserve">Reentrenamiento Bαsico</w:t>
            </w:r>
          </w:p>
        </w:tc>
        <w:tc>
          <w:tcPr>
            <w:tcW w:w="1778" w:type="dxa"/>
            <w:tcMar/>
            <w:tcBorders>
              <w:left w:val="single" w:sz="1" w:space="0" w:color="auto"/>
            </w:tcBorders>
          </w:tcPr>
          <w:p>
            <w:pPr>
              <w:jc w:val="center"/>
            </w:pPr>
            <w:r>
              <w:rPr>
                <w:rFonts w:hAnsi="Arial"/>
                <w:rFonts w:ascii="Arial"/>
                <w:sz w:val="18"/>
                <w:b/>
                <w:color w:val="black"/>
              </w:rPr>
              <w:t xml:space="preserve">Reentrenamiento Bαsico</w:t>
            </w:r>
          </w:p>
        </w:tc>
        <w:tc>
          <w:tcPr>
            <w:tcW w:w="1778" w:type="dxa"/>
            <w:gridSpan w:val="2"/>
            <w:tcMar/>
            <w:tcBorders>
              <w:left w:val="single" w:sz="1" w:space="0" w:color="auto"/>
            </w:tcBorders>
          </w:tcPr>
          <w:p>
            <w:pPr>
              <w:jc w:val="center"/>
            </w:pPr>
            <w:r>
              <w:rPr>
                <w:rFonts w:hAnsi="Arial"/>
                <w:rFonts w:ascii="Arial"/>
                <w:sz w:val="18"/>
                <w:b/>
                <w:color w:val="black"/>
              </w:rPr>
              <w:t xml:space="preserve">Reentrenamiento Bαsico</w:t>
            </w:r>
          </w:p>
        </w:tc>
        <w:tc>
          <w:tcPr>
            <w:tcW w:w="1744" w:type="dxa"/>
            <w:tcMar/>
            <w:tcBorders>
              <w:left w:val="single" w:sz="1" w:space="0" w:color="auto"/>
            </w:tcBorders>
          </w:tcPr>
          <w:p>
            <w:pPr>
              <w:jc w:val="center"/>
            </w:pPr>
            <w:r>
              <w:rPr>
                <w:rFonts w:hAnsi="Arial"/>
                <w:rFonts w:ascii="Arial"/>
                <w:sz w:val="18"/>
                <w:b/>
                <w:color w:val="black"/>
              </w:rPr>
              <w:t xml:space="preserve">Reentrenamiento Bαsico</w:t>
            </w:r>
          </w:p>
        </w:tc>
        <w:tc>
          <w:tcPr>
            <w:tcW w:w="1779" w:type="dxa"/>
            <w:gridSpan w:val="2"/>
            <w:tcMar/>
            <w:tcBorders>
              <w:right w:val="single" w:sz="5" w:space="0" w:color="auto"/>
            </w:tcBorders>
          </w:tcPr>
          <w:p>
            <w:pPr>
              <w:jc w:val="center"/>
            </w:pPr>
            <w:r>
              <w:rPr>
                <w:rFonts w:hAnsi="Arial"/>
                <w:rFonts w:ascii="Arial"/>
                <w:sz w:val="18"/>
                <w:b/>
                <w:color w:val="black"/>
              </w:rPr>
              <w:t xml:space="preserve">Reentrenamiento Bαsico</w:t>
            </w:r>
          </w:p>
        </w:tc>
      </w:tr>
      <w:tr>
        <w:trPr/>
        <w:tc>
          <w:tcPr>
            <w:tcW w:w="1641" w:type="dxa"/>
            <w:tcMar/>
            <w:tcBorders>
              <w:left w:val="single" w:sz="5" w:space="0" w:color="auto"/>
            </w:tcBorders>
          </w:tcPr>
          <w:p>
            <w:pPr>
              <w:jc w:val="center"/>
            </w:pPr>
            <w:r>
              <w:rPr>
                <w:rFonts w:hAnsi="Arial"/>
                <w:rFonts w:ascii="Arial"/>
                <w:sz w:val="18"/>
                <w:color w:val="black"/>
              </w:rPr>
              <w:t>Aeroportuaria</w:t>
            </w:r>
          </w:p>
        </w:tc>
        <w:tc>
          <w:tcPr>
            <w:tcW w:w="1778" w:type="dxa"/>
            <w:tcMar/>
            <w:tcBorders>
              <w:left w:val="single" w:sz="1" w:space="0" w:color="auto"/>
            </w:tcBorders>
          </w:tcPr>
          <w:p>
            <w:pPr>
              <w:jc w:val="center"/>
            </w:pPr>
            <w:r>
              <w:rPr>
                <w:rFonts w:hAnsi="Arial"/>
                <w:rFonts w:ascii="Arial"/>
                <w:sz w:val="18"/>
                <w:color w:val="black"/>
              </w:rPr>
              <w:t>Aeroportuaria</w:t>
            </w:r>
          </w:p>
        </w:tc>
        <w:tc>
          <w:tcPr>
            <w:tcW w:w="1778" w:type="dxa"/>
            <w:gridSpan w:val="2"/>
            <w:tcMar/>
            <w:tcBorders>
              <w:left w:val="single" w:sz="1" w:space="0" w:color="auto"/>
            </w:tcBorders>
          </w:tcPr>
          <w:p>
            <w:pPr>
              <w:jc w:val="center"/>
            </w:pPr>
            <w:r>
              <w:rPr>
                <w:rFonts w:hAnsi="Arial"/>
                <w:rFonts w:ascii="Arial"/>
                <w:sz w:val="18"/>
                <w:color w:val="black"/>
              </w:rPr>
              <w:t>Personas</w:t>
            </w:r>
          </w:p>
        </w:tc>
        <w:tc>
          <w:tcPr>
            <w:tcW w:w="1744" w:type="dxa"/>
            <w:tcMar/>
            <w:tcBorders>
              <w:left w:val="single" w:sz="1" w:space="0" w:color="auto"/>
            </w:tcBorders>
          </w:tcPr>
          <w:p>
            <w:pPr>
              <w:jc w:val="center"/>
            </w:pPr>
            <w:r>
              <w:rPr>
                <w:rFonts w:hAnsi="Arial"/>
                <w:rFonts w:ascii="Arial"/>
                <w:sz w:val="18"/>
                <w:color w:val="black"/>
              </w:rPr>
              <w:t xml:space="preserve">Coordinador de Medios Tecnolσgicos</w:t>
            </w:r>
          </w:p>
        </w:tc>
        <w:tc>
          <w:tcPr>
            <w:tcW w:w="1779" w:type="dxa"/>
            <w:gridSpan w:val="2"/>
            <w:tcMar/>
            <w:tcBorders>
              <w:right w:val="single" w:sz="5" w:space="0" w:color="auto"/>
            </w:tcBorders>
          </w:tcPr>
          <w:p>
            <w:pPr>
              <w:jc w:val="center"/>
            </w:pPr>
            <w:r>
              <w:rPr>
                <w:rFonts w:hAnsi="Arial"/>
                <w:rFonts w:ascii="Arial"/>
                <w:sz w:val="18"/>
                <w:color w:val="black"/>
              </w:rPr>
              <w:t xml:space="preserve">Defensa Controlada</w:t>
            </w:r>
          </w:p>
        </w:tc>
      </w:tr>
      <w:tr>
        <w:trPr/>
        <w:tc>
          <w:tcPr>
            <w:tcW w:w="1641" w:type="dxa"/>
            <w:tcMar/>
            <w:tcBorders>
              <w:left w:val="single" w:sz="5" w:space="0" w:color="auto"/>
            </w:tcBorders>
          </w:tcPr>
          <w:p>
            <w:pPr>
              <w:jc w:val="center"/>
            </w:pPr>
            <w:r>
              <w:rPr>
                <w:rFonts w:hAnsi="Arial"/>
                <w:rFonts w:ascii="Arial"/>
                <w:sz w:val="18"/>
                <w:color w:val="black"/>
              </w:rPr>
              <w:t>Comercial</w:t>
            </w:r>
          </w:p>
        </w:tc>
        <w:tc>
          <w:tcPr>
            <w:tcW w:w="1778" w:type="dxa"/>
            <w:tcMar/>
            <w:tcBorders>
              <w:left w:val="single" w:sz="1" w:space="0" w:color="auto"/>
            </w:tcBorders>
          </w:tcPr>
          <w:p>
            <w:pPr>
              <w:jc w:val="center"/>
            </w:pPr>
            <w:r>
              <w:rPr>
                <w:rFonts w:hAnsi="Arial"/>
                <w:rFonts w:ascii="Arial"/>
                <w:sz w:val="18"/>
                <w:color w:val="black"/>
              </w:rPr>
              <w:t>Comercial</w:t>
            </w:r>
          </w:p>
        </w:tc>
        <w:tc>
          <w:tcPr>
            <w:tcW w:w="1778" w:type="dxa"/>
            <w:gridSpan w:val="2"/>
            <w:tcMar/>
            <w:tcBorders>
              <w:left w:val="single" w:sz="1" w:space="0" w:color="auto"/>
            </w:tcBorders>
          </w:tcPr>
          <w:p>
            <w:pPr>
              <w:jc w:val="center"/>
            </w:pPr>
            <w:r>
              <w:rPr>
                <w:rFonts w:hAnsi="Arial"/>
                <w:rFonts w:ascii="Arial"/>
                <w:sz w:val="18"/>
                <w:color w:val="black"/>
              </w:rPr>
              <w:t>Vehνculos</w:t>
            </w:r>
          </w:p>
        </w:tc>
        <w:tc>
          <w:tcPr>
            <w:tcW w:w="1744" w:type="dxa"/>
            <w:tcMar/>
            <w:tcBorders>
              <w:left w:val="single" w:sz="1" w:space="0" w:color="auto"/>
            </w:tcBorders>
          </w:tcPr>
          <w:p>
            <w:pPr>
              <w:jc w:val="center"/>
            </w:pPr>
            <w:r>
              <w:rPr>
                <w:rFonts w:hAnsi="Arial"/>
                <w:rFonts w:ascii="Arial"/>
                <w:sz w:val="18"/>
                <w:color w:val="black"/>
              </w:rPr>
              <w:t xml:space="preserve">Instalador de Medios Tecnolσgicos</w:t>
            </w:r>
          </w:p>
        </w:tc>
        <w:tc>
          <w:tcPr>
            <w:tcW w:w="1779" w:type="dxa"/>
            <w:gridSpan w:val="2"/>
            <w:tcMar/>
            <w:tcBorders>
              <w:right w:val="single" w:sz="5" w:space="0" w:color="auto"/>
            </w:tcBorders>
          </w:tcPr>
          <w:p>
            <w:pPr>
              <w:jc w:val="center"/>
            </w:pPr>
            <w:r>
              <w:rPr>
                <w:rFonts w:hAnsi="Arial"/>
                <w:rFonts w:ascii="Arial"/>
                <w:sz w:val="18"/>
                <w:color w:val="black"/>
              </w:rPr>
              <w:t xml:space="preserve">Detecciσn de explosivos</w:t>
            </w:r>
          </w:p>
        </w:tc>
      </w:tr>
      <w:tr>
        <w:trPr/>
        <w:tc>
          <w:tcPr>
            <w:tcW w:w="1641" w:type="dxa"/>
            <w:tcMar/>
            <w:tcBorders>
              <w:left w:val="single" w:sz="5" w:space="0" w:color="auto"/>
            </w:tcBorders>
          </w:tcPr>
          <w:p>
            <w:pPr>
              <w:jc w:val="center"/>
            </w:pPr>
            <w:r>
              <w:rPr>
                <w:rFonts w:hAnsi="Arial"/>
                <w:rFonts w:ascii="Arial"/>
                <w:sz w:val="18"/>
                <w:color w:val="black"/>
              </w:rPr>
              <w:t>Educativa</w:t>
            </w:r>
          </w:p>
        </w:tc>
        <w:tc>
          <w:tcPr>
            <w:tcW w:w="1778" w:type="dxa"/>
            <w:tcMar/>
            <w:tcBorders>
              <w:left w:val="single" w:sz="1" w:space="0" w:color="auto"/>
            </w:tcBorders>
          </w:tcPr>
          <w:p>
            <w:pPr>
              <w:jc w:val="center"/>
            </w:pPr>
            <w:r>
              <w:rPr>
                <w:rFonts w:hAnsi="Arial"/>
                <w:rFonts w:ascii="Arial"/>
                <w:sz w:val="18"/>
                <w:color w:val="black"/>
              </w:rPr>
              <w:t>Educativa</w:t>
            </w:r>
          </w:p>
        </w:tc>
        <w:tc>
          <w:tcPr>
            <w:tcW w:w="1778" w:type="dxa"/>
            <w:gridSpan w:val="2"/>
            <w:tcMar/>
            <w:tcBorders>
              <w:left w:val="single" w:sz="1" w:space="0" w:color="auto"/>
            </w:tcBorders>
          </w:tcPr>
          <w:p>
            <w:pPr>
              <w:jc w:val="center"/>
            </w:pPr>
            <w:r>
              <w:rPr>
                <w:rFonts w:hAnsi="Arial"/>
                <w:rFonts w:ascii="Arial"/>
                <w:sz w:val="18"/>
                <w:color w:val="black"/>
              </w:rPr>
              <w:t>Mercancνas</w:t>
            </w:r>
          </w:p>
        </w:tc>
        <w:tc>
          <w:tcPr>
            <w:tcW w:w="1744" w:type="dxa"/>
            <w:tcMar/>
            <w:tcBorders>
              <w:left w:val="single" w:sz="1" w:space="0" w:color="auto"/>
            </w:tcBorders>
          </w:tcPr>
          <w:p>
            <w:pPr>
              <w:jc w:val="center"/>
            </w:pPr>
            <w:rPr>
              <w:sz w:val="18"/>
              <w:color w:val="black"/>
            </w:rPr>
          </w:p>
        </w:tc>
        <w:tc>
          <w:tcPr>
            <w:tcW w:w="1779" w:type="dxa"/>
            <w:gridSpan w:val="2"/>
            <w:tcMar/>
            <w:tcBorders>
              <w:right w:val="single" w:sz="5" w:space="0" w:color="auto"/>
            </w:tcBorders>
          </w:tcPr>
          <w:p>
            <w:pPr>
              <w:jc w:val="center"/>
            </w:pPr>
            <w:r>
              <w:rPr>
                <w:rFonts w:hAnsi="Arial"/>
                <w:rFonts w:ascii="Arial"/>
                <w:sz w:val="18"/>
                <w:color w:val="black"/>
              </w:rPr>
              <w:t xml:space="preserve">Detecciσn de Narcσticos </w:t>
            </w:r>
          </w:p>
        </w:tc>
      </w:tr>
      <w:tr>
        <w:trPr/>
        <w:tc>
          <w:tcPr>
            <w:tcW w:w="1641" w:type="dxa"/>
            <w:tcMar/>
            <w:tcBorders>
              <w:left w:val="single" w:sz="5" w:space="0" w:color="auto"/>
            </w:tcBorders>
          </w:tcPr>
          <w:p>
            <w:pPr>
              <w:jc w:val="center"/>
            </w:pPr>
            <w:r>
              <w:rPr>
                <w:rFonts w:hAnsi="Arial"/>
                <w:rFonts w:ascii="Arial"/>
                <w:sz w:val="18"/>
                <w:color w:val="black"/>
              </w:rPr>
              <w:t xml:space="preserve">Entidades oficiales</w:t>
            </w:r>
          </w:p>
        </w:tc>
        <w:tc>
          <w:tcPr>
            <w:tcW w:w="1778" w:type="dxa"/>
            <w:tcMar/>
            <w:tcBorders>
              <w:left w:val="single" w:sz="1" w:space="0" w:color="auto"/>
            </w:tcBorders>
          </w:tcPr>
          <w:p>
            <w:pPr>
              <w:jc w:val="center"/>
            </w:pPr>
            <w:r>
              <w:rPr>
                <w:rFonts w:hAnsi="Arial"/>
                <w:rFonts w:ascii="Arial"/>
                <w:sz w:val="18"/>
                <w:color w:val="black"/>
              </w:rPr>
              <w:t xml:space="preserve">Entidades Oficiales</w:t>
            </w:r>
          </w:p>
        </w:tc>
        <w:tc>
          <w:tcPr>
            <w:tcW w:w="1778" w:type="dxa"/>
            <w:gridSpan w:val="2"/>
            <w:tcMar/>
            <w:tcBorders>
              <w:left w:val="single" w:sz="1" w:space="0" w:color="auto"/>
            </w:tcBorders>
          </w:tcPr>
          <w:p>
            <w:pPr>
              <w:jc w:val="center"/>
            </w:pPr>
            <w:r>
              <w:rPr>
                <w:rFonts w:hAnsi="Arial"/>
                <w:rFonts w:ascii="Arial"/>
                <w:sz w:val="18"/>
                <w:color w:val="black"/>
              </w:rPr>
              <w:t xml:space="preserve">Manejo Defensivo</w:t>
            </w:r>
          </w:p>
        </w:tc>
        <w:tc>
          <w:tcPr>
            <w:tcW w:w="1744" w:type="dxa"/>
            <w:tcMar/>
            <w:tcBorders>
              <w:left w:val="single" w:sz="1" w:space="0" w:color="auto"/>
            </w:tcBorders>
          </w:tcPr>
          <w:p>
            <w:pPr>
              <w:jc w:val="center"/>
            </w:pPr>
            <w:rPr>
              <w:sz w:val="18"/>
              <w:color w:val="black"/>
            </w:rPr>
          </w:p>
        </w:tc>
        <w:tc>
          <w:tcPr>
            <w:tcW w:w="1779" w:type="dxa"/>
            <w:gridSpan w:val="2"/>
            <w:tcMar/>
            <w:tcBorders>
              <w:right w:val="single" w:sz="5" w:space="0" w:color="auto"/>
            </w:tcBorders>
          </w:tcPr>
          <w:p>
            <w:pPr>
              <w:jc w:val="center"/>
            </w:pPr>
            <w:r>
              <w:rPr>
                <w:rFonts w:hAnsi="Arial"/>
                <w:rFonts w:ascii="Arial"/>
                <w:sz w:val="18"/>
                <w:color w:val="black"/>
              </w:rPr>
              <w:t xml:space="preserve">Detecciσn de Moneda </w:t>
            </w:r>
          </w:p>
        </w:tc>
      </w:tr>
      <w:tr>
        <w:trPr/>
        <w:tc>
          <w:tcPr>
            <w:tcW w:w="1641" w:type="dxa"/>
            <w:tcMar/>
            <w:tcBorders>
              <w:left w:val="single" w:sz="5" w:space="0" w:color="auto"/>
            </w:tcBorders>
          </w:tcPr>
          <w:p>
            <w:pPr>
              <w:jc w:val="center"/>
            </w:pPr>
            <w:r>
              <w:rPr>
                <w:rFonts w:hAnsi="Arial"/>
                <w:rFonts w:ascii="Arial"/>
                <w:sz w:val="18"/>
                <w:color w:val="black"/>
              </w:rPr>
              <w:t xml:space="preserve">Eventos Pϊblicos</w:t>
            </w:r>
          </w:p>
        </w:tc>
        <w:tc>
          <w:tcPr>
            <w:tcW w:w="1778" w:type="dxa"/>
            <w:tcMar/>
            <w:tcBorders>
              <w:left w:val="single" w:sz="1" w:space="0" w:color="auto"/>
            </w:tcBorders>
          </w:tcPr>
          <w:p>
            <w:pPr>
              <w:jc w:val="center"/>
            </w:pPr>
            <w:r>
              <w:rPr>
                <w:rFonts w:hAnsi="Arial"/>
                <w:rFonts w:ascii="Arial"/>
                <w:sz w:val="18"/>
                <w:color w:val="black"/>
              </w:rPr>
              <w:t xml:space="preserve">Eventos Pϊblicos</w:t>
            </w:r>
          </w:p>
        </w:tc>
        <w:tc>
          <w:tcPr>
            <w:tcW w:w="1778" w:type="dxa"/>
            <w:gridSpan w:val="2"/>
            <w:tcMar/>
            <w:tcBorders>
              <w:left w:val="single" w:sz="1" w:space="0" w:color="auto"/>
            </w:tcBorders>
          </w:tcPr>
          <w:p>
            <w:pPr>
              <w:jc w:val="center"/>
            </w:pPr>
            <w:r>
              <w:rPr>
                <w:rFonts w:hAnsi="Arial"/>
                <w:rFonts w:ascii="Arial"/>
                <w:sz w:val="18"/>
                <w:color w:val="black"/>
              </w:rPr>
              <w:t xml:space="preserve">Transporte de valores</w:t>
            </w:r>
          </w:p>
        </w:tc>
        <w:tc>
          <w:tcPr>
            <w:tcW w:w="1779" w:type="dxa"/>
            <w:gridSpan w:val="3"/>
            <w:tcMar/>
            <w:tcBorders>
              <w:right w:val="single" w:sz="5"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 xml:space="preserve">Grandes Superficies</w:t>
            </w:r>
          </w:p>
        </w:tc>
        <w:tc>
          <w:tcPr>
            <w:tcW w:w="1778" w:type="dxa"/>
            <w:tcMar/>
            <w:tcBorders>
              <w:left w:val="single" w:sz="1" w:space="0" w:color="auto"/>
            </w:tcBorders>
          </w:tcPr>
          <w:p>
            <w:pPr>
              <w:jc w:val="center"/>
            </w:pPr>
            <w:r>
              <w:rPr>
                <w:rFonts w:hAnsi="Arial"/>
                <w:rFonts w:ascii="Arial"/>
                <w:sz w:val="18"/>
                <w:color w:val="black"/>
              </w:rPr>
              <w:t xml:space="preserve">Grandes Superficies</w:t>
            </w:r>
          </w:p>
        </w:tc>
        <w:tc>
          <w:tcPr>
            <w:tcW w:w="1778" w:type="dxa"/>
            <w:gridSpan w:val="2"/>
            <w:tcMar/>
            <w:tcBorders>
              <w:left w:val="single" w:sz="1" w:space="0" w:color="auto"/>
            </w:tcBorders>
          </w:tcPr>
          <w:p>
            <w:pPr>
              <w:jc w:val="center"/>
            </w:pPr>
            <w:r>
              <w:rPr>
                <w:rFonts w:hAnsi="Arial"/>
                <w:rFonts w:ascii="Arial"/>
                <w:sz w:val="18"/>
                <w:color w:val="black"/>
              </w:rPr>
              <w:t xml:space="preserve">Protecciσn a Dignatarios</w:t>
            </w:r>
          </w:p>
        </w:tc>
        <w:tc>
          <w:tcPr>
            <w:tcW w:w="1779" w:type="dxa"/>
            <w:gridSpan w:val="3"/>
            <w:tcMar/>
            <w:tcBorders>
              <w:right w:val="single" w:sz="5"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Hospitalaria</w:t>
            </w:r>
          </w:p>
        </w:tc>
        <w:tc>
          <w:tcPr>
            <w:tcW w:w="1778" w:type="dxa"/>
            <w:tcMar/>
            <w:tcBorders>
              <w:left w:val="single" w:sz="1" w:space="0" w:color="auto"/>
            </w:tcBorders>
          </w:tcPr>
          <w:p>
            <w:pPr>
              <w:jc w:val="center"/>
            </w:pPr>
            <w:r>
              <w:rPr>
                <w:rFonts w:hAnsi="Arial"/>
                <w:rFonts w:ascii="Arial"/>
                <w:sz w:val="18"/>
                <w:color w:val="black"/>
              </w:rPr>
              <w:t>Hospitalaria</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 xml:space="preserve">Industrial </w:t>
            </w:r>
          </w:p>
        </w:tc>
        <w:tc>
          <w:tcPr>
            <w:tcW w:w="1778" w:type="dxa"/>
            <w:tcMar/>
            <w:tcBorders>
              <w:left w:val="single" w:sz="1" w:space="0" w:color="auto"/>
            </w:tcBorders>
          </w:tcPr>
          <w:p>
            <w:pPr>
              <w:jc w:val="center"/>
            </w:pPr>
            <w:r>
              <w:rPr>
                <w:rFonts w:hAnsi="Arial"/>
                <w:rFonts w:ascii="Arial"/>
                <w:sz w:val="18"/>
                <w:color w:val="black"/>
              </w:rPr>
              <w:t>Industrial</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Minera</w:t>
            </w:r>
          </w:p>
        </w:tc>
        <w:tc>
          <w:tcPr>
            <w:tcW w:w="1778" w:type="dxa"/>
            <w:tcMar/>
            <w:tcBorders>
              <w:left w:val="single" w:sz="1" w:space="0" w:color="auto"/>
            </w:tcBorders>
          </w:tcPr>
          <w:p>
            <w:pPr>
              <w:jc w:val="center"/>
            </w:pPr>
            <w:r>
              <w:rPr>
                <w:rFonts w:hAnsi="Arial"/>
                <w:rFonts w:ascii="Arial"/>
                <w:sz w:val="18"/>
                <w:color w:val="black"/>
              </w:rPr>
              <w:t>Minera</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Petrolera</w:t>
            </w:r>
          </w:p>
        </w:tc>
        <w:tc>
          <w:tcPr>
            <w:tcW w:w="1778" w:type="dxa"/>
            <w:tcMar/>
            <w:tcBorders>
              <w:left w:val="single" w:sz="1" w:space="0" w:color="auto"/>
            </w:tcBorders>
          </w:tcPr>
          <w:p>
            <w:pPr>
              <w:jc w:val="center"/>
            </w:pPr>
            <w:r>
              <w:rPr>
                <w:rFonts w:hAnsi="Arial"/>
                <w:rFonts w:ascii="Arial"/>
                <w:sz w:val="18"/>
                <w:color w:val="black"/>
              </w:rPr>
              <w:t>Petrolera</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Portuaria</w:t>
            </w:r>
          </w:p>
        </w:tc>
        <w:tc>
          <w:tcPr>
            <w:tcW w:w="1778" w:type="dxa"/>
            <w:tcMar/>
            <w:tcBorders>
              <w:left w:val="single" w:sz="1" w:space="0" w:color="auto"/>
            </w:tcBorders>
          </w:tcPr>
          <w:p>
            <w:pPr>
              <w:jc w:val="center"/>
            </w:pPr>
            <w:r>
              <w:rPr>
                <w:rFonts w:hAnsi="Arial"/>
                <w:rFonts w:ascii="Arial"/>
                <w:sz w:val="18"/>
                <w:color w:val="black"/>
              </w:rPr>
              <w:t>Portuaria</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Residencial</w:t>
            </w:r>
          </w:p>
        </w:tc>
        <w:tc>
          <w:tcPr>
            <w:tcW w:w="1778" w:type="dxa"/>
            <w:tcMar/>
            <w:tcBorders>
              <w:left w:val="single" w:sz="1" w:space="0" w:color="auto"/>
            </w:tcBorders>
          </w:tcPr>
          <w:p>
            <w:pPr>
              <w:jc w:val="center"/>
            </w:pPr>
            <w:r>
              <w:rPr>
                <w:rFonts w:hAnsi="Arial"/>
                <w:rFonts w:ascii="Arial"/>
                <w:sz w:val="18"/>
                <w:color w:val="black"/>
              </w:rPr>
              <w:t>Residencial</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 xml:space="preserve">Sector Financiero</w:t>
            </w:r>
          </w:p>
        </w:tc>
        <w:tc>
          <w:tcPr>
            <w:tcW w:w="1778" w:type="dxa"/>
            <w:tcMar/>
            <w:tcBorders>
              <w:left w:val="single" w:sz="1" w:space="0" w:color="auto"/>
            </w:tcBorders>
          </w:tcPr>
          <w:p>
            <w:pPr>
              <w:jc w:val="center"/>
            </w:pPr>
            <w:r>
              <w:rPr>
                <w:rFonts w:hAnsi="Arial"/>
                <w:rFonts w:ascii="Arial"/>
                <w:sz w:val="18"/>
                <w:color w:val="black"/>
              </w:rPr>
              <w:t xml:space="preserve">Sector Financiero</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 xml:space="preserve">Transporte Masivo</w:t>
            </w:r>
          </w:p>
        </w:tc>
        <w:tc>
          <w:tcPr>
            <w:tcW w:w="1778" w:type="dxa"/>
            <w:tcMar/>
            <w:tcBorders>
              <w:left w:val="single" w:sz="1" w:space="0" w:color="auto"/>
            </w:tcBorders>
          </w:tcPr>
          <w:p>
            <w:pPr>
              <w:jc w:val="center"/>
            </w:pPr>
            <w:r>
              <w:rPr>
                <w:rFonts w:hAnsi="Arial"/>
                <w:rFonts w:ascii="Arial"/>
                <w:sz w:val="18"/>
                <w:color w:val="black"/>
              </w:rPr>
              <w:t xml:space="preserve">Transporte Masivo</w:t>
            </w:r>
          </w:p>
        </w:tc>
        <w:tc>
          <w:tcPr>
            <w:tcW w:w="1744" w:type="dxa"/>
            <w:gridSpan w:val="5"/>
            <w:tcMar/>
            <w:tcBorders>
              <w:left w:val="single" w:sz="1" w:space="0" w:color="auto"/>
            </w:tcBorders>
          </w:tcPr>
          <w:p>
            <w:pPr>
              <w:jc w:val="center"/>
            </w:pPr>
            <w:rPr>
              <w:sz w:val="18"/>
              <w:color w:val="black"/>
            </w:rPr>
          </w:p>
        </w:tc>
      </w:tr>
      <w:tr>
        <w:trPr/>
        <w:tc>
          <w:tcPr>
            <w:tcW w:w="1641" w:type="dxa"/>
            <w:tcMar/>
            <w:tcBorders>
              <w:left w:val="single" w:sz="5" w:space="0" w:color="auto"/>
            </w:tcBorders>
          </w:tcPr>
          <w:p>
            <w:pPr>
              <w:jc w:val="center"/>
            </w:pPr>
            <w:r>
              <w:rPr>
                <w:rFonts w:hAnsi="Arial"/>
                <w:rFonts w:ascii="Arial"/>
                <w:sz w:val="18"/>
                <w:color w:val="black"/>
              </w:rPr>
              <w:t xml:space="preserve">Turνstica </w:t>
            </w:r>
          </w:p>
        </w:tc>
        <w:tc>
          <w:tcPr>
            <w:tcW w:w="1778" w:type="dxa"/>
            <w:gridSpan w:val="6"/>
            <w:tcMar/>
            <w:tcBorders>
              <w:left w:val="single" w:sz="1" w:space="0" w:color="auto"/>
            </w:tcBorders>
          </w:tcPr>
          <w:p>
            <w:pPr>
              <w:jc w:val="center"/>
            </w:pPr>
            <w:r>
              <w:rPr>
                <w:rFonts w:hAnsi="Arial"/>
                <w:rFonts w:ascii="Arial"/>
                <w:sz w:val="18"/>
                <w:color w:val="black"/>
              </w:rPr>
              <w:t>Turνstica</w:t>
            </w:r>
          </w:p>
        </w:tc>
      </w:tr>
    </w:tbl>
    <w:p>
      <w:pPr>
        <w:jc w:val="both"/>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Escuelas y Departamentos de Capacitaciσn y Entrenamiento en Vigilancia y Seguridad Privada deben tener autorizados por la Superintendencia de Vigilancia y Seguridad Privada los cursos de reentrenamiento electivos para poder ofertarlos.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Las Unidades de aprendizaje relacionadas en estos cursos de reentrenamiento electivo estαn contenidas en las normas de competencia laboral, que incluirα las comprensiones y conocimientos esenciales, la parametrizaciσn de la intensidad horaria y el tipo de metodologνa las cuales deben reforzar conocimientos en los protocolos de seguridad segϊn el sector y los perfiles de egreso establecidos. Se incluirα obligatoriamente unidades de aprendizaje con competencias relacionadas con el “uso, manejo y manipulaciσn de armas”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Los cursos de reentrenamiento bαsico y electivo tienen vigencia anual. </w:t>
      </w:r>
    </w:p>
    <w:p>
      <w:pPr>
        <w:jc w:val="both"/>
        <w:keepNext/>
      </w:pPr>
      <w:rPr>
        <w:color w:val="black"/>
      </w:rPr>
    </w:p>
    <w:p>
      <w:pPr>
        <w:jc w:val="both"/>
        <w:keepNext/>
        <w:outlineLvl w:val="1"/>
      </w:pPr>
      <w:r>
        <w:rPr>
          <w:rFonts w:hAnsi="Arial"/>
          <w:rFonts w:ascii="Arial"/>
          <w:sz w:val="24"/>
          <w:b/>
          <w:vanish/>
          <w:color w:val="black"/>
        </w:rPr>
        <w:t>&amp;$</w:t>
      </w:r>
      <w:bookmarkStart w:id="62309" w:name="2.6.1.1.13.2.20"/>
      <w:r>
        <w:rPr>
          <w:rFonts w:hAnsi="Arial"/>
          <w:rFonts w:ascii="Arial"/>
          <w:sz w:val="24"/>
          <w:color w:val="navy"/>
        </w:rPr>
        <w:t xml:space="preserve">ARTΝCULO 2.6.1.1.13.2.20. CURSOS DE ESPECIALIZACIΣN.</w:t>
      </w:r>
      <w:bookmarkEnd w:id="6230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personal operativo del sector de la vigilancia y seguridad privada podrα tomar cursos de especializaciσn, los cuales tienen una intensidad horaria de 80 horas, de conformidad con la oferta educativa especializada aprobada por la Superintendencia de Vigilancia y Seguridad Privada a cada Escuela y Departamento de Capacitaciσn y Entrenamiento en Vigilancia y Seguridad Privada, de la siguiente manera: </w:t>
      </w:r>
    </w:p>
    <w:p>
      <w:pPr>
        <w:keepNext/>
        <w:outlineLvl w:val="1"/>
      </w:pPr>
      <w:rPr>
        <w:sz w:val="18"/>
        <w:b/>
        <w:i/>
        <w:color w:val="black"/>
      </w:rPr>
    </w:p>
    <w:p>
      <w:rPr>
        <w:sz w:val="18"/>
        <w:color w:val="black"/>
      </w:rPr>
    </w:p>
    <w:p>
      <w:pPr>
        <w:jc w:val="both"/>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Escuelas y Departamentos de Capacitaciσn y Entrenamiento en Vigilancia y Seguridad Privada deben tener autorizados por la Superintendencia de Vigilancia y Seguridad Privada los Cursos de Especializaciσn para poder ofertarlos.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Con excepciσn del ciclo de operador de medios tecnolσgicos y manejador canino, las Unidades de aprendizaje en el curso de especializaciσn se manejarαn obligatoriamente en el mσdulo de competencias “uso de armas” independientemente de la temαtica y denominaciσn del curso de capacitaciσn. En cada uno de estos cursos se deberα realizar capacitaciσn al personal operativo en el tema de uso, manejo y manipulaciσn de armas.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La especializaciσn denominada Seguridad de Centros o Establecimientos de Detenciσn Preventiva y Carcelarios, tendrα una intensidad horaria de 100 horas. </w:t>
      </w:r>
    </w:p>
    <w:p>
      <w:pPr>
        <w:jc w:val="both"/>
        <w:outlineLvl w:val="1"/>
      </w:pPr>
      <w:rPr>
        <w:sz w:val="24"/>
        <w:color w:val="black"/>
      </w:rPr>
    </w:p>
    <w:p>
      <w:pPr>
        <w:jc w:val="both"/>
        <w:outlineLvl w:val="1"/>
      </w:pPr>
      <w:r>
        <w:rPr>
          <w:rFonts w:hAnsi="Arial"/>
          <w:rFonts w:ascii="Arial"/>
          <w:sz w:val="24"/>
          <w:color w:val="navy"/>
        </w:rPr>
        <w:t xml:space="preserve">PARΑGRAFO 4o.</w:t>
      </w:r>
      <w:r>
        <w:rPr>
          <w:rFonts w:hAnsi="Arial"/>
          <w:rFonts w:ascii="Arial"/>
          <w:sz w:val="24"/>
          <w:color w:val="black"/>
        </w:rPr>
        <w:t xml:space="preserve"> Los cursos de especializaciσn tienen vigencia indefinida. </w:t>
      </w:r>
    </w:p>
    <w:p>
      <w:pPr>
        <w:jc w:val="both"/>
        <w:keepNext/>
      </w:pPr>
      <w:rPr>
        <w:color w:val="black"/>
      </w:rPr>
    </w:p>
    <w:p>
      <w:pPr>
        <w:jc w:val="both"/>
        <w:keepNext/>
        <w:outlineLvl w:val="1"/>
      </w:pPr>
      <w:r>
        <w:rPr>
          <w:rFonts w:hAnsi="Arial"/>
          <w:rFonts w:ascii="Arial"/>
          <w:sz w:val="24"/>
          <w:b/>
          <w:vanish/>
          <w:color w:val="black"/>
        </w:rPr>
        <w:t>&amp;$</w:t>
      </w:r>
      <w:bookmarkStart w:id="62310" w:name="2.6.1.1.13.2.21"/>
      <w:r>
        <w:rPr>
          <w:rFonts w:hAnsi="Arial"/>
          <w:rFonts w:ascii="Arial"/>
          <w:sz w:val="24"/>
          <w:color w:val="navy"/>
        </w:rPr>
        <w:t xml:space="preserve">ARTΝCULO 2.6.1.1.13.2.21. CURSOS DE PROFUNDIZACIΣN.</w:t>
      </w:r>
      <w:bookmarkEnd w:id="6231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personal operativo del sector de la vigilancia y seguridad privada podrα tomar cursos de profundizaciσn, los cuales tienen una intensidad horaria de 30 horas, de conformidad con la oferta educativa especializada aprobada por la Superintendencia de Vigilancia y Seguridad Privada a cada Escuela y/o Departamento de Capacitaciσn y Entrenamiento en Vigilancia y Seguridad Privada, teniendo en cuenta las competencias establecidas para cada uno de los ciclos y los elementos que conforman la competencia como 1) el saber, 2) el saber hacer y 3) el saber actuar. </w:t>
      </w:r>
    </w:p>
    <w:p>
      <w:pPr>
        <w:jc w:val="both"/>
        <w:keepNext/>
        <w:outlineLvl w:val="1"/>
      </w:pPr>
      <w:rPr>
        <w:sz w:val="24"/>
        <w:b/>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Los cursos de profundizaciσn tienen vigencia indefinida. </w:t>
      </w:r>
    </w:p>
    <w:p>
      <w:pPr>
        <w:jc w:val="center"/>
      </w:pPr>
      <w:rPr>
        <w:sz w:val="24"/>
        <w:b/>
        <w:color w:val="black"/>
      </w:rPr>
    </w:p>
    <w:p>
      <w:pPr>
        <w:jc w:val="center"/>
      </w:pPr>
      <w:r>
        <w:rPr>
          <w:rFonts w:hAnsi="Arial"/>
          <w:rFonts w:ascii="Arial"/>
          <w:sz w:val="24"/>
          <w:b/>
          <w:vanish/>
          <w:color w:val="black"/>
        </w:rPr>
        <w:t>&amp;$</w:t>
      </w:r>
      <w:bookmarkStart w:id="62311" w:name="Tx2.6.1.1.13.2.22"/>
      <w:r>
        <w:rPr>
          <w:rFonts w:hAnsi="Arial"/>
          <w:rFonts w:ascii="Arial"/>
          <w:sz w:val="24"/>
          <w:color w:val="navy"/>
        </w:rPr>
        <w:t>SEMINARIOS.</w:t>
      </w:r>
      <w:bookmarkEnd w:id="6231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2312" w:name="2.6.1.1.13.2.22"/>
      <w:r>
        <w:rPr>
          <w:rFonts w:hAnsi="Arial"/>
          <w:rFonts w:ascii="Arial"/>
          <w:sz w:val="24"/>
          <w:color w:val="navy"/>
        </w:rPr>
        <w:t xml:space="preserve">ARTΝCULO 2.6.1.1.13.2.22. SEMINARIOS.</w:t>
      </w:r>
      <w:bookmarkEnd w:id="6231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Cursos teσrico-prαcticos dirigidos a administrativos, coordinadores y directivos de los servicios de vigilancia y seguridad privada, en los que se desarrollan competencias especνficas, coherentes y pertinentes con la temαtica y los objetivos de formaciσn de cada curso. Las comprensiones y conocimientos esenciales necesarios para cada uno serαn definidos por cada Escuela de Capacitaciσn y Entrenamiento en Vigilancia y Seguridad Privada, no obstante, lo anterior los seminarios que se pueden ofertar son los siguientes:</w:t>
      </w:r>
    </w:p>
    <w:p>
      <w:pPr>
        <w:jc w:val="both"/>
        <w:outlineLvl w:val="1"/>
      </w:pPr>
      <w:rPr>
        <w:sz w:val="24"/>
        <w:b/>
        <w:color w:val="black"/>
      </w:rPr>
    </w:p>
    <w:p>
      <w:pPr>
        <w:jc w:val="both"/>
        <w:outlineLvl w:val="1"/>
      </w:pPr>
      <w:r>
        <w:rPr>
          <w:rFonts w:hAnsi="Arial"/>
          <w:rFonts w:ascii="Arial"/>
          <w:sz w:val="24"/>
          <w:color w:val="black"/>
        </w:rPr>
        <w:t xml:space="preserve">1. Administraciσn de Servicios de Vigilancia y Seguridad Privada. </w:t>
      </w:r>
    </w:p>
    <w:p>
      <w:pPr>
        <w:jc w:val="both"/>
        <w:outlineLvl w:val="1"/>
      </w:pPr>
      <w:rPr>
        <w:sz w:val="24"/>
        <w:b/>
        <w:color w:val="black"/>
      </w:rPr>
    </w:p>
    <w:p>
      <w:pPr>
        <w:jc w:val="both"/>
        <w:outlineLvl w:val="1"/>
      </w:pPr>
      <w:r>
        <w:rPr>
          <w:rFonts w:hAnsi="Arial"/>
          <w:rFonts w:ascii="Arial"/>
          <w:sz w:val="24"/>
          <w:color w:val="black"/>
        </w:rPr>
        <w:t xml:space="preserve">2. Director de Recursos Humanos. </w:t>
      </w:r>
    </w:p>
    <w:p>
      <w:pPr>
        <w:jc w:val="both"/>
        <w:outlineLvl w:val="1"/>
      </w:pPr>
      <w:rPr>
        <w:sz w:val="24"/>
        <w:b/>
        <w:color w:val="black"/>
      </w:rPr>
    </w:p>
    <w:p>
      <w:pPr>
        <w:jc w:val="both"/>
        <w:outlineLvl w:val="1"/>
      </w:pPr>
      <w:r>
        <w:rPr>
          <w:rFonts w:hAnsi="Arial"/>
          <w:rFonts w:ascii="Arial"/>
          <w:sz w:val="24"/>
          <w:color w:val="black"/>
        </w:rPr>
        <w:t xml:space="preserve">3. Director de Operaciσn de los servicios de vigilancia y seguridad privada. </w:t>
      </w:r>
    </w:p>
    <w:p>
      <w:pPr>
        <w:jc w:val="both"/>
        <w:outlineLvl w:val="1"/>
      </w:pPr>
      <w:rPr>
        <w:sz w:val="24"/>
        <w:b/>
        <w:color w:val="black"/>
      </w:rPr>
    </w:p>
    <w:p>
      <w:pPr>
        <w:jc w:val="both"/>
        <w:outlineLvl w:val="1"/>
      </w:pPr>
      <w:r>
        <w:rPr>
          <w:rFonts w:hAnsi="Arial"/>
          <w:rFonts w:ascii="Arial"/>
          <w:sz w:val="24"/>
          <w:color w:val="black"/>
        </w:rPr>
        <w:t xml:space="preserve">4. Espectαculos Pϊblicos. </w:t>
      </w:r>
    </w:p>
    <w:p>
      <w:pPr>
        <w:jc w:val="both"/>
        <w:outlineLvl w:val="1"/>
      </w:pPr>
      <w:rPr>
        <w:sz w:val="24"/>
        <w:b/>
        <w:color w:val="black"/>
      </w:rPr>
    </w:p>
    <w:p>
      <w:pPr>
        <w:jc w:val="both"/>
        <w:outlineLvl w:val="1"/>
      </w:pPr>
      <w:r>
        <w:rPr>
          <w:rFonts w:hAnsi="Arial"/>
          <w:rFonts w:ascii="Arial"/>
          <w:sz w:val="24"/>
          <w:color w:val="black"/>
        </w:rPr>
        <w:t xml:space="preserve">5. Jefe de Seguridad de Departamentos de Seguridad. </w:t>
      </w:r>
    </w:p>
    <w:p>
      <w:pPr>
        <w:jc w:val="both"/>
        <w:outlineLvl w:val="1"/>
      </w:pPr>
      <w:rPr>
        <w:sz w:val="24"/>
        <w:b/>
        <w:color w:val="black"/>
      </w:rPr>
    </w:p>
    <w:p>
      <w:pPr>
        <w:jc w:val="both"/>
        <w:outlineLvl w:val="1"/>
      </w:pPr>
      <w:r>
        <w:rPr>
          <w:rFonts w:hAnsi="Arial"/>
          <w:rFonts w:ascii="Arial"/>
          <w:sz w:val="24"/>
          <w:color w:val="black"/>
        </w:rPr>
        <w:t xml:space="preserve">6. Coordinadores de Medios Tecnolσgicos. </w:t>
      </w:r>
    </w:p>
    <w:p>
      <w:pPr>
        <w:jc w:val="both"/>
        <w:outlineLvl w:val="1"/>
      </w:pPr>
      <w:rPr>
        <w:sz w:val="24"/>
        <w:b/>
        <w:color w:val="black"/>
      </w:rPr>
    </w:p>
    <w:p>
      <w:pPr>
        <w:jc w:val="both"/>
        <w:outlineLvl w:val="1"/>
      </w:pPr>
      <w:r>
        <w:rPr>
          <w:rFonts w:hAnsi="Arial"/>
          <w:rFonts w:ascii="Arial"/>
          <w:sz w:val="24"/>
          <w:color w:val="black"/>
        </w:rPr>
        <w:t xml:space="preserve">7. Derechos Humanos y Derecho Internacional Humanitario. </w:t>
      </w:r>
    </w:p>
    <w:p>
      <w:pPr>
        <w:jc w:val="both"/>
        <w:outlineLvl w:val="1"/>
      </w:pPr>
      <w:rPr>
        <w:sz w:val="24"/>
        <w:b/>
        <w:color w:val="black"/>
      </w:rPr>
    </w:p>
    <w:p>
      <w:pPr>
        <w:jc w:val="both"/>
        <w:outlineLvl w:val="1"/>
      </w:pPr>
      <w:r>
        <w:rPr>
          <w:rFonts w:hAnsi="Arial"/>
          <w:rFonts w:ascii="Arial"/>
          <w:sz w:val="24"/>
          <w:color w:val="black"/>
        </w:rPr>
        <w:t xml:space="preserve">8. Gerente y/o Jefe de Riesgo. </w:t>
      </w:r>
    </w:p>
    <w:p>
      <w:pPr>
        <w:jc w:val="both"/>
        <w:outlineLvl w:val="1"/>
      </w:pPr>
      <w:rPr>
        <w:sz w:val="24"/>
        <w:b/>
        <w:color w:val="black"/>
      </w:rPr>
    </w:p>
    <w:p>
      <w:pPr>
        <w:jc w:val="both"/>
        <w:outlineLvl w:val="1"/>
      </w:pPr>
      <w:r>
        <w:rPr>
          <w:rFonts w:hAnsi="Arial"/>
          <w:rFonts w:ascii="Arial"/>
          <w:sz w:val="24"/>
          <w:color w:val="black"/>
        </w:rPr>
        <w:t xml:space="preserve">9. Anαlisis de Seguridad. </w:t>
      </w:r>
    </w:p>
    <w:p>
      <w:pPr>
        <w:jc w:val="both"/>
        <w:outlineLvl w:val="1"/>
      </w:pPr>
      <w:rPr>
        <w:sz w:val="24"/>
        <w:b/>
        <w:color w:val="black"/>
      </w:rPr>
    </w:p>
    <w:p>
      <w:pPr>
        <w:jc w:val="both"/>
        <w:outlineLvl w:val="1"/>
      </w:pPr>
      <w:r>
        <w:rPr>
          <w:rFonts w:hAnsi="Arial"/>
          <w:rFonts w:ascii="Arial"/>
          <w:sz w:val="24"/>
          <w:color w:val="black"/>
        </w:rPr>
        <w:t xml:space="preserve">10. Jefe de Escolta. </w:t>
      </w:r>
    </w:p>
    <w:p>
      <w:pPr>
        <w:jc w:val="both"/>
        <w:outlineLvl w:val="1"/>
      </w:pPr>
      <w:rPr>
        <w:sz w:val="24"/>
        <w:b/>
        <w:color w:val="black"/>
      </w:rPr>
    </w:p>
    <w:p>
      <w:pPr>
        <w:jc w:val="both"/>
        <w:outlineLvl w:val="1"/>
      </w:pPr>
      <w:r>
        <w:rPr>
          <w:rFonts w:hAnsi="Arial"/>
          <w:rFonts w:ascii="Arial"/>
          <w:sz w:val="24"/>
          <w:color w:val="black"/>
        </w:rPr>
        <w:t xml:space="preserve">11. Centrales de Comunicaciσn. </w:t>
      </w:r>
    </w:p>
    <w:p>
      <w:pPr>
        <w:jc w:val="both"/>
        <w:outlineLvl w:val="1"/>
      </w:pPr>
      <w:rPr>
        <w:sz w:val="24"/>
        <w:b/>
        <w:color w:val="black"/>
      </w:rPr>
    </w:p>
    <w:p>
      <w:pPr>
        <w:jc w:val="both"/>
        <w:outlineLvl w:val="1"/>
      </w:pPr>
      <w:r>
        <w:rPr>
          <w:rFonts w:hAnsi="Arial"/>
          <w:rFonts w:ascii="Arial"/>
          <w:sz w:val="24"/>
          <w:color w:val="black"/>
        </w:rPr>
        <w:t xml:space="preserve">12. Servicio al Cliente. </w:t>
      </w:r>
    </w:p>
    <w:p>
      <w:pPr>
        <w:jc w:val="both"/>
        <w:outlineLvl w:val="1"/>
      </w:pPr>
      <w:rPr>
        <w:sz w:val="24"/>
        <w:b/>
        <w:color w:val="black"/>
      </w:rPr>
    </w:p>
    <w:p>
      <w:pPr>
        <w:jc w:val="both"/>
        <w:outlineLvl w:val="1"/>
      </w:pPr>
      <w:r>
        <w:rPr>
          <w:rFonts w:hAnsi="Arial"/>
          <w:rFonts w:ascii="Arial"/>
          <w:sz w:val="24"/>
          <w:color w:val="black"/>
        </w:rPr>
        <w:t xml:space="preserve">13. Seminario de Tripulante. </w:t>
      </w:r>
    </w:p>
    <w:p>
      <w:pPr>
        <w:jc w:val="both"/>
        <w:outlineLvl w:val="1"/>
      </w:pPr>
      <w:rPr>
        <w:sz w:val="24"/>
        <w:b/>
        <w:color w:val="black"/>
      </w:rPr>
    </w:p>
    <w:p>
      <w:pPr>
        <w:jc w:val="both"/>
        <w:outlineLvl w:val="1"/>
      </w:pPr>
      <w:r>
        <w:rPr>
          <w:rFonts w:hAnsi="Arial"/>
          <w:rFonts w:ascii="Arial"/>
          <w:sz w:val="24"/>
          <w:color w:val="black"/>
        </w:rPr>
        <w:t xml:space="preserve">14. Seminario conocimiento, control, administraciσn de los Centros o establecimientos de detenciσn preventiva y carcelarios. </w:t>
      </w:r>
    </w:p>
    <w:p>
      <w:pPr>
        <w:jc w:val="both"/>
        <w:outlineLvl w:val="1"/>
      </w:pPr>
      <w:rPr>
        <w:sz w:val="24"/>
        <w:b/>
        <w:color w:val="black"/>
      </w:rPr>
    </w:p>
    <w:p>
      <w:pPr>
        <w:jc w:val="both"/>
        <w:outlineLvl w:val="1"/>
      </w:pPr>
      <w:r>
        <w:rPr>
          <w:rFonts w:hAnsi="Arial"/>
          <w:rFonts w:ascii="Arial"/>
          <w:sz w:val="24"/>
          <w:color w:val="black"/>
        </w:rPr>
        <w:t xml:space="preserve">15. Los demαs que autorice la Superintendencia de Vigilancia y Seguridad Privada.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Los seminarios teσricos serαn reportados por las Escuelas de Capacitaciσn y Entrenamiento en Vigilancia y Seguridad Privada, pero no darαn lugar a la asignaciσn de Nϊmeros de Registro Oficial (NRO).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Los seminarios teσricos previstos en el presente artνculo podrαn ser dictados en metodologνa virtual, previa aprobaciσn de la Superintendencia de Vigilancia y Seguridad Privada y siguiendo las indicaciones previstas en la presente secciσn.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Los seminarios tendrαn una intensidad horaria de hasta treinta (30) horas, y su vigencia es indefinida. </w:t>
      </w:r>
    </w:p>
    <w:p>
      <w:pPr>
        <w:jc w:val="both"/>
        <w:keepNext/>
      </w:pPr>
      <w:rPr>
        <w:color w:val="black"/>
      </w:rPr>
    </w:p>
    <w:p>
      <w:pPr>
        <w:jc w:val="both"/>
        <w:keepNext/>
        <w:outlineLvl w:val="1"/>
      </w:pPr>
      <w:r>
        <w:rPr>
          <w:rFonts w:hAnsi="Arial"/>
          <w:rFonts w:ascii="Arial"/>
          <w:sz w:val="24"/>
          <w:b/>
          <w:vanish/>
          <w:color w:val="black"/>
        </w:rPr>
        <w:t>&amp;$</w:t>
      </w:r>
      <w:bookmarkStart w:id="62313" w:name="2.1.1.13.2.23"/>
      <w:r>
        <w:rPr>
          <w:rFonts w:hAnsi="Arial"/>
          <w:rFonts w:ascii="Arial"/>
          <w:sz w:val="24"/>
          <w:color w:val="navy"/>
        </w:rPr>
        <w:t xml:space="preserve">ARTΝCULO 2.1.1.13.2.23. NUEVOS CURSOS.</w:t>
      </w:r>
      <w:bookmarkEnd w:id="6231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la solicitud de nuevos cursos en los diferentes ciclos y seminarios, las Escuelas y Departamentos de Capacitaciσn y Entrenamiento en Vigilancia y Seguridad Privada deben presentar ante la Superintendencia de Vigilancia de Seguridad Privada, como mνnimo lo siguiente: </w:t>
      </w:r>
    </w:p>
    <w:p>
      <w:pPr>
        <w:jc w:val="both"/>
        <w:keepNext/>
        <w:outlineLvl w:val="1"/>
      </w:pPr>
      <w:rPr>
        <w:sz w:val="24"/>
        <w:b/>
        <w:color w:val="black"/>
      </w:rPr>
    </w:p>
    <w:p>
      <w:pPr>
        <w:jc w:val="both"/>
        <w:keepNext/>
        <w:outlineLvl w:val="1"/>
      </w:pPr>
      <w:r>
        <w:rPr>
          <w:rFonts w:hAnsi="Arial"/>
          <w:rFonts w:ascii="Arial"/>
          <w:sz w:val="24"/>
          <w:b/>
          <w:color w:val="black"/>
        </w:rPr>
        <w:t xml:space="preserve">Planes de Mejora: </w:t>
      </w:r>
      <w:r>
        <w:rPr>
          <w:rFonts w:hAnsi="Arial"/>
          <w:rFonts w:ascii="Arial"/>
          <w:sz w:val="24"/>
          <w:color w:val="black"/>
        </w:rPr>
        <w:t xml:space="preserve">Nombre de la escuela o departamento de capacitaciσn y entrenamiento en vigilancia y seguridad privada, objetivos, nombre de los cursos a solicitar, perfil del docente, actividades, metas, estrategias metodolσgicas, beneficiarios o participantes, fecha, fuentes de verificaciσn y recursos. </w:t>
      </w:r>
    </w:p>
    <w:p>
      <w:pPr>
        <w:jc w:val="both"/>
        <w:keepNext/>
        <w:outlineLvl w:val="1"/>
      </w:pPr>
      <w:rPr>
        <w:sz w:val="24"/>
        <w:b/>
        <w:color w:val="black"/>
      </w:rPr>
    </w:p>
    <w:p>
      <w:pPr>
        <w:jc w:val="both"/>
        <w:keepNext/>
        <w:outlineLvl w:val="1"/>
      </w:pPr>
      <w:r>
        <w:rPr>
          <w:rFonts w:hAnsi="Arial"/>
          <w:rFonts w:ascii="Arial"/>
          <w:sz w:val="24"/>
          <w:b/>
          <w:color w:val="black"/>
        </w:rPr>
        <w:t xml:space="preserve">Unidades de Aprendizaje: </w:t>
      </w:r>
      <w:r>
        <w:rPr>
          <w:rFonts w:hAnsi="Arial"/>
          <w:rFonts w:ascii="Arial"/>
          <w:sz w:val="24"/>
          <w:color w:val="black"/>
        </w:rPr>
        <w:t xml:space="preserve">entre otros aspectos deben contener: </w:t>
      </w:r>
    </w:p>
    <w:p>
      <w:pPr>
        <w:jc w:val="both"/>
        <w:keepNext/>
        <w:outlineLvl w:val="1"/>
      </w:pPr>
      <w:rPr>
        <w:sz w:val="24"/>
        <w:b/>
        <w:color w:val="black"/>
      </w:rPr>
    </w:p>
    <w:p>
      <w:pPr>
        <w:jc w:val="both"/>
        <w:keepNext/>
        <w:outlineLvl w:val="1"/>
      </w:pPr>
      <w:r>
        <w:rPr>
          <w:rFonts w:hAnsi="Arial"/>
          <w:rFonts w:ascii="Arial"/>
          <w:sz w:val="24"/>
          <w:color w:val="black"/>
        </w:rPr>
        <w:t xml:space="preserve">- Nombre de la escuela, academia y departamento de capacitaciσn y entrenamiento en vigilancia y seguridad privada. </w:t>
      </w:r>
    </w:p>
    <w:p>
      <w:pPr>
        <w:jc w:val="both"/>
        <w:keepNext/>
        <w:outlineLvl w:val="1"/>
      </w:pPr>
      <w:rPr>
        <w:sz w:val="24"/>
        <w:b/>
        <w:color w:val="black"/>
      </w:rPr>
    </w:p>
    <w:p>
      <w:pPr>
        <w:jc w:val="both"/>
        <w:keepNext/>
        <w:outlineLvl w:val="1"/>
      </w:pPr>
      <w:r>
        <w:rPr>
          <w:rFonts w:hAnsi="Arial"/>
          <w:rFonts w:ascii="Arial"/>
          <w:sz w:val="24"/>
          <w:color w:val="black"/>
        </w:rPr>
        <w:t xml:space="preserve">- Identificaciσn de las competencias y con los contenidos debidamente desarrollados. </w:t>
      </w:r>
    </w:p>
    <w:p>
      <w:pPr>
        <w:jc w:val="both"/>
        <w:keepNext/>
        <w:outlineLvl w:val="1"/>
      </w:pPr>
      <w:rPr>
        <w:sz w:val="24"/>
        <w:b/>
        <w:color w:val="black"/>
      </w:rPr>
    </w:p>
    <w:p>
      <w:pPr>
        <w:jc w:val="both"/>
        <w:keepNext/>
        <w:outlineLvl w:val="1"/>
      </w:pPr>
      <w:r>
        <w:rPr>
          <w:rFonts w:hAnsi="Arial"/>
          <w:rFonts w:ascii="Arial"/>
          <w:sz w:val="24"/>
          <w:color w:val="black"/>
        </w:rPr>
        <w:t xml:space="preserve">- Objetivos para alcanzar. </w:t>
      </w:r>
    </w:p>
    <w:p>
      <w:pPr>
        <w:jc w:val="both"/>
        <w:keepNext/>
        <w:outlineLvl w:val="1"/>
      </w:pPr>
      <w:rPr>
        <w:sz w:val="24"/>
        <w:b/>
        <w:color w:val="black"/>
      </w:rPr>
    </w:p>
    <w:p>
      <w:pPr>
        <w:jc w:val="both"/>
        <w:keepNext/>
        <w:outlineLvl w:val="1"/>
      </w:pPr>
      <w:r>
        <w:rPr>
          <w:rFonts w:hAnsi="Arial"/>
          <w:rFonts w:ascii="Arial"/>
          <w:sz w:val="24"/>
          <w:color w:val="black"/>
        </w:rPr>
        <w:t xml:space="preserve">- Perfil del docente. </w:t>
      </w:r>
    </w:p>
    <w:p>
      <w:pPr>
        <w:jc w:val="both"/>
        <w:keepNext/>
        <w:outlineLvl w:val="1"/>
      </w:pPr>
      <w:rPr>
        <w:sz w:val="24"/>
        <w:b/>
        <w:color w:val="black"/>
      </w:rPr>
    </w:p>
    <w:p>
      <w:pPr>
        <w:jc w:val="both"/>
        <w:keepNext/>
        <w:outlineLvl w:val="1"/>
      </w:pPr>
      <w:r>
        <w:rPr>
          <w:rFonts w:hAnsi="Arial"/>
          <w:rFonts w:ascii="Arial"/>
          <w:sz w:val="24"/>
          <w:color w:val="black"/>
        </w:rPr>
        <w:t xml:space="preserve">- Estrategias Pedagσgicas. </w:t>
      </w:r>
    </w:p>
    <w:p>
      <w:pPr>
        <w:jc w:val="both"/>
        <w:keepNext/>
        <w:outlineLvl w:val="1"/>
      </w:pPr>
      <w:rPr>
        <w:sz w:val="24"/>
        <w:b/>
        <w:color w:val="black"/>
      </w:rPr>
    </w:p>
    <w:p>
      <w:pPr>
        <w:jc w:val="both"/>
        <w:keepNext/>
        <w:outlineLvl w:val="1"/>
      </w:pPr>
      <w:r>
        <w:rPr>
          <w:rFonts w:hAnsi="Arial"/>
          <w:rFonts w:ascii="Arial"/>
          <w:sz w:val="24"/>
          <w:color w:val="black"/>
        </w:rPr>
        <w:t xml:space="preserve">- Recursos didαcticos utilizados. </w:t>
      </w:r>
    </w:p>
    <w:p>
      <w:pPr>
        <w:jc w:val="both"/>
        <w:keepNext/>
        <w:outlineLvl w:val="1"/>
      </w:pPr>
      <w:rPr>
        <w:sz w:val="24"/>
        <w:b/>
        <w:color w:val="black"/>
      </w:rPr>
    </w:p>
    <w:p>
      <w:pPr>
        <w:jc w:val="both"/>
        <w:keepNext/>
        <w:outlineLvl w:val="1"/>
      </w:pPr>
      <w:r>
        <w:rPr>
          <w:rFonts w:hAnsi="Arial"/>
          <w:rFonts w:ascii="Arial"/>
          <w:sz w:val="24"/>
          <w:color w:val="black"/>
        </w:rPr>
        <w:t xml:space="preserve">- Evaluaciσn. </w:t>
      </w:r>
    </w:p>
    <w:p>
      <w:pPr>
        <w:jc w:val="both"/>
      </w:pPr>
      <w:rPr>
        <w:color w:val="black"/>
      </w:rPr>
    </w:p>
    <w:p>
      <w:pPr>
        <w:jc w:val="both"/>
      </w:pPr>
      <w:r>
        <w:rPr>
          <w:rFonts w:hAnsi="Arial"/>
          <w:rFonts w:ascii="Arial"/>
          <w:sz w:val="24"/>
          <w:b/>
          <w:vanish/>
          <w:color w:val="black"/>
        </w:rPr>
        <w:t>&amp;$</w:t>
      </w:r>
      <w:bookmarkStart w:id="62314" w:name="2.6.1.1.13.2.24"/>
      <w:r>
        <w:rPr>
          <w:rFonts w:hAnsi="Arial"/>
          <w:rFonts w:ascii="Arial"/>
          <w:sz w:val="24"/>
          <w:color w:val="navy"/>
        </w:rPr>
        <w:t xml:space="preserve">ARTΝCULO 2.6.1.1.13.2.24. MΣDULOS TRANSVERSALES.</w:t>
      </w:r>
      <w:bookmarkEnd w:id="6231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Estos mσdulos contienen temαticas en unidades de aprendizaje las cuales se encuentran inmersas en el desarrollo de las temαticas a desarrollar en los cursos ofertados del proceso pedagσgico, como son ιtica y valores, y cuidado del medio ambiente. </w:t>
      </w:r>
    </w:p>
    <w:p>
      <w:pPr>
        <w:jc w:val="both"/>
      </w:pPr>
      <w:rPr>
        <w:color w:val="black"/>
      </w:rPr>
    </w:p>
    <w:p>
      <w:pPr>
        <w:jc w:val="both"/>
        <w:outlineLvl w:val="1"/>
      </w:pPr>
      <w:r>
        <w:rPr>
          <w:rFonts w:hAnsi="Arial"/>
          <w:rFonts w:ascii="Arial"/>
          <w:sz w:val="24"/>
          <w:b/>
          <w:vanish/>
          <w:color w:val="black"/>
        </w:rPr>
        <w:t>&amp;$</w:t>
      </w:r>
      <w:bookmarkStart w:id="62315" w:name="2.6.1.1.13.2.25"/>
      <w:r>
        <w:rPr>
          <w:rFonts w:hAnsi="Arial"/>
          <w:rFonts w:ascii="Arial"/>
          <w:sz w:val="24"/>
          <w:color w:val="navy"/>
        </w:rPr>
        <w:t xml:space="preserve">ARTΝCULO 2.6.1.1.13.2.25. PERFIL DE EGRESO PARA VIGILANTES.</w:t>
      </w:r>
      <w:bookmarkEnd w:id="6231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De acuerdo con el nivel de cualificaciσn respectivo, los vigilantes deberαn contar como mνnimo con los conocimientos, habilidades, capacidad de gestiσn y capacidad de relacionamiento descritos a continuaciσn: </w:t>
      </w:r>
    </w:p>
    <w:p>
      <w:pPr>
        <w:jc w:val="both"/>
        <w:outlineLvl w:val="1"/>
      </w:pPr>
      <w:rPr>
        <w:sz w:val="24"/>
        <w:b/>
        <w:color w:val="black"/>
      </w:rPr>
    </w:p>
    <w:p>
      <w:pPr>
        <w:jc w:val="both"/>
        <w:outlineLvl w:val="1"/>
      </w:pPr>
      <w:r>
        <w:rPr>
          <w:rFonts w:hAnsi="Arial"/>
          <w:rFonts w:ascii="Arial"/>
          <w:sz w:val="24"/>
          <w:b/>
          <w:color w:val="black"/>
        </w:rPr>
        <w:t xml:space="preserve">1. CONOCIMIENTOS </w:t>
      </w:r>
    </w:p>
    <w:p>
      <w:pPr>
        <w:jc w:val="both"/>
        <w:outlineLvl w:val="1"/>
      </w:pPr>
      <w:rPr>
        <w:sz w:val="24"/>
        <w:b/>
        <w:color w:val="black"/>
      </w:rPr>
    </w:p>
    <w:p>
      <w:pPr>
        <w:jc w:val="both"/>
        <w:outlineLvl w:val="1"/>
      </w:pPr>
      <w:r>
        <w:rPr>
          <w:rFonts w:hAnsi="Arial"/>
          <w:rFonts w:ascii="Arial"/>
          <w:sz w:val="24"/>
          <w:color w:val="black"/>
        </w:rPr>
        <w:t xml:space="preserve">a) Marco Legal de la vigilancia y seguridad privada en Colombia. </w:t>
      </w:r>
    </w:p>
    <w:p>
      <w:pPr>
        <w:jc w:val="both"/>
        <w:outlineLvl w:val="1"/>
      </w:pPr>
      <w:r>
        <w:rPr>
          <w:rFonts w:hAnsi="Arial"/>
          <w:rFonts w:ascii="Arial"/>
          <w:sz w:val="24"/>
          <w:color w:val="black"/>
        </w:rPr>
        <w:t xml:space="preserve">b) Seguridad fνsica en la protecciσn de activos. </w:t>
      </w:r>
    </w:p>
    <w:p>
      <w:pPr>
        <w:jc w:val="both"/>
        <w:outlineLvl w:val="1"/>
      </w:pPr>
      <w:r>
        <w:rPr>
          <w:rFonts w:hAnsi="Arial"/>
          <w:rFonts w:ascii="Arial"/>
          <w:sz w:val="24"/>
          <w:color w:val="black"/>
        </w:rPr>
        <w:t xml:space="preserve">c) Seguridad de informaciσn. </w:t>
      </w:r>
    </w:p>
    <w:p>
      <w:pPr>
        <w:jc w:val="both"/>
        <w:outlineLvl w:val="1"/>
      </w:pPr>
      <w:r>
        <w:rPr>
          <w:rFonts w:hAnsi="Arial"/>
          <w:rFonts w:ascii="Arial"/>
          <w:sz w:val="24"/>
          <w:color w:val="black"/>
        </w:rPr>
        <w:t xml:space="preserve">d) Prevenciσn de riesgos. </w:t>
      </w:r>
    </w:p>
    <w:p>
      <w:pPr>
        <w:jc w:val="both"/>
        <w:outlineLvl w:val="1"/>
      </w:pPr>
      <w:r>
        <w:rPr>
          <w:rFonts w:hAnsi="Arial"/>
          <w:rFonts w:ascii="Arial"/>
          <w:sz w:val="24"/>
          <w:color w:val="black"/>
        </w:rPr>
        <w:t xml:space="preserve">e) Observaciσn y percepciσn de amenazas. </w:t>
      </w:r>
    </w:p>
    <w:p>
      <w:pPr>
        <w:jc w:val="both"/>
        <w:outlineLvl w:val="1"/>
      </w:pPr>
      <w:rPr>
        <w:sz w:val="24"/>
        <w:b/>
        <w:color w:val="black"/>
      </w:rPr>
    </w:p>
    <w:p>
      <w:pPr>
        <w:jc w:val="both"/>
        <w:outlineLvl w:val="1"/>
      </w:pPr>
      <w:r>
        <w:rPr>
          <w:rFonts w:hAnsi="Arial"/>
          <w:rFonts w:ascii="Arial"/>
          <w:sz w:val="24"/>
          <w:b/>
          <w:color w:val="black"/>
        </w:rPr>
        <w:t xml:space="preserve">2. HABILIDADES </w:t>
      </w:r>
    </w:p>
    <w:p>
      <w:pPr>
        <w:jc w:val="both"/>
        <w:outlineLvl w:val="1"/>
      </w:pPr>
      <w:rPr>
        <w:sz w:val="24"/>
        <w:b/>
        <w:color w:val="black"/>
      </w:rPr>
    </w:p>
    <w:p>
      <w:pPr>
        <w:jc w:val="both"/>
        <w:outlineLvl w:val="1"/>
      </w:pPr>
      <w:r>
        <w:rPr>
          <w:rFonts w:hAnsi="Arial"/>
          <w:rFonts w:ascii="Arial"/>
          <w:sz w:val="24"/>
          <w:color w:val="black"/>
        </w:rPr>
        <w:t xml:space="preserve">a) Manejo seguro de armas </w:t>
      </w:r>
    </w:p>
    <w:p>
      <w:pPr>
        <w:jc w:val="both"/>
        <w:outlineLvl w:val="1"/>
      </w:pPr>
      <w:rPr>
        <w:sz w:val="24"/>
        <w:b/>
        <w:color w:val="black"/>
      </w:rPr>
    </w:p>
    <w:p>
      <w:pPr>
        <w:jc w:val="both"/>
        <w:outlineLvl w:val="1"/>
      </w:pPr>
      <w:r>
        <w:rPr>
          <w:rFonts w:hAnsi="Arial"/>
          <w:rFonts w:ascii="Arial"/>
          <w:sz w:val="24"/>
          <w:color w:val="black"/>
        </w:rPr>
        <w:t xml:space="preserve">b) Manejo de sistemas de control de accesos (peatonal, vehicular, αreas comunes). </w:t>
      </w:r>
    </w:p>
    <w:p>
      <w:pPr>
        <w:jc w:val="both"/>
        <w:outlineLvl w:val="1"/>
      </w:pPr>
      <w:rPr>
        <w:sz w:val="24"/>
        <w:b/>
        <w:color w:val="black"/>
      </w:rPr>
    </w:p>
    <w:p>
      <w:pPr>
        <w:jc w:val="both"/>
        <w:outlineLvl w:val="1"/>
      </w:pPr>
      <w:r>
        <w:rPr>
          <w:rFonts w:hAnsi="Arial"/>
          <w:rFonts w:ascii="Arial"/>
          <w:sz w:val="24"/>
          <w:color w:val="black"/>
        </w:rPr>
        <w:t xml:space="preserve">c) Uso de equipos de comunicaciσn. </w:t>
      </w:r>
    </w:p>
    <w:p>
      <w:pPr>
        <w:jc w:val="both"/>
        <w:outlineLvl w:val="1"/>
      </w:pPr>
      <w:rPr>
        <w:sz w:val="24"/>
        <w:b/>
        <w:color w:val="black"/>
      </w:rPr>
    </w:p>
    <w:p>
      <w:pPr>
        <w:jc w:val="both"/>
        <w:outlineLvl w:val="1"/>
      </w:pPr>
      <w:r>
        <w:rPr>
          <w:rFonts w:hAnsi="Arial"/>
          <w:rFonts w:ascii="Arial"/>
          <w:sz w:val="24"/>
          <w:color w:val="black"/>
        </w:rPr>
        <w:t xml:space="preserve">d) Composiciσn y redacciσn de: informes, libros de control, reportes, planillas, formatos, etc. </w:t>
      </w:r>
    </w:p>
    <w:p>
      <w:pPr>
        <w:jc w:val="both"/>
        <w:outlineLvl w:val="1"/>
      </w:pPr>
      <w:rPr>
        <w:sz w:val="24"/>
        <w:b/>
        <w:color w:val="black"/>
      </w:rPr>
    </w:p>
    <w:p>
      <w:pPr>
        <w:jc w:val="both"/>
        <w:outlineLvl w:val="1"/>
      </w:pPr>
      <w:r>
        <w:rPr>
          <w:rFonts w:hAnsi="Arial"/>
          <w:rFonts w:ascii="Arial"/>
          <w:sz w:val="24"/>
          <w:color w:val="black"/>
        </w:rPr>
        <w:t xml:space="preserve">e) Primeros auxilios. </w:t>
      </w:r>
    </w:p>
    <w:p>
      <w:pPr>
        <w:jc w:val="both"/>
        <w:outlineLvl w:val="1"/>
      </w:pPr>
      <w:rPr>
        <w:sz w:val="24"/>
        <w:b/>
        <w:color w:val="black"/>
      </w:rPr>
    </w:p>
    <w:p>
      <w:pPr>
        <w:jc w:val="both"/>
        <w:outlineLvl w:val="1"/>
      </w:pPr>
      <w:r>
        <w:rPr>
          <w:rFonts w:hAnsi="Arial"/>
          <w:rFonts w:ascii="Arial"/>
          <w:sz w:val="24"/>
          <w:b/>
          <w:color w:val="black"/>
        </w:rPr>
        <w:t xml:space="preserve">3. CAPACIDAD DE GESTIΣN </w:t>
      </w:r>
    </w:p>
    <w:p>
      <w:pPr>
        <w:jc w:val="both"/>
        <w:outlineLvl w:val="1"/>
      </w:pPr>
      <w:rPr>
        <w:sz w:val="24"/>
        <w:b/>
        <w:color w:val="black"/>
      </w:rPr>
    </w:p>
    <w:p>
      <w:pPr>
        <w:jc w:val="both"/>
        <w:outlineLvl w:val="1"/>
      </w:pPr>
      <w:r>
        <w:rPr>
          <w:rFonts w:hAnsi="Arial"/>
          <w:rFonts w:ascii="Arial"/>
          <w:sz w:val="24"/>
          <w:color w:val="black"/>
        </w:rPr>
        <w:t xml:space="preserve">a) Gestionar servicios de vigilancia y seguridad privada con eficacia. </w:t>
      </w:r>
    </w:p>
    <w:p>
      <w:pPr>
        <w:jc w:val="both"/>
        <w:outlineLvl w:val="1"/>
      </w:pPr>
      <w:r>
        <w:rPr>
          <w:rFonts w:hAnsi="Arial"/>
          <w:rFonts w:ascii="Arial"/>
          <w:sz w:val="24"/>
          <w:color w:val="black"/>
        </w:rPr>
        <w:t xml:space="preserve">b) Atenciσn de clientes internos y externos.</w:t>
      </w:r>
    </w:p>
    <w:p>
      <w:pPr>
        <w:jc w:val="both"/>
        <w:outlineLvl w:val="1"/>
      </w:pPr>
      <w:r>
        <w:rPr>
          <w:rFonts w:hAnsi="Arial"/>
          <w:rFonts w:ascii="Arial"/>
          <w:sz w:val="24"/>
          <w:color w:val="black"/>
        </w:rPr>
        <w:t xml:space="preserve">c) Implementaciσn de protocolos y procedimientos de vigilancia. </w:t>
      </w:r>
    </w:p>
    <w:p>
      <w:pPr>
        <w:jc w:val="both"/>
        <w:outlineLvl w:val="1"/>
      </w:pPr>
      <w:r>
        <w:rPr>
          <w:rFonts w:hAnsi="Arial"/>
          <w:rFonts w:ascii="Arial"/>
          <w:sz w:val="24"/>
          <w:color w:val="black"/>
        </w:rPr>
        <w:t xml:space="preserve">d) Prevenir incidentes de seguridad. </w:t>
      </w:r>
    </w:p>
    <w:p>
      <w:pPr>
        <w:jc w:val="both"/>
        <w:outlineLvl w:val="1"/>
      </w:pPr>
      <w:r>
        <w:rPr>
          <w:rFonts w:hAnsi="Arial"/>
          <w:rFonts w:ascii="Arial"/>
          <w:sz w:val="24"/>
          <w:color w:val="black"/>
        </w:rPr>
        <w:t xml:space="preserve">e) Prestar servicios de respuesta al sistema de alarmas segϊn protocolos y normativa de seguridad. </w:t>
      </w:r>
    </w:p>
    <w:p>
      <w:pPr>
        <w:jc w:val="both"/>
        <w:outlineLvl w:val="1"/>
      </w:pPr>
      <w:rPr>
        <w:sz w:val="24"/>
        <w:b/>
        <w:color w:val="black"/>
      </w:rPr>
    </w:p>
    <w:p>
      <w:pPr>
        <w:jc w:val="both"/>
        <w:outlineLvl w:val="1"/>
      </w:pPr>
      <w:r>
        <w:rPr>
          <w:rFonts w:hAnsi="Arial"/>
          <w:rFonts w:ascii="Arial"/>
          <w:sz w:val="24"/>
          <w:b/>
          <w:color w:val="black"/>
        </w:rPr>
        <w:t xml:space="preserve">4. CAPACIDAD DE RELACIONAMIENTO </w:t>
      </w:r>
    </w:p>
    <w:p>
      <w:pPr>
        <w:jc w:val="both"/>
        <w:outlineLvl w:val="1"/>
      </w:pPr>
      <w:rPr>
        <w:sz w:val="24"/>
        <w:b/>
        <w:color w:val="black"/>
      </w:rPr>
    </w:p>
    <w:p>
      <w:pPr>
        <w:jc w:val="both"/>
        <w:outlineLvl w:val="1"/>
      </w:pPr>
      <w:r>
        <w:rPr>
          <w:rFonts w:hAnsi="Arial"/>
          <w:rFonts w:ascii="Arial"/>
          <w:sz w:val="24"/>
          <w:color w:val="black"/>
        </w:rPr>
        <w:t xml:space="preserve">a) Preservar la ιtica en la prestaciσn de los servicios. </w:t>
      </w:r>
    </w:p>
    <w:p>
      <w:pPr>
        <w:jc w:val="both"/>
        <w:outlineLvl w:val="1"/>
      </w:pPr>
      <w:r>
        <w:rPr>
          <w:rFonts w:hAnsi="Arial"/>
          <w:rFonts w:ascii="Arial"/>
          <w:sz w:val="24"/>
          <w:color w:val="black"/>
        </w:rPr>
        <w:t xml:space="preserve">b) Generar adecuadas relaciones interpersonales. </w:t>
      </w:r>
    </w:p>
    <w:p>
      <w:pPr>
        <w:jc w:val="both"/>
        <w:outlineLvl w:val="1"/>
      </w:pPr>
      <w:r>
        <w:rPr>
          <w:rFonts w:hAnsi="Arial"/>
          <w:rFonts w:ascii="Arial"/>
          <w:sz w:val="24"/>
          <w:color w:val="black"/>
        </w:rPr>
        <w:t xml:space="preserve">c) Actitud de servicio al cliente. </w:t>
      </w:r>
    </w:p>
    <w:p>
      <w:pPr>
        <w:jc w:val="both"/>
        <w:outlineLvl w:val="1"/>
      </w:pPr>
      <w:r>
        <w:rPr>
          <w:rFonts w:hAnsi="Arial"/>
          <w:rFonts w:ascii="Arial"/>
          <w:sz w:val="24"/>
          <w:color w:val="black"/>
        </w:rPr>
        <w:t xml:space="preserve">d) Manejo del estrιs y trabajo bajo presiσn. </w:t>
      </w:r>
    </w:p>
    <w:p>
      <w:pPr>
        <w:jc w:val="both"/>
        <w:outlineLvl w:val="1"/>
      </w:pPr>
      <w:r>
        <w:rPr>
          <w:rFonts w:hAnsi="Arial"/>
          <w:rFonts w:ascii="Arial"/>
          <w:sz w:val="24"/>
          <w:color w:val="black"/>
        </w:rPr>
        <w:t xml:space="preserve">e) Evitar violencia en el lugar de trabajo. </w:t>
      </w:r>
    </w:p>
    <w:p>
      <w:pPr>
        <w:jc w:val="both"/>
        <w:outlineLvl w:val="1"/>
      </w:pPr>
      <w:r>
        <w:rPr>
          <w:rFonts w:hAnsi="Arial"/>
          <w:rFonts w:ascii="Arial"/>
          <w:sz w:val="24"/>
          <w:color w:val="black"/>
        </w:rPr>
        <w:t xml:space="preserve">f) Soluciσn de conflictos. </w:t>
      </w:r>
    </w:p>
    <w:p>
      <w:pPr>
        <w:jc w:val="both"/>
        <w:outlineLvl w:val="1"/>
      </w:pPr>
      <w:r>
        <w:rPr>
          <w:rFonts w:hAnsi="Arial"/>
          <w:rFonts w:ascii="Arial"/>
          <w:sz w:val="24"/>
          <w:color w:val="black"/>
        </w:rPr>
        <w:t xml:space="preserve">g) Normas y protocolo de comportamiento. </w:t>
      </w:r>
    </w:p>
    <w:p>
      <w:pPr>
        <w:jc w:val="both"/>
        <w:outlineLvl w:val="1"/>
      </w:pPr>
      <w:r>
        <w:rPr>
          <w:rFonts w:hAnsi="Arial"/>
          <w:rFonts w:ascii="Arial"/>
          <w:sz w:val="24"/>
          <w:color w:val="black"/>
        </w:rPr>
        <w:t xml:space="preserve">h) Actuar con inteligencia emocional. </w:t>
      </w:r>
    </w:p>
    <w:p>
      <w:pPr>
        <w:jc w:val="both"/>
        <w:outlineLvl w:val="1"/>
      </w:pPr>
      <w:r>
        <w:rPr>
          <w:rFonts w:hAnsi="Arial"/>
          <w:rFonts w:ascii="Arial"/>
          <w:sz w:val="24"/>
          <w:color w:val="black"/>
        </w:rPr>
        <w:t xml:space="preserve">i) Comunicarse asertivamente. </w:t>
      </w:r>
    </w:p>
    <w:p>
      <w:pPr>
        <w:jc w:val="both"/>
        <w:outlineLvl w:val="1"/>
      </w:pPr>
      <w:r>
        <w:rPr>
          <w:rFonts w:hAnsi="Arial"/>
          <w:rFonts w:ascii="Arial"/>
          <w:sz w:val="24"/>
          <w:color w:val="black"/>
        </w:rPr>
        <w:t xml:space="preserve">j) Actualizarse en las nuevas tecnologνas. </w:t>
      </w:r>
    </w:p>
    <w:p>
      <w:pPr>
        <w:jc w:val="both"/>
        <w:keepNext/>
      </w:pPr>
      <w:rPr>
        <w:color w:val="black"/>
      </w:rPr>
    </w:p>
    <w:p>
      <w:pPr>
        <w:jc w:val="both"/>
        <w:keepNext/>
        <w:outlineLvl w:val="1"/>
      </w:pPr>
      <w:r>
        <w:rPr>
          <w:rFonts w:hAnsi="Arial"/>
          <w:rFonts w:ascii="Arial"/>
          <w:sz w:val="24"/>
          <w:b/>
          <w:vanish/>
          <w:color w:val="black"/>
        </w:rPr>
        <w:t>&amp;$</w:t>
      </w:r>
      <w:bookmarkStart w:id="62316" w:name="2.6.1.1.13.2.26"/>
      <w:r>
        <w:rPr>
          <w:rFonts w:hAnsi="Arial"/>
          <w:rFonts w:ascii="Arial"/>
          <w:sz w:val="24"/>
          <w:color w:val="navy"/>
        </w:rPr>
        <w:t xml:space="preserve">ARTΝCULO 2.6.1.1.13.2.26. PERFIL DE EGRESO PARA SUPERVISORES.</w:t>
      </w:r>
      <w:bookmarkEnd w:id="6231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De acuerdo con el nivel de cualificaciσn respectivo, los supervisores deberαn contar como mνnimo con los conocimientos, habilidades, capacidad de gestiσn y capacidad de relacionamiento descritos a continuaciσn: </w:t>
      </w:r>
    </w:p>
    <w:p>
      <w:pPr>
        <w:jc w:val="both"/>
        <w:keepNext/>
        <w:outlineLvl w:val="1"/>
      </w:pPr>
      <w:rPr>
        <w:sz w:val="24"/>
        <w:b/>
        <w:color w:val="black"/>
      </w:rPr>
    </w:p>
    <w:p>
      <w:pPr>
        <w:jc w:val="both"/>
        <w:keepNext/>
        <w:outlineLvl w:val="1"/>
      </w:pPr>
      <w:r>
        <w:rPr>
          <w:rFonts w:hAnsi="Arial"/>
          <w:rFonts w:ascii="Arial"/>
          <w:sz w:val="24"/>
          <w:b/>
          <w:color w:val="black"/>
        </w:rPr>
        <w:t xml:space="preserve">1. CONOCIMIENTOS </w:t>
      </w:r>
    </w:p>
    <w:p>
      <w:pPr>
        <w:jc w:val="both"/>
        <w:keepNext/>
        <w:outlineLvl w:val="1"/>
      </w:pPr>
      <w:rPr>
        <w:sz w:val="24"/>
        <w:b/>
        <w:color w:val="black"/>
      </w:rPr>
    </w:p>
    <w:p>
      <w:pPr>
        <w:jc w:val="both"/>
        <w:keepNext/>
        <w:outlineLvl w:val="1"/>
      </w:pPr>
      <w:r>
        <w:rPr>
          <w:rFonts w:hAnsi="Arial"/>
          <w:rFonts w:ascii="Arial"/>
          <w:sz w:val="24"/>
          <w:color w:val="black"/>
        </w:rPr>
        <w:t xml:space="preserve">a) Marco Legal de la vigilancia y seguridad privada en Colombia. </w:t>
      </w:r>
    </w:p>
    <w:p>
      <w:pPr>
        <w:jc w:val="both"/>
        <w:keepNext/>
        <w:outlineLvl w:val="1"/>
      </w:pPr>
      <w:r>
        <w:rPr>
          <w:rFonts w:hAnsi="Arial"/>
          <w:rFonts w:ascii="Arial"/>
          <w:sz w:val="24"/>
          <w:color w:val="black"/>
        </w:rPr>
        <w:t xml:space="preserve">b) Seguridad fνsica en la protecciσn de activos. </w:t>
      </w:r>
    </w:p>
    <w:p>
      <w:pPr>
        <w:jc w:val="both"/>
        <w:keepNext/>
        <w:outlineLvl w:val="1"/>
      </w:pPr>
      <w:r>
        <w:rPr>
          <w:rFonts w:hAnsi="Arial"/>
          <w:rFonts w:ascii="Arial"/>
          <w:sz w:val="24"/>
          <w:color w:val="black"/>
        </w:rPr>
        <w:t xml:space="preserve">c) Seguridad de informaciσn. </w:t>
      </w:r>
    </w:p>
    <w:p>
      <w:pPr>
        <w:jc w:val="both"/>
        <w:keepNext/>
        <w:outlineLvl w:val="1"/>
      </w:pPr>
      <w:r>
        <w:rPr>
          <w:rFonts w:hAnsi="Arial"/>
          <w:rFonts w:ascii="Arial"/>
          <w:sz w:val="24"/>
          <w:color w:val="black"/>
        </w:rPr>
        <w:t xml:space="preserve">d) Prevenciσn de riesgos. </w:t>
      </w:r>
    </w:p>
    <w:p>
      <w:pPr>
        <w:jc w:val="both"/>
        <w:keepNext/>
        <w:outlineLvl w:val="1"/>
      </w:pPr>
      <w:r>
        <w:rPr>
          <w:rFonts w:hAnsi="Arial"/>
          <w:rFonts w:ascii="Arial"/>
          <w:sz w:val="24"/>
          <w:color w:val="black"/>
        </w:rPr>
        <w:t xml:space="preserve">e) Observaciσn y percepciσn de amenazas. </w:t>
      </w:r>
    </w:p>
    <w:p>
      <w:pPr>
        <w:jc w:val="both"/>
        <w:keepNext/>
        <w:outlineLvl w:val="1"/>
      </w:pPr>
      <w:rPr>
        <w:sz w:val="24"/>
        <w:b/>
        <w:color w:val="black"/>
      </w:rPr>
    </w:p>
    <w:p>
      <w:pPr>
        <w:jc w:val="both"/>
        <w:keepNext/>
        <w:outlineLvl w:val="1"/>
      </w:pPr>
      <w:r>
        <w:rPr>
          <w:rFonts w:hAnsi="Arial"/>
          <w:rFonts w:ascii="Arial"/>
          <w:sz w:val="24"/>
          <w:b/>
          <w:color w:val="black"/>
        </w:rPr>
        <w:t xml:space="preserve">2. HABILIDADES </w:t>
      </w:r>
    </w:p>
    <w:p>
      <w:pPr>
        <w:jc w:val="both"/>
        <w:keepNext/>
        <w:outlineLvl w:val="1"/>
      </w:pPr>
      <w:rPr>
        <w:sz w:val="24"/>
        <w:b/>
        <w:color w:val="black"/>
      </w:rPr>
    </w:p>
    <w:p>
      <w:pPr>
        <w:jc w:val="both"/>
        <w:keepNext/>
        <w:outlineLvl w:val="1"/>
      </w:pPr>
      <w:r>
        <w:rPr>
          <w:rFonts w:hAnsi="Arial"/>
          <w:rFonts w:ascii="Arial"/>
          <w:sz w:val="24"/>
          <w:color w:val="black"/>
        </w:rPr>
        <w:t xml:space="preserve">a) Manejo seguro de armas. </w:t>
      </w:r>
    </w:p>
    <w:p>
      <w:pPr>
        <w:jc w:val="both"/>
        <w:keepNext/>
        <w:outlineLvl w:val="1"/>
      </w:pPr>
      <w:r>
        <w:rPr>
          <w:rFonts w:hAnsi="Arial"/>
          <w:rFonts w:ascii="Arial"/>
          <w:sz w:val="24"/>
          <w:color w:val="black"/>
        </w:rPr>
        <w:t xml:space="preserve">b) Manejo de tecnologνas en dispositivos mσviles. </w:t>
      </w:r>
    </w:p>
    <w:p>
      <w:pPr>
        <w:jc w:val="both"/>
        <w:keepNext/>
        <w:outlineLvl w:val="1"/>
      </w:pPr>
      <w:r>
        <w:rPr>
          <w:rFonts w:hAnsi="Arial"/>
          <w:rFonts w:ascii="Arial"/>
          <w:sz w:val="24"/>
          <w:color w:val="black"/>
        </w:rPr>
        <w:t xml:space="preserve">c) Uso de equipos de comunicaciσn. </w:t>
      </w:r>
    </w:p>
    <w:p>
      <w:pPr>
        <w:jc w:val="both"/>
        <w:keepNext/>
        <w:outlineLvl w:val="1"/>
      </w:pPr>
      <w:r>
        <w:rPr>
          <w:rFonts w:hAnsi="Arial"/>
          <w:rFonts w:ascii="Arial"/>
          <w:sz w:val="24"/>
          <w:color w:val="black"/>
        </w:rPr>
        <w:t xml:space="preserve">d) Composiciσn y redacciσn de: informes, libros de control, reportes, planillas, formatos, etc. </w:t>
      </w:r>
    </w:p>
    <w:p>
      <w:pPr>
        <w:jc w:val="both"/>
        <w:keepNext/>
        <w:outlineLvl w:val="1"/>
      </w:pPr>
      <w:r>
        <w:rPr>
          <w:rFonts w:hAnsi="Arial"/>
          <w:rFonts w:ascii="Arial"/>
          <w:sz w:val="24"/>
          <w:color w:val="black"/>
        </w:rPr>
        <w:t xml:space="preserve">e) Primeros auxilios (mιdicos y psicolσgicos). </w:t>
      </w:r>
    </w:p>
    <w:p>
      <w:pPr>
        <w:jc w:val="both"/>
      </w:pPr>
      <w:rPr>
        <w:color w:val="black"/>
      </w:rPr>
    </w:p>
    <w:p>
      <w:pPr>
        <w:jc w:val="both"/>
      </w:pPr>
      <w:r>
        <w:rPr>
          <w:rFonts w:hAnsi="Arial"/>
          <w:rFonts w:ascii="Arial"/>
          <w:sz w:val="24"/>
          <w:b/>
          <w:vanish/>
          <w:color w:val="black"/>
        </w:rPr>
        <w:t>&amp;$</w:t>
      </w:r>
      <w:bookmarkStart w:id="62317" w:name="2.6.1.1.13.2.27"/>
      <w:r>
        <w:rPr>
          <w:rFonts w:hAnsi="Arial"/>
          <w:rFonts w:ascii="Arial"/>
          <w:sz w:val="24"/>
          <w:color w:val="navy"/>
        </w:rPr>
        <w:t xml:space="preserve">ARTΝCULO 2.6.1.1.13.2.27. PERFIL DE EGRESO PARA ESCOLTAS.</w:t>
      </w:r>
      <w:bookmarkEnd w:id="62317"/>
      <w:r>
        <w:rPr>
          <w:rFonts w:hAnsi="Arial"/>
          <w:rFonts w:ascii="Arial"/>
          <w:sz w:val="24"/>
          <w:color w:val="black"/>
        </w:rPr>
        <w:t xml:space="preserve"> &lt;Artνculo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De acuerdo con el nivel de cualificaciσn respectivo, los escoltas deberαn contar como mνnimo con los conocimientos, habilidades, capacidad de gestiσn y capacidad de relacionamiento descritos a continuaciσn y de acuerdo con los requerimientos nuevos del comercio. </w:t>
      </w:r>
    </w:p>
    <w:p>
      <w:pPr>
        <w:jc w:val="both"/>
        <w:outlineLvl w:val="1"/>
      </w:pPr>
      <w:rPr>
        <w:sz w:val="24"/>
        <w:b/>
        <w:color w:val="black"/>
      </w:rPr>
    </w:p>
    <w:p>
      <w:pPr>
        <w:jc w:val="both"/>
        <w:outlineLvl w:val="1"/>
      </w:pPr>
      <w:r>
        <w:rPr>
          <w:rFonts w:hAnsi="Arial"/>
          <w:rFonts w:ascii="Arial"/>
          <w:sz w:val="24"/>
          <w:b/>
          <w:color w:val="black"/>
        </w:rPr>
        <w:t xml:space="preserve">1. CONOCIMIENTOS </w:t>
      </w:r>
    </w:p>
    <w:p>
      <w:pPr>
        <w:jc w:val="both"/>
        <w:outlineLvl w:val="1"/>
      </w:pPr>
      <w:rPr>
        <w:sz w:val="24"/>
        <w:b/>
        <w:color w:val="black"/>
      </w:rPr>
    </w:p>
    <w:p>
      <w:pPr>
        <w:jc w:val="both"/>
        <w:outlineLvl w:val="1"/>
      </w:pPr>
      <w:r>
        <w:rPr>
          <w:rFonts w:hAnsi="Arial"/>
          <w:rFonts w:ascii="Arial"/>
          <w:sz w:val="24"/>
          <w:color w:val="black"/>
        </w:rPr>
        <w:t xml:space="preserve">a) Marco Legal de la vigilancia y seguridad privada en Colombia. </w:t>
      </w:r>
    </w:p>
    <w:p>
      <w:pPr>
        <w:jc w:val="both"/>
        <w:outlineLvl w:val="1"/>
      </w:pPr>
      <w:r>
        <w:rPr>
          <w:rFonts w:hAnsi="Arial"/>
          <w:rFonts w:ascii="Arial"/>
          <w:sz w:val="24"/>
          <w:color w:val="black"/>
        </w:rPr>
        <w:t xml:space="preserve">b) Anαlisis de riesgos de personas. </w:t>
      </w:r>
    </w:p>
    <w:p>
      <w:pPr>
        <w:jc w:val="both"/>
        <w:outlineLvl w:val="1"/>
      </w:pPr>
      <w:r>
        <w:rPr>
          <w:rFonts w:hAnsi="Arial"/>
          <w:rFonts w:ascii="Arial"/>
          <w:sz w:val="24"/>
          <w:color w:val="black"/>
        </w:rPr>
        <w:t xml:space="preserve">c) Esquemas de protecciσn, avanzadas, anαlisis de rutas. </w:t>
      </w:r>
    </w:p>
    <w:p>
      <w:pPr>
        <w:jc w:val="both"/>
        <w:outlineLvl w:val="1"/>
      </w:pPr>
      <w:r>
        <w:rPr>
          <w:rFonts w:hAnsi="Arial"/>
          <w:rFonts w:ascii="Arial"/>
          <w:sz w:val="24"/>
          <w:color w:val="black"/>
        </w:rPr>
        <w:t xml:space="preserve">d) Seguridad de informaciσn. </w:t>
      </w:r>
    </w:p>
    <w:p>
      <w:pPr>
        <w:jc w:val="both"/>
        <w:outlineLvl w:val="1"/>
      </w:pPr>
      <w:r>
        <w:rPr>
          <w:rFonts w:hAnsi="Arial"/>
          <w:rFonts w:ascii="Arial"/>
          <w:sz w:val="24"/>
          <w:color w:val="black"/>
        </w:rPr>
        <w:t xml:space="preserve">e) Prevenciσn de riesgos. Evaluar los riesgos del protegido de acuerdo con el entorno y normativa de seguridad. </w:t>
      </w:r>
    </w:p>
    <w:p>
      <w:pPr>
        <w:jc w:val="both"/>
        <w:outlineLvl w:val="1"/>
      </w:pPr>
      <w:r>
        <w:rPr>
          <w:rFonts w:hAnsi="Arial"/>
          <w:rFonts w:ascii="Arial"/>
          <w:sz w:val="24"/>
          <w:color w:val="black"/>
        </w:rPr>
        <w:t xml:space="preserve">f) Observaciσn y percepciσn de amenazas. </w:t>
      </w:r>
    </w:p>
    <w:p>
      <w:pPr>
        <w:jc w:val="both"/>
        <w:outlineLvl w:val="1"/>
      </w:pPr>
      <w:rPr>
        <w:sz w:val="24"/>
        <w:b/>
        <w:color w:val="black"/>
      </w:rPr>
    </w:p>
    <w:p>
      <w:pPr>
        <w:jc w:val="both"/>
        <w:outlineLvl w:val="1"/>
      </w:pPr>
      <w:r>
        <w:rPr>
          <w:rFonts w:hAnsi="Arial"/>
          <w:rFonts w:ascii="Arial"/>
          <w:sz w:val="24"/>
          <w:b/>
          <w:color w:val="black"/>
        </w:rPr>
        <w:t xml:space="preserve">2. HABILIDADES </w:t>
      </w:r>
    </w:p>
    <w:p>
      <w:pPr>
        <w:jc w:val="both"/>
        <w:outlineLvl w:val="1"/>
      </w:pPr>
      <w:rPr>
        <w:sz w:val="24"/>
        <w:b/>
        <w:color w:val="black"/>
      </w:rPr>
    </w:p>
    <w:p>
      <w:pPr>
        <w:jc w:val="both"/>
        <w:outlineLvl w:val="1"/>
      </w:pPr>
      <w:r>
        <w:rPr>
          <w:rFonts w:hAnsi="Arial"/>
          <w:rFonts w:ascii="Arial"/>
          <w:sz w:val="24"/>
          <w:color w:val="black"/>
        </w:rPr>
        <w:t xml:space="preserve">a) Manejo seguro de armas (cumplimiento examen psicofνsico). </w:t>
      </w:r>
    </w:p>
    <w:p>
      <w:pPr>
        <w:jc w:val="both"/>
        <w:outlineLvl w:val="1"/>
      </w:pPr>
      <w:r>
        <w:rPr>
          <w:rFonts w:hAnsi="Arial"/>
          <w:rFonts w:ascii="Arial"/>
          <w:sz w:val="24"/>
          <w:color w:val="black"/>
        </w:rPr>
        <w:t xml:space="preserve">b) Manejo de tecnologνas en dispositivos mσviles. </w:t>
      </w:r>
    </w:p>
    <w:p>
      <w:pPr>
        <w:jc w:val="both"/>
        <w:outlineLvl w:val="1"/>
      </w:pPr>
      <w:r>
        <w:rPr>
          <w:rFonts w:hAnsi="Arial"/>
          <w:rFonts w:ascii="Arial"/>
          <w:sz w:val="24"/>
          <w:color w:val="black"/>
        </w:rPr>
        <w:t xml:space="preserve">c) Uso de equipos de comunicaciσn. </w:t>
      </w:r>
    </w:p>
    <w:p>
      <w:pPr>
        <w:jc w:val="both"/>
        <w:outlineLvl w:val="1"/>
      </w:pPr>
      <w:r>
        <w:rPr>
          <w:rFonts w:hAnsi="Arial"/>
          <w:rFonts w:ascii="Arial"/>
          <w:sz w:val="24"/>
          <w:color w:val="black"/>
        </w:rPr>
        <w:t xml:space="preserve">d) Composiciσn y redacciσn de: informes, libros de control, reportes, planillas, formatos, etc. </w:t>
      </w:r>
    </w:p>
    <w:p>
      <w:pPr>
        <w:jc w:val="both"/>
        <w:outlineLvl w:val="1"/>
      </w:pPr>
      <w:r>
        <w:rPr>
          <w:rFonts w:hAnsi="Arial"/>
          <w:rFonts w:ascii="Arial"/>
          <w:sz w:val="24"/>
          <w:color w:val="black"/>
        </w:rPr>
        <w:t xml:space="preserve">e) Primeros auxilios (mιdicos y psicolσgicos). </w:t>
      </w:r>
    </w:p>
    <w:p>
      <w:pPr>
        <w:jc w:val="both"/>
        <w:outlineLvl w:val="1"/>
      </w:pPr>
      <w:rPr>
        <w:sz w:val="24"/>
        <w:b/>
        <w:color w:val="black"/>
      </w:rPr>
    </w:p>
    <w:p>
      <w:pPr>
        <w:jc w:val="both"/>
        <w:outlineLvl w:val="1"/>
      </w:pPr>
      <w:r>
        <w:rPr>
          <w:rFonts w:hAnsi="Arial"/>
          <w:rFonts w:ascii="Arial"/>
          <w:sz w:val="24"/>
          <w:b/>
          <w:color w:val="black"/>
        </w:rPr>
        <w:t xml:space="preserve">3. CAPACIDAD DE GESTIΣN </w:t>
      </w:r>
    </w:p>
    <w:p>
      <w:pPr>
        <w:jc w:val="both"/>
        <w:outlineLvl w:val="1"/>
      </w:pPr>
      <w:rPr>
        <w:sz w:val="24"/>
        <w:b/>
        <w:color w:val="black"/>
      </w:rPr>
    </w:p>
    <w:p>
      <w:pPr>
        <w:jc w:val="both"/>
        <w:outlineLvl w:val="1"/>
      </w:pPr>
      <w:r>
        <w:rPr>
          <w:rFonts w:hAnsi="Arial"/>
          <w:rFonts w:ascii="Arial"/>
          <w:sz w:val="24"/>
          <w:color w:val="black"/>
        </w:rPr>
        <w:t xml:space="preserve">a) Gestionar servicios de protecciσn de personas, vehνculos y/o mercancνas con eficacia. </w:t>
      </w:r>
    </w:p>
    <w:p>
      <w:pPr>
        <w:jc w:val="both"/>
        <w:outlineLvl w:val="1"/>
      </w:pPr>
      <w:r>
        <w:rPr>
          <w:rFonts w:hAnsi="Arial"/>
          <w:rFonts w:ascii="Arial"/>
          <w:sz w:val="24"/>
          <w:color w:val="black"/>
        </w:rPr>
        <w:t xml:space="preserve">b) Atenciσn a clientes internos y externos. </w:t>
      </w:r>
    </w:p>
    <w:p>
      <w:pPr>
        <w:jc w:val="both"/>
        <w:outlineLvl w:val="1"/>
      </w:pPr>
      <w:r>
        <w:rPr>
          <w:rFonts w:hAnsi="Arial"/>
          <w:rFonts w:ascii="Arial"/>
          <w:sz w:val="24"/>
          <w:color w:val="black"/>
        </w:rPr>
        <w:t xml:space="preserve">c) Implementaciσn de protocolos y procedimientos de protecciσn a personas. </w:t>
      </w:r>
    </w:p>
    <w:p>
      <w:pPr>
        <w:jc w:val="both"/>
        <w:outlineLvl w:val="1"/>
      </w:pPr>
      <w:r>
        <w:rPr>
          <w:rFonts w:hAnsi="Arial"/>
          <w:rFonts w:ascii="Arial"/>
          <w:sz w:val="24"/>
          <w:color w:val="black"/>
        </w:rPr>
        <w:t xml:space="preserve">d) Prevenir incidentes de seguridad. </w:t>
      </w:r>
    </w:p>
    <w:p>
      <w:pPr>
        <w:jc w:val="both"/>
        <w:outlineLvl w:val="1"/>
      </w:pPr>
      <w:rPr>
        <w:sz w:val="24"/>
        <w:b/>
        <w:color w:val="black"/>
      </w:rPr>
    </w:p>
    <w:p>
      <w:pPr>
        <w:jc w:val="both"/>
        <w:outlineLvl w:val="1"/>
      </w:pPr>
      <w:r>
        <w:rPr>
          <w:rFonts w:hAnsi="Arial"/>
          <w:rFonts w:ascii="Arial"/>
          <w:sz w:val="24"/>
          <w:b/>
          <w:color w:val="black"/>
        </w:rPr>
        <w:t xml:space="preserve">4. CAPACIDAD DE RELACIONAMIENTO </w:t>
      </w:r>
    </w:p>
    <w:p>
      <w:pPr>
        <w:jc w:val="both"/>
        <w:outlineLvl w:val="1"/>
      </w:pPr>
      <w:rPr>
        <w:sz w:val="24"/>
        <w:b/>
        <w:color w:val="black"/>
      </w:rPr>
    </w:p>
    <w:p>
      <w:pPr>
        <w:jc w:val="both"/>
        <w:outlineLvl w:val="1"/>
      </w:pPr>
      <w:r>
        <w:rPr>
          <w:rFonts w:hAnsi="Arial"/>
          <w:rFonts w:ascii="Arial"/>
          <w:sz w:val="24"/>
          <w:color w:val="black"/>
        </w:rPr>
        <w:t xml:space="preserve">a) Preservar la ιtica en la prestaciσn de los servicios. </w:t>
      </w:r>
    </w:p>
    <w:p>
      <w:pPr>
        <w:jc w:val="both"/>
        <w:outlineLvl w:val="1"/>
      </w:pPr>
      <w:r>
        <w:rPr>
          <w:rFonts w:hAnsi="Arial"/>
          <w:rFonts w:ascii="Arial"/>
          <w:sz w:val="24"/>
          <w:color w:val="black"/>
        </w:rPr>
        <w:t xml:space="preserve">b) Generar adecuadas relaciones interpersonales. </w:t>
      </w:r>
    </w:p>
    <w:p>
      <w:pPr>
        <w:jc w:val="both"/>
        <w:outlineLvl w:val="1"/>
      </w:pPr>
      <w:r>
        <w:rPr>
          <w:rFonts w:hAnsi="Arial"/>
          <w:rFonts w:ascii="Arial"/>
          <w:sz w:val="24"/>
          <w:color w:val="black"/>
        </w:rPr>
        <w:t xml:space="preserve">c) Actitud de servicio al cliente. </w:t>
      </w:r>
    </w:p>
    <w:p>
      <w:pPr>
        <w:jc w:val="both"/>
        <w:outlineLvl w:val="1"/>
      </w:pPr>
      <w:r>
        <w:rPr>
          <w:rFonts w:hAnsi="Arial"/>
          <w:rFonts w:ascii="Arial"/>
          <w:sz w:val="24"/>
          <w:color w:val="black"/>
        </w:rPr>
        <w:t xml:space="preserve">d) Manejo del estrιs y trabajo bajo presiσn. </w:t>
      </w:r>
    </w:p>
    <w:p>
      <w:pPr>
        <w:jc w:val="both"/>
        <w:outlineLvl w:val="1"/>
      </w:pPr>
      <w:r>
        <w:rPr>
          <w:rFonts w:hAnsi="Arial"/>
          <w:rFonts w:ascii="Arial"/>
          <w:sz w:val="24"/>
          <w:color w:val="black"/>
        </w:rPr>
        <w:t xml:space="preserve">e) Evitar violencia en el lugar de trabajo. </w:t>
      </w:r>
    </w:p>
    <w:p>
      <w:pPr>
        <w:jc w:val="both"/>
        <w:outlineLvl w:val="1"/>
      </w:pPr>
      <w:r>
        <w:rPr>
          <w:rFonts w:hAnsi="Arial"/>
          <w:rFonts w:ascii="Arial"/>
          <w:sz w:val="24"/>
          <w:color w:val="black"/>
        </w:rPr>
        <w:t xml:space="preserve">f) Soluciσn de conflictos.</w:t>
      </w:r>
    </w:p>
    <w:p>
      <w:pPr>
        <w:jc w:val="both"/>
        <w:outlineLvl w:val="1"/>
      </w:pPr>
      <w:r>
        <w:rPr>
          <w:rFonts w:hAnsi="Arial"/>
          <w:rFonts w:ascii="Arial"/>
          <w:sz w:val="24"/>
          <w:color w:val="black"/>
        </w:rPr>
        <w:t xml:space="preserve">g) Normas y protocolo de comportamiento. </w:t>
      </w:r>
    </w:p>
    <w:p>
      <w:pPr>
        <w:jc w:val="both"/>
        <w:outlineLvl w:val="1"/>
      </w:pPr>
      <w:r>
        <w:rPr>
          <w:rFonts w:hAnsi="Arial"/>
          <w:rFonts w:ascii="Arial"/>
          <w:sz w:val="24"/>
          <w:color w:val="black"/>
        </w:rPr>
        <w:t xml:space="preserve">h) Actuar con inteligencia emocional. </w:t>
      </w:r>
    </w:p>
    <w:p>
      <w:pPr>
        <w:jc w:val="both"/>
        <w:outlineLvl w:val="1"/>
      </w:pPr>
      <w:r>
        <w:rPr>
          <w:rFonts w:hAnsi="Arial"/>
          <w:rFonts w:ascii="Arial"/>
          <w:sz w:val="24"/>
          <w:color w:val="black"/>
        </w:rPr>
        <w:t xml:space="preserve">i) Comunicarse asertivamente. </w:t>
      </w:r>
    </w:p>
    <w:p>
      <w:pPr>
        <w:jc w:val="both"/>
        <w:outlineLvl w:val="1"/>
      </w:pPr>
      <w:r>
        <w:rPr>
          <w:rFonts w:hAnsi="Arial"/>
          <w:rFonts w:ascii="Arial"/>
          <w:sz w:val="24"/>
          <w:color w:val="black"/>
        </w:rPr>
        <w:t xml:space="preserve">j) Actualizarse en las nuevas tecnologνas. </w:t>
      </w:r>
    </w:p>
    <w:p>
      <w:pPr>
        <w:jc w:val="both"/>
        <w:keepNext/>
      </w:pPr>
      <w:rPr>
        <w:color w:val="black"/>
      </w:rPr>
    </w:p>
    <w:p>
      <w:pPr>
        <w:jc w:val="both"/>
        <w:keepNext/>
        <w:outlineLvl w:val="1"/>
      </w:pPr>
      <w:r>
        <w:rPr>
          <w:rFonts w:hAnsi="Arial"/>
          <w:rFonts w:ascii="Arial"/>
          <w:sz w:val="24"/>
          <w:b/>
          <w:vanish/>
          <w:color w:val="black"/>
        </w:rPr>
        <w:t>&amp;$</w:t>
      </w:r>
      <w:bookmarkStart w:id="62318" w:name="2.6.1.1.13.2.28"/>
      <w:r>
        <w:rPr>
          <w:rFonts w:hAnsi="Arial"/>
          <w:rFonts w:ascii="Arial"/>
          <w:sz w:val="24"/>
          <w:color w:val="navy"/>
        </w:rPr>
        <w:t xml:space="preserve">ARTΝCULO 2.6.1.1.13.2.28. PERFIL DE EGRESO PARA OPERADORES DE MEDIO TECNOLΣGICO.</w:t>
      </w:r>
      <w:bookmarkEnd w:id="6231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De acuerdo con el nivel de cualificaciσn respectivo, los Operadores de medio Tecnolσgico deberαn contar como mνnimo con los conocimientos, habilidades, capacidad de gestiσn y capacidad de relacionamiento descritos a continuaciσn: </w:t>
      </w:r>
    </w:p>
    <w:p>
      <w:pPr>
        <w:jc w:val="both"/>
        <w:keepNext/>
        <w:outlineLvl w:val="1"/>
      </w:pPr>
      <w:rPr>
        <w:sz w:val="24"/>
        <w:b/>
        <w:color w:val="black"/>
      </w:rPr>
    </w:p>
    <w:p>
      <w:pPr>
        <w:jc w:val="both"/>
        <w:keepNext/>
        <w:outlineLvl w:val="1"/>
      </w:pPr>
      <w:r>
        <w:rPr>
          <w:rFonts w:hAnsi="Arial"/>
          <w:rFonts w:ascii="Arial"/>
          <w:sz w:val="24"/>
          <w:b/>
          <w:color w:val="black"/>
        </w:rPr>
        <w:t xml:space="preserve">1. CONOCIMIENTOS </w:t>
      </w:r>
    </w:p>
    <w:p>
      <w:pPr>
        <w:jc w:val="both"/>
        <w:keepNext/>
        <w:outlineLvl w:val="1"/>
      </w:pPr>
      <w:rPr>
        <w:sz w:val="24"/>
        <w:b/>
        <w:color w:val="black"/>
      </w:rPr>
    </w:p>
    <w:p>
      <w:pPr>
        <w:jc w:val="both"/>
        <w:keepNext/>
        <w:outlineLvl w:val="1"/>
      </w:pPr>
      <w:r>
        <w:rPr>
          <w:rFonts w:hAnsi="Arial"/>
          <w:rFonts w:ascii="Arial"/>
          <w:sz w:val="24"/>
          <w:color w:val="black"/>
        </w:rPr>
        <w:t xml:space="preserve">a) Marco Legal de la vigilancia y seguridad privada en Colombia. </w:t>
      </w:r>
    </w:p>
    <w:p>
      <w:pPr>
        <w:jc w:val="both"/>
        <w:keepNext/>
        <w:outlineLvl w:val="1"/>
      </w:pPr>
      <w:r>
        <w:rPr>
          <w:rFonts w:hAnsi="Arial"/>
          <w:rFonts w:ascii="Arial"/>
          <w:sz w:val="24"/>
          <w:color w:val="black"/>
        </w:rPr>
        <w:t xml:space="preserve">b) Seguridad fνsica en la protecciσn de activos. </w:t>
      </w:r>
    </w:p>
    <w:p>
      <w:pPr>
        <w:jc w:val="both"/>
        <w:keepNext/>
        <w:outlineLvl w:val="1"/>
      </w:pPr>
      <w:r>
        <w:rPr>
          <w:rFonts w:hAnsi="Arial"/>
          <w:rFonts w:ascii="Arial"/>
          <w:sz w:val="24"/>
          <w:color w:val="black"/>
        </w:rPr>
        <w:t xml:space="preserve">c) Seguridad electrσnica. </w:t>
      </w:r>
    </w:p>
    <w:p>
      <w:pPr>
        <w:jc w:val="both"/>
        <w:keepNext/>
        <w:outlineLvl w:val="1"/>
      </w:pPr>
      <w:r>
        <w:rPr>
          <w:rFonts w:hAnsi="Arial"/>
          <w:rFonts w:ascii="Arial"/>
          <w:sz w:val="24"/>
          <w:color w:val="black"/>
        </w:rPr>
        <w:t xml:space="preserve">d) Seguridad de informaciσn. </w:t>
      </w:r>
    </w:p>
    <w:p>
      <w:pPr>
        <w:jc w:val="both"/>
        <w:keepNext/>
        <w:outlineLvl w:val="1"/>
      </w:pPr>
      <w:r>
        <w:rPr>
          <w:rFonts w:hAnsi="Arial"/>
          <w:rFonts w:ascii="Arial"/>
          <w:sz w:val="24"/>
          <w:color w:val="black"/>
        </w:rPr>
        <w:t xml:space="preserve">e) Prevenciσn de riesgos, observaciσn y percepciσn de amenazas. </w:t>
      </w:r>
    </w:p>
    <w:p>
      <w:pPr>
        <w:jc w:val="both"/>
        <w:keepNext/>
        <w:outlineLvl w:val="1"/>
      </w:pPr>
      <w:rPr>
        <w:sz w:val="24"/>
        <w:b/>
        <w:color w:val="black"/>
      </w:rPr>
    </w:p>
    <w:p>
      <w:pPr>
        <w:jc w:val="both"/>
        <w:keepNext/>
        <w:outlineLvl w:val="1"/>
      </w:pPr>
      <w:r>
        <w:rPr>
          <w:rFonts w:hAnsi="Arial"/>
          <w:rFonts w:ascii="Arial"/>
          <w:sz w:val="24"/>
          <w:b/>
          <w:color w:val="black"/>
        </w:rPr>
        <w:t xml:space="preserve">2. HABILIDADES </w:t>
      </w:r>
    </w:p>
    <w:p>
      <w:pPr>
        <w:jc w:val="both"/>
        <w:keepNext/>
        <w:outlineLvl w:val="1"/>
      </w:pPr>
      <w:rPr>
        <w:sz w:val="24"/>
        <w:b/>
        <w:color w:val="black"/>
      </w:rPr>
    </w:p>
    <w:p>
      <w:pPr>
        <w:jc w:val="both"/>
        <w:keepNext/>
        <w:outlineLvl w:val="1"/>
      </w:pPr>
      <w:r>
        <w:rPr>
          <w:rFonts w:hAnsi="Arial"/>
          <w:rFonts w:ascii="Arial"/>
          <w:sz w:val="24"/>
          <w:color w:val="black"/>
        </w:rPr>
        <w:t xml:space="preserve">a) Manejo de sistemas electrσnicos en un comando center. </w:t>
      </w:r>
    </w:p>
    <w:p>
      <w:pPr>
        <w:jc w:val="both"/>
        <w:keepNext/>
        <w:outlineLvl w:val="1"/>
      </w:pPr>
      <w:rPr>
        <w:sz w:val="24"/>
        <w:b/>
        <w:color w:val="black"/>
      </w:rPr>
    </w:p>
    <w:p>
      <w:pPr>
        <w:jc w:val="both"/>
        <w:keepNext/>
        <w:outlineLvl w:val="1"/>
      </w:pPr>
      <w:r>
        <w:rPr>
          <w:rFonts w:hAnsi="Arial"/>
          <w:rFonts w:ascii="Arial"/>
          <w:sz w:val="24"/>
          <w:color w:val="black"/>
        </w:rPr>
        <w:t xml:space="preserve">b) Manejo de CCTV, consolas, sistemas de alarmas, GPS, mapas, y otros. </w:t>
      </w:r>
    </w:p>
    <w:p>
      <w:pPr>
        <w:jc w:val="both"/>
        <w:keepNext/>
        <w:outlineLvl w:val="1"/>
      </w:pPr>
      <w:rPr>
        <w:sz w:val="24"/>
        <w:b/>
        <w:color w:val="black"/>
      </w:rPr>
    </w:p>
    <w:p>
      <w:pPr>
        <w:jc w:val="both"/>
        <w:keepNext/>
        <w:outlineLvl w:val="1"/>
      </w:pPr>
      <w:r>
        <w:rPr>
          <w:rFonts w:hAnsi="Arial"/>
          <w:rFonts w:ascii="Arial"/>
          <w:sz w:val="24"/>
          <w:color w:val="black"/>
        </w:rPr>
        <w:t xml:space="preserve">c) Uso de equipos de comunicaciσn composiciσn y redacciσn (informes, libros de control, Reportes, planillas, formatos, etc.). </w:t>
      </w:r>
    </w:p>
    <w:p>
      <w:pPr>
        <w:jc w:val="both"/>
        <w:keepNext/>
        <w:outlineLvl w:val="1"/>
      </w:pPr>
      <w:rPr>
        <w:sz w:val="24"/>
        <w:b/>
        <w:color w:val="black"/>
      </w:rPr>
    </w:p>
    <w:p>
      <w:pPr>
        <w:jc w:val="both"/>
        <w:keepNext/>
        <w:outlineLvl w:val="1"/>
      </w:pPr>
      <w:r>
        <w:rPr>
          <w:rFonts w:hAnsi="Arial"/>
          <w:rFonts w:ascii="Arial"/>
          <w:sz w:val="24"/>
          <w:color w:val="black"/>
        </w:rPr>
        <w:t xml:space="preserve">d) Primeros auxilios (mιdicos y psicolσgicos). </w:t>
      </w:r>
    </w:p>
    <w:p>
      <w:pPr>
        <w:jc w:val="both"/>
        <w:keepNext/>
        <w:outlineLvl w:val="1"/>
      </w:pPr>
      <w:rPr>
        <w:sz w:val="24"/>
        <w:b/>
        <w:color w:val="black"/>
      </w:rPr>
    </w:p>
    <w:p>
      <w:pPr>
        <w:jc w:val="both"/>
        <w:keepNext/>
        <w:outlineLvl w:val="1"/>
      </w:pPr>
      <w:r>
        <w:rPr>
          <w:rFonts w:hAnsi="Arial"/>
          <w:rFonts w:ascii="Arial"/>
          <w:sz w:val="24"/>
          <w:b/>
          <w:color w:val="black"/>
        </w:rPr>
        <w:t xml:space="preserve">3. CAPACIDAD DE GESTIΣN </w:t>
      </w:r>
    </w:p>
    <w:p>
      <w:pPr>
        <w:jc w:val="both"/>
        <w:keepNext/>
        <w:outlineLvl w:val="1"/>
      </w:pPr>
      <w:rPr>
        <w:sz w:val="24"/>
        <w:b/>
        <w:color w:val="black"/>
      </w:rPr>
    </w:p>
    <w:p>
      <w:pPr>
        <w:jc w:val="both"/>
        <w:keepNext/>
        <w:outlineLvl w:val="1"/>
      </w:pPr>
      <w:r>
        <w:rPr>
          <w:rFonts w:hAnsi="Arial"/>
          <w:rFonts w:ascii="Arial"/>
          <w:sz w:val="24"/>
          <w:color w:val="black"/>
        </w:rPr>
        <w:t xml:space="preserve">a) Gestiσn de servicios de operaciσn de medios tecnolσgicos con eficacia. </w:t>
      </w:r>
    </w:p>
    <w:p>
      <w:pPr>
        <w:jc w:val="both"/>
        <w:keepNext/>
        <w:outlineLvl w:val="1"/>
      </w:pPr>
      <w:r>
        <w:rPr>
          <w:rFonts w:hAnsi="Arial"/>
          <w:rFonts w:ascii="Arial"/>
          <w:sz w:val="24"/>
          <w:color w:val="black"/>
        </w:rPr>
        <w:t xml:space="preserve">b) Atenciσn a clientes internos y externos. </w:t>
      </w:r>
    </w:p>
    <w:p>
      <w:pPr>
        <w:jc w:val="both"/>
        <w:keepNext/>
        <w:outlineLvl w:val="1"/>
      </w:pPr>
      <w:r>
        <w:rPr>
          <w:rFonts w:hAnsi="Arial"/>
          <w:rFonts w:ascii="Arial"/>
          <w:sz w:val="24"/>
          <w:color w:val="black"/>
        </w:rPr>
        <w:t xml:space="preserve">c) Implementaciσn de protocolos y procedimientos de medios tecnolσgicos. </w:t>
      </w:r>
    </w:p>
    <w:p>
      <w:pPr>
        <w:jc w:val="both"/>
        <w:keepNext/>
        <w:outlineLvl w:val="1"/>
      </w:pPr>
      <w:r>
        <w:rPr>
          <w:rFonts w:hAnsi="Arial"/>
          <w:rFonts w:ascii="Arial"/>
          <w:sz w:val="24"/>
          <w:color w:val="black"/>
        </w:rPr>
        <w:t xml:space="preserve">d) Prevenciσn de incidentes de seguridad. </w:t>
      </w:r>
    </w:p>
    <w:p>
      <w:pPr>
        <w:jc w:val="both"/>
        <w:keepNext/>
        <w:outlineLvl w:val="1"/>
      </w:pPr>
      <w:r>
        <w:rPr>
          <w:rFonts w:hAnsi="Arial"/>
          <w:rFonts w:ascii="Arial"/>
          <w:sz w:val="24"/>
          <w:color w:val="black"/>
        </w:rPr>
        <w:t xml:space="preserve">e) Ejecuciσn de protocolo de operaciσn de sistemas de seguridad. </w:t>
      </w:r>
    </w:p>
    <w:p>
      <w:pPr>
        <w:jc w:val="both"/>
        <w:keepNext/>
        <w:outlineLvl w:val="1"/>
      </w:pPr>
      <w:rPr>
        <w:sz w:val="24"/>
        <w:b/>
        <w:color w:val="black"/>
      </w:rPr>
    </w:p>
    <w:p>
      <w:pPr>
        <w:jc w:val="both"/>
        <w:keepNext/>
        <w:outlineLvl w:val="1"/>
      </w:pPr>
      <w:r>
        <w:rPr>
          <w:rFonts w:hAnsi="Arial"/>
          <w:rFonts w:ascii="Arial"/>
          <w:sz w:val="24"/>
          <w:b/>
          <w:color w:val="black"/>
        </w:rPr>
        <w:t xml:space="preserve">4. CAPACIDAD DE RELACIONAMIENTO </w:t>
      </w:r>
    </w:p>
    <w:p>
      <w:pPr>
        <w:jc w:val="both"/>
        <w:keepNext/>
        <w:outlineLvl w:val="1"/>
      </w:pPr>
      <w:rPr>
        <w:sz w:val="24"/>
        <w:b/>
        <w:color w:val="black"/>
      </w:rPr>
    </w:p>
    <w:p>
      <w:pPr>
        <w:jc w:val="both"/>
        <w:keepNext/>
        <w:outlineLvl w:val="1"/>
      </w:pPr>
      <w:r>
        <w:rPr>
          <w:rFonts w:hAnsi="Arial"/>
          <w:rFonts w:ascii="Arial"/>
          <w:sz w:val="24"/>
          <w:color w:val="black"/>
        </w:rPr>
        <w:t xml:space="preserve">a) Preservar la ιtica en la prestaciσn de los servicios. </w:t>
      </w:r>
    </w:p>
    <w:p>
      <w:pPr>
        <w:jc w:val="both"/>
        <w:keepNext/>
        <w:outlineLvl w:val="1"/>
      </w:pPr>
      <w:r>
        <w:rPr>
          <w:rFonts w:hAnsi="Arial"/>
          <w:rFonts w:ascii="Arial"/>
          <w:sz w:val="24"/>
          <w:color w:val="black"/>
        </w:rPr>
        <w:t xml:space="preserve">b) Generar adecuadas relaciones interpersonales. </w:t>
      </w:r>
    </w:p>
    <w:p>
      <w:pPr>
        <w:jc w:val="both"/>
        <w:keepNext/>
        <w:outlineLvl w:val="1"/>
      </w:pPr>
      <w:r>
        <w:rPr>
          <w:rFonts w:hAnsi="Arial"/>
          <w:rFonts w:ascii="Arial"/>
          <w:sz w:val="24"/>
          <w:color w:val="black"/>
        </w:rPr>
        <w:t xml:space="preserve">c) Actitud de servicio al cliente. </w:t>
      </w:r>
    </w:p>
    <w:p>
      <w:pPr>
        <w:jc w:val="both"/>
        <w:keepNext/>
        <w:outlineLvl w:val="1"/>
      </w:pPr>
      <w:r>
        <w:rPr>
          <w:rFonts w:hAnsi="Arial"/>
          <w:rFonts w:ascii="Arial"/>
          <w:sz w:val="24"/>
          <w:color w:val="black"/>
        </w:rPr>
        <w:t xml:space="preserve">d) Manejo del estrιs. </w:t>
      </w:r>
    </w:p>
    <w:p>
      <w:pPr>
        <w:jc w:val="both"/>
        <w:keepNext/>
        <w:outlineLvl w:val="1"/>
      </w:pPr>
      <w:r>
        <w:rPr>
          <w:rFonts w:hAnsi="Arial"/>
          <w:rFonts w:ascii="Arial"/>
          <w:sz w:val="24"/>
          <w:color w:val="black"/>
        </w:rPr>
        <w:t xml:space="preserve">e) Trabajo bajo presiσn. </w:t>
      </w:r>
    </w:p>
    <w:p>
      <w:pPr>
        <w:jc w:val="both"/>
        <w:keepNext/>
        <w:outlineLvl w:val="1"/>
      </w:pPr>
      <w:r>
        <w:rPr>
          <w:rFonts w:hAnsi="Arial"/>
          <w:rFonts w:ascii="Arial"/>
          <w:sz w:val="24"/>
          <w:color w:val="black"/>
        </w:rPr>
        <w:t xml:space="preserve">f) Evitar violencia en el lugar de trabajo. </w:t>
      </w:r>
    </w:p>
    <w:p>
      <w:pPr>
        <w:jc w:val="both"/>
        <w:keepNext/>
        <w:outlineLvl w:val="1"/>
      </w:pPr>
      <w:r>
        <w:rPr>
          <w:rFonts w:hAnsi="Arial"/>
          <w:rFonts w:ascii="Arial"/>
          <w:sz w:val="24"/>
          <w:color w:val="black"/>
        </w:rPr>
        <w:t xml:space="preserve">g) Soluciσn de conflictos. </w:t>
      </w:r>
    </w:p>
    <w:p>
      <w:pPr>
        <w:jc w:val="both"/>
        <w:keepNext/>
        <w:outlineLvl w:val="1"/>
      </w:pPr>
      <w:r>
        <w:rPr>
          <w:rFonts w:hAnsi="Arial"/>
          <w:rFonts w:ascii="Arial"/>
          <w:sz w:val="24"/>
          <w:color w:val="black"/>
        </w:rPr>
        <w:t xml:space="preserve">h) Normas y protocolo de comportamiento. </w:t>
      </w:r>
    </w:p>
    <w:p>
      <w:pPr>
        <w:jc w:val="both"/>
        <w:keepNext/>
        <w:outlineLvl w:val="1"/>
      </w:pPr>
      <w:r>
        <w:rPr>
          <w:rFonts w:hAnsi="Arial"/>
          <w:rFonts w:ascii="Arial"/>
          <w:sz w:val="24"/>
          <w:color w:val="black"/>
        </w:rPr>
        <w:t xml:space="preserve">i) Actuar con inteligencia emocional. </w:t>
      </w:r>
    </w:p>
    <w:p>
      <w:pPr>
        <w:jc w:val="both"/>
        <w:keepNext/>
        <w:outlineLvl w:val="1"/>
      </w:pPr>
      <w:r>
        <w:rPr>
          <w:rFonts w:hAnsi="Arial"/>
          <w:rFonts w:ascii="Arial"/>
          <w:sz w:val="24"/>
          <w:color w:val="black"/>
        </w:rPr>
        <w:t xml:space="preserve">j) Comunicarse asertivamente. </w:t>
      </w:r>
    </w:p>
    <w:p>
      <w:pPr>
        <w:jc w:val="both"/>
        <w:keepNext/>
        <w:outlineLvl w:val="1"/>
      </w:pPr>
      <w:r>
        <w:rPr>
          <w:rFonts w:hAnsi="Arial"/>
          <w:rFonts w:ascii="Arial"/>
          <w:sz w:val="24"/>
          <w:color w:val="black"/>
        </w:rPr>
        <w:t xml:space="preserve">k) Actualizarse a las nuevas tecnologνas. </w:t>
      </w:r>
    </w:p>
    <w:p>
      <w:pPr>
        <w:jc w:val="center"/>
      </w:pPr>
      <w:rPr>
        <w:sz w:val="24"/>
        <w:b/>
        <w:color w:val="black"/>
      </w:rPr>
    </w:p>
    <w:p>
      <w:pPr>
        <w:jc w:val="center"/>
      </w:pPr>
      <w:r>
        <w:rPr>
          <w:rFonts w:hAnsi="Arial"/>
          <w:rFonts w:ascii="Arial"/>
          <w:sz w:val="24"/>
          <w:b/>
          <w:vanish/>
          <w:color w:val="black"/>
        </w:rPr>
        <w:t>&amp;$</w:t>
      </w:r>
      <w:bookmarkStart w:id="62319" w:name="SUBSECCIÓN 2.6.1.1.13.3"/>
      <w:r>
        <w:rPr>
          <w:rFonts w:hAnsi="Arial"/>
          <w:rFonts w:ascii="Arial"/>
          <w:sz w:val="24"/>
          <w:color w:val="navy"/>
        </w:rPr>
        <w:t xml:space="preserve">SUBSECCIΣN 3. </w:t>
      </w:r>
    </w:p>
    <w:p>
      <w:pPr>
        <w:jc w:val="center"/>
        <w:outlineLvl w:val="1"/>
      </w:pPr>
      <w:r>
        <w:rPr>
          <w:rFonts w:hAnsi="Arial"/>
          <w:rFonts w:ascii="Arial"/>
          <w:sz w:val="24"/>
          <w:color w:val="navy"/>
        </w:rPr>
        <w:t xml:space="preserve">REGISTRO, REQUISITOS, EVALUACIONES Y REPORTES.</w:t>
      </w:r>
      <w:bookmarkEnd w:id="6231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2320" w:name="2.6.1.1.13.3.1"/>
      <w:r>
        <w:rPr>
          <w:rFonts w:hAnsi="Arial"/>
          <w:rFonts w:ascii="Arial"/>
          <w:sz w:val="24"/>
          <w:color w:val="navy"/>
        </w:rPr>
        <w:t xml:space="preserve">ARTΝCULO 2.6.1.1.13.3.1. SISTEMA DE REGISTRO, AUTENTICACIΣN Y VALIDACIΣN DE LA IDENTIFICACIΣN DE LOS ESTUDIANTES PARA EL CONTROL EN EL PROCESO DE FORMACIΣN EN VIGILANCIA Y SEGURIDAD PRIVADA.</w:t>
      </w:r>
      <w:bookmarkEnd w:id="6232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El sistema de registro, autenticaciσn y validaciσn de la identificaciσn de los estudiantes y control en el proceso de formaciσn en vigilancia y seguridad privada tiene como finalidad garantizar la presencia, identidad y validaciσn del estudiante en la Escuelas y/o Departamentos de Capacitaciσn en Vigilancia y Seguridad Privada; la realizaciσn de los cursos y evaluaciσn de los ciclos de capacitaciσn y entrenamiento; asν como la ubicaciσn geogrαfica de la Escuela y/o Departamento de Capacitaciσn en Vigilancia y Seguridad Privada que imparte 1 capacitaciσn. </w:t>
      </w:r>
    </w:p>
    <w:p>
      <w:pPr>
        <w:jc w:val="both"/>
        <w:outlineLvl w:val="1"/>
      </w:pPr>
      <w:rPr>
        <w:sz w:val="24"/>
        <w:b/>
        <w:color w:val="black"/>
      </w:rPr>
    </w:p>
    <w:p>
      <w:pPr>
        <w:jc w:val="both"/>
        <w:outlineLvl w:val="1"/>
      </w:pPr>
      <w:r>
        <w:rPr>
          <w:rFonts w:hAnsi="Arial"/>
          <w:rFonts w:ascii="Arial"/>
          <w:sz w:val="24"/>
          <w:color w:val="black"/>
        </w:rPr>
        <w:t xml:space="preserve">Previo a acceder al curso de formaciσn en vigilancia y seguridad privada, la Escuela o Departamento de Capacitaciσn y Entrenamiento en Vigilancia y Seguridad Privada, deberα cumplir con el siguiente protocolo: </w:t>
      </w:r>
    </w:p>
    <w:p>
      <w:pPr>
        <w:jc w:val="both"/>
        <w:outlineLvl w:val="1"/>
      </w:pPr>
      <w:rPr>
        <w:sz w:val="24"/>
        <w:b/>
        <w:color w:val="black"/>
      </w:rPr>
    </w:p>
    <w:p>
      <w:pPr>
        <w:jc w:val="both"/>
        <w:outlineLvl w:val="1"/>
      </w:pPr>
      <w:r>
        <w:rPr>
          <w:rFonts w:hAnsi="Arial"/>
          <w:rFonts w:ascii="Arial"/>
          <w:sz w:val="24"/>
          <w:color w:val="black"/>
        </w:rPr>
        <w:t xml:space="preserve">1. Registrar, autenticar y validar la identificaciσn del estudiante al inicio y al final de cada una de las clases bien sea virtuales o presenciales. El estudiante debe proceder a identificarse mediante lectores de identificaciσn facial al momento de ingresar a la capacitaciσn. </w:t>
      </w:r>
    </w:p>
    <w:p>
      <w:pPr>
        <w:jc w:val="both"/>
        <w:outlineLvl w:val="1"/>
      </w:pPr>
      <w:rPr>
        <w:sz w:val="24"/>
        <w:b/>
        <w:color w:val="black"/>
      </w:rPr>
    </w:p>
    <w:p>
      <w:pPr>
        <w:jc w:val="both"/>
        <w:outlineLvl w:val="1"/>
      </w:pPr>
      <w:r>
        <w:rPr>
          <w:rFonts w:hAnsi="Arial"/>
          <w:rFonts w:ascii="Arial"/>
          <w:sz w:val="24"/>
          <w:color w:val="black"/>
        </w:rPr>
        <w:t xml:space="preserve">2. Tomar la informaciσn de la cιdula de ciudadanνa con lectores de cσdigo de barras. </w:t>
      </w:r>
    </w:p>
    <w:p>
      <w:pPr>
        <w:jc w:val="both"/>
        <w:outlineLvl w:val="1"/>
      </w:pPr>
      <w:rPr>
        <w:sz w:val="24"/>
        <w:b/>
        <w:color w:val="black"/>
      </w:rPr>
    </w:p>
    <w:p>
      <w:pPr>
        <w:jc w:val="both"/>
        <w:outlineLvl w:val="1"/>
      </w:pPr>
      <w:r>
        <w:rPr>
          <w:rFonts w:hAnsi="Arial"/>
          <w:rFonts w:ascii="Arial"/>
          <w:sz w:val="24"/>
          <w:color w:val="black"/>
        </w:rPr>
        <w:t xml:space="preserve">3. Registrar la firma mediante dispositivos digitalizadores de firmas. </w:t>
      </w:r>
    </w:p>
    <w:p>
      <w:pPr>
        <w:jc w:val="both"/>
        <w:outlineLvl w:val="1"/>
      </w:pPr>
      <w:rPr>
        <w:sz w:val="24"/>
        <w:b/>
        <w:color w:val="black"/>
      </w:rPr>
    </w:p>
    <w:p>
      <w:pPr>
        <w:jc w:val="both"/>
        <w:outlineLvl w:val="1"/>
      </w:pPr>
      <w:r>
        <w:rPr>
          <w:rFonts w:hAnsi="Arial"/>
          <w:rFonts w:ascii="Arial"/>
          <w:sz w:val="24"/>
          <w:color w:val="black"/>
        </w:rPr>
        <w:t xml:space="preserve">4. Capturar la foto del usuario a travιs de una cαmara con sensor digital de alta definiciσn, que generen imαgenes nνtidas con mαs grado de detalle, con el fin de identificar al estudiante. </w:t>
      </w:r>
    </w:p>
    <w:p>
      <w:pPr>
        <w:jc w:val="both"/>
        <w:outlineLvl w:val="1"/>
      </w:pPr>
      <w:rPr>
        <w:sz w:val="24"/>
        <w:b/>
        <w:color w:val="black"/>
      </w:rPr>
    </w:p>
    <w:p>
      <w:pPr>
        <w:jc w:val="both"/>
        <w:outlineLvl w:val="1"/>
      </w:pPr>
      <w:r>
        <w:rPr>
          <w:rFonts w:hAnsi="Arial"/>
          <w:rFonts w:ascii="Arial"/>
          <w:sz w:val="24"/>
          <w:color w:val="black"/>
        </w:rPr>
        <w:t xml:space="preserve">5. Registrar y enviar los resultados de los diferentes cursos, evaluaciones, directamente al aplicativo, plataforma o mecanismo idσneo, establecido u homologado, por la Superintendencia de Vigilancia y Seguridad Privada.</w:t>
      </w:r>
    </w:p>
    <w:p>
      <w:pPr>
        <w:jc w:val="both"/>
        <w:outlineLvl w:val="1"/>
      </w:pPr>
      <w:rPr>
        <w:sz w:val="24"/>
        <w:b/>
        <w:color w:val="black"/>
      </w:rPr>
    </w:p>
    <w:p>
      <w:pPr>
        <w:jc w:val="both"/>
        <w:outlineLvl w:val="1"/>
      </w:pPr>
      <w:r>
        <w:rPr>
          <w:rFonts w:hAnsi="Arial"/>
          <w:rFonts w:ascii="Arial"/>
          <w:sz w:val="24"/>
          <w:color w:val="black"/>
        </w:rPr>
        <w:t xml:space="preserve">6. La conectividad con el Sistema Integrado de Seguridad se realizarα a travιs de una Red Privada Virtual que se armarα con dispositivos de seguridad y comunicaciones que controlen, validen la localizaciσn geogrαfica de la a Escuelas y/o Departamentos de Capacitaciσn en Vigilancia y Seguridad Privada, y se pueda garantizar la realizaciσn de los exαmenes para obtener el diploma desde la ubicaciσn de la sede autorizada por la Superintendencia de Vigilancia y Seguridad Privada.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 Escuela o Departamento de Capacitaciσn y Entrenamiento en Vigilancia y Seguridad Privada deberα registrar el horario en que el estudiante recibirα tanto las clases teσricas como las clases prαcticas, asν mismo el registro de evaluaciσn final, el cual determinarα la aprobaciσn o no del curso, dicha informaciσn se utilizarα para control y registro de los estudiantes en proceso de formaciσn. En consecuencia, los parαmetros de registro y seguimiento en el proceso de formaciσn serαn definidos por la Superintendencia de Vigilancia y Seguridad Privada de conformidad con los tιrminos establecidos en el artνculo </w:t>
      </w:r>
      <w:r>
        <w:fldChar w:fldCharType="begin"/>
      </w:r>
      <w:r>
        <w:instrText>HYPERLINK "http://www.redjurista.com/document.aspx?ajcode=d1070015&amp;arts=2.6.1.1.13.2.11"</w:instrText>
      </w:r>
      <w:r>
        <w:fldChar w:fldCharType="separate"/>
      </w:r>
      <w:r>
        <w:rPr>
          <w:rFonts w:hAnsi="Arial"/>
          <w:rFonts w:ascii="Arial"/>
          <w:sz w:val="24"/>
          <w:u w:val="single"/>
          <w:color w:val="black"/>
        </w:rPr>
        <w:t>2.6.1.1.13.2.11</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La Superintendencia de Vigilancia y Seguridad Privada en un tιrmino mαximo de un (1) aρo contado a partir de la publicaciσn en el </w:t>
      </w:r>
      <w:r>
        <w:rPr>
          <w:rFonts w:hAnsi="Arial"/>
          <w:rFonts w:ascii="Arial"/>
          <w:sz w:val="24"/>
          <w:b/>
          <w:color w:val="black"/>
        </w:rPr>
        <w:t xml:space="preserve">Diario Oficial </w:t>
      </w:r>
      <w:r>
        <w:rPr>
          <w:rFonts w:hAnsi="Arial"/>
          <w:rFonts w:ascii="Arial"/>
          <w:sz w:val="24"/>
          <w:color w:val="black"/>
        </w:rPr>
        <w:t xml:space="preserve">de la presente Secciσn, establecerα las condiciones y especificaciones tιcnicas complementarias para la entrada en funcionamiento del Sistema de Registro, Autenticaciσn, Validaciσn e Identificaciσn de los estudiantes para control en el proceso de formaciσn en vigilancia y seguridad privada. </w:t>
      </w:r>
    </w:p>
    <w:p>
      <w:pPr>
        <w:jc w:val="both"/>
      </w:pPr>
      <w:rPr>
        <w:color w:val="black"/>
      </w:rPr>
    </w:p>
    <w:p>
      <w:pPr>
        <w:jc w:val="both"/>
        <w:outlineLvl w:val="1"/>
      </w:pPr>
      <w:r>
        <w:rPr>
          <w:rFonts w:hAnsi="Arial"/>
          <w:rFonts w:ascii="Arial"/>
          <w:sz w:val="24"/>
          <w:b/>
          <w:vanish/>
          <w:color w:val="black"/>
        </w:rPr>
        <w:t>&amp;$</w:t>
      </w:r>
      <w:bookmarkStart w:id="62321" w:name="2.6.1.1.13.3.2"/>
      <w:r>
        <w:rPr>
          <w:rFonts w:hAnsi="Arial"/>
          <w:rFonts w:ascii="Arial"/>
          <w:sz w:val="24"/>
          <w:color w:val="navy"/>
        </w:rPr>
        <w:t xml:space="preserve">ARTΝCULO 2.6.1.1.13.3.2. EVALUACIΣN DE LOS CICLOS DE CAPACITACIΣN Y ENTRENAMIENTO.</w:t>
      </w:r>
      <w:bookmarkEnd w:id="6232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Cada competencia de los cursos de fundamentaciσn, reentrenamiento, especializaciones, profundizaciones y seminarios debe evaluarse al terminar la intensidad horaria asignada, teniendo en cuenta: </w:t>
      </w:r>
    </w:p>
    <w:p>
      <w:pPr>
        <w:outlineLvl w:val="1"/>
      </w:pPr>
      <w:rPr>
        <w:sz w:val="18"/>
        <w:color w:val="black"/>
      </w:rPr>
    </w:p>
    <w:p>
      <w:rPr>
        <w:sz w:val="18"/>
        <w:color w:val="black"/>
      </w:rPr>
    </w:p>
    <w:p>
      <w:pPr>
        <w:jc w:val="both"/>
      </w:pPr>
      <w:rPr>
        <w:sz w:val="24"/>
        <w:b/>
        <w:color w:val="black"/>
      </w:rPr>
    </w:p>
    <w:p>
      <w:pPr>
        <w:jc w:val="both"/>
        <w:outlineLvl w:val="1"/>
      </w:pPr>
      <w:r>
        <w:rPr>
          <w:rFonts w:hAnsi="Arial"/>
          <w:rFonts w:ascii="Arial"/>
          <w:sz w:val="24"/>
          <w:color w:val="black"/>
        </w:rPr>
        <w:t xml:space="preserve">Para cada tipo de evidencias se asignarα un puntaje cuantitativo en un rango de 0 a 5, en el que cero (0) corresponde al no alcance de la competencia y cinco (5) al alcance pleno de la competencia. </w:t>
      </w:r>
    </w:p>
    <w:p>
      <w:pPr>
        <w:jc w:val="both"/>
        <w:keepNext/>
      </w:pPr>
      <w:rPr>
        <w:color w:val="black"/>
      </w:rPr>
    </w:p>
    <w:p>
      <w:pPr>
        <w:jc w:val="both"/>
        <w:keepNext/>
        <w:outlineLvl w:val="1"/>
      </w:pPr>
      <w:r>
        <w:rPr>
          <w:rFonts w:hAnsi="Arial"/>
          <w:rFonts w:ascii="Arial"/>
          <w:sz w:val="24"/>
          <w:b/>
          <w:vanish/>
          <w:color w:val="black"/>
        </w:rPr>
        <w:t>&amp;$</w:t>
      </w:r>
      <w:bookmarkStart w:id="62322" w:name="2.6.1.1.13.3.3"/>
      <w:r>
        <w:rPr>
          <w:rFonts w:hAnsi="Arial"/>
          <w:rFonts w:ascii="Arial"/>
          <w:sz w:val="24"/>
          <w:color w:val="navy"/>
        </w:rPr>
        <w:t xml:space="preserve">ARTΝCULO 2.6.1.1.13.3.3. A PROBACIΣN DE LOS CURSOS DE FUNDAMENTACIΣN, REENTRENAMIENTO, ESPECIALIZACIΣN.</w:t>
      </w:r>
      <w:bookmarkEnd w:id="6232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Para que las Escuelas y/o Departamentos de Capacitaciσn y Entrenamiento en Vigilancia y Seguridad Privada certifiquen que una persona aprobσ el curso de fundamentaciσn, reentrenamiento o especializaciσn, es necesario que haya cumplido la siguiente calificaciσn cuantitativa: </w:t>
      </w:r>
    </w:p>
    <w:p>
      <w:pPr>
        <w:jc w:val="both"/>
        <w:keepNext/>
        <w:outlineLvl w:val="1"/>
      </w:pPr>
      <w:rPr>
        <w:sz w:val="24"/>
        <w:b/>
        <w:color w:val="black"/>
      </w:rPr>
    </w:p>
    <w:p>
      <w:pPr>
        <w:jc w:val="both"/>
        <w:keepNext/>
        <w:outlineLvl w:val="1"/>
      </w:pPr>
      <w:r>
        <w:rPr>
          <w:rFonts w:hAnsi="Arial"/>
          <w:rFonts w:ascii="Arial"/>
          <w:sz w:val="24"/>
          <w:color w:val="black"/>
        </w:rPr>
        <w:t xml:space="preserve">1. Para aprobar el curso, en cada unidad de aprendizaje debe obtener un puntaje mνnimo del 4,0. </w:t>
      </w:r>
    </w:p>
    <w:p>
      <w:pPr>
        <w:jc w:val="both"/>
        <w:keepNext/>
        <w:outlineLvl w:val="1"/>
      </w:pPr>
      <w:rPr>
        <w:sz w:val="24"/>
        <w:b/>
        <w:color w:val="black"/>
      </w:rPr>
    </w:p>
    <w:p>
      <w:pPr>
        <w:jc w:val="both"/>
        <w:keepNext/>
        <w:outlineLvl w:val="1"/>
      </w:pPr>
      <w:r>
        <w:rPr>
          <w:rFonts w:hAnsi="Arial"/>
          <w:rFonts w:ascii="Arial"/>
          <w:sz w:val="24"/>
          <w:color w:val="black"/>
        </w:rPr>
        <w:t xml:space="preserve">2. Posteriormente, en el examen teσrico-prαctico final del curso, debe tener un puntaje mνnimo de 4,0. </w:t>
      </w:r>
    </w:p>
    <w:p>
      <w:pPr>
        <w:jc w:val="both"/>
        <w:keepNext/>
        <w:outlineLvl w:val="1"/>
      </w:pPr>
      <w:rPr>
        <w:sz w:val="24"/>
        <w:b/>
        <w:color w:val="black"/>
      </w:rPr>
    </w:p>
    <w:p>
      <w:pPr>
        <w:jc w:val="both"/>
        <w:keepNext/>
        <w:outlineLvl w:val="1"/>
      </w:pPr>
      <w:r>
        <w:rPr>
          <w:rFonts w:hAnsi="Arial"/>
          <w:rFonts w:ascii="Arial"/>
          <w:sz w:val="24"/>
          <w:color w:val="black"/>
        </w:rPr>
        <w:t xml:space="preserve">3. El puntaje mνnimo de aprobaciσn para las competencias “CONOCER, MANIPULAR Y USAR ARMAS” serα de: </w:t>
      </w:r>
    </w:p>
    <w:p>
      <w:pPr>
        <w:jc w:val="both"/>
        <w:keepNext/>
        <w:outlineLvl w:val="1"/>
      </w:pPr>
      <w:rPr>
        <w:sz w:val="24"/>
        <w:b/>
        <w:color w:val="black"/>
      </w:rPr>
    </w:p>
    <w:p>
      <w:pPr>
        <w:jc w:val="both"/>
        <w:keepNext/>
        <w:outlineLvl w:val="1"/>
      </w:pPr>
      <w:r>
        <w:rPr>
          <w:rFonts w:hAnsi="Arial"/>
          <w:rFonts w:ascii="Arial"/>
          <w:sz w:val="24"/>
          <w:color w:val="black"/>
        </w:rPr>
        <w:t xml:space="preserve">a) Fundamentaciσn: 4,0. </w:t>
      </w:r>
    </w:p>
    <w:p>
      <w:pPr>
        <w:jc w:val="both"/>
        <w:keepNext/>
        <w:outlineLvl w:val="1"/>
      </w:pPr>
      <w:r>
        <w:rPr>
          <w:rFonts w:hAnsi="Arial"/>
          <w:rFonts w:ascii="Arial"/>
          <w:sz w:val="24"/>
          <w:color w:val="black"/>
        </w:rPr>
        <w:t xml:space="preserve">b) Reentrenamiento: 4,0. </w:t>
      </w:r>
    </w:p>
    <w:p>
      <w:pPr>
        <w:jc w:val="both"/>
        <w:keepNext/>
        <w:outlineLvl w:val="1"/>
      </w:pPr>
      <w:r>
        <w:rPr>
          <w:rFonts w:hAnsi="Arial"/>
          <w:rFonts w:ascii="Arial"/>
          <w:sz w:val="24"/>
          <w:color w:val="black"/>
        </w:rPr>
        <w:t xml:space="preserve">c) Especializaciσn: 4,0. </w:t>
      </w:r>
    </w:p>
    <w:p>
      <w:pPr>
        <w:jc w:val="both"/>
        <w:keepNext/>
        <w:outlineLvl w:val="1"/>
      </w:pPr>
      <w:rPr>
        <w:sz w:val="24"/>
        <w:b/>
        <w:color w:val="black"/>
      </w:rPr>
    </w:p>
    <w:p>
      <w:pPr>
        <w:jc w:val="both"/>
        <w:keepNext/>
        <w:outlineLvl w:val="1"/>
      </w:pPr>
      <w:r>
        <w:rPr>
          <w:rFonts w:hAnsi="Arial"/>
          <w:rFonts w:ascii="Arial"/>
          <w:sz w:val="24"/>
          <w:color w:val="black"/>
        </w:rPr>
        <w:t xml:space="preserve">4. Haber asistido mνnimo al 80% de la actividad acadιmica programada. </w:t>
      </w:r>
    </w:p>
    <w:p>
      <w:pPr>
        <w:jc w:val="both"/>
        <w:keepNext/>
        <w:outlineLvl w:val="1"/>
      </w:pPr>
      <w:rPr>
        <w:sz w:val="24"/>
        <w:b/>
        <w:color w:val="black"/>
      </w:rPr>
    </w:p>
    <w:p>
      <w:pPr>
        <w:jc w:val="both"/>
        <w:keepNext/>
        <w:outlineLvl w:val="1"/>
      </w:pPr>
      <w:r>
        <w:rPr>
          <w:rFonts w:hAnsi="Arial"/>
          <w:rFonts w:ascii="Arial"/>
          <w:sz w:val="24"/>
          <w:color w:val="black"/>
        </w:rPr>
        <w:t xml:space="preserve">5. Si el estudiante aprobσ las Unidades de Aprendizaje prαcticas y teσrico-prαcticas y reprobσ el examen final teσrico-prαctico, posteriormente y por una sola vez las Escuelas y/o Departamentos de Capacitaciσn y Entrenamiento en Vigilancia y Seguridad Privada deberαn realizar un nuevo examen final sin costo alguno para el alumno. </w:t>
      </w:r>
    </w:p>
    <w:p>
      <w:pPr>
        <w:jc w:val="both"/>
      </w:pPr>
      <w:rPr>
        <w:color w:val="black"/>
      </w:rPr>
    </w:p>
    <w:p>
      <w:pPr>
        <w:jc w:val="both"/>
      </w:pPr>
      <w:r>
        <w:rPr>
          <w:rFonts w:hAnsi="Arial"/>
          <w:rFonts w:ascii="Arial"/>
          <w:sz w:val="24"/>
          <w:b/>
          <w:vanish/>
          <w:color w:val="black"/>
        </w:rPr>
        <w:t>&amp;$</w:t>
      </w:r>
      <w:bookmarkStart w:id="62323" w:name="2.6.1.1.13.3.4"/>
      <w:r>
        <w:rPr>
          <w:rFonts w:hAnsi="Arial"/>
          <w:rFonts w:ascii="Arial"/>
          <w:sz w:val="24"/>
          <w:color w:val="navy"/>
        </w:rPr>
        <w:t xml:space="preserve">ARTΝCULO 2.6.1.1.13.3.4. REGISTRO DE LIBRO.</w:t>
      </w:r>
      <w:bookmarkEnd w:id="6232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Todas las Escuelas y/o Departamentos de Capacitaciσn y Entrenamiento en Vigilancia y Seguridad Privada deben llevar un libro de registro de los estudiantes, el cual debe estar debidamente foliado de manera consecutiva y en donde se registre el nombre completo del estudiante, documento de identidad, el curso que realizσ, las notas que obtuvo y en letra si aprobσ o perdiσ. Este debe registrarse ante la Superintendencia de Vigilancia y Seguridad Privada quien le emitirα el Nϊmero de Registro Oficial (NRO), nϊmero que serα teniendo en cuenta para la expediciσn de certificados por la Escuelas y/o Departamentos de Capacitaciσn y Entrenamiento en Vigilancia y Seguridad Privada. </w:t>
      </w:r>
    </w:p>
    <w:p>
      <w:pPr>
        <w:jc w:val="both"/>
      </w:pPr>
      <w:rPr>
        <w:color w:val="black"/>
      </w:rPr>
    </w:p>
    <w:p>
      <w:pPr>
        <w:jc w:val="both"/>
        <w:outlineLvl w:val="1"/>
      </w:pPr>
      <w:r>
        <w:rPr>
          <w:rFonts w:hAnsi="Arial"/>
          <w:rFonts w:ascii="Arial"/>
          <w:sz w:val="24"/>
          <w:b/>
          <w:vanish/>
          <w:color w:val="black"/>
        </w:rPr>
        <w:t>&amp;$</w:t>
      </w:r>
      <w:bookmarkStart w:id="62324" w:name="2.6.1.1.13.3.5"/>
      <w:r>
        <w:rPr>
          <w:rFonts w:hAnsi="Arial"/>
          <w:rFonts w:ascii="Arial"/>
          <w:sz w:val="24"/>
          <w:color w:val="navy"/>
        </w:rPr>
        <w:t xml:space="preserve">ARTΝCULO 2.6.1.1.13.3.5. EMISIΣN DE CERTIFICADOS DE CAPACITACIΣN.</w:t>
      </w:r>
      <w:bookmarkEnd w:id="6232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Una vez aprobado el respectivo curso las Escuelas y/o Departamentos de Capacitaciσn y Entrenamiento en Vigilancia y Seguridad Privada deberαn acreditar en forma individual la realizaciσn, asistencia y aprobaciσn de los cursos realizados por el alumno y dicho certificado deberα contener como mνnimo la siguiente informaciσn: </w:t>
      </w:r>
    </w:p>
    <w:p>
      <w:pPr>
        <w:jc w:val="both"/>
        <w:outlineLvl w:val="1"/>
      </w:pPr>
      <w:rPr>
        <w:sz w:val="24"/>
        <w:b/>
        <w:color w:val="black"/>
      </w:rPr>
    </w:p>
    <w:p>
      <w:pPr>
        <w:jc w:val="both"/>
        <w:outlineLvl w:val="1"/>
      </w:pPr>
      <w:r>
        <w:rPr>
          <w:rFonts w:hAnsi="Arial"/>
          <w:rFonts w:ascii="Arial"/>
          <w:sz w:val="24"/>
          <w:color w:val="black"/>
        </w:rPr>
        <w:t xml:space="preserve">1. Denominaciσn (nombre) del curso realizado. </w:t>
      </w:r>
    </w:p>
    <w:p>
      <w:pPr>
        <w:jc w:val="both"/>
        <w:outlineLvl w:val="1"/>
      </w:pPr>
      <w:rPr>
        <w:sz w:val="24"/>
        <w:b/>
        <w:color w:val="black"/>
      </w:rPr>
    </w:p>
    <w:p>
      <w:pPr>
        <w:jc w:val="both"/>
        <w:outlineLvl w:val="1"/>
      </w:pPr>
      <w:r>
        <w:rPr>
          <w:rFonts w:hAnsi="Arial"/>
          <w:rFonts w:ascii="Arial"/>
          <w:sz w:val="24"/>
          <w:color w:val="black"/>
        </w:rPr>
        <w:t xml:space="preserve">2. Nombre completo del estudiante. </w:t>
      </w:r>
    </w:p>
    <w:p>
      <w:pPr>
        <w:jc w:val="both"/>
        <w:outlineLvl w:val="1"/>
      </w:pPr>
      <w:rPr>
        <w:sz w:val="24"/>
        <w:b/>
        <w:color w:val="black"/>
      </w:rPr>
    </w:p>
    <w:p>
      <w:pPr>
        <w:jc w:val="both"/>
        <w:outlineLvl w:val="1"/>
      </w:pPr>
      <w:r>
        <w:rPr>
          <w:rFonts w:hAnsi="Arial"/>
          <w:rFonts w:ascii="Arial"/>
          <w:sz w:val="24"/>
          <w:color w:val="black"/>
        </w:rPr>
        <w:t xml:space="preserve">3. Nϊmero de documento de identificaciσn.</w:t>
      </w:r>
    </w:p>
    <w:p>
      <w:pPr>
        <w:jc w:val="both"/>
        <w:outlineLvl w:val="1"/>
      </w:pPr>
      <w:rPr>
        <w:sz w:val="24"/>
        <w:b/>
        <w:color w:val="black"/>
      </w:rPr>
    </w:p>
    <w:p>
      <w:pPr>
        <w:jc w:val="both"/>
        <w:outlineLvl w:val="1"/>
      </w:pPr>
      <w:r>
        <w:rPr>
          <w:rFonts w:hAnsi="Arial"/>
          <w:rFonts w:ascii="Arial"/>
          <w:sz w:val="24"/>
          <w:color w:val="black"/>
        </w:rPr>
        <w:t xml:space="preserve">4. Fecha de inicio y fecha de terminaciσn del curso. </w:t>
      </w:r>
    </w:p>
    <w:p>
      <w:pPr>
        <w:jc w:val="both"/>
        <w:outlineLvl w:val="1"/>
      </w:pPr>
      <w:rPr>
        <w:sz w:val="24"/>
        <w:b/>
        <w:color w:val="black"/>
      </w:rPr>
    </w:p>
    <w:p>
      <w:pPr>
        <w:jc w:val="both"/>
        <w:outlineLvl w:val="1"/>
      </w:pPr>
      <w:r>
        <w:rPr>
          <w:rFonts w:hAnsi="Arial"/>
          <w:rFonts w:ascii="Arial"/>
          <w:sz w:val="24"/>
          <w:color w:val="black"/>
        </w:rPr>
        <w:t xml:space="preserve">5. Fecha y lugar de realizaciσn de la prαctica de tiro con armas. </w:t>
      </w:r>
    </w:p>
    <w:p>
      <w:pPr>
        <w:jc w:val="both"/>
        <w:outlineLvl w:val="1"/>
      </w:pPr>
      <w:rPr>
        <w:sz w:val="24"/>
        <w:b/>
        <w:color w:val="black"/>
      </w:rPr>
    </w:p>
    <w:p>
      <w:pPr>
        <w:jc w:val="both"/>
        <w:outlineLvl w:val="1"/>
      </w:pPr>
      <w:r>
        <w:rPr>
          <w:rFonts w:hAnsi="Arial"/>
          <w:rFonts w:ascii="Arial"/>
          <w:sz w:val="24"/>
          <w:color w:val="black"/>
        </w:rPr>
        <w:t xml:space="preserve">6. Sede principal, agencia o sucursal en la que se realizσ el curso. </w:t>
      </w:r>
    </w:p>
    <w:p>
      <w:pPr>
        <w:jc w:val="both"/>
        <w:outlineLvl w:val="1"/>
      </w:pPr>
      <w:rPr>
        <w:sz w:val="24"/>
        <w:b/>
        <w:color w:val="black"/>
      </w:rPr>
    </w:p>
    <w:p>
      <w:pPr>
        <w:jc w:val="both"/>
        <w:outlineLvl w:val="1"/>
      </w:pPr>
      <w:r>
        <w:rPr>
          <w:rFonts w:hAnsi="Arial"/>
          <w:rFonts w:ascii="Arial"/>
          <w:sz w:val="24"/>
          <w:color w:val="black"/>
        </w:rPr>
        <w:t xml:space="preserve">7. Nϊmero de licencia del polνgono en el que se realizσ la prαctica de tiro. </w:t>
      </w:r>
    </w:p>
    <w:p>
      <w:pPr>
        <w:jc w:val="both"/>
        <w:outlineLvl w:val="1"/>
      </w:pPr>
      <w:rPr>
        <w:sz w:val="24"/>
        <w:b/>
        <w:color w:val="black"/>
      </w:rPr>
    </w:p>
    <w:p>
      <w:pPr>
        <w:jc w:val="both"/>
        <w:outlineLvl w:val="1"/>
      </w:pPr>
      <w:r>
        <w:rPr>
          <w:rFonts w:hAnsi="Arial"/>
          <w:rFonts w:ascii="Arial"/>
          <w:sz w:val="24"/>
          <w:color w:val="black"/>
        </w:rPr>
        <w:t xml:space="preserve">8. Tipo de arma usada. </w:t>
      </w:r>
    </w:p>
    <w:p>
      <w:pPr>
        <w:jc w:val="both"/>
        <w:outlineLvl w:val="1"/>
      </w:pPr>
      <w:rPr>
        <w:sz w:val="24"/>
        <w:b/>
        <w:color w:val="black"/>
      </w:rPr>
    </w:p>
    <w:p>
      <w:pPr>
        <w:jc w:val="both"/>
        <w:outlineLvl w:val="1"/>
      </w:pPr>
      <w:r>
        <w:rPr>
          <w:rFonts w:hAnsi="Arial"/>
          <w:rFonts w:ascii="Arial"/>
          <w:sz w:val="24"/>
          <w:color w:val="black"/>
        </w:rPr>
        <w:t xml:space="preserve">9. Nϊmero de factura de compra de la municiσn que se usσ en la prαctica de tiro. </w:t>
      </w:r>
    </w:p>
    <w:p>
      <w:pPr>
        <w:jc w:val="both"/>
        <w:outlineLvl w:val="1"/>
      </w:pPr>
      <w:rPr>
        <w:sz w:val="24"/>
        <w:b/>
        <w:color w:val="black"/>
      </w:rPr>
    </w:p>
    <w:p>
      <w:pPr>
        <w:jc w:val="both"/>
        <w:outlineLvl w:val="1"/>
      </w:pPr>
      <w:r>
        <w:rPr>
          <w:rFonts w:hAnsi="Arial"/>
          <w:rFonts w:ascii="Arial"/>
          <w:sz w:val="24"/>
          <w:color w:val="black"/>
        </w:rPr>
        <w:t xml:space="preserve">10. Consecutivo alfanumιrico que corresponderα al Nϊmero de Registro Oficial (NRO) que para tal fin asignarα la Superintendencia de Vigilancia y Seguridad Privada, el cual debe concordar con el Nϊmero de Registro Oficial (NRO) del libro de registrado ante esta entidad. </w:t>
      </w:r>
    </w:p>
    <w:p>
      <w:pPr>
        <w:jc w:val="both"/>
        <w:outlineLvl w:val="1"/>
      </w:pPr>
      <w:rPr>
        <w:sz w:val="24"/>
        <w:b/>
        <w:color w:val="black"/>
      </w:rPr>
    </w:p>
    <w:p>
      <w:pPr>
        <w:jc w:val="both"/>
        <w:outlineLvl w:val="1"/>
      </w:pPr>
      <w:r>
        <w:rPr>
          <w:rFonts w:hAnsi="Arial"/>
          <w:rFonts w:ascii="Arial"/>
          <w:sz w:val="24"/>
          <w:color w:val="black"/>
        </w:rPr>
        <w:t xml:space="preserve">11. Los demαs que la escuela considere pertinente.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representante legal del Polνgono o quien haga sus veces deberα entregar a las escuelas y departamentos de capacitaciσn y entrenamiento en vigilancia y seguridad privada un certificado individual o colectivo del personal (estudiantes) que realizaron las prαcticas de tiro indicando como mνnimo lo siguiente: </w:t>
      </w:r>
    </w:p>
    <w:p>
      <w:pPr>
        <w:jc w:val="both"/>
        <w:outlineLvl w:val="1"/>
      </w:pPr>
      <w:rPr>
        <w:sz w:val="24"/>
        <w:b/>
        <w:color w:val="black"/>
      </w:rPr>
    </w:p>
    <w:p>
      <w:pPr>
        <w:jc w:val="both"/>
        <w:outlineLvl w:val="1"/>
      </w:pPr>
      <w:r>
        <w:rPr>
          <w:rFonts w:hAnsi="Arial"/>
          <w:rFonts w:ascii="Arial"/>
          <w:sz w:val="24"/>
          <w:color w:val="black"/>
        </w:rPr>
        <w:t xml:space="preserve">1. Nombre completo del estudiante. </w:t>
      </w:r>
    </w:p>
    <w:p>
      <w:pPr>
        <w:jc w:val="both"/>
        <w:outlineLvl w:val="1"/>
      </w:pPr>
      <w:r>
        <w:rPr>
          <w:rFonts w:hAnsi="Arial"/>
          <w:rFonts w:ascii="Arial"/>
          <w:sz w:val="24"/>
          <w:color w:val="black"/>
        </w:rPr>
        <w:t xml:space="preserve">2. Nϊmero de documento de identificaciσn. </w:t>
      </w:r>
    </w:p>
    <w:p>
      <w:pPr>
        <w:jc w:val="both"/>
        <w:outlineLvl w:val="1"/>
      </w:pPr>
      <w:r>
        <w:rPr>
          <w:rFonts w:hAnsi="Arial"/>
          <w:rFonts w:ascii="Arial"/>
          <w:sz w:val="24"/>
          <w:color w:val="black"/>
        </w:rPr>
        <w:t xml:space="preserve">3. Fecha en la que se realizσ la prαctica. </w:t>
      </w:r>
    </w:p>
    <w:p>
      <w:pPr>
        <w:jc w:val="both"/>
        <w:keepNext/>
      </w:pPr>
      <w:rPr>
        <w:color w:val="black"/>
      </w:rPr>
    </w:p>
    <w:p>
      <w:pPr>
        <w:jc w:val="both"/>
        <w:keepNext/>
        <w:outlineLvl w:val="1"/>
      </w:pPr>
      <w:r>
        <w:rPr>
          <w:rFonts w:hAnsi="Arial"/>
          <w:rFonts w:ascii="Arial"/>
          <w:sz w:val="24"/>
          <w:b/>
          <w:vanish/>
          <w:color w:val="black"/>
        </w:rPr>
        <w:t>&amp;$</w:t>
      </w:r>
      <w:bookmarkStart w:id="62325" w:name="2.6.1.1.13.3.6"/>
      <w:r>
        <w:rPr>
          <w:rFonts w:hAnsi="Arial"/>
          <w:rFonts w:ascii="Arial"/>
          <w:sz w:val="24"/>
          <w:color w:val="navy"/>
        </w:rPr>
        <w:t xml:space="preserve">ARTΝCULO 2.6.1.1.13.3.6. ASIGNACIΣN DE NΪMEROS DE REGISTRO OFICIAL (NRO).</w:t>
      </w:r>
      <w:bookmarkEnd w:id="62325"/>
      <w:r>
        <w:rPr>
          <w:rFonts w:hAnsi="Arial"/>
          <w:rFonts w:ascii="Arial"/>
          <w:sz w:val="24"/>
          <w:color w:val="black"/>
        </w:rPr>
        <w:t xml:space="preserve"> &lt;Artνculo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Superintendencia de Vigilancia y Seguridad Privada, asignarα veinte mil (20.000) Nϊmeros de Registro Oficial (NRO), por solicitud presentada, el cual serα alfanumιrico; encontrαndose conformado por el nϊmero de identificaciσn del respectivo servicio de vigilancia y seguridad privada, y la numeraciσn que se otorgarα a cada acreditaciσn expedida. </w:t>
      </w:r>
    </w:p>
    <w:p>
      <w:pPr>
        <w:jc w:val="both"/>
        <w:keepNext/>
        <w:outlineLvl w:val="1"/>
      </w:pPr>
      <w:rPr>
        <w:sz w:val="24"/>
        <w:b/>
        <w:color w:val="black"/>
      </w:rPr>
    </w:p>
    <w:p>
      <w:pPr>
        <w:jc w:val="both"/>
        <w:keepNext/>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la asignaciσn de los nϊmeros de registro oficial (NRO), la Superintendencia de Vigilancia y Seguridad Privada verificarα al momento de realizarse la respectiva solicitud, que las Escuelas y/o Departamentos de Capacitaciσn y Entrenamiento en Vigilancia y Seguridad Privada solicitantes, hayan reportado como mνnimo 19.000 NRO y tengan actualizada ante la entidad toda la informaciσn del personal capacitado por los medios establecidos conforme la normatividad vigente. </w:t>
      </w:r>
    </w:p>
    <w:p>
      <w:pPr>
        <w:jc w:val="both"/>
      </w:pPr>
      <w:rPr>
        <w:color w:val="black"/>
      </w:rPr>
    </w:p>
    <w:p>
      <w:pPr>
        <w:jc w:val="both"/>
      </w:pPr>
      <w:r>
        <w:rPr>
          <w:rFonts w:hAnsi="Arial"/>
          <w:rFonts w:ascii="Arial"/>
          <w:sz w:val="24"/>
          <w:b/>
          <w:vanish/>
          <w:color w:val="black"/>
        </w:rPr>
        <w:t>&amp;$</w:t>
      </w:r>
      <w:bookmarkStart w:id="62326" w:name="2.6.1.1.13.3.7"/>
      <w:r>
        <w:rPr>
          <w:rFonts w:hAnsi="Arial"/>
          <w:rFonts w:ascii="Arial"/>
          <w:sz w:val="24"/>
          <w:color w:val="navy"/>
        </w:rPr>
        <w:t xml:space="preserve">ARTΝCULO 2.6.1.1.13.3.7. DIPLOMA.</w:t>
      </w:r>
      <w:bookmarkEnd w:id="6232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Al finalizar el curso, los estudiantes recibirαn un diploma de Educaciσn Especializada en Vigilancia y Seguridad Privada, el cual acredita el desarrollo de las competencias bαsicas adquiridas para el desempeρo en el ejercicio como vigilante, supervisor, escolta, operador de medios tecnolσgicos y manejador canino. El diploma deberα contener el Nϊmero de Registro Oficial (NRO), asignado a la respectiva Escuela y/o Departamentos de Capacitaciσn y Entrenamiento en Vigilancia y Seguridad Privada. </w:t>
      </w:r>
    </w:p>
    <w:p>
      <w:pPr>
        <w:jc w:val="both"/>
      </w:pPr>
      <w:rPr>
        <w:color w:val="black"/>
      </w:rPr>
    </w:p>
    <w:p>
      <w:pPr>
        <w:jc w:val="both"/>
        <w:outlineLvl w:val="1"/>
      </w:pPr>
      <w:r>
        <w:rPr>
          <w:rFonts w:hAnsi="Arial"/>
          <w:rFonts w:ascii="Arial"/>
          <w:sz w:val="24"/>
          <w:b/>
          <w:vanish/>
          <w:color w:val="black"/>
        </w:rPr>
        <w:t>&amp;$</w:t>
      </w:r>
      <w:bookmarkStart w:id="62327" w:name="2.6.1.1.13.3.8"/>
      <w:r>
        <w:rPr>
          <w:rFonts w:hAnsi="Arial"/>
          <w:rFonts w:ascii="Arial"/>
          <w:sz w:val="24"/>
          <w:color w:val="navy"/>
        </w:rPr>
        <w:t xml:space="preserve">ARTΝCULO 2.6.1.1.13.3.8. CUMPLIMIENTO.</w:t>
      </w:r>
      <w:bookmarkEnd w:id="6232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 inobservancia de las disposiciones contempladas en la presente secciσn, serαn objeto de las acciones administrativas a que haya lugar. </w:t>
      </w:r>
    </w:p>
    <w:p>
      <w:pPr>
        <w:jc w:val="both"/>
        <w:outlineLvl w:val="1"/>
      </w:pPr>
      <w:rPr>
        <w:sz w:val="24"/>
        <w:b/>
        <w:color w:val="black"/>
      </w:rPr>
    </w:p>
    <w:p>
      <w:pPr>
        <w:jc w:val="center"/>
        <w:outlineLvl w:val="1"/>
      </w:pPr>
      <w:r>
        <w:rPr>
          <w:rFonts w:hAnsi="Arial"/>
          <w:rFonts w:ascii="Arial"/>
          <w:sz w:val="24"/>
          <w:b/>
          <w:vanish/>
          <w:color w:val="black"/>
        </w:rPr>
        <w:t>&amp;$</w:t>
      </w:r>
      <w:bookmarkStart w:id="62328" w:name="SUBSECCIÓN 2.6.1.1.13.4"/>
      <w:r>
        <w:rPr>
          <w:rFonts w:hAnsi="Arial"/>
          <w:rFonts w:ascii="Arial"/>
          <w:sz w:val="24"/>
          <w:color w:val="navy"/>
        </w:rPr>
        <w:t xml:space="preserve">SUBSECCIΣN 4. </w:t>
      </w:r>
    </w:p>
    <w:p>
      <w:pPr>
        <w:jc w:val="center"/>
        <w:outlineLvl w:val="1"/>
      </w:pPr>
      <w:r>
        <w:rPr>
          <w:rFonts w:hAnsi="Arial"/>
          <w:rFonts w:ascii="Arial"/>
          <w:sz w:val="24"/>
          <w:color w:val="navy"/>
        </w:rPr>
        <w:t xml:space="preserve">DE LA VINCULACIΣN DE VETERANOS DE LA FUERZA PΪBLICA EN LA PRESTACIΣN DE SERVICIOS DE VIGILANCIA Y SEGURIDAD PRIVADA.</w:t>
      </w:r>
      <w:bookmarkEnd w:id="62328"/>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2329" w:name="2.6.1.1.13.4.1"/>
      <w:r>
        <w:rPr>
          <w:rFonts w:hAnsi="Arial"/>
          <w:rFonts w:ascii="Arial"/>
          <w:sz w:val="24"/>
          <w:color w:val="navy"/>
        </w:rPr>
        <w:t xml:space="preserve">ARTΝCULO 2.6.1.1.13.4.1. DE LA HOMOLOGACIΣN DE LOS VETERANOS DE LA FUERZA PΪBLICA COMO PERSONAL OPERATIVO.</w:t>
      </w:r>
      <w:bookmarkEnd w:id="623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y entrenamiento en Vigilancia y Seguridad Privada homologarαn el curso de fundamentaciσn en los ciclos de vigilante, escolta, supervisor, operador de medios tecnolσgicos, o manejador canino a los miembros de la fuerza pϊblica que ostenten la distinciσn como veteranos acreditados por el Ministerio de Defensa Nacional. </w:t>
      </w:r>
    </w:p>
    <w:p>
      <w:pPr>
        <w:jc w:val="both"/>
        <w:outlineLvl w:val="1"/>
      </w:pPr>
      <w:rPr>
        <w:sz w:val="24"/>
        <w:b/>
        <w:color w:val="black"/>
      </w:rPr>
    </w:p>
    <w:p>
      <w:pPr>
        <w:jc w:val="both"/>
        <w:outlineLvl w:val="1"/>
      </w:pPr>
      <w:r>
        <w:rPr>
          <w:rFonts w:hAnsi="Arial"/>
          <w:rFonts w:ascii="Arial"/>
          <w:sz w:val="24"/>
          <w:color w:val="black"/>
        </w:rPr>
        <w:t xml:space="preserve">Para tal efecto se deberα proceder de la siguiente forma: </w:t>
      </w:r>
    </w:p>
    <w:p>
      <w:pPr>
        <w:jc w:val="both"/>
        <w:outlineLvl w:val="1"/>
      </w:pPr>
      <w:rPr>
        <w:sz w:val="24"/>
        <w:b/>
        <w:color w:val="black"/>
      </w:rPr>
    </w:p>
    <w:p>
      <w:pPr>
        <w:jc w:val="both"/>
        <w:outlineLvl w:val="1"/>
      </w:pPr>
      <w:r>
        <w:rPr>
          <w:rFonts w:hAnsi="Arial"/>
          <w:rFonts w:ascii="Arial"/>
          <w:sz w:val="24"/>
          <w:color w:val="black"/>
        </w:rPr>
        <w:t xml:space="preserve">1. El aspirante deberα aportar ante la Escuela o el Departamento de Capacitaciσn y entrenamiento en Vigilancia y Seguridad Privada los siguientes documentos: </w:t>
      </w:r>
    </w:p>
    <w:p>
      <w:pPr>
        <w:jc w:val="both"/>
        <w:outlineLvl w:val="1"/>
      </w:pPr>
      <w:rPr>
        <w:sz w:val="24"/>
        <w:b/>
        <w:color w:val="black"/>
      </w:rPr>
    </w:p>
    <w:p>
      <w:pPr>
        <w:jc w:val="both"/>
        <w:outlineLvl w:val="1"/>
      </w:pPr>
      <w:r>
        <w:rPr>
          <w:rFonts w:hAnsi="Arial"/>
          <w:rFonts w:ascii="Arial"/>
          <w:sz w:val="24"/>
          <w:color w:val="black"/>
        </w:rPr>
        <w:t xml:space="preserve">a) Certificaciσn emitida por el Ministerio de Defensa Nacional en la cual se acredite como Veterano de la Fuerza Pϊblica, o su equivalente. </w:t>
      </w:r>
    </w:p>
    <w:p>
      <w:pPr>
        <w:jc w:val="both"/>
        <w:outlineLvl w:val="1"/>
      </w:pPr>
      <w:rPr>
        <w:sz w:val="24"/>
        <w:b/>
        <w:color w:val="black"/>
      </w:rPr>
    </w:p>
    <w:p>
      <w:pPr>
        <w:jc w:val="both"/>
        <w:outlineLvl w:val="1"/>
      </w:pPr>
      <w:r>
        <w:rPr>
          <w:rFonts w:hAnsi="Arial"/>
          <w:rFonts w:ascii="Arial"/>
          <w:sz w:val="24"/>
          <w:color w:val="black"/>
        </w:rPr>
        <w:t xml:space="preserve">b) Certificaciσn expedida por la respectiva autoridad militar o de policνa en la que conste el curso de fundamentaciσn en los ciclos de vigilante, escolta, supervisor, operador de medios tecnolσgicos o manejador canino, discriminando las competencias desarrolladas. </w:t>
      </w:r>
    </w:p>
    <w:p>
      <w:pPr>
        <w:jc w:val="both"/>
        <w:outlineLvl w:val="1"/>
      </w:pPr>
      <w:rPr>
        <w:sz w:val="24"/>
        <w:b/>
        <w:color w:val="black"/>
      </w:rPr>
    </w:p>
    <w:p>
      <w:pPr>
        <w:jc w:val="both"/>
        <w:outlineLvl w:val="1"/>
      </w:pPr>
      <w:r>
        <w:rPr>
          <w:rFonts w:hAnsi="Arial"/>
          <w:rFonts w:ascii="Arial"/>
          <w:sz w:val="24"/>
          <w:color w:val="black"/>
        </w:rPr>
        <w:t xml:space="preserve">2. La Escuela o el Departamento de Capacitaciσn deberα evaluar y verificar el contenido de los cursos acreditados, a efectos de determinar la procedencia de la homologaciσn.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solicitud de homologaciσn del personal operativo en los ciclos de vigilante, escolta, supervisor, operador de medios tecnolσgicos, o manejador canino, de que trata el presente artνculo, deberα hacerse dentro de los dieciocho (18) meses siguientes a la certificaciσn de distinciσn como veterano, expedida por el Ministerio de Defensa Nacional. </w:t>
      </w:r>
    </w:p>
    <w:p>
      <w:pPr>
        <w:jc w:val="both"/>
        <w:outlineLvl w:val="1"/>
      </w:pPr>
      <w:rPr>
        <w:sz w:val="24"/>
        <w:b/>
        <w:color w:val="black"/>
      </w:rPr>
    </w:p>
    <w:p>
      <w:pPr>
        <w:jc w:val="both"/>
        <w:outlineLvl w:val="1"/>
      </w:pPr>
      <w:r>
        <w:rPr>
          <w:rFonts w:hAnsi="Arial"/>
          <w:rFonts w:ascii="Arial"/>
          <w:sz w:val="24"/>
          <w:color w:val="black"/>
        </w:rPr>
        <w:t xml:space="preserve">Quienes al momento de la promulgaciσn de la presente disposiciσn ya se encuentren certificados como Veteranos por el Ministerio de Defensa Nacional, podrαn solicitar la homologaciσn dentro de los dieciocho (18) meses siguientes a la publicaciσn del presente Decreto. </w:t>
      </w:r>
    </w:p>
    <w:p>
      <w:pPr>
        <w:jc w:val="both"/>
        <w:outlineLvl w:val="1"/>
      </w:pPr>
      <w:rPr>
        <w:sz w:val="24"/>
        <w:b/>
        <w:color w:val="black"/>
      </w:rPr>
    </w:p>
    <w:p>
      <w:pPr>
        <w:jc w:val="both"/>
        <w:outlineLvl w:val="1"/>
      </w:pPr>
      <w:r>
        <w:rPr>
          <w:rFonts w:hAnsi="Arial"/>
          <w:rFonts w:ascii="Arial"/>
          <w:sz w:val="24"/>
          <w:color w:val="black"/>
        </w:rPr>
        <w:t xml:space="preserve">La Superintendencia de Vigilancia y Seguridad Privada podrα acceder al Registro Ϊnico de Veteranos previsto en el artνculo </w:t>
      </w:r>
      <w:r>
        <w:fldChar w:fldCharType="begin"/>
      </w:r>
      <w:r>
        <w:instrText>HYPERLINK "http://www.redjurista.com/document.aspx?ajcode=d1345020&amp;arts=2.3.1.8.1.4"</w:instrText>
      </w:r>
      <w:r>
        <w:fldChar w:fldCharType="separate"/>
      </w:r>
      <w:r>
        <w:rPr>
          <w:rFonts w:hAnsi="Arial"/>
          <w:rFonts w:ascii="Arial"/>
          <w:sz w:val="24"/>
          <w:u w:val="single"/>
          <w:color w:val="black"/>
        </w:rPr>
        <w:t>2.3.1.8.1.4</w:t>
      </w:r>
      <w:r>
        <w:fldChar w:fldCharType="end"/>
      </w:r>
      <w:r>
        <w:rPr>
          <w:rFonts w:hAnsi="Arial"/>
          <w:rFonts w:ascii="Arial"/>
          <w:sz w:val="24"/>
          <w:u w:val="none"/>
          <w:color w:val="black"/>
        </w:rPr>
        <w:t xml:space="preserve"> del Decreto 1345 de 2020 o el que la modifique o sustituya, con sujeciσn a la normativa vigente en materia de Transparencia y Acceso a la Informaciσn y Seguridad de la Informaciσn. </w:t>
      </w:r>
    </w:p>
    <w:p>
      <w:pPr>
        <w:jc w:val="both"/>
        <w:keepNext/>
      </w:pPr>
      <w:rPr>
        <w:color w:val="black"/>
      </w:rPr>
    </w:p>
    <w:p>
      <w:pPr>
        <w:jc w:val="both"/>
        <w:keepNext/>
        <w:outlineLvl w:val="1"/>
      </w:pPr>
      <w:r>
        <w:rPr>
          <w:rFonts w:hAnsi="Arial"/>
          <w:rFonts w:ascii="Arial"/>
          <w:sz w:val="24"/>
          <w:b/>
          <w:vanish/>
          <w:color w:val="black"/>
        </w:rPr>
        <w:t>&amp;$</w:t>
      </w:r>
      <w:bookmarkStart w:id="62330" w:name="2.6.1.1.13.4.2"/>
      <w:r>
        <w:rPr>
          <w:rFonts w:hAnsi="Arial"/>
          <w:rFonts w:ascii="Arial"/>
          <w:sz w:val="24"/>
          <w:color w:val="navy"/>
        </w:rPr>
        <w:t xml:space="preserve">ARTΝCULO 2.6.1.1.13.4.2. DEL REENTRENAMIENTO DE VETERANOS DE LA FUERZA PΪBLICA ACREDITADOS COMO PERSONAL OPERATIVO.</w:t>
      </w:r>
      <w:bookmarkEnd w:id="6233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Los veteranos de la fuerza pϊblica acreditados como personal operativo de los servicios de vigilancia y seguridad privada, mientras se encuentren vinculados al sector de la vigilancia y seguridad privada deberαn realizar anualmente el curso de reentrenamiento a partir de la fecha de la homologaciσn del curso de fundamentaciσn. </w:t>
      </w:r>
    </w:p>
    <w:p>
      <w:pPr>
        <w:jc w:val="both"/>
      </w:pPr>
      <w:rPr>
        <w:color w:val="black"/>
      </w:rPr>
    </w:p>
    <w:p>
      <w:pPr>
        <w:jc w:val="center"/>
      </w:pPr>
      <w:r>
        <w:rPr>
          <w:rFonts w:hAnsi="Arial"/>
          <w:rFonts w:ascii="Arial"/>
          <w:sz w:val="24"/>
          <w:b/>
          <w:vanish/>
          <w:color w:val="black"/>
        </w:rPr>
        <w:t>&amp;$</w:t>
      </w:r>
      <w:bookmarkStart w:id="62331" w:name="SUBSECCIÓN 2.6.1.1.13.5"/>
      <w:r>
        <w:rPr>
          <w:rFonts w:hAnsi="Arial"/>
          <w:rFonts w:ascii="Arial"/>
          <w:sz w:val="24"/>
          <w:color w:val="navy"/>
        </w:rPr>
        <w:t xml:space="preserve">SUBSECCIΣN 5. </w:t>
      </w:r>
    </w:p>
    <w:p>
      <w:pPr>
        <w:jc w:val="center"/>
        <w:outlineLvl w:val="1"/>
      </w:pPr>
      <w:r>
        <w:rPr>
          <w:rFonts w:hAnsi="Arial"/>
          <w:rFonts w:ascii="Arial"/>
          <w:sz w:val="24"/>
          <w:color w:val="navy"/>
        </w:rPr>
        <w:t xml:space="preserve">RΙGIMEN DE TRANSICIΣN.</w:t>
      </w:r>
      <w:bookmarkEnd w:id="6233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62332" w:name="2.6.1.1.13.5.1"/>
      <w:r>
        <w:rPr>
          <w:rFonts w:hAnsi="Arial"/>
          <w:rFonts w:ascii="Arial"/>
          <w:sz w:val="24"/>
          <w:color w:val="navy"/>
        </w:rPr>
        <w:t xml:space="preserve">ARTΝCULO 2.6.1.1.13.5.1. RΙGIMEN DE TRANSICIΣN.</w:t>
      </w:r>
      <w:bookmarkEnd w:id="62332"/>
      <w:r>
        <w:rPr>
          <w:rFonts w:hAnsi="Arial"/>
          <w:rFonts w:ascii="Arial"/>
          <w:sz w:val="24"/>
          <w:color w:val="black"/>
        </w:rPr>
        <w:t xml:space="preserve"> &lt;Artνculo adicionado por el artνculo </w:t>
      </w:r>
      <w:r>
        <w:fldChar w:fldCharType="begin"/>
      </w:r>
      <w:r>
        <w:instrText>HYPERLINK "http://www.redjurista.com/document.aspx?ajcode=d1565022&amp;arts=1"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1565 de 2022. El nuevo texto es el siguiente:&gt; Las Escuelas y Departamentos de Capacitaciσn y Entrenamiento en Vigilancia y Seguridad Privada deberαn dar cumplimiento a las disposiciones aquν contenidas y realizar la solicitud de aprobaciσn del nuevo Proyecto Educativo Institucional en Vigilancia y Seguridad Privada (PEIS) en un tιrmino de dieciocho (18) meses contados a partir de su publicaciσn en el </w:t>
      </w:r>
      <w:r>
        <w:rPr>
          <w:rFonts w:hAnsi="Arial"/>
          <w:rFonts w:ascii="Arial"/>
          <w:sz w:val="24"/>
          <w:b/>
          <w:u w:val="none"/>
          <w:color w:val="black"/>
        </w:rPr>
        <w:t xml:space="preserve">Diario Oficial</w:t>
      </w:r>
      <w:r>
        <w:rPr>
          <w:rFonts w:hAnsi="Arial"/>
          <w:rFonts w:ascii="Arial"/>
          <w:sz w:val="24"/>
          <w:u w:val="none"/>
          <w:color w:val="black"/>
        </w:rPr>
        <w:t xml:space="preserve">.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Escuelas y/o Departamentos de Capacitaciσn y Entrenamiento en Vigilancia y Seguridad Privada que soliciten licencias de funcionamiento o que se encuentren en trαmite de renovaciσn de licencia de funcionamiento deberαn presentar su Proyecto Educativo Institucional en Vigilancia y Seguridad Privada (PEIS), ajustado a las disposiciones aquν contenidas.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Cualquier modificaciσn del Proyecto Educativo Institucional en Vigilancia y Seguridad Privada (PEIS), deberα ser previamente aprobado por la Superintendencia de Vigilancia y Seguridad Privada, por lo que las Escuelas y/o Departamentos de Capacitaciσn y Entrenamiento en Vigilancia y Seguridad Privada que deseen efectuar cambios al mismo, lo solicitarαn por escrito y en medio magnιtico indicando la justificaciσn de dicha modificaciσn, sin perjuicio de los requisitos que para este tipo de solicitudes se encuentren contemplados en la normatividad vigente. La aprobaciσn de programas nuevos se entenderα como una modificaciσn al Proyecto Educativo Institucional en Vigilancia y Seguridad Privada (PEIS).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Para la aprobaciσn de nuevos cursos, las Escuelas y/o Departamentos de Capacitaciσn y Entrenamiento en Vigilancia y Seguridad Privada deberαn hacer una solicitud por escrito a la Superintendencia de Vigilancia y Seguridad Privada, anexando los avances al Proyecto Educativo Institucional en Vigilancia y Seguridad Privada (PEIS), y la programaciσn de las Unidades de Aprendizaje, en donde se evidencie los ιnfasis de los contenidos de los cursos solicitados, teniendo en cuenta los aspectos que deben desarrollar. </w:t>
      </w:r>
    </w:p>
    <w:p>
      <w:pPr>
        <w:jc w:val="both"/>
        <w:keepNext/>
      </w:pPr>
      <w:rPr>
        <w:sz w:val="24"/>
        <w:color w:val="black"/>
      </w:rPr>
    </w:p>
    <w:p>
      <w:pPr>
        <w:jc w:val="center"/>
        <w:keepNext/>
      </w:pPr>
      <w:r>
        <w:rPr>
          <w:rFonts w:hAnsi="Arial"/>
          <w:rFonts w:ascii="Arial"/>
          <w:sz w:val="24"/>
          <w:vanish/>
          <w:color w:val="black"/>
        </w:rPr>
        <w:t>&amp;$</w:t>
      </w:r>
      <w:bookmarkStart w:id="62333" w:name="TÍTULO 2.6.2"/>
      <w:r>
        <w:rPr>
          <w:rFonts w:hAnsi="Arial"/>
          <w:rFonts w:ascii="Arial"/>
          <w:sz w:val="24"/>
          <w:color w:val="navy"/>
        </w:rPr>
        <w:t xml:space="preserve">TΝTULO 2. </w:t>
      </w:r>
    </w:p>
    <w:p>
      <w:pPr>
        <w:jc w:val="center"/>
        <w:keepNext/>
      </w:pPr>
      <w:r>
        <w:rPr>
          <w:rFonts w:hAnsi="Arial"/>
          <w:rFonts w:ascii="Arial"/>
          <w:sz w:val="24"/>
          <w:color w:val="navy"/>
        </w:rPr>
        <w:t xml:space="preserve">ENTIDADES VINCULADAS.</w:t>
      </w:r>
      <w:bookmarkEnd w:id="62333"/>
      <w:r>
        <w:rPr>
          <w:rFonts w:hAnsi="Arial"/>
          <w:rFonts w:ascii="Arial"/>
          <w:sz w:val="24"/>
          <w:color w:val="black"/>
        </w:rPr>
        <w:t xml:space="preserve"> </w:t>
      </w:r>
    </w:p>
    <w:p>
      <w:pPr>
        <w:jc w:val="center"/>
        <w:keepNext/>
      </w:pPr>
      <w:rPr>
        <w:sz w:val="24"/>
        <w:color w:val="black"/>
      </w:rPr>
    </w:p>
    <w:p>
      <w:pPr>
        <w:jc w:val="center"/>
        <w:keepNext/>
      </w:pPr>
      <w:r>
        <w:rPr>
          <w:rFonts w:hAnsi="Arial"/>
          <w:rFonts w:ascii="Arial"/>
          <w:sz w:val="24"/>
          <w:vanish/>
          <w:color w:val="black"/>
        </w:rPr>
        <w:t>&amp;$</w:t>
      </w:r>
      <w:bookmarkStart w:id="62334" w:name="CAPÍTULO 2.6.2.1"/>
      <w:r>
        <w:rPr>
          <w:rFonts w:hAnsi="Arial"/>
          <w:rFonts w:ascii="Arial"/>
          <w:sz w:val="24"/>
          <w:color w:val="navy"/>
        </w:rPr>
        <w:t xml:space="preserve">CAPΝTULO 1. </w:t>
      </w:r>
    </w:p>
    <w:p>
      <w:pPr>
        <w:jc w:val="center"/>
        <w:keepNext/>
      </w:pPr>
      <w:r>
        <w:rPr>
          <w:rFonts w:hAnsi="Arial"/>
          <w:rFonts w:ascii="Arial"/>
          <w:sz w:val="24"/>
          <w:color w:val="navy"/>
        </w:rPr>
        <w:t xml:space="preserve">EMPRESAS INDUSTRIALES Y COMERCIALES DEL ESTADO.</w:t>
      </w:r>
      <w:bookmarkEnd w:id="62334"/>
      <w:r>
        <w:rPr>
          <w:rFonts w:hAnsi="Arial"/>
          <w:rFonts w:ascii="Arial"/>
          <w:sz w:val="24"/>
          <w:color w:val="black"/>
        </w:rPr>
        <w:t xml:space="preserve"> </w:t>
      </w:r>
    </w:p>
    <w:p>
      <w:pPr>
        <w:jc w:val="center"/>
        <w:keepNext/>
      </w:pPr>
      <w:rPr>
        <w:sz w:val="24"/>
        <w:color w:val="black"/>
      </w:rPr>
    </w:p>
    <w:p>
      <w:pPr>
        <w:jc w:val="center"/>
        <w:keepNext/>
      </w:pPr>
      <w:r>
        <w:rPr>
          <w:rFonts w:hAnsi="Arial"/>
          <w:rFonts w:ascii="Arial"/>
          <w:sz w:val="24"/>
          <w:vanish/>
          <w:color w:val="black"/>
        </w:rPr>
        <w:t>&amp;$</w:t>
      </w:r>
      <w:bookmarkStart w:id="62335" w:name="SECCIÓN 2.6.2.1.1"/>
      <w:r>
        <w:rPr>
          <w:rFonts w:hAnsi="Arial"/>
          <w:rFonts w:ascii="Arial"/>
          <w:sz w:val="24"/>
          <w:color w:val="navy"/>
        </w:rPr>
        <w:t xml:space="preserve">SECCIΣN 1. </w:t>
      </w:r>
    </w:p>
    <w:p>
      <w:pPr>
        <w:jc w:val="center"/>
        <w:keepNext/>
      </w:pPr>
      <w:r>
        <w:rPr>
          <w:rFonts w:hAnsi="Arial"/>
          <w:rFonts w:ascii="Arial"/>
          <w:sz w:val="24"/>
          <w:color w:val="navy"/>
        </w:rPr>
        <w:t xml:space="preserve">CAJA PROMOTORA DE VIVIENDA MILITAR.</w:t>
      </w:r>
      <w:bookmarkEnd w:id="62335"/>
      <w:r>
        <w:rPr>
          <w:rFonts w:hAnsi="Arial"/>
          <w:rFonts w:ascii="Arial"/>
          <w:sz w:val="24"/>
          <w:color w:val="black"/>
        </w:rPr>
        <w:t xml:space="preserve"> </w:t>
      </w:r>
    </w:p>
    <w:p>
      <w:pPr>
        <w:jc w:val="center"/>
        <w:keepNext/>
      </w:pPr>
      <w:rPr>
        <w:sz w:val="24"/>
        <w:color w:val="black"/>
      </w:rPr>
    </w:p>
    <w:p>
      <w:pPr>
        <w:jc w:val="center"/>
        <w:keepNext/>
      </w:pPr>
      <w:r>
        <w:rPr>
          <w:rFonts w:hAnsi="Arial"/>
          <w:rFonts w:ascii="Arial"/>
          <w:sz w:val="24"/>
          <w:vanish/>
          <w:color w:val="black"/>
        </w:rPr>
        <w:t>&amp;$</w:t>
      </w:r>
      <w:bookmarkStart w:id="62336" w:name="SUBSECCIÓN 2.6.2.1.1.1"/>
      <w:r>
        <w:rPr>
          <w:rFonts w:hAnsi="Arial"/>
          <w:rFonts w:ascii="Arial"/>
          <w:sz w:val="24"/>
          <w:color w:val="navy"/>
        </w:rPr>
        <w:t xml:space="preserve">SUBSECCIΣN 1. </w:t>
      </w:r>
    </w:p>
    <w:p>
      <w:pPr>
        <w:jc w:val="center"/>
        <w:keepNext/>
      </w:pPr>
      <w:r>
        <w:rPr>
          <w:rFonts w:hAnsi="Arial"/>
          <w:rFonts w:ascii="Arial"/>
          <w:sz w:val="24"/>
          <w:color w:val="navy"/>
        </w:rPr>
        <w:t xml:space="preserve">SUBSIDIO PARA VIVIENDA DE LOS SOLDADOS PROFESIONALES QUE OTORGA EL ESTADO A TRAVΙS DE LA CAJA PROMOTORA DE VIVIENDA MILITAR Y DE POLICΝA, REGLAMENTANDO PARCIALMENTE LA LEY 973 DE 2005 Y DICTANDO OTRAS DISPOSICIONES.</w:t>
      </w:r>
      <w:bookmarkEnd w:id="62336"/>
      <w:r>
        <w:rPr>
          <w:rFonts w:hAnsi="Arial"/>
          <w:rFonts w:ascii="Arial"/>
          <w:sz w:val="24"/>
          <w:color w:val="black"/>
        </w:rPr>
        <w:t xml:space="preserve"> </w:t>
      </w:r>
    </w:p>
    <w:p>
      <w:pPr>
        <w:jc w:val="both"/>
        <w:keepNext/>
      </w:pPr>
      <w:rPr>
        <w:sz w:val="24"/>
        <w:color w:val="black"/>
      </w:rPr>
    </w:p>
    <w:p>
      <w:pPr>
        <w:jc w:val="both"/>
        <w:keepNext/>
      </w:pPr>
      <w:r>
        <w:rPr>
          <w:rFonts w:hAnsi="Arial"/>
          <w:rFonts w:ascii="Arial"/>
          <w:sz w:val="24"/>
          <w:vanish/>
          <w:color w:val="black"/>
        </w:rPr>
        <w:t>&amp;$</w:t>
      </w:r>
      <w:bookmarkStart w:id="62337" w:name="2.6.2.1.1.1.1"/>
      <w:r>
        <w:rPr>
          <w:rFonts w:hAnsi="Arial"/>
          <w:rFonts w:ascii="Arial"/>
          <w:sz w:val="24"/>
          <w:color w:val="navy"/>
        </w:rPr>
        <w:t xml:space="preserve">ARTΝCULO 2.6.2.1.1.1.1. </w:t>
      </w:r>
      <w:r>
        <w:rPr>
          <w:rFonts w:hAnsi="Arial"/>
          <w:rFonts w:ascii="Arial"/>
          <w:sz w:val="24"/>
          <w:i/>
          <w:color w:val="navy"/>
        </w:rPr>
        <w:t>OBJETO.</w:t>
      </w:r>
      <w:bookmarkEnd w:id="62337"/>
      <w:r>
        <w:rPr>
          <w:rFonts w:hAnsi="Arial"/>
          <w:rFonts w:ascii="Arial"/>
          <w:sz w:val="24"/>
          <w:b/>
          <w:i/>
          <w:color w:val="black"/>
        </w:rPr>
        <w:t xml:space="preserve"> </w:t>
      </w:r>
      <w:r>
        <w:rPr>
          <w:rFonts w:hAnsi="Arial"/>
          <w:rFonts w:ascii="Arial"/>
          <w:sz w:val="24"/>
          <w:color w:val="black"/>
        </w:rPr>
        <w:t xml:space="preserve">La presente Subsecciσn tiene por objeto determinar el esquema de subsidios para vivienda que otorga el Estado a travιs de la Caja Promotora de Vivienda Militar y de Policνa, reglamentar parcialmente la Ley </w:t>
      </w:r>
      <w:r>
        <w:fldChar w:fldCharType="begin"/>
      </w:r>
      <w:r>
        <w:instrText>HYPERLINK "http://www.redjurista.com/document.aspx?ajcode=l0973005&amp;arts=INICIO"</w:instrText>
      </w:r>
      <w:r>
        <w:fldChar w:fldCharType="separate"/>
      </w:r>
      <w:r>
        <w:rPr>
          <w:rFonts w:hAnsi="Arial"/>
          <w:rFonts w:ascii="Arial"/>
          <w:sz w:val="24"/>
          <w:u w:val="single"/>
          <w:color w:val="black"/>
        </w:rPr>
        <w:t>973</w:t>
      </w:r>
      <w:r>
        <w:fldChar w:fldCharType="end"/>
      </w:r>
      <w:r>
        <w:rPr>
          <w:rFonts w:hAnsi="Arial"/>
          <w:rFonts w:ascii="Arial"/>
          <w:sz w:val="24"/>
          <w:u w:val="none"/>
          <w:color w:val="black"/>
        </w:rPr>
        <w:t xml:space="preserve"> de 2005 y dictar otras disposiciones.</w:t>
      </w:r>
    </w:p>
    <w:p>
      <w:pPr>
        <w:jc w:val="both"/>
        <w:keepNext/>
      </w:pPr>
      <w:rPr>
        <w:sz w:val="24"/>
        <w:color w:val="black"/>
      </w:rPr>
    </w:p>
    <w:p>
      <w:pPr>
        <w:jc w:val="both"/>
        <w:keepNext/>
      </w:pPr>
      <w:r>
        <w:rPr>
          <w:rFonts w:hAnsi="Arial"/>
          <w:rFonts w:ascii="Arial"/>
          <w:sz w:val="24"/>
          <w:i/>
          <w:color w:val="black"/>
        </w:rPr>
        <w:t xml:space="preserve">(Decreto 3830 de 2006 artνculo </w:t>
      </w:r>
      <w:r>
        <w:fldChar w:fldCharType="begin"/>
      </w:r>
      <w:r>
        <w:instrText>HYPERLINK "http://www.redjurista.com/document.aspx?ajcode=d3830006&amp;arts=1"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62338" w:name="2.6.2.1.1.1.2"/>
      <w:r>
        <w:rPr>
          <w:rFonts w:hAnsi="Arial"/>
          <w:rFonts w:ascii="Arial"/>
          <w:sz w:val="24"/>
          <w:color w:val="navy"/>
        </w:rPr>
        <w:t xml:space="preserve">ARTΝCULO 2.6.2.1.1.1.2. </w:t>
      </w:r>
      <w:r>
        <w:rPr>
          <w:rFonts w:hAnsi="Arial"/>
          <w:rFonts w:ascii="Arial"/>
          <w:sz w:val="24"/>
          <w:i/>
          <w:color w:val="navy"/>
        </w:rPr>
        <w:t>DEFINICIONES.</w:t>
      </w:r>
      <w:bookmarkEnd w:id="62338"/>
      <w:r>
        <w:rPr>
          <w:rFonts w:hAnsi="Arial"/>
          <w:rFonts w:ascii="Arial"/>
          <w:sz w:val="24"/>
          <w:b/>
          <w:i/>
          <w:color w:val="black"/>
        </w:rPr>
        <w:t xml:space="preserve"> </w:t>
      </w:r>
      <w:r>
        <w:rPr>
          <w:rFonts w:hAnsi="Arial"/>
          <w:rFonts w:ascii="Arial"/>
          <w:sz w:val="24"/>
          <w:color w:val="black"/>
        </w:rPr>
        <w:t xml:space="preserve">Para los efectos de la presente Subsecciσn se adoptan las siguientes definiciones:</w:t>
      </w:r>
    </w:p>
    <w:p>
      <w:pPr>
        <w:jc w:val="both"/>
        <w:keepNext/>
      </w:pPr>
      <w:rPr>
        <w:sz w:val="24"/>
        <w:color w:val="black"/>
      </w:rPr>
    </w:p>
    <w:p>
      <w:pPr>
        <w:jc w:val="both"/>
        <w:keepNext/>
      </w:pPr>
      <w:r>
        <w:rPr>
          <w:rFonts w:hAnsi="Arial"/>
          <w:rFonts w:ascii="Arial"/>
          <w:sz w:val="24"/>
          <w:b/>
          <w:color w:val="black"/>
        </w:rPr>
        <w:t xml:space="preserve">Subsidios para Vivienda: </w:t>
      </w:r>
      <w:r>
        <w:rPr>
          <w:rFonts w:hAnsi="Arial"/>
          <w:rFonts w:ascii="Arial"/>
          <w:sz w:val="24"/>
          <w:color w:val="black"/>
        </w:rPr>
        <w:t xml:space="preserve">El subsidio para vivienda de que trata esta Subsecciσn es un aporte estatal en dinero, que se otorga por una sola vez al nϊcleo familiar del afiliado a la Caja Promotora de Vivienda Militar y de Policνa, o a los beneficiarios de estos, segϊn el caso, conforme a las normas especiales que gobiernan a la Entidad, subsidio que constituye un complemento del ahorro del afiliado, para facilitarle la adquisiciσn, construcciσn o liberaciσn de una soluciσn de vivienda.</w:t>
      </w:r>
    </w:p>
    <w:p>
      <w:pPr>
        <w:jc w:val="both"/>
        <w:keepNext/>
      </w:pPr>
      <w:rPr>
        <w:sz w:val="24"/>
        <w:color w:val="black"/>
      </w:rPr>
    </w:p>
    <w:p>
      <w:pPr>
        <w:jc w:val="both"/>
        <w:keepNext/>
      </w:pPr>
      <w:r>
        <w:rPr>
          <w:rFonts w:hAnsi="Arial"/>
          <w:rFonts w:ascii="Arial"/>
          <w:sz w:val="24"/>
          <w:b/>
          <w:color w:val="black"/>
        </w:rPr>
        <w:t xml:space="preserve">Adquisiciσn de Vivienda: </w:t>
      </w:r>
      <w:r>
        <w:rPr>
          <w:rFonts w:hAnsi="Arial"/>
          <w:rFonts w:ascii="Arial"/>
          <w:sz w:val="24"/>
          <w:color w:val="black"/>
        </w:rPr>
        <w:t xml:space="preserve">Es el proceso mediante el cual el beneficiario del subsidio para vivienda adquiere su soluciσn de vivienda en el mercado, mediante la celebraciσn de un contrato traslaticio de dominio y su posterior inscripciσn en la Oficina de Registro competente.</w:t>
      </w:r>
    </w:p>
    <w:p>
      <w:pPr>
        <w:jc w:val="both"/>
        <w:keepNext/>
      </w:pPr>
      <w:rPr>
        <w:sz w:val="24"/>
        <w:color w:val="black"/>
      </w:rPr>
    </w:p>
    <w:p>
      <w:pPr>
        <w:jc w:val="both"/>
        <w:keepNext/>
      </w:pPr>
      <w:r>
        <w:rPr>
          <w:rFonts w:hAnsi="Arial"/>
          <w:rFonts w:ascii="Arial"/>
          <w:sz w:val="24"/>
          <w:b/>
          <w:color w:val="black"/>
        </w:rPr>
        <w:t xml:space="preserve">Construcciσn sobre Lote: </w:t>
      </w:r>
      <w:r>
        <w:rPr>
          <w:rFonts w:hAnsi="Arial"/>
          <w:rFonts w:ascii="Arial"/>
          <w:sz w:val="24"/>
          <w:color w:val="black"/>
        </w:rPr>
        <w:t xml:space="preserve">Proceso por el cual el beneficiario del subsidio accede a la soluciσn de vivienda mediante la edificaciσn de la misma en un lote de terreno de su propiedad y/o de su cσnyuge, o compaρero(a) permanente.</w:t>
      </w:r>
    </w:p>
    <w:p>
      <w:pPr>
        <w:jc w:val="both"/>
        <w:keepNext/>
      </w:pPr>
      <w:rPr>
        <w:sz w:val="24"/>
        <w:color w:val="black"/>
      </w:rPr>
    </w:p>
    <w:p>
      <w:pPr>
        <w:jc w:val="both"/>
        <w:keepNext/>
      </w:pPr>
      <w:r>
        <w:rPr>
          <w:rFonts w:hAnsi="Arial"/>
          <w:rFonts w:ascii="Arial"/>
          <w:sz w:val="24"/>
          <w:b/>
          <w:color w:val="black"/>
        </w:rPr>
        <w:t xml:space="preserve">Liberaciσn de Vivienda: </w:t>
      </w:r>
      <w:r>
        <w:rPr>
          <w:rFonts w:hAnsi="Arial"/>
          <w:rFonts w:ascii="Arial"/>
          <w:sz w:val="24"/>
          <w:color w:val="black"/>
        </w:rPr>
        <w:t xml:space="preserve">Proceso por el cual el beneficiario del subsidio libera la vivienda propia de gravamen hipotecario contraνdo con entidad financiera, con la aplicaciσn del valor total del subsidio.</w:t>
      </w:r>
    </w:p>
    <w:p>
      <w:pPr>
        <w:jc w:val="both"/>
        <w:keepNext/>
      </w:pPr>
      <w:rPr>
        <w:sz w:val="24"/>
        <w:color w:val="black"/>
      </w:rPr>
    </w:p>
    <w:p>
      <w:pPr>
        <w:jc w:val="both"/>
        <w:keepNext/>
      </w:pPr>
      <w:r>
        <w:rPr>
          <w:rFonts w:hAnsi="Arial"/>
          <w:rFonts w:ascii="Arial"/>
          <w:sz w:val="24"/>
          <w:b/>
          <w:color w:val="black"/>
        </w:rPr>
        <w:t xml:space="preserve">Postulaciσn: </w:t>
      </w:r>
      <w:r>
        <w:rPr>
          <w:rFonts w:hAnsi="Arial"/>
          <w:rFonts w:ascii="Arial"/>
          <w:sz w:val="24"/>
          <w:color w:val="black"/>
        </w:rPr>
        <w:t xml:space="preserve">Es la solicitud individual de trαmite para efectos de soluciσn de vivienda que presenta el afiliado o el beneficiario, segϊn el caso, cuando reϊne todos y cada uno de los requisitos exigidos para el efecto, conforme a las normas que rigen la materia en la Caja Promotora de Vivienda Militar y de Policνa.</w:t>
      </w:r>
    </w:p>
    <w:p>
      <w:pPr>
        <w:jc w:val="both"/>
        <w:keepNext/>
      </w:pPr>
      <w:rPr>
        <w:sz w:val="24"/>
        <w:color w:val="black"/>
      </w:rPr>
    </w:p>
    <w:p>
      <w:pPr>
        <w:jc w:val="both"/>
        <w:keepNext/>
      </w:pPr>
      <w:r>
        <w:rPr>
          <w:rFonts w:hAnsi="Arial"/>
          <w:rFonts w:ascii="Arial"/>
          <w:sz w:val="24"/>
          <w:i/>
          <w:color w:val="black"/>
        </w:rPr>
        <w:t xml:space="preserve">(Decreto 3830 de 2006 artνculo </w:t>
      </w:r>
      <w:r>
        <w:fldChar w:fldCharType="begin"/>
      </w:r>
      <w:r>
        <w:instrText>HYPERLINK "http://www.redjurista.com/document.aspx?ajcode=d3830006&amp;arts=2"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62339" w:name="2.6.2.1.1.1.3"/>
      <w:r>
        <w:rPr>
          <w:rFonts w:hAnsi="Arial"/>
          <w:rFonts w:ascii="Arial"/>
          <w:sz w:val="24"/>
          <w:color w:val="navy"/>
        </w:rPr>
        <w:t xml:space="preserve">ARTΝCULO 2.6.2.1.1.1.3. </w:t>
      </w:r>
      <w:r>
        <w:rPr>
          <w:rFonts w:hAnsi="Arial"/>
          <w:rFonts w:ascii="Arial"/>
          <w:sz w:val="24"/>
          <w:i/>
          <w:color w:val="navy"/>
        </w:rPr>
        <w:t xml:space="preserve">MONTO Y ESQUEMA DEL SUBSIDIO PARA VIVIENDA PARA EL PERSONAL DE SOLDADOS PROFESIONALES.</w:t>
      </w:r>
      <w:bookmarkEnd w:id="62339"/>
      <w:r>
        <w:rPr>
          <w:rFonts w:hAnsi="Arial"/>
          <w:rFonts w:ascii="Arial"/>
          <w:sz w:val="24"/>
          <w:b/>
          <w:i/>
          <w:color w:val="black"/>
        </w:rPr>
        <w:t xml:space="preserve"> </w:t>
      </w:r>
    </w:p>
    <w:p>
      <w:pPr>
        <w:jc w:val="both"/>
        <w:keepNext/>
      </w:pPr>
      <w:rPr>
        <w:sz w:val="24"/>
        <w:color w:val="black"/>
      </w:rPr>
    </w:p>
    <w:p>
      <w:pPr>
        <w:jc w:val="both"/>
        <w:keepNext/>
      </w:pPr>
      <w:r>
        <w:rPr>
          <w:rFonts w:hAnsi="Arial"/>
          <w:rFonts w:ascii="Arial"/>
          <w:sz w:val="24"/>
          <w:color w:val="black"/>
        </w:rPr>
        <w:t xml:space="preserve">&lt;Inciso derogado por el artνculo </w:t>
      </w:r>
      <w:r>
        <w:fldChar w:fldCharType="begin"/>
      </w:r>
      <w:r>
        <w:instrText>HYPERLINK "http://www.redjurista.com/document.aspx?ajcode=d2636022&amp;arts=2"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2636 de 2022&gt;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soldados profesionales afiliados a la Caja Promotora de Vivienda Militar y de Policνa que tengan 15 o mαs aρos de servicio, tendrαn el derecho de acceder al subsidio de vivienda de que trata el presente artνculo, siempre y cuando cumplan con los demαs requisitos exigidos para el efecto.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la vigencia fiscal de 2007 y las subsiguientes, la Caja Promotora de Vivienda Militar y de Policνa podrα atender al personal de soldados profesionales que en la respectiva vigencia cumplan 15 aρos de servicio, siempre y cuando cumplan con los demαs requisitos, y exista la correspondiente disponibilidad presupuestal, procedimiento que se continuarα hasta tanto la categorνa de soldados profesionales se encuentre en igualdad de condiciones en cuanto a cotizaciσn respecto de los demαs afiliados a la Caja.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340" w:name="2.6.2.1.1.1.4"/>
      <w:r>
        <w:rPr>
          <w:rFonts w:hAnsi="Arial"/>
          <w:rFonts w:ascii="Arial"/>
          <w:sz w:val="24"/>
          <w:color w:val="navy"/>
        </w:rPr>
        <w:t xml:space="preserve">ARTΝCULO 2.6.2.1.1.1.4. </w:t>
      </w:r>
      <w:r>
        <w:rPr>
          <w:rFonts w:hAnsi="Arial"/>
          <w:rFonts w:ascii="Arial"/>
          <w:sz w:val="24"/>
          <w:i/>
          <w:color w:val="navy"/>
        </w:rPr>
        <w:t xml:space="preserve">FINANCIAMIENTO DEL SUBSIDIO.</w:t>
      </w:r>
      <w:bookmarkEnd w:id="62340"/>
      <w:r>
        <w:rPr>
          <w:rFonts w:hAnsi="Arial"/>
          <w:rFonts w:ascii="Arial"/>
          <w:sz w:val="24"/>
          <w:b/>
          <w:i/>
          <w:color w:val="black"/>
        </w:rPr>
        <w:t xml:space="preserve"> </w:t>
      </w:r>
      <w:r>
        <w:rPr>
          <w:rFonts w:hAnsi="Arial"/>
          <w:rFonts w:ascii="Arial"/>
          <w:sz w:val="24"/>
          <w:color w:val="black"/>
        </w:rPr>
        <w:t xml:space="preserve">El Gobierno Nacional apropiarα anualmente un valor equivalente al 3% de la nσmina de los soldados Profesionales con carαcter de subsidio para vivienda de los Soldados Profesionales el cual serα administrado por parte de la Caja Promotora de Vivienda Militar y de Policνa a travιs de una Subcuenta Separada.</w:t>
      </w:r>
    </w:p>
    <w:p>
      <w:pPr>
        <w:jc w:val="both"/>
      </w:pPr>
      <w:rPr>
        <w:sz w:val="24"/>
        <w:color w:val="black"/>
      </w:rPr>
    </w:p>
    <w:p>
      <w:pPr>
        <w:jc w:val="both"/>
      </w:pPr>
      <w:r>
        <w:rPr>
          <w:rFonts w:hAnsi="Arial"/>
          <w:rFonts w:ascii="Arial"/>
          <w:sz w:val="24"/>
          <w:color w:val="black"/>
        </w:rPr>
        <w:t xml:space="preserve">Complementariamente, la Caja Promotora de Vivienda Militar y de Policνa destinarα anualmente un porcentaje correspondiente al 4% real de los rendimientos de las cesantνas y subsidios para el financiamiento de los subsidios del personal de Soldados Profesionales, el cual se administrarα en la Subcuenta mencionada en la cual se incluirαn los recursos trasladados por parte del Ministerio de Hacienda y Crιdito Pϊblico.</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341" w:name="2.6.2.1.1.1.5"/>
      <w:r>
        <w:rPr>
          <w:rFonts w:hAnsi="Arial"/>
          <w:rFonts w:ascii="Arial"/>
          <w:sz w:val="24"/>
          <w:color w:val="navy"/>
        </w:rPr>
        <w:t xml:space="preserve">ARTΝCULO 2.6.2.1.1.1.5. </w:t>
      </w:r>
      <w:r>
        <w:rPr>
          <w:rFonts w:hAnsi="Arial"/>
          <w:rFonts w:ascii="Arial"/>
          <w:sz w:val="24"/>
          <w:i/>
          <w:color w:val="navy"/>
        </w:rPr>
        <w:t xml:space="preserve">DISPONIBILIDAD PRESUPUESTAL.</w:t>
      </w:r>
      <w:bookmarkEnd w:id="62341"/>
      <w:r>
        <w:rPr>
          <w:rFonts w:hAnsi="Arial"/>
          <w:rFonts w:ascii="Arial"/>
          <w:sz w:val="24"/>
          <w:b/>
          <w:i/>
          <w:color w:val="black"/>
        </w:rPr>
        <w:t xml:space="preserve"> </w:t>
      </w:r>
      <w:r>
        <w:rPr>
          <w:rFonts w:hAnsi="Arial"/>
          <w:rFonts w:ascii="Arial"/>
          <w:sz w:val="24"/>
          <w:color w:val="black"/>
        </w:rPr>
        <w:t xml:space="preserve">El reconocimiento y pago de los subsidios para vivienda que otorga el Estado a travιs de la Caja Promotora de Vivienda Militar y de Policνa, estarα sujeto a la disponibilidad presupuestal que tenga la Entidad para tal efecto en la correspondiente vigencia.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342" w:name="2.6.2.1.1.1.6"/>
      <w:r>
        <w:rPr>
          <w:rFonts w:hAnsi="Arial"/>
          <w:rFonts w:ascii="Arial"/>
          <w:sz w:val="24"/>
          <w:color w:val="navy"/>
        </w:rPr>
        <w:t xml:space="preserve">ARTΝCULO 2.6.2.1.1.1.6. </w:t>
      </w:r>
      <w:r>
        <w:rPr>
          <w:rFonts w:hAnsi="Arial"/>
          <w:rFonts w:ascii="Arial"/>
          <w:sz w:val="24"/>
          <w:i/>
          <w:color w:val="navy"/>
        </w:rPr>
        <w:t xml:space="preserve">VERIFICACIΣN DE INFORMACIΣN.</w:t>
      </w:r>
      <w:bookmarkEnd w:id="62342"/>
      <w:r>
        <w:rPr>
          <w:rFonts w:hAnsi="Arial"/>
          <w:rFonts w:ascii="Arial"/>
          <w:sz w:val="24"/>
          <w:b/>
          <w:i/>
          <w:color w:val="black"/>
        </w:rPr>
        <w:t xml:space="preserve"> </w:t>
      </w:r>
      <w:r>
        <w:rPr>
          <w:rFonts w:hAnsi="Arial"/>
          <w:rFonts w:ascii="Arial"/>
          <w:sz w:val="24"/>
          <w:color w:val="black"/>
        </w:rPr>
        <w:t xml:space="preserve">Antes de proceder al reconocimiento y orden de pago del subsidio para vivienda, la Caja Promotora de Vivienda Militar y de Policνa, verificarα la informaciσn suministrada por los afiliados al momento de la postulaciσn para la soluciσn de vivienda.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343" w:name="2.6.2.1.1.1.7"/>
      <w:r>
        <w:rPr>
          <w:rFonts w:hAnsi="Arial"/>
          <w:rFonts w:ascii="Arial"/>
          <w:sz w:val="24"/>
          <w:color w:val="navy"/>
        </w:rPr>
        <w:t xml:space="preserve">ARTΝCULO 2.6.2.1.1.1.7. </w:t>
      </w:r>
      <w:r>
        <w:rPr>
          <w:rFonts w:hAnsi="Arial"/>
          <w:rFonts w:ascii="Arial"/>
          <w:sz w:val="24"/>
          <w:i/>
          <w:color w:val="navy"/>
        </w:rPr>
        <w:t xml:space="preserve">GIRO DEL RECURSO DEL SUBSIDIO.</w:t>
      </w:r>
      <w:bookmarkEnd w:id="62343"/>
      <w:r>
        <w:rPr>
          <w:rFonts w:hAnsi="Arial"/>
          <w:rFonts w:ascii="Arial"/>
          <w:sz w:val="24"/>
          <w:b/>
          <w:i/>
          <w:color w:val="black"/>
        </w:rPr>
        <w:t xml:space="preserve"> </w:t>
      </w:r>
      <w:r>
        <w:rPr>
          <w:rFonts w:hAnsi="Arial"/>
          <w:rFonts w:ascii="Arial"/>
          <w:sz w:val="24"/>
          <w:color w:val="black"/>
        </w:rPr>
        <w:t xml:space="preserve">La Caja Promotora de Vivienda Militar y de Policνa girarα el valor del subsidio a quien corresponda, una vez se acredite el otorgamiento y registro de la escritura pϊblica de adquisiciσn o de declaraciσn de construcciσn o cuando se haya acreditado la existencia del gravamen hipotecario, segϊn la modalidad para la cual se hubiere aplicado el subsidio, debiendo el afiliado o beneficiario llenar los demαs requisitos exigidos en el Formulario Ϊnico de Pago establecido por la Caja para tales efectos.</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344" w:name="2.6.2.1.1.1.8"/>
      <w:r>
        <w:rPr>
          <w:rFonts w:hAnsi="Arial"/>
          <w:rFonts w:ascii="Arial"/>
          <w:sz w:val="24"/>
          <w:color w:val="navy"/>
        </w:rPr>
        <w:t xml:space="preserve">ARTΝCULO 2.6.2.1.1.1.8. </w:t>
      </w:r>
      <w:r>
        <w:rPr>
          <w:rFonts w:hAnsi="Arial"/>
          <w:rFonts w:ascii="Arial"/>
          <w:sz w:val="24"/>
          <w:i/>
          <w:color w:val="navy"/>
        </w:rPr>
        <w:t xml:space="preserve">RESTITUCIΣN DEL SUBSIDIO.</w:t>
      </w:r>
      <w:bookmarkEnd w:id="62344"/>
      <w:r>
        <w:rPr>
          <w:rFonts w:hAnsi="Arial"/>
          <w:rFonts w:ascii="Arial"/>
          <w:sz w:val="24"/>
          <w:b/>
          <w:i/>
          <w:color w:val="black"/>
        </w:rPr>
        <w:t xml:space="preserve"> </w:t>
      </w:r>
      <w:r>
        <w:rPr>
          <w:rFonts w:hAnsi="Arial"/>
          <w:rFonts w:ascii="Arial"/>
          <w:sz w:val="24"/>
          <w:color w:val="black"/>
        </w:rPr>
        <w:t xml:space="preserve">Cuando de conformidad con las normas que rigen la materia haya lugar a la restituciσn del subsidio para vivienda por parte de un afiliado, este deberα restituirse a la Caja Promotora de Vivienda Militar y de Policνa ajustado de acuerdo con el incremento del Νndice de Precios al Consumidor, IPC, registrado entre la fecha de recibo del subsidio y la de restituciσn, en un tιrmino de tres (3) meses, contados a partir de la solicitud de reintegro.</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62345" w:name="2.6.2.1.1.1.9"/>
      <w:r>
        <w:rPr>
          <w:rFonts w:hAnsi="Arial"/>
          <w:rFonts w:ascii="Arial"/>
          <w:sz w:val="24"/>
          <w:color w:val="navy"/>
        </w:rPr>
        <w:t xml:space="preserve">ARTΝCULO 2.6.2.1.1.1.9. </w:t>
      </w:r>
      <w:r>
        <w:rPr>
          <w:rFonts w:hAnsi="Arial"/>
          <w:rFonts w:ascii="Arial"/>
          <w:sz w:val="24"/>
          <w:i/>
          <w:color w:val="navy"/>
        </w:rPr>
        <w:t xml:space="preserve">SUPERVISIΣN Y VIGILANCIA DE LOS RECURSOS DEL SUBSIDIO.</w:t>
      </w:r>
      <w:bookmarkEnd w:id="62345"/>
      <w:r>
        <w:rPr>
          <w:rFonts w:hAnsi="Arial"/>
          <w:rFonts w:ascii="Arial"/>
          <w:sz w:val="24"/>
          <w:b/>
          <w:i/>
          <w:color w:val="black"/>
        </w:rPr>
        <w:t xml:space="preserve"> </w:t>
      </w:r>
      <w:r>
        <w:rPr>
          <w:rFonts w:hAnsi="Arial"/>
          <w:rFonts w:ascii="Arial"/>
          <w:sz w:val="24"/>
          <w:color w:val="black"/>
        </w:rPr>
        <w:t xml:space="preserve">El Gerente General de la Caja Promotora de Vivienda Militar y de Policνa, definirα mecanismos para ejercer la supervisiσn y vigilancia sobre la adecuada destinaciσn de los recursos que reciba el beneficiario por concepto de subsidio para vivienda.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62346" w:name="2.6.2.1.1.1.10"/>
      <w:r>
        <w:rPr>
          <w:rFonts w:hAnsi="Arial"/>
          <w:rFonts w:ascii="Arial"/>
          <w:sz w:val="24"/>
          <w:color w:val="navy"/>
        </w:rPr>
        <w:t xml:space="preserve">ARTΝCULO 2.6.2.1.1.1.10. </w:t>
      </w:r>
      <w:r>
        <w:rPr>
          <w:rFonts w:hAnsi="Arial"/>
          <w:rFonts w:ascii="Arial"/>
          <w:sz w:val="24"/>
          <w:i/>
          <w:color w:val="navy"/>
        </w:rPr>
        <w:t xml:space="preserve">FONDO DE SOLIDARIDAD PARA SOLUCIΣN DE VIVIENDA A BENEFICIARIOS DE AFILIADOS QUE FALLEZCAN O QUE SUFRAN UNA DISCAPACIDAD.</w:t>
      </w:r>
      <w:bookmarkEnd w:id="62346"/>
      <w:r>
        <w:rPr>
          <w:rFonts w:hAnsi="Arial"/>
          <w:rFonts w:ascii="Arial"/>
          <w:sz w:val="24"/>
          <w:b/>
          <w:i/>
          <w:color w:val="black"/>
        </w:rPr>
        <w:t xml:space="preserve"> </w:t>
      </w:r>
      <w:r>
        <w:rPr>
          <w:rFonts w:hAnsi="Arial"/>
          <w:rFonts w:ascii="Arial"/>
          <w:sz w:val="24"/>
          <w:color w:val="black"/>
        </w:rPr>
        <w:t xml:space="preserve">Conforme a lo establecido en el artνculo </w:t>
      </w:r>
      <w:r>
        <w:fldChar w:fldCharType="begin"/>
      </w:r>
      <w:r>
        <w:instrText>HYPERLINK "http://www.redjurista.com/document.aspx?ajcode=l0973005&amp;arts=9"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973 de 2005, para los casos en que se presente el fallecimiento de un afiliado cuyos beneficiarios no queden disfrutando de asignaciσn de retiro, pensiσn o sustituciσn, e igualmente, cuando el afiliado sufra una discapacidad y quede retirado del servicio sin derecho al disfrute de asignaciσn de retiro o pensiσn, accederαn al valor de la vivienda a adjudicar previa acreditaciσn de la ocurrencia de los hechos y el cumplimiento de los demαs requisitos.</w:t>
      </w:r>
    </w:p>
    <w:p>
      <w:pPr>
        <w:jc w:val="both"/>
      </w:pPr>
      <w:rPr>
        <w:sz w:val="24"/>
        <w:color w:val="black"/>
      </w:rPr>
    </w:p>
    <w:p>
      <w:pPr>
        <w:jc w:val="both"/>
      </w:pPr>
      <w:r>
        <w:rPr>
          <w:rFonts w:hAnsi="Arial"/>
          <w:rFonts w:ascii="Arial"/>
          <w:sz w:val="24"/>
          <w:color w:val="black"/>
        </w:rPr>
        <w:t xml:space="preserve">Para lo anterior se constituye un fondo para soluciσn de vivienda con el aporte de una cuota extraordinaria que harαn todos los afiliados a la Caja Promotora de Vivienda Militar y de Policνa, por un monto igual al siete por ciento (7%) del sueldo bαsico, cuyo descuento serα coordinado por la Caja Promotora de Vivienda Militar y de Policνa, con las entidades empleadoras de los afiliados.</w:t>
      </w:r>
    </w:p>
    <w:p>
      <w:pPr>
        <w:jc w:val="both"/>
      </w:pPr>
      <w:rPr>
        <w:sz w:val="24"/>
        <w:color w:val="black"/>
      </w:rPr>
    </w:p>
    <w:p>
      <w:pPr>
        <w:jc w:val="both"/>
      </w:pPr>
      <w:r>
        <w:rPr>
          <w:rFonts w:hAnsi="Arial"/>
          <w:rFonts w:ascii="Arial"/>
          <w:sz w:val="24"/>
          <w:color w:val="black"/>
        </w:rPr>
        <w:t xml:space="preserve">El Fondo se nutrirα en lo sucesivo con los siguientes recursos:</w:t>
      </w:r>
    </w:p>
    <w:p>
      <w:pPr>
        <w:jc w:val="both"/>
      </w:pPr>
      <w:rPr>
        <w:sz w:val="24"/>
        <w:color w:val="black"/>
      </w:rPr>
    </w:p>
    <w:p>
      <w:pPr>
        <w:jc w:val="both"/>
      </w:pPr>
      <w:r>
        <w:rPr>
          <w:rFonts w:hAnsi="Arial"/>
          <w:rFonts w:ascii="Arial"/>
          <w:sz w:val="24"/>
          <w:color w:val="black"/>
        </w:rPr>
        <w:t xml:space="preserve">1. Un aporte del siete por ciento (7%) de la asignaciσn bαsica de quienes se afilien con posterioridad a la entrada en vigencia de la Ley </w:t>
      </w:r>
      <w:r>
        <w:fldChar w:fldCharType="begin"/>
      </w:r>
      <w:r>
        <w:instrText>HYPERLINK "http://www.redjurista.com/document.aspx?ajcode=l0973005&amp;arts=INICIO"</w:instrText>
      </w:r>
      <w:r>
        <w:fldChar w:fldCharType="separate"/>
      </w:r>
      <w:r>
        <w:rPr>
          <w:rFonts w:hAnsi="Arial"/>
          <w:rFonts w:ascii="Arial"/>
          <w:sz w:val="24"/>
          <w:u w:val="single"/>
          <w:color w:val="black"/>
        </w:rPr>
        <w:t>973</w:t>
      </w:r>
      <w:r>
        <w:fldChar w:fldCharType="end"/>
      </w:r>
      <w:r>
        <w:rPr>
          <w:rFonts w:hAnsi="Arial"/>
          <w:rFonts w:ascii="Arial"/>
          <w:sz w:val="24"/>
          <w:u w:val="none"/>
          <w:color w:val="black"/>
        </w:rPr>
        <w:t xml:space="preserve"> de 2005. Este aporte o cuota ϊnica se descontarα simultαneamente con la primera cuota de ahorro mensual obligatorio con destino a la Caja.</w:t>
      </w:r>
    </w:p>
    <w:p>
      <w:pPr>
        <w:jc w:val="both"/>
      </w:pPr>
      <w:rPr>
        <w:sz w:val="24"/>
        <w:color w:val="black"/>
      </w:rPr>
    </w:p>
    <w:p>
      <w:pPr>
        <w:jc w:val="both"/>
      </w:pPr>
      <w:r>
        <w:rPr>
          <w:rFonts w:hAnsi="Arial"/>
          <w:rFonts w:ascii="Arial"/>
          <w:sz w:val="24"/>
          <w:color w:val="black"/>
        </w:rPr>
        <w:t xml:space="preserve">2. Un aporte del siete por ciento (7%) de la asignaciσn bαsica de aquellos afiliados a los cuales les sea aplicado el subsidio de vivienda que otorga el Estado a travιs de la Caja Promotora de Vivienda Militar y de Policνa. El respectivo descuento de este aporte o cuota ϊnica se coordinarα por parte de la Caja con la entidad empleadora del afiliado, tan pronto se produzca la Resoluciσn que reconoce y ordena el pago del subsidio.</w:t>
      </w:r>
    </w:p>
    <w:p>
      <w:pPr>
        <w:jc w:val="both"/>
      </w:pPr>
      <w:rPr>
        <w:sz w:val="24"/>
        <w:color w:val="black"/>
      </w:rPr>
    </w:p>
    <w:p>
      <w:pPr>
        <w:jc w:val="both"/>
      </w:pPr>
      <w:r>
        <w:rPr>
          <w:rFonts w:hAnsi="Arial"/>
          <w:rFonts w:ascii="Arial"/>
          <w:sz w:val="24"/>
          <w:color w:val="black"/>
        </w:rPr>
        <w:t xml:space="preserve">3. Un porcentaje adicional establecido por la Junta Directiva del total de los excedentes financieros de la Caja Promotora de Vivienda Militar y de Policνa.</w:t>
      </w:r>
    </w:p>
    <w:p>
      <w:pPr>
        <w:jc w:val="both"/>
      </w:pPr>
      <w:rPr>
        <w:sz w:val="24"/>
        <w:color w:val="black"/>
      </w:rPr>
    </w:p>
    <w:p>
      <w:pPr>
        <w:jc w:val="both"/>
      </w:pPr>
      <w:r>
        <w:rPr>
          <w:rFonts w:hAnsi="Arial"/>
          <w:rFonts w:ascii="Arial"/>
          <w:sz w:val="24"/>
          <w:color w:val="black"/>
        </w:rPr>
        <w:t xml:space="preserve">4. Los demαs aportes que determine la ley.</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valor de los aportes que registre la cuenta individual del causante, asν como el subsidio de vivienda que le corresponderνa a este segϊn la categorνa y en ese momento, serαn aplicados por la Caja para completar el valor de la vivienda a adjudicar a los beneficiarios.</w:t>
      </w:r>
    </w:p>
    <w:p>
      <w:pPr>
        <w:jc w:val="both"/>
      </w:pPr>
      <w:rPr>
        <w:sz w:val="24"/>
        <w:color w:val="black"/>
      </w:rPr>
    </w:p>
    <w:p>
      <w:pPr>
        <w:jc w:val="both"/>
      </w:pPr>
      <w:r>
        <w:rPr>
          <w:rFonts w:hAnsi="Arial"/>
          <w:rFonts w:ascii="Arial"/>
          <w:sz w:val="24"/>
          <w:color w:val="black"/>
        </w:rPr>
        <w:t xml:space="preserve">En todos los casos la Junta Directiva de la Caja, antes del mes de octubre de cada aρo, fijarα para la vigencia fiscal siguiente el valor de la vivienda a adjudicar en consideraciσn a cada categorνa, de tal forma que se cumpla con los parαmetros del derecho fundamental a una vivienda digna y considerando la situaciσn econσmica del fondo, sin que los incrementos en el valor de la misma, sean inferiores a la variaciσn del IPC certificado por el DANE para la respectiva vigencia.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347" w:name="2.6.2.1.1.1.11"/>
      <w:r>
        <w:rPr>
          <w:rFonts w:hAnsi="Arial"/>
          <w:rFonts w:ascii="Arial"/>
          <w:sz w:val="24"/>
          <w:color w:val="navy"/>
        </w:rPr>
        <w:t xml:space="preserve">ARTΝCULO 2.6.2.1.1.1.11. </w:t>
      </w:r>
      <w:r>
        <w:rPr>
          <w:rFonts w:hAnsi="Arial"/>
          <w:rFonts w:ascii="Arial"/>
          <w:sz w:val="24"/>
          <w:i/>
          <w:color w:val="navy"/>
        </w:rPr>
        <w:t xml:space="preserve">DEVOLUCIΣN DE APORTES.</w:t>
      </w:r>
      <w:bookmarkEnd w:id="62347"/>
      <w:r>
        <w:rPr>
          <w:rFonts w:hAnsi="Arial"/>
          <w:rFonts w:ascii="Arial"/>
          <w:sz w:val="24"/>
          <w:b/>
          <w:i/>
          <w:color w:val="black"/>
        </w:rPr>
        <w:t xml:space="preserve"> </w:t>
      </w:r>
      <w:r>
        <w:rPr>
          <w:rFonts w:hAnsi="Arial"/>
          <w:rFonts w:ascii="Arial"/>
          <w:sz w:val="24"/>
          <w:color w:val="black"/>
        </w:rPr>
        <w:t xml:space="preserve">El personal que pierda la calidad de afiliado tendrα derecho a que se le devuelva el valor de los aportes que registre la respectiva cuenta individual, previa solicitud del afiliado, siempre y cuando dicha peticiσn no contravenga lo dispuesto por la ley y cumpla con los procedimientos contenidos en el reglamento de cesantνas expedido por la Junta Directiva de la Caja Promotora de Vivienda Militar y de Policνa.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Cuando ocurra la pιrdida de la calidad de afiliado, pero este continϊe vinculado laboralmente con la Instituciσn a la cual preste sus servicios, la devoluciσn de los aportes por concepto de cesantνas se harα previa demostraciσn de que los valores se utilizarαn para los fines claramente seρalados en los preceptos que regulan la materia.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348" w:name="2.6.2.1.1.1.12"/>
      <w:r>
        <w:rPr>
          <w:rFonts w:hAnsi="Arial"/>
          <w:rFonts w:ascii="Arial"/>
          <w:sz w:val="24"/>
          <w:color w:val="navy"/>
        </w:rPr>
        <w:t xml:space="preserve">ARTΝCULO 2.6.2.1.1.1.12. </w:t>
      </w:r>
      <w:r>
        <w:rPr>
          <w:rFonts w:hAnsi="Arial"/>
          <w:rFonts w:ascii="Arial"/>
          <w:sz w:val="24"/>
          <w:i/>
          <w:color w:val="navy"/>
        </w:rPr>
        <w:t xml:space="preserve">DESAFILIACIΣN TEMPORAL.</w:t>
      </w:r>
      <w:bookmarkEnd w:id="62348"/>
      <w:r>
        <w:rPr>
          <w:rFonts w:hAnsi="Arial"/>
          <w:rFonts w:ascii="Arial"/>
          <w:sz w:val="24"/>
          <w:b/>
          <w:i/>
          <w:color w:val="black"/>
        </w:rPr>
        <w:t xml:space="preserve"> </w:t>
      </w:r>
      <w:r>
        <w:rPr>
          <w:rFonts w:hAnsi="Arial"/>
          <w:rFonts w:ascii="Arial"/>
          <w:sz w:val="24"/>
          <w:color w:val="black"/>
        </w:rPr>
        <w:t xml:space="preserve">A quien se le hubiere suspendido el descuento de ahorro mensual obligatorio por un tιrmino inferior a doce (12) meses, una vez demostradas las razones que motivaron la suspensiσn tendrα derecho para recobrar la antigόedad de la afiliaciσn previa solicitud elevada dentro del mismo tιrmino, a que se le active el descuento debiendo consignar en forma inmediata las cuotas dejadas de descontar liquidadas sobre el sueldo bαsico vigente a la fecha en que se vaya a hacer el pago.</w:t>
      </w:r>
    </w:p>
    <w:p>
      <w:pPr>
        <w:jc w:val="both"/>
      </w:pPr>
      <w:rPr>
        <w:sz w:val="24"/>
        <w:color w:val="black"/>
      </w:rPr>
    </w:p>
    <w:p>
      <w:pPr>
        <w:jc w:val="both"/>
      </w:pPr>
      <w:r>
        <w:rPr>
          <w:rFonts w:hAnsi="Arial"/>
          <w:rFonts w:ascii="Arial"/>
          <w:sz w:val="24"/>
          <w:color w:val="black"/>
        </w:rPr>
        <w:t xml:space="preserve">Serα rechazada la solicitud de activaciσn que se presente por suspensiσn del descuento de ahorro mensual obligatorio, en un tιrmino superior a doce (12) meses, por constituirse en una causal para la pιrdida de la calidad de afiliado de conformidad con lo dispuesto en el numeral 1 del artνculo </w:t>
      </w:r>
      <w:r>
        <w:fldChar w:fldCharType="begin"/>
      </w:r>
      <w:r>
        <w:instrText>HYPERLINK "http://www.redjurista.com/document.aspx?ajcode=d0353_94&amp;arts=17"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Decreto-ley 353 de 1994 modificado por el artνculo </w:t>
      </w:r>
      <w:r>
        <w:fldChar w:fldCharType="begin"/>
      </w:r>
      <w:r>
        <w:instrText>HYPERLINK "http://www.redjurista.com/document.aspx?ajcode=l0973005&amp;arts=10"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973 de 2005.</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349" w:name="2.6.2.1.1.1.13"/>
      <w:r>
        <w:rPr>
          <w:rFonts w:hAnsi="Arial"/>
          <w:rFonts w:ascii="Arial"/>
          <w:sz w:val="24"/>
          <w:color w:val="navy"/>
        </w:rPr>
        <w:t xml:space="preserve">ARTΝCULO 2.6.2.1.1.1.13. </w:t>
      </w:r>
      <w:r>
        <w:rPr>
          <w:rFonts w:hAnsi="Arial"/>
          <w:rFonts w:ascii="Arial"/>
          <w:sz w:val="24"/>
          <w:i/>
          <w:color w:val="navy"/>
        </w:rPr>
        <w:t xml:space="preserve">REINTEGRO DE CUOTAS.</w:t>
      </w:r>
      <w:bookmarkEnd w:id="62349"/>
      <w:r>
        <w:rPr>
          <w:rFonts w:hAnsi="Arial"/>
          <w:rFonts w:ascii="Arial"/>
          <w:sz w:val="24"/>
          <w:b/>
          <w:i/>
          <w:color w:val="black"/>
        </w:rPr>
        <w:t xml:space="preserve"> </w:t>
      </w:r>
      <w:r>
        <w:rPr>
          <w:rFonts w:hAnsi="Arial"/>
          <w:rFonts w:ascii="Arial"/>
          <w:sz w:val="24"/>
          <w:color w:val="black"/>
        </w:rPr>
        <w:t xml:space="preserve">A quien la Caja Promotora de Vivienda Militar y de Policνa le haya entregado el valor acumulado de aportes por retiro del servicio activo y solicite posteriormente autorizaciσn para su consignaciσn por tener derecho a ello, le serα autorizada previo el cumplimiento de las siguientes condiciones:</w:t>
      </w:r>
    </w:p>
    <w:p>
      <w:pPr>
        <w:jc w:val="both"/>
      </w:pPr>
      <w:rPr>
        <w:sz w:val="24"/>
        <w:color w:val="black"/>
      </w:rPr>
    </w:p>
    <w:p>
      <w:pPr>
        <w:jc w:val="both"/>
      </w:pPr>
      <w:r>
        <w:rPr>
          <w:rFonts w:hAnsi="Arial"/>
          <w:rFonts w:ascii="Arial"/>
          <w:sz w:val="24"/>
          <w:color w:val="black"/>
        </w:rPr>
        <w:t xml:space="preserve">1. Reintegro al servicio activo del Ministerio de Defensa Nacional, Fuerzas Militares, Policνa Nacional, o Caja Promotora de Vivienda Militar y de Policνa, en el evento de haberse producido la desafiliaciσn por retiro del servicio.</w:t>
      </w:r>
    </w:p>
    <w:p>
      <w:pPr>
        <w:jc w:val="both"/>
      </w:pPr>
      <w:rPr>
        <w:sz w:val="24"/>
        <w:color w:val="black"/>
      </w:rPr>
    </w:p>
    <w:p>
      <w:pPr>
        <w:jc w:val="both"/>
      </w:pPr>
      <w:r>
        <w:rPr>
          <w:rFonts w:hAnsi="Arial"/>
          <w:rFonts w:ascii="Arial"/>
          <w:sz w:val="24"/>
          <w:color w:val="black"/>
        </w:rPr>
        <w:t xml:space="preserve">2. Solicitud presentada dentro de los tres (3) meses siguientes a la fecha de reintegro al servicio activo.</w:t>
      </w:r>
    </w:p>
    <w:p>
      <w:pPr>
        <w:jc w:val="both"/>
      </w:pPr>
      <w:rPr>
        <w:sz w:val="24"/>
        <w:color w:val="black"/>
      </w:rPr>
    </w:p>
    <w:p>
      <w:pPr>
        <w:jc w:val="both"/>
      </w:pPr>
      <w:r>
        <w:rPr>
          <w:rFonts w:hAnsi="Arial"/>
          <w:rFonts w:ascii="Arial"/>
          <w:sz w:val="24"/>
          <w:color w:val="black"/>
        </w:rPr>
        <w:t xml:space="preserve">3. Consignaciσn del valor acumulado de aportes que hayan sido recibidos al momento de la desafiliaciσn, aumentado con el valor correspondiente al nϊmero de las cuotas de ahorro mensual obligatorio dejado de aportar, liquidadas sobre el sueldo bαsico asignado al momento de reintegro al servicio activo, segϊn corresponda.</w:t>
      </w:r>
    </w:p>
    <w:p>
      <w:pPr>
        <w:jc w:val="both"/>
      </w:pPr>
      <w:rPr>
        <w:sz w:val="24"/>
        <w:color w:val="black"/>
      </w:rPr>
    </w:p>
    <w:p>
      <w:pPr>
        <w:jc w:val="both"/>
      </w:pPr>
      <w:r>
        <w:rPr>
          <w:rFonts w:hAnsi="Arial"/>
          <w:rFonts w:ascii="Arial"/>
          <w:sz w:val="24"/>
          <w:color w:val="black"/>
        </w:rPr>
        <w:t xml:space="preserve">Esta consignaciσn deberα hacerse dentro de los dos (2) meses siguientes a la fecha en que sea autorizada por la Caja Promotora de Vivienda Militar y de Policνa.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el evento de incumplimiento a las condiciones seρaladas en el presente artνculo, la antigόedad del afiliado reintegrado se contarα a partir de la fecha en que inicie nuevamente su aporte de ahorro mensual obligatorio.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cumplimiento de las condiciones fijadas en el presente artνculo se entiende sin perjuicio de lo que dispongan las autoridades judiciales en forma concreta para cada caso particular.</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350" w:name="2.6.2.1.1.1.14"/>
      <w:r>
        <w:rPr>
          <w:rFonts w:hAnsi="Arial"/>
          <w:rFonts w:ascii="Arial"/>
          <w:sz w:val="24"/>
          <w:color w:val="navy"/>
        </w:rPr>
        <w:t xml:space="preserve">ARTΝCULO 2.6.2.1.1.1.14. </w:t>
      </w:r>
      <w:r>
        <w:rPr>
          <w:rFonts w:hAnsi="Arial"/>
          <w:rFonts w:ascii="Arial"/>
          <w:sz w:val="24"/>
          <w:i/>
          <w:color w:val="navy"/>
        </w:rPr>
        <w:t xml:space="preserve">DESCUENTOS DIRECTOS POR NΣMINA.</w:t>
      </w:r>
      <w:bookmarkEnd w:id="62350"/>
      <w:r>
        <w:rPr>
          <w:rFonts w:hAnsi="Arial"/>
          <w:rFonts w:ascii="Arial"/>
          <w:sz w:val="24"/>
          <w:b/>
          <w:i/>
          <w:color w:val="black"/>
        </w:rPr>
        <w:t xml:space="preserve"> </w:t>
      </w:r>
      <w:r>
        <w:rPr>
          <w:rFonts w:hAnsi="Arial"/>
          <w:rFonts w:ascii="Arial"/>
          <w:sz w:val="24"/>
          <w:color w:val="black"/>
        </w:rPr>
        <w:t xml:space="preserve">La Caja coordinarα la programaciσn de los descuentos individuales con el Ministerio de Defensa Nacional, las Fuerzas Militares, la Policνa Nacional y las Cajas de Retiro, por concepto de cuotas mensuales de ahorro o amortizaciσn de crιditos.</w:t>
      </w:r>
    </w:p>
    <w:p>
      <w:pPr>
        <w:jc w:val="both"/>
      </w:pPr>
      <w:rPr>
        <w:sz w:val="24"/>
        <w:color w:val="black"/>
      </w:rPr>
    </w:p>
    <w:p>
      <w:pPr>
        <w:jc w:val="both"/>
      </w:pPr>
      <w:r>
        <w:rPr>
          <w:rFonts w:hAnsi="Arial"/>
          <w:rFonts w:ascii="Arial"/>
          <w:sz w:val="24"/>
          <w:color w:val="black"/>
        </w:rPr>
        <w:t xml:space="preserve">En caso de omisiσn o falla del sistema de descuento, el afiliado o deudor segϊn corresponda, deberα cancelar o girar a la Tesorerνa de la Caja Promotora de Vivienda Militar y de Policνa, el valor correspondiente, sin necesidad de requerimiento para el efecto, y sin perjuicio de la tasaciσn de intereses de mora, si es del caso, por falta de pago oportuno, intereses a la tasa mαxima prevista por el mercado en los casos de crιdito para vivienda, y conforme a las disposiciones legales que rigen la materia.</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351" w:name="2.6.2.1.1.1.15"/>
      <w:r>
        <w:rPr>
          <w:rFonts w:hAnsi="Arial"/>
          <w:rFonts w:ascii="Arial"/>
          <w:sz w:val="24"/>
          <w:color w:val="navy"/>
        </w:rPr>
        <w:t xml:space="preserve">ARTΝCULO 2.6.2.1.1.1.15. </w:t>
      </w:r>
      <w:r>
        <w:rPr>
          <w:rFonts w:hAnsi="Arial"/>
          <w:rFonts w:ascii="Arial"/>
          <w:sz w:val="24"/>
          <w:i/>
          <w:color w:val="navy"/>
        </w:rPr>
        <w:t xml:space="preserve">SUSTITUCIΣN DE DERECHOS.</w:t>
      </w:r>
      <w:bookmarkEnd w:id="62351"/>
      <w:r>
        <w:rPr>
          <w:rFonts w:hAnsi="Arial"/>
          <w:rFonts w:ascii="Arial"/>
          <w:sz w:val="24"/>
          <w:b/>
          <w:i/>
          <w:color w:val="black"/>
        </w:rPr>
        <w:t xml:space="preserve"> </w:t>
      </w:r>
      <w:r>
        <w:rPr>
          <w:rFonts w:hAnsi="Arial"/>
          <w:rFonts w:ascii="Arial"/>
          <w:sz w:val="24"/>
          <w:color w:val="black"/>
        </w:rPr>
        <w:t xml:space="preserve">En el evento de que un afiliado fallezca y haya lugar a sustituciσn de los derechos del causante, la Caja Promotora de Vivienda Militar y de Policνa procederα con los beneficiarios reconocidos por el Ministerio de Defensa Nacional, la Direcciσn General de la Policνa Nacional, la Caja de Retiro de las Fuerzas Militares o la Caja de Sueldos de Retiro de la Policνa Nacional, segϊn el caso, a sustituir en ellos los derechos del afiliado, salvo disposiciσn legal en contrario. Si no hubiere anuencia entre los beneficiarios, el conflicto deberα dirimirlo la autoridad competente.</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352" w:name="2.6.2.1.1.1.16"/>
      <w:r>
        <w:rPr>
          <w:rFonts w:hAnsi="Arial"/>
          <w:rFonts w:ascii="Arial"/>
          <w:sz w:val="24"/>
          <w:color w:val="navy"/>
        </w:rPr>
        <w:t xml:space="preserve">ARTΝCULO 2.6.2.1.1.1.16. </w:t>
      </w:r>
      <w:r>
        <w:rPr>
          <w:rFonts w:hAnsi="Arial"/>
          <w:rFonts w:ascii="Arial"/>
          <w:sz w:val="24"/>
          <w:i/>
          <w:color w:val="navy"/>
        </w:rPr>
        <w:t xml:space="preserve">TRANSFERENCIA DEL DOMINIO DE LA SOLUCIΣN DE VIVIENDA.</w:t>
      </w:r>
      <w:bookmarkEnd w:id="62352"/>
      <w:r>
        <w:rPr>
          <w:rFonts w:hAnsi="Arial"/>
          <w:rFonts w:ascii="Arial"/>
          <w:sz w:val="24"/>
          <w:b/>
          <w:i/>
          <w:color w:val="black"/>
        </w:rPr>
        <w:t xml:space="preserve"> </w:t>
      </w:r>
      <w:r>
        <w:rPr>
          <w:rFonts w:hAnsi="Arial"/>
          <w:rFonts w:ascii="Arial"/>
          <w:sz w:val="24"/>
          <w:color w:val="black"/>
        </w:rPr>
        <w:t xml:space="preserve">El beneficiario del subsidio para vivienda se obliga a no transferir el dominio de la soluciσn de vivienda antes de haber transcurrido dos (2) aρos desde la fecha de su asignaciσn, sin mediar permiso especνfico de la Caja fundamentado en razones de fuerza mayor.</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62353" w:name="2.6.2.1.1.1.17"/>
      <w:r>
        <w:rPr>
          <w:rFonts w:hAnsi="Arial"/>
          <w:rFonts w:ascii="Arial"/>
          <w:sz w:val="24"/>
          <w:color w:val="navy"/>
        </w:rPr>
        <w:t xml:space="preserve">ARTΝCULO 2.6.2.1.1.1.17. </w:t>
      </w:r>
      <w:r>
        <w:rPr>
          <w:rFonts w:hAnsi="Arial"/>
          <w:rFonts w:ascii="Arial"/>
          <w:sz w:val="24"/>
          <w:i/>
          <w:color w:val="navy"/>
        </w:rPr>
        <w:t xml:space="preserve">ACCESO AL SUBSIDIO PARA VIVIENDA EN CASOS ESPECIALES.</w:t>
      </w:r>
      <w:bookmarkEnd w:id="62353"/>
      <w:r>
        <w:rPr>
          <w:rFonts w:hAnsi="Arial"/>
          <w:rFonts w:ascii="Arial"/>
          <w:sz w:val="24"/>
          <w:b/>
          <w:i/>
          <w:color w:val="black"/>
        </w:rPr>
        <w:t xml:space="preserve"> </w:t>
      </w:r>
      <w:r>
        <w:rPr>
          <w:rFonts w:hAnsi="Arial"/>
          <w:rFonts w:ascii="Arial"/>
          <w:sz w:val="24"/>
          <w:color w:val="black"/>
        </w:rPr>
        <w:t xml:space="preserve">En la circunstancia especial de fallecimiento de un afiliado, cuyos beneficiarios queden disfrutando de sustituciσn de asignaciσn de retiro o pensiσn, la Caja Promotora de Vivienda Militar y de Policνa podrα dar acceso al subsidio para vivienda, segϊn la categorνa del afiliado, una vez acrediten la calidad de beneficiarios, reϊnan los demαs requisitos exigidos y exista disponibilidad presupuestal para el efecto. Igual procedimiento se seguirα con quien sea retirado del servicio activo en razσn de una discapacidad y quede con derecho al disfrute de asignaciσn de retiro o pensiσn.</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62354" w:name="2.6.2.1.1.1.18"/>
      <w:r>
        <w:rPr>
          <w:rFonts w:hAnsi="Arial"/>
          <w:rFonts w:ascii="Arial"/>
          <w:sz w:val="24"/>
          <w:color w:val="navy"/>
        </w:rPr>
        <w:t xml:space="preserve">ARTΝCULO 2.6.2.1.1.1.18. </w:t>
      </w:r>
      <w:r>
        <w:rPr>
          <w:rFonts w:hAnsi="Arial"/>
          <w:rFonts w:ascii="Arial"/>
          <w:sz w:val="24"/>
          <w:i/>
          <w:color w:val="navy"/>
        </w:rPr>
        <w:t xml:space="preserve">REVISIΣN DEL MODELO DE FINANCIACIΣN.</w:t>
      </w:r>
      <w:bookmarkEnd w:id="62354"/>
      <w:r>
        <w:rPr>
          <w:rFonts w:hAnsi="Arial"/>
          <w:rFonts w:ascii="Arial"/>
          <w:sz w:val="24"/>
          <w:b/>
          <w:i/>
          <w:color w:val="black"/>
        </w:rPr>
        <w:t xml:space="preserve"> </w:t>
      </w:r>
      <w:r>
        <w:rPr>
          <w:rFonts w:hAnsi="Arial"/>
          <w:rFonts w:ascii="Arial"/>
          <w:sz w:val="24"/>
          <w:color w:val="black"/>
        </w:rPr>
        <w:t xml:space="preserve">En caso de presentar un crecimiento de salarios frente a los actuales en tιrminos reales del 10% del personal seρalado, se revisarα el modelo contemplado para el financiamiento de los subsidios entregados a los soldados profesionales.</w:t>
      </w:r>
    </w:p>
    <w:p>
      <w:pPr>
        <w:jc w:val="both"/>
      </w:pPr>
      <w:rPr>
        <w:sz w:val="24"/>
        <w:color w:val="black"/>
      </w:rPr>
    </w:p>
    <w:p>
      <w:pPr>
        <w:jc w:val="both"/>
      </w:pPr>
      <w:r>
        <w:rPr>
          <w:rFonts w:hAnsi="Arial"/>
          <w:rFonts w:ascii="Arial"/>
          <w:sz w:val="24"/>
          <w:i/>
          <w:color w:val="black"/>
        </w:rPr>
        <w:t xml:space="preserve">(Decreto 3830 de 2006 artνculo </w:t>
      </w:r>
      <w:r>
        <w:fldChar w:fldCharType="begin"/>
      </w:r>
      <w:r>
        <w:instrText>HYPERLINK "http://www.redjurista.com/document.aspx?ajcode=d3830006&amp;arts=18"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62355" w:name="Subsección 2.6.2.1.1.2"/>
      <w:r>
        <w:rPr>
          <w:rFonts w:hAnsi="Arial"/>
          <w:rFonts w:ascii="Arial"/>
          <w:sz w:val="24"/>
          <w:color w:val="navy"/>
        </w:rPr>
        <w:t xml:space="preserve">SUBSECCIΣN 2.</w:t>
      </w:r>
      <w:bookmarkEnd w:id="62355"/>
      <w:r>
        <w:rPr>
          <w:rFonts w:hAnsi="Arial"/>
          <w:rFonts w:ascii="Arial"/>
          <w:sz w:val="24"/>
          <w:color w:val="black"/>
        </w:rPr>
        <w:t xml:space="preserve"> </w:t>
      </w:r>
    </w:p>
    <w:p>
      <w:pPr>
        <w:jc w:val="both"/>
        <w:keepNext/>
      </w:pPr>
      <w:rPr>
        <w:color w:val="black"/>
      </w:rPr>
    </w:p>
    <w:p>
      <w:pPr>
        <w:jc w:val="both"/>
        <w:keepNext/>
      </w:pPr>
      <w:r>
        <w:rPr>
          <w:rFonts w:hAnsi="Arial"/>
          <w:rFonts w:ascii="Arial"/>
          <w:sz w:val="24"/>
          <w:vanish/>
          <w:color w:val="black"/>
        </w:rPr>
        <w:t>&amp;$</w:t>
      </w:r>
      <w:bookmarkStart w:id="62356" w:name="2.6.2.1.1.2.1"/>
      <w:r>
        <w:rPr>
          <w:rFonts w:hAnsi="Arial"/>
          <w:rFonts w:ascii="Arial"/>
          <w:sz w:val="24"/>
          <w:color w:val="navy"/>
        </w:rPr>
        <w:t xml:space="preserve">ARTΝCULO 2.6.2.1.1.2.1. OBJETO.</w:t>
      </w:r>
      <w:bookmarkEnd w:id="62356"/>
      <w:r>
        <w:rPr>
          <w:rFonts w:hAnsi="Arial"/>
          <w:rFonts w:ascii="Arial"/>
          <w:sz w:val="24"/>
          <w:color w:val="black"/>
        </w:rPr>
        <w:t xml:space="preserve"> &lt;Artνculo adicionado por el artνculo </w:t>
      </w:r>
      <w:r>
        <w:fldChar w:fldCharType="begin"/>
      </w:r>
      <w:r>
        <w:instrText>HYPERLINK "http://www.redjurista.com/document.aspx?ajcode=d2636022&amp;arts=1"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2636 de 2022. El nuevo texto es el siguiente:&gt; Adoptar el ajuste al esquema de subsidios de vivienda que otorga el Estado a travιs de la Caja Promotora de Vivienda Militar y de Policνa a sus afiliados, subsidio que se reconocerα para la vigencia 2023 en las siguientes cuantνas:</w:t>
      </w:r>
    </w:p>
    <w:p>
      <w:pPr>
        <w:jc w:val="both"/>
        <w:keepNext/>
      </w:pPr>
      <w:rPr>
        <w:sz w:val="24"/>
        <w:color w:val="black"/>
      </w:rPr>
    </w:p>
    <w:p>
      <w:pPr>
        <w:jc w:val="both"/>
        <w:keepNext/>
      </w:pPr>
      <w:r>
        <w:rPr>
          <w:rFonts w:hAnsi="Arial"/>
          <w:rFonts w:ascii="Arial"/>
          <w:sz w:val="24"/>
          <w:color w:val="black"/>
        </w:rPr>
        <w:t xml:space="preserve">1. Categorνa Oficial: 104,32 Salarios Mνnimos Legales Mensuales Vigentes (SMLMV).</w:t>
      </w:r>
    </w:p>
    <w:p>
      <w:pPr>
        <w:jc w:val="both"/>
        <w:keepNext/>
      </w:pPr>
      <w:rPr>
        <w:sz w:val="24"/>
        <w:color w:val="black"/>
      </w:rPr>
    </w:p>
    <w:p>
      <w:pPr>
        <w:jc w:val="both"/>
        <w:keepNext/>
      </w:pPr>
      <w:r>
        <w:rPr>
          <w:rFonts w:hAnsi="Arial"/>
          <w:rFonts w:ascii="Arial"/>
          <w:sz w:val="24"/>
          <w:color w:val="black"/>
        </w:rPr>
        <w:t xml:space="preserve">2. Categorνa Suboficial y Nivel Ejecutivo: 47,14 Salarios Mνnimos Legales Mensuales Vigentes (SMLMV).</w:t>
      </w:r>
    </w:p>
    <w:p>
      <w:pPr>
        <w:jc w:val="both"/>
        <w:keepNext/>
      </w:pPr>
      <w:rPr>
        <w:sz w:val="24"/>
        <w:color w:val="black"/>
      </w:rPr>
    </w:p>
    <w:p>
      <w:pPr>
        <w:jc w:val="both"/>
        <w:keepNext/>
      </w:pPr>
      <w:r>
        <w:rPr>
          <w:rFonts w:hAnsi="Arial"/>
          <w:rFonts w:ascii="Arial"/>
          <w:sz w:val="24"/>
          <w:color w:val="black"/>
        </w:rPr>
        <w:t xml:space="preserve">3. Categorνa Soldados e Infantes de Marina Profesionales y Agentes: 41 Salarios Mνnimos Legales Mensuales Vigentes (SMLMV).</w:t>
      </w:r>
    </w:p>
    <w:p>
      <w:pPr>
        <w:jc w:val="both"/>
      </w:pPr>
      <w:rPr>
        <w:color w:val="black"/>
      </w:rPr>
    </w:p>
    <w:p>
      <w:pPr>
        <w:jc w:val="both"/>
      </w:pPr>
      <w:r>
        <w:rPr>
          <w:rFonts w:hAnsi="Arial"/>
          <w:rFonts w:ascii="Arial"/>
          <w:sz w:val="24"/>
          <w:vanish/>
          <w:color w:val="black"/>
        </w:rPr>
        <w:t>&amp;$</w:t>
      </w:r>
      <w:bookmarkStart w:id="62357" w:name="2.6.2.1.1.2.2"/>
      <w:r>
        <w:rPr>
          <w:rFonts w:hAnsi="Arial"/>
          <w:rFonts w:ascii="Arial"/>
          <w:sz w:val="24"/>
          <w:color w:val="navy"/>
        </w:rPr>
        <w:t xml:space="preserve">ARTΝCULO 2.6.2.1.1.2.2. APLICACIΣN.</w:t>
      </w:r>
      <w:bookmarkEnd w:id="62357"/>
      <w:r>
        <w:rPr>
          <w:rFonts w:hAnsi="Arial"/>
          <w:rFonts w:ascii="Arial"/>
          <w:sz w:val="24"/>
          <w:color w:val="black"/>
        </w:rPr>
        <w:t xml:space="preserve"> &lt;Artνculo adicionado por el artνculo </w:t>
      </w:r>
      <w:r>
        <w:fldChar w:fldCharType="begin"/>
      </w:r>
      <w:r>
        <w:instrText>HYPERLINK "http://www.redjurista.com/document.aspx?ajcode=d2636022&amp;arts=1"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2636 de 2022. El nuevo texto es el siguiente:&gt; Las disposiciones contenidas en el presente Decreto aplican para los afiliados que cumplen la cuota 168 de ahorro mensual obligatorio y los demαs requisitos establecidos en la normatividad vigente, a partir de enero de 2023.</w:t>
      </w:r>
    </w:p>
    <w:p>
      <w:pPr>
        <w:jc w:val="both"/>
      </w:pPr>
      <w:rPr>
        <w:sz w:val="24"/>
        <w:color w:val="black"/>
      </w:rPr>
    </w:p>
    <w:p>
      <w:pPr>
        <w:jc w:val="center"/>
      </w:pPr>
      <w:r>
        <w:rPr>
          <w:rFonts w:hAnsi="Arial"/>
          <w:rFonts w:ascii="Arial"/>
          <w:sz w:val="24"/>
          <w:vanish/>
          <w:color w:val="black"/>
        </w:rPr>
        <w:t>&amp;$</w:t>
      </w:r>
      <w:bookmarkStart w:id="62358" w:name="CAPÍTULO 2.6.2.2"/>
      <w:r>
        <w:rPr>
          <w:rFonts w:hAnsi="Arial"/>
          <w:rFonts w:ascii="Arial"/>
          <w:sz w:val="24"/>
          <w:color w:val="navy"/>
        </w:rPr>
        <w:t xml:space="preserve">CAPΝTULO 2. </w:t>
      </w:r>
    </w:p>
    <w:p>
      <w:pPr>
        <w:jc w:val="center"/>
      </w:pPr>
      <w:r>
        <w:rPr>
          <w:rFonts w:hAnsi="Arial"/>
          <w:rFonts w:ascii="Arial"/>
          <w:sz w:val="24"/>
          <w:color w:val="navy"/>
        </w:rPr>
        <w:t xml:space="preserve">SOCIEDADES DE ECONOMΝA MIXTA.</w:t>
      </w:r>
      <w:bookmarkEnd w:id="62358"/>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62359" w:name="SECCIÓN 2.6.2.2.1"/>
      <w:r>
        <w:rPr>
          <w:rFonts w:hAnsi="Arial"/>
          <w:rFonts w:ascii="Arial"/>
          <w:sz w:val="24"/>
          <w:color w:val="navy"/>
        </w:rPr>
        <w:t xml:space="preserve">SECCIΣN 1. </w:t>
      </w:r>
    </w:p>
    <w:p>
      <w:pPr>
        <w:jc w:val="center"/>
      </w:pPr>
      <w:r>
        <w:rPr>
          <w:rFonts w:hAnsi="Arial"/>
          <w:rFonts w:ascii="Arial"/>
          <w:sz w:val="24"/>
          <w:color w:val="navy"/>
        </w:rPr>
        <w:t xml:space="preserve">SERVICIO AΙREO A TERRITORIOS NACIONALES S.A. (S.A.).</w:t>
      </w:r>
      <w:bookmarkEnd w:id="62359"/>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62360" w:name="SUBSECCIÓN 2.6.2.2.1.1"/>
      <w:r>
        <w:rPr>
          <w:rFonts w:hAnsi="Arial"/>
          <w:rFonts w:ascii="Arial"/>
          <w:sz w:val="24"/>
          <w:color w:val="navy"/>
        </w:rPr>
        <w:t xml:space="preserve">SUBSECCIΣN 1. </w:t>
      </w:r>
    </w:p>
    <w:p>
      <w:pPr>
        <w:jc w:val="center"/>
      </w:pPr>
      <w:r>
        <w:rPr>
          <w:rFonts w:hAnsi="Arial"/>
          <w:rFonts w:ascii="Arial"/>
          <w:sz w:val="24"/>
          <w:color w:val="navy"/>
        </w:rPr>
        <w:t xml:space="preserve">SUBVENCIONES A LAS RUTAS SOCIALES DEL SERVICIO AΙREO A TERRITORIOS NACIONALES (SATENA S.A.).</w:t>
      </w:r>
      <w:bookmarkEnd w:id="62360"/>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62361" w:name="2.6.2.2.1.1.1"/>
      <w:r>
        <w:rPr>
          <w:rFonts w:hAnsi="Arial"/>
          <w:rFonts w:ascii="Arial"/>
          <w:sz w:val="24"/>
          <w:color w:val="navy"/>
        </w:rPr>
        <w:t xml:space="preserve">ARTΝCULO 2.6.2.2.1.1.1. </w:t>
      </w:r>
      <w:r>
        <w:rPr>
          <w:rFonts w:hAnsi="Arial"/>
          <w:rFonts w:ascii="Arial"/>
          <w:sz w:val="24"/>
          <w:i/>
          <w:color w:val="navy"/>
        </w:rPr>
        <w:t xml:space="preserve">RUTAS SOCIALES SUJETAS A SUBVENCIΣN</w:t>
      </w:r>
      <w:r>
        <w:rPr>
          <w:rFonts w:hAnsi="Arial"/>
          <w:rFonts w:ascii="Arial"/>
          <w:sz w:val="24"/>
          <w:color w:val="navy"/>
        </w:rPr>
        <w:t>.</w:t>
      </w:r>
      <w:bookmarkEnd w:id="62361"/>
      <w:r>
        <w:rPr>
          <w:rFonts w:hAnsi="Arial"/>
          <w:rFonts w:ascii="Arial"/>
          <w:sz w:val="24"/>
          <w:color w:val="black"/>
        </w:rPr>
        <w:t xml:space="preserve"> &lt;Artνculo modificado por el artνculo </w:t>
      </w:r>
      <w:r>
        <w:fldChar w:fldCharType="begin"/>
      </w:r>
      <w:r>
        <w:instrText>HYPERLINK "http://www.redjurista.com/document.aspx?ajcode=d1017020&amp;arts=1"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1017 de 2020. El nuevo texto es el siguiente:&gt; Para efectos del otorgamiento por parte del Ministerio de Defensa Nacional de las subvenciones de que trata el artνculo </w:t>
      </w:r>
      <w:r>
        <w:fldChar w:fldCharType="begin"/>
      </w:r>
      <w:r>
        <w:instrText>HYPERLINK "http://www.redjurista.com/document.aspx?ajcode=l1753015&amp;arts=240"</w:instrText>
      </w:r>
      <w:r>
        <w:fldChar w:fldCharType="separate"/>
      </w:r>
      <w:r>
        <w:rPr>
          <w:rFonts w:hAnsi="Arial"/>
          <w:rFonts w:ascii="Arial"/>
          <w:sz w:val="24"/>
          <w:u w:val="single"/>
          <w:color w:val="black"/>
        </w:rPr>
        <w:t>240</w:t>
      </w:r>
      <w:r>
        <w:fldChar w:fldCharType="end"/>
      </w:r>
      <w:r>
        <w:rPr>
          <w:rFonts w:hAnsi="Arial"/>
          <w:rFonts w:ascii="Arial"/>
          <w:sz w:val="24"/>
          <w:u w:val="none"/>
          <w:color w:val="black"/>
        </w:rPr>
        <w:t xml:space="preserve"> de la Ley 1753 de 2015, modificado por el artνculo </w:t>
      </w:r>
      <w:r>
        <w:fldChar w:fldCharType="begin"/>
      </w:r>
      <w:r>
        <w:instrText>HYPERLINK "http://www.redjurista.com/document.aspx?ajcode=l1955019&amp;arts=302"</w:instrText>
      </w:r>
      <w:r>
        <w:fldChar w:fldCharType="separate"/>
      </w:r>
      <w:r>
        <w:rPr>
          <w:rFonts w:hAnsi="Arial"/>
          <w:rFonts w:ascii="Arial"/>
          <w:sz w:val="24"/>
          <w:u w:val="single"/>
          <w:color w:val="black"/>
        </w:rPr>
        <w:t>302</w:t>
      </w:r>
      <w:r>
        <w:fldChar w:fldCharType="end"/>
      </w:r>
      <w:r>
        <w:rPr>
          <w:rFonts w:hAnsi="Arial"/>
          <w:rFonts w:ascii="Arial"/>
          <w:sz w:val="24"/>
          <w:u w:val="none"/>
          <w:color w:val="black"/>
        </w:rPr>
        <w:t xml:space="preserve"> de la Ley 1955 de 2019, durante cada vigencia fiscal, podrαn ser objeto de subvenciσn siempre y cuando el requisito de exclusividad se mantenga, las rutas sociales en las cuales Satena S.A. sea el ϊnico operador en ciclo completo que para los efectos determine la Unidad Administrativa Especial de la Aeronαutica Civil. </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caso de que otro operador acceda a la operaciσn y explotaciσn de una ruta social de las que determine la Unidad Administrativa Especial de Aeronαutica Civil para los efectos, Satena S.A. perderα la condiciσn de operador ϊnico y la subvenciσn sσlo se podrα reconocer hasta el momento en que fue operador ϊnico. </w:t>
      </w:r>
    </w:p>
    <w:p>
      <w:pPr>
        <w:jc w:val="both"/>
      </w:pPr>
      <w:rPr>
        <w:sz w:val="24"/>
        <w:color w:val="black"/>
      </w:rPr>
    </w:p>
    <w:p>
      <w:pPr>
        <w:jc w:val="both"/>
      </w:pPr>
      <w:r>
        <w:rPr>
          <w:rFonts w:hAnsi="Arial"/>
          <w:rFonts w:ascii="Arial"/>
          <w:sz w:val="24"/>
          <w:b/>
          <w:vanish/>
          <w:color w:val="black"/>
        </w:rPr>
        <w:t>&amp;$</w:t>
      </w:r>
      <w:bookmarkStart w:id="62362" w:name="2.6.2.2.1.1.2"/>
      <w:r>
        <w:rPr>
          <w:rFonts w:hAnsi="Arial"/>
          <w:rFonts w:ascii="Arial"/>
          <w:sz w:val="24"/>
          <w:color w:val="navy"/>
        </w:rPr>
        <w:t xml:space="preserve">ARTΝCULO 2.6.2.2.1.1.2. </w:t>
      </w:r>
      <w:r>
        <w:rPr>
          <w:rFonts w:hAnsi="Arial"/>
          <w:rFonts w:ascii="Arial"/>
          <w:sz w:val="24"/>
          <w:i/>
          <w:color w:val="navy"/>
        </w:rPr>
        <w:t xml:space="preserve">MECANISMO DE SUBVENCIΣN</w:t>
      </w:r>
      <w:r>
        <w:rPr>
          <w:rFonts w:hAnsi="Arial"/>
          <w:rFonts w:ascii="Arial"/>
          <w:sz w:val="24"/>
          <w:color w:val="navy"/>
        </w:rPr>
        <w:t>.</w:t>
      </w:r>
      <w:bookmarkEnd w:id="62362"/>
      <w:r>
        <w:rPr>
          <w:rFonts w:hAnsi="Arial"/>
          <w:rFonts w:ascii="Arial"/>
          <w:sz w:val="24"/>
          <w:color w:val="black"/>
        </w:rPr>
        <w:t xml:space="preserve"> &lt;Artνculo modificado por el artνculo </w:t>
      </w:r>
      <w:r>
        <w:fldChar w:fldCharType="begin"/>
      </w:r>
      <w:r>
        <w:instrText>HYPERLINK "http://www.redjurista.com/document.aspx?ajcode=d1017020&amp;arts=1"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1017 de 2020. El nuevo texto es el siguiente:&gt; Sujeto a la disponibilidad presupuestal del Ministerio de Defensa Nacional, se reconocerα para cada vigencia fiscal, la diferencia entre los egresos incurridos y los ingresos percibidos en la prestaciσn del servicio aιreo en las rutas sociales en las cuales Satena S.A. sea el ϊnico operador. </w:t>
      </w:r>
    </w:p>
    <w:p>
      <w:pPr>
        <w:jc w:val="both"/>
      </w:pPr>
      <w:rPr>
        <w:sz w:val="24"/>
        <w:color w:val="black"/>
      </w:rPr>
    </w:p>
    <w:p>
      <w:pPr>
        <w:jc w:val="both"/>
      </w:pPr>
      <w:r>
        <w:rPr>
          <w:rFonts w:hAnsi="Arial"/>
          <w:rFonts w:ascii="Arial"/>
          <w:sz w:val="24"/>
          <w:color w:val="black"/>
        </w:rPr>
        <w:t xml:space="preserve">El valor de los egresos serα el resultado de los costos y gastos incurridos para la prestaciσn del servicio de transporte aιreo en las rutas sociales donde Satena S.A. sea el ϊnico operador, en la proporciσn correspondiente al tiempo volado en dichas rutas. </w:t>
      </w:r>
    </w:p>
    <w:p>
      <w:pPr>
        <w:jc w:val="both"/>
      </w:pPr>
      <w:rPr>
        <w:sz w:val="24"/>
        <w:color w:val="black"/>
      </w:rPr>
    </w:p>
    <w:p>
      <w:pPr>
        <w:jc w:val="both"/>
        <w:outlineLvl w:val="1"/>
      </w:pPr>
      <w:r>
        <w:rPr>
          <w:rFonts w:hAnsi="Arial"/>
          <w:rFonts w:ascii="Arial"/>
          <w:sz w:val="24"/>
          <w:color w:val="black"/>
        </w:rPr>
        <w:t xml:space="preserve">Los costos y gastos que serαn reconocidos son aquellos relacionados con: i) costos de tripulaciσn; ii) costos de seguros de aeronaves; iii) costos por servicios a bordo; iv) costos por mantenimiento y reparaciσn; v) costos por servicios aeronαuticos, aeroportuarios y aduaneros; vi) costo de combustible; vii) arriendo/leasing de aeronaves; viii) costos por arriendos de turbinas y motores; ix) gastos administrativos asociados a cada ruta; x) costos operacionales generales; xi) gastos financieros asociados a equipos aeronαuticos; xii) depreciaciones del equipo aeronαutico. No se podrαn incluir dentro del cαlculo de costos y gastos por hora de vuelo ningϊn egreso asociado a: i) ajustes de ejercicios anteriores; ii) gastos financieros distintos a aquellos asociados a equipos necesarios para la prestaciσn del servicio de transporte de pasajeros; iii) diferencia en cambio; iv) costos y gastos administrativos asociados con unidades de negocio diferentes al transporte aιreo en servicio regular a rutas sociales. </w:t>
      </w:r>
    </w:p>
    <w:p>
      <w:pPr>
        <w:jc w:val="both"/>
        <w:outlineLvl w:val="1"/>
      </w:pPr>
      <w:rPr>
        <w:sz w:val="24"/>
        <w:color w:val="black"/>
      </w:rPr>
    </w:p>
    <w:p>
      <w:pPr>
        <w:jc w:val="both"/>
        <w:outlineLvl w:val="1"/>
      </w:pPr>
      <w:r>
        <w:rPr>
          <w:rFonts w:hAnsi="Arial"/>
          <w:rFonts w:ascii="Arial"/>
          <w:sz w:val="24"/>
          <w:color w:val="black"/>
        </w:rPr>
        <w:t xml:space="preserve">El valor de los ingresos, serα el resultado de la suma de los ingresos directos generados por la operaciσn de cada una de las rutas sociales donde Satena S.A. sea el ϊnico operador. </w:t>
      </w:r>
    </w:p>
    <w:p>
      <w:pPr>
        <w:jc w:val="both"/>
        <w:outlineLvl w:val="1"/>
      </w:pPr>
      <w:rPr>
        <w:sz w:val="24"/>
        <w:color w:val="black"/>
      </w:rPr>
    </w:p>
    <w:p>
      <w:pPr>
        <w:jc w:val="both"/>
        <w:outlineLvl w:val="1"/>
      </w:pPr>
      <w:r>
        <w:rPr>
          <w:rFonts w:hAnsi="Arial"/>
          <w:rFonts w:ascii="Arial"/>
          <w:sz w:val="24"/>
          <w:color w:val="black"/>
        </w:rPr>
        <w:t xml:space="preserve">Para el cαlculo de la subvenciσn, Satena S.A. desagregarα sus costos y gastos relacionados con la operaciσn de cada una de las rutas sociales, basado en sus estados financieros, con el fin de establecer el costo por cada ruta social donde Satena S.A. sea ϊnico operador. </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 Presidencia de Satena S.A. deberα certificar y aprobar los valores de las estimaciones y/o cαlculos de las subvenciones, y deberα presentar al Ministerio de Defensa Nacional las respectivas solicitudes de anticipos o reembolsos por dicho concepto. </w:t>
      </w:r>
    </w:p>
    <w:p>
      <w:pPr>
        <w:jc w:val="both"/>
      </w:pPr>
      <w:rPr>
        <w:sz w:val="24"/>
        <w:color w:val="black"/>
      </w:rPr>
    </w:p>
    <w:p>
      <w:pPr>
        <w:jc w:val="both"/>
      </w:pPr>
      <w:r>
        <w:rPr>
          <w:rFonts w:hAnsi="Arial"/>
          <w:rFonts w:ascii="Arial"/>
          <w:sz w:val="24"/>
          <w:b/>
          <w:vanish/>
          <w:color w:val="black"/>
        </w:rPr>
        <w:t>&amp;$</w:t>
      </w:r>
      <w:bookmarkStart w:id="62363" w:name="2.6.2.2.1.1.3"/>
      <w:r>
        <w:rPr>
          <w:rFonts w:hAnsi="Arial"/>
          <w:rFonts w:ascii="Arial"/>
          <w:sz w:val="24"/>
          <w:color w:val="navy"/>
        </w:rPr>
        <w:t xml:space="preserve">ARTΝCULO 2.6.2.2.1.1.3. </w:t>
      </w:r>
      <w:r>
        <w:rPr>
          <w:rFonts w:hAnsi="Arial"/>
          <w:rFonts w:ascii="Arial"/>
          <w:sz w:val="24"/>
          <w:i/>
          <w:color w:val="navy"/>
        </w:rPr>
        <w:t xml:space="preserve">DESEMBOLSO DE LA SUBVENCIΣN</w:t>
      </w:r>
      <w:r>
        <w:rPr>
          <w:rFonts w:hAnsi="Arial"/>
          <w:rFonts w:ascii="Arial"/>
          <w:sz w:val="24"/>
          <w:color w:val="navy"/>
        </w:rPr>
        <w:t>.</w:t>
      </w:r>
      <w:bookmarkEnd w:id="62363"/>
      <w:r>
        <w:rPr>
          <w:rFonts w:hAnsi="Arial"/>
          <w:rFonts w:ascii="Arial"/>
          <w:sz w:val="24"/>
          <w:color w:val="black"/>
        </w:rPr>
        <w:t xml:space="preserve"> &lt;Artνculo modificado por el artνculo </w:t>
      </w:r>
      <w:r>
        <w:fldChar w:fldCharType="begin"/>
      </w:r>
      <w:r>
        <w:instrText>HYPERLINK "http://www.redjurista.com/document.aspx?ajcode=d1017020&amp;arts=1"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1017 de 2020. El nuevo texto es el siguiente:&gt; El Ministerio de Defensa Nacional desembolsarα a Satena S.A. los recursos correspondientes a las subvenciones hasta por el monto de las apropiaciones presupuestales dispuestas para dicho propσsito en cada vigencia fiscal en las fechas que para ello establezca el Ministerio de Defensa Nacional. </w:t>
      </w:r>
    </w:p>
    <w:p>
      <w:pPr>
        <w:jc w:val="both"/>
        <w:outlineLvl w:val="1"/>
      </w:pPr>
      <w:rPr>
        <w:sz w:val="24"/>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Para el reconocimiento del valor de las subvenciones, tanto para el caso de los anticipos como de los reembolsos, la Presidencia de Satena S.A., previa revisiσn y certificaciσn de su Revisorνa Fiscal, deberα certificar mensualmente ante el Ministerio de Defensa Nacional el valor de dichas subvenciones, acorde con el mecanismo establecido en esta Subsecciσn y anexar un certificado de la Unidad Administrativa Especial de Aeronαutica Civil donde conste que cada una de las rutas sociales objeto de subvenciσn fueron operadas exclusivamente por Satena S.A.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En ningϊn caso las subvenciones podrαn ser superiores al dιficit que registre la empresa como resultado de atender las denominadas rutas sociales en las cuales opere de manera exclusiva. </w:t>
      </w:r>
    </w:p>
    <w:p>
      <w:pPr>
        <w:jc w:val="both"/>
        <w:outlineLvl w:val="1"/>
      </w:pPr>
      <w:rPr>
        <w:sz w:val="24"/>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En caso de que existan saldos resultantes entre la subvenciσn otorgada a tνtulo de anticipo y los soportes presentados por Satena S.A., esta tendrα que reintegrar los saldos al Tesoro Nacional en las fechas que este establezca. </w:t>
      </w:r>
    </w:p>
    <w:p>
      <w:pPr>
        <w:jc w:val="both"/>
        <w:outlineLvl w:val="1"/>
      </w:pPr>
      <w:rPr>
        <w:sz w:val="24"/>
        <w:color w:val="black"/>
      </w:rPr>
    </w:p>
    <w:p>
      <w:pPr>
        <w:jc w:val="both"/>
        <w:outlineLvl w:val="1"/>
      </w:pPr>
      <w:r>
        <w:rPr>
          <w:rFonts w:hAnsi="Arial"/>
          <w:rFonts w:ascii="Arial"/>
          <w:sz w:val="24"/>
          <w:color w:val="navy"/>
        </w:rPr>
        <w:t xml:space="preserve">PARΑGRAFO 4o.</w:t>
      </w:r>
      <w:r>
        <w:rPr>
          <w:rFonts w:hAnsi="Arial"/>
          <w:rFonts w:ascii="Arial"/>
          <w:sz w:val="24"/>
          <w:color w:val="black"/>
        </w:rPr>
        <w:t xml:space="preserve"> Satena S.A. deberα presentar un informe a la Junta Directiva, como mνnimo cada dos meses, en el que se expongan indicadores que midan aspectos de eficiencia, calidad, seguridad y cobertura de la operaciσn de las rutas sociales objeto de subvenciσn.</w:t>
      </w:r>
    </w:p>
    <w:p>
      <w:pPr>
        <w:jc w:val="center"/>
      </w:pPr>
      <w:rPr>
        <w:sz w:val="24"/>
        <w:b/>
        <w:color w:val="black"/>
      </w:rPr>
    </w:p>
    <w:p>
      <w:pPr>
        <w:jc w:val="center"/>
      </w:pPr>
      <w:r>
        <w:rPr>
          <w:rFonts w:hAnsi="Arial"/>
          <w:rFonts w:ascii="Arial"/>
          <w:sz w:val="24"/>
          <w:vanish/>
          <w:color w:val="black"/>
        </w:rPr>
        <w:t>&amp;$</w:t>
      </w:r>
      <w:bookmarkStart w:id="62364" w:name="LIBRO 3"/>
      <w:r>
        <w:rPr>
          <w:rFonts w:hAnsi="Arial"/>
          <w:rFonts w:ascii="Arial"/>
          <w:sz w:val="24"/>
          <w:color w:val="navy"/>
        </w:rPr>
        <w:t xml:space="preserve">LIBRO 3. </w:t>
      </w:r>
    </w:p>
    <w:p>
      <w:pPr>
        <w:jc w:val="center"/>
      </w:pPr>
      <w:r>
        <w:rPr>
          <w:rFonts w:hAnsi="Arial"/>
          <w:rFonts w:ascii="Arial"/>
          <w:sz w:val="24"/>
          <w:color w:val="navy"/>
        </w:rPr>
        <w:t xml:space="preserve">DISPOSICIONES FINALES.</w:t>
      </w:r>
      <w:bookmarkEnd w:id="62364"/>
      <w:r>
        <w:rPr>
          <w:rFonts w:hAnsi="Arial"/>
          <w:rFonts w:ascii="Arial"/>
          <w:sz w:val="24"/>
          <w:b/>
          <w:color w:val="black"/>
        </w:rPr>
        <w:t xml:space="preserve"> </w:t>
      </w:r>
    </w:p>
    <w:p>
      <w:pPr>
        <w:jc w:val="center"/>
      </w:pPr>
      <w:rPr>
        <w:sz w:val="24"/>
        <w:color w:val="black"/>
      </w:rPr>
    </w:p>
    <w:p>
      <w:pPr>
        <w:jc w:val="center"/>
      </w:pPr>
      <w:r>
        <w:rPr>
          <w:rFonts w:hAnsi="Arial"/>
          <w:rFonts w:ascii="Arial"/>
          <w:sz w:val="24"/>
          <w:vanish/>
          <w:color w:val="black"/>
        </w:rPr>
        <w:t>&amp;$</w:t>
      </w:r>
      <w:bookmarkStart w:id="62365" w:name="PARTE 3.1"/>
      <w:r>
        <w:rPr>
          <w:rFonts w:hAnsi="Arial"/>
          <w:rFonts w:ascii="Arial"/>
          <w:sz w:val="24"/>
          <w:color w:val="navy"/>
        </w:rPr>
        <w:t xml:space="preserve">PARTE 1. </w:t>
      </w:r>
    </w:p>
    <w:p>
      <w:pPr>
        <w:jc w:val="center"/>
      </w:pPr>
      <w:r>
        <w:rPr>
          <w:rFonts w:hAnsi="Arial"/>
          <w:rFonts w:ascii="Arial"/>
          <w:sz w:val="24"/>
          <w:color w:val="navy"/>
        </w:rPr>
        <w:t xml:space="preserve">DEROGATORIA Y VIGENCIA.</w:t>
      </w:r>
      <w:bookmarkEnd w:id="62365"/>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62366" w:name="3.1.1"/>
      <w:r>
        <w:rPr>
          <w:rFonts w:hAnsi="Arial"/>
          <w:rFonts w:ascii="Arial"/>
          <w:sz w:val="24"/>
          <w:color w:val="navy"/>
        </w:rPr>
        <w:t xml:space="preserve">ARTΝCULO 3.1.1. </w:t>
      </w:r>
      <w:r>
        <w:rPr>
          <w:rFonts w:hAnsi="Arial"/>
          <w:rFonts w:ascii="Arial"/>
          <w:sz w:val="24"/>
          <w:i/>
          <w:color w:val="navy"/>
        </w:rPr>
        <w:t xml:space="preserve">DEROGATORIA INTEGRAL</w:t>
      </w:r>
      <w:r>
        <w:rPr>
          <w:rFonts w:hAnsi="Arial"/>
          <w:rFonts w:ascii="Arial"/>
          <w:sz w:val="24"/>
          <w:color w:val="navy"/>
        </w:rPr>
        <w:t>.</w:t>
      </w:r>
      <w:bookmarkEnd w:id="62366"/>
      <w:r>
        <w:rPr>
          <w:rFonts w:hAnsi="Arial"/>
          <w:rFonts w:ascii="Arial"/>
          <w:sz w:val="24"/>
          <w:b/>
          <w:color w:val="black"/>
        </w:rPr>
        <w:t xml:space="preserve"> </w:t>
      </w:r>
      <w:r>
        <w:rPr>
          <w:rFonts w:hAnsi="Arial"/>
          <w:rFonts w:ascii="Arial"/>
          <w:sz w:val="24"/>
          <w:color w:val="black"/>
        </w:rPr>
        <w:t xml:space="preserve">Este decreto regula νntegramente las materias contempladas en ιl. Por consiguiente de conformidad con el artνculo </w:t>
      </w:r>
      <w:r>
        <w:fldChar w:fldCharType="begin"/>
      </w:r>
      <w:r>
        <w:instrText>HYPERLINK "http://www.redjurista.com/document.aspx?ajcode=l0153887&amp;arts=3"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153 de 1887, quedan derogadas todas las disposiciones de naturaleza reglamentaria relativas al Sector Defensa que versan sobre las mismas materias, con excepciσn, exclusivamente, de los siguientes asuntos:</w:t>
      </w:r>
    </w:p>
    <w:p>
      <w:pPr>
        <w:jc w:val="both"/>
      </w:pPr>
      <w:rPr>
        <w:sz w:val="24"/>
        <w:color w:val="black"/>
      </w:rPr>
    </w:p>
    <w:p>
      <w:pPr>
        <w:jc w:val="both"/>
      </w:pPr>
      <w:r>
        <w:rPr>
          <w:rFonts w:hAnsi="Arial"/>
          <w:rFonts w:ascii="Arial"/>
          <w:sz w:val="24"/>
          <w:color w:val="black"/>
        </w:rPr>
        <w:t xml:space="preserve">1) No quedan cobijados por la derogatoria anterior los decretos relativos a la creaciσn y conformaciσn de comisiones intersectoriales, comisiones interinstitucionales, consejos, comitιs, sistemas administrativos y demαs asuntos relacionados con la estructura, configuraciσn y conformaciσn de las entidades y organismos del sector administrativo.</w:t>
      </w:r>
    </w:p>
    <w:p>
      <w:pPr>
        <w:jc w:val="both"/>
      </w:pPr>
      <w:rPr>
        <w:sz w:val="24"/>
        <w:color w:val="black"/>
      </w:rPr>
    </w:p>
    <w:p>
      <w:pPr>
        <w:jc w:val="both"/>
      </w:pPr>
      <w:r>
        <w:rPr>
          <w:rFonts w:hAnsi="Arial"/>
          <w:rFonts w:ascii="Arial"/>
          <w:sz w:val="24"/>
          <w:color w:val="black"/>
        </w:rPr>
        <w:t xml:space="preserve">2) Tampoco quedan cobijados por la derogatoria anterior los decretos que desarrollan leyes marco.</w:t>
      </w:r>
    </w:p>
    <w:p>
      <w:pPr>
        <w:jc w:val="both"/>
      </w:pPr>
      <w:rPr>
        <w:sz w:val="24"/>
        <w:color w:val="black"/>
      </w:rPr>
    </w:p>
    <w:p>
      <w:pPr>
        <w:jc w:val="both"/>
      </w:pPr>
      <w:r>
        <w:rPr>
          <w:rFonts w:hAnsi="Arial"/>
          <w:rFonts w:ascii="Arial"/>
          <w:sz w:val="24"/>
          <w:color w:val="black"/>
        </w:rPr>
        <w:t xml:space="preserve">3) Igualmente, quedan excluidas de esta derogatoria las normas de naturaleza reglamentaria de este sector administrativo que, a la fecha de expediciσn del presente decreto, se encuentren suspendidas por la Jurisdicciσn Contencioso Administrativa, las cuales serαn compiladas en este decreto, en caso de recuperar su eficacia jurνdica.</w:t>
      </w:r>
    </w:p>
    <w:p>
      <w:pPr>
        <w:jc w:val="both"/>
      </w:pPr>
      <w:rPr>
        <w:sz w:val="24"/>
        <w:color w:val="black"/>
      </w:rPr>
    </w:p>
    <w:p>
      <w:pPr>
        <w:jc w:val="both"/>
      </w:pPr>
      <w:r>
        <w:rPr>
          <w:rFonts w:hAnsi="Arial"/>
          <w:rFonts w:ascii="Arial"/>
          <w:sz w:val="24"/>
          <w:color w:val="black"/>
        </w:rPr>
        <w:t xml:space="preserve">Los actos administrativos expedidos con fundamento en las disposiciones compiladas en el presente decreto mantendrαn su vigencia y ejecutoriedad bajo el entendido de que sus fundamentos jurνdicos permanecen en el presente decreto compilatorio.</w:t>
      </w:r>
    </w:p>
    <w:p>
      <w:pPr>
        <w:jc w:val="both"/>
      </w:pPr>
      <w:rPr>
        <w:sz w:val="24"/>
        <w:color w:val="black"/>
      </w:rPr>
    </w:p>
    <w:p>
      <w:pPr>
        <w:jc w:val="both"/>
      </w:pPr>
      <w:r>
        <w:rPr>
          <w:rFonts w:hAnsi="Arial"/>
          <w:rFonts w:ascii="Arial"/>
          <w:sz w:val="24"/>
          <w:vanish/>
          <w:color w:val="black"/>
        </w:rPr>
        <w:t>&amp;$</w:t>
      </w:r>
      <w:bookmarkStart w:id="62367" w:name="3.1.2"/>
      <w:r>
        <w:rPr>
          <w:rFonts w:hAnsi="Arial"/>
          <w:rFonts w:ascii="Arial"/>
          <w:sz w:val="24"/>
          <w:color w:val="navy"/>
        </w:rPr>
        <w:t xml:space="preserve">ARTΝCULO 3.1.2. </w:t>
      </w:r>
      <w:r>
        <w:rPr>
          <w:rFonts w:hAnsi="Arial"/>
          <w:rFonts w:ascii="Arial"/>
          <w:sz w:val="24"/>
          <w:i/>
          <w:color w:val="navy"/>
        </w:rPr>
        <w:t>VIGENCIA</w:t>
      </w:r>
      <w:r>
        <w:rPr>
          <w:rFonts w:hAnsi="Arial"/>
          <w:rFonts w:ascii="Arial"/>
          <w:sz w:val="24"/>
          <w:color w:val="navy"/>
        </w:rPr>
        <w:t>.</w:t>
      </w:r>
      <w:bookmarkEnd w:id="62367"/>
      <w:r>
        <w:rPr>
          <w:rFonts w:hAnsi="Arial"/>
          <w:rFonts w:ascii="Arial"/>
          <w:sz w:val="24"/>
          <w:b/>
          <w:color w:val="black"/>
        </w:rPr>
        <w:t xml:space="preserve"> </w:t>
      </w:r>
      <w:r>
        <w:rPr>
          <w:rFonts w:hAnsi="Arial"/>
          <w:rFonts w:ascii="Arial"/>
          <w:sz w:val="24"/>
          <w:color w:val="black"/>
        </w:rPr>
        <w:t xml:space="preserve">El presente decreto rige a partir de su publicaciσn en el </w:t>
      </w:r>
      <w:r>
        <w:rPr>
          <w:rFonts w:hAnsi="Arial"/>
          <w:rFonts w:ascii="Arial"/>
          <w:sz w:val="24"/>
          <w:b/>
          <w:i/>
          <w:color w:val="black"/>
        </w:rPr>
        <w:t xml:space="preserve">Diario Oficial.</w:t>
      </w:r>
    </w:p>
    <w:p>
      <w:pPr>
        <w:jc w:val="center"/>
      </w:pPr>
      <w:rPr>
        <w:sz w:val="24"/>
        <w:color w:val="black"/>
      </w:rPr>
    </w:p>
    <w:p>
      <w:pPr>
        <w:jc w:val="center"/>
      </w:pPr>
      <w:r>
        <w:rPr>
          <w:rFonts w:hAnsi="Arial"/>
          <w:rFonts w:ascii="Arial"/>
          <w:sz w:val="24"/>
          <w:color w:val="black"/>
        </w:rPr>
        <w:t xml:space="preserve">Publνquese y cϊmplase.</w:t>
      </w:r>
    </w:p>
    <w:p>
      <w:pPr>
        <w:jc w:val="center"/>
      </w:pPr>
      <w:r>
        <w:rPr>
          <w:rFonts w:hAnsi="Arial"/>
          <w:rFonts w:ascii="Arial"/>
          <w:sz w:val="24"/>
          <w:color w:val="black"/>
        </w:rPr>
        <w:t xml:space="preserve">Dado en Bogotα, D. C., a 26 de mayo de 2015.</w:t>
      </w:r>
    </w:p>
    <w:p>
      <w:pPr>
        <w:jc w:val="center"/>
      </w:pPr>
      <w:rPr>
        <w:sz w:val="24"/>
        <w:color w:val="black"/>
      </w:rPr>
    </w:p>
    <w:p>
      <w:pPr>
        <w:jc w:val="center"/>
      </w:pPr>
      <w:r>
        <w:rPr>
          <w:rFonts w:hAnsi="Arial"/>
          <w:rFonts w:ascii="Arial"/>
          <w:sz w:val="24"/>
          <w:color w:val="gray"/>
        </w:rPr>
        <w:t xml:space="preserve">JUAN MANUEL SANTOS CALDERΣN</w:t>
      </w:r>
    </w:p>
    <w:p>
      <w:pPr>
        <w:jc w:val="center"/>
      </w:pPr>
      <w:rPr>
        <w:sz w:val="24"/>
        <w:color w:val="black"/>
      </w:rPr>
    </w:p>
    <w:p>
      <w:pPr>
        <w:jc w:val="center"/>
      </w:pPr>
      <w:r>
        <w:rPr>
          <w:rFonts w:hAnsi="Arial"/>
          <w:rFonts w:ascii="Arial"/>
          <w:sz w:val="24"/>
          <w:color w:val="black"/>
        </w:rPr>
        <w:t xml:space="preserve">Comandante de las Fuerzas Militares, encargado de las funciones del despacho del Ministro de Defensa,</w:t>
      </w:r>
    </w:p>
    <w:p>
      <w:pPr>
        <w:jc w:val="center"/>
      </w:pPr>
      <w:r>
        <w:rPr>
          <w:rFonts w:hAnsi="Arial"/>
          <w:rFonts w:ascii="Arial"/>
          <w:sz w:val="24"/>
          <w:color w:val="gray"/>
        </w:rPr>
        <w:t xml:space="preserve">GENERAL JUAN PABLO RODRΝGUEZ BARRAGΑN.</w:t>
      </w:r>
    </w:p>
    <w:p>
      <w:rPr>
        <w:sz w:val="24"/>
        <w:color w:val="gray"/>
      </w:rPr>
    </w:p>
    <w:p>
      <w:pPr>
        <w:jc w:val="both"/>
        <w:keepNext/>
      </w:pPr>
      <w:r>
        <w:rPr>
          <w:rFonts w:hAnsi="Arial"/>
          <w:rFonts w:ascii="Arial"/>
          <w:sz w:val="24"/>
          <w:color w:val="black"/>
        </w:rPr>
        <w:t xml:space="preserve">&lt;Notas de Pie de Pαgina incluidas por Avance Jurνdico:&gt;</w:t>
      </w:r>
    </w:p>
    <w:p>
      <w:pPr>
        <w:jc w:val="both"/>
        <w:keepNext/>
      </w:pPr>
      <w:rPr>
        <w:sz w:val="24"/>
        <w:color w:val="black"/>
      </w:rPr>
    </w:p>
    <w:p>
      <w:pPr>
        <w:jc w:val="both"/>
        <w:keepNext/>
      </w:pPr>
      <w:r>
        <w:rPr>
          <w:rFonts w:hAnsi="Arial"/>
          <w:rFonts w:ascii="Arial"/>
          <w:sz w:val="18"/>
          <w:vanish/>
          <w:color w:val="black"/>
        </w:rPr>
        <w:t>&amp;$</w:t>
      </w:r>
      <w:bookmarkStart w:id="62368" w:name="np1"/>
      <w:r>
        <w:rPr>
          <w:rFonts w:hAnsi="Arial"/>
          <w:rFonts w:ascii="Arial"/>
          <w:sz w:val="18"/>
          <w:color w:val="navy"/>
        </w:rPr>
        <w:t>1.</w:t>
      </w:r>
      <w:bookmarkEnd w:id="62368"/>
      <w:r>
        <w:rPr>
          <w:rFonts w:hAnsi="Arial"/>
          <w:rFonts w:ascii="Arial"/>
          <w:sz w:val="24"/>
          <w:color w:val="black"/>
        </w:rPr>
        <w:t xml:space="preserve"> </w:t>
      </w:r>
      <w:r>
        <w:rPr>
          <w:rFonts w:hAnsi="Arial"/>
          <w:rFonts w:ascii="Arial"/>
          <w:sz w:val="18"/>
          <w:color w:val="black"/>
        </w:rPr>
        <w:t xml:space="preserve">La "Fuerza Aιrea Colombiana", se denominarα “Fuerza Aeroespacial Colombiana”, por mandato del artνculo </w:t>
      </w:r>
      <w:r>
        <w:fldChar w:fldCharType="begin"/>
      </w:r>
      <w:r>
        <w:instrText>HYPERLINK "http://www.redjurista.com/document.aspx?ajcode=acl02024&amp;arts=1"</w:instrText>
      </w:r>
      <w:r>
        <w:fldChar w:fldCharType="separate"/>
      </w:r>
      <w:r>
        <w:rPr>
          <w:rFonts w:hAnsi="Arial"/>
          <w:rFonts w:ascii="Arial"/>
          <w:sz w:val="18"/>
          <w:u w:val="single"/>
          <w:color w:val="black"/>
        </w:rPr>
        <w:t>1</w:t>
      </w:r>
      <w:r>
        <w:fldChar w:fldCharType="end"/>
      </w:r>
      <w:r>
        <w:rPr>
          <w:rFonts w:hAnsi="Arial"/>
          <w:rFonts w:ascii="Arial"/>
          <w:sz w:val="18"/>
          <w:u w:val="none"/>
          <w:color w:val="black"/>
        </w:rPr>
        <w:t xml:space="preserve"> del Acto Legislativo 2 de 8 de noviembre de 2024, "por el cual se modifica el inciso 1 del artνculo </w:t>
      </w:r>
      <w:r>
        <w:fldChar w:fldCharType="begin"/>
      </w:r>
      <w:r>
        <w:instrText>HYPERLINK "http://www.redjurista.com/document.aspx?ajcode=cons_p91&amp;arts=217"</w:instrText>
      </w:r>
      <w:r>
        <w:fldChar w:fldCharType="separate"/>
      </w:r>
      <w:r>
        <w:rPr>
          <w:rFonts w:hAnsi="Arial"/>
          <w:rFonts w:ascii="Arial"/>
          <w:sz w:val="18"/>
          <w:u w:val="single"/>
          <w:color w:val="black"/>
        </w:rPr>
        <w:t>217</w:t>
      </w:r>
      <w:r>
        <w:fldChar w:fldCharType="end"/>
      </w:r>
      <w:r>
        <w:rPr>
          <w:rFonts w:hAnsi="Arial"/>
          <w:rFonts w:ascii="Arial"/>
          <w:sz w:val="18"/>
          <w:u w:val="none"/>
          <w:color w:val="black"/>
        </w:rPr>
        <w:t xml:space="preserve"> de la Constituciσn Polνtica de Colombia, se cambia el nombre de la Fuerza Aιrea por Fuerza Aeroespacial y se dictan otras disposiciones", publicado en el Diario Oficial No. 52.934 de 8 de noviembre de 2024. Rige a partir de su publicaciσn en el Diario Oficial.</w:t>
      </w:r>
    </w:p>
    <w:sectPr>
      <w:cols w:num="1" w.space="720"/>
      <w:pgSz w:w="12240" w:h="15840"/>
      <w:pgMar w:top="1134" w:right="1134" w:left="1134" w:bottom="1417" w:header="254" w:footer="254"/>
      <w:headerReference w:type="default" r:id="eId7472"/>
      <w:footerReference w:type="default" r:id="eId7473"/>
      <w:type w:val="continuous"/>
    </w:sectPr>
  </w:body>
</w:document>
</file>

<file path=word/footer_default_7473.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775</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808</w:t>
      <w:fldChar w:fldCharType="end"/>
    </w:r>
  </w:p>
</w:ftr>
</file>

<file path=word/header_default_7472.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2"/>
    <w:u w:val="single"/>
    <w:color w:val="black"/>
  </w:rPr>
  <w:rPr>
    <w:rFonts w:hAnsi="Arial"/>
    <w:rFonts w:ascii="Arial"/>
    <w:sz w:val="22"/>
    <w:u w:val="single"/>
    <w:color w:val="black"/>
  </w:rPr>
  <w:rPr>
    <w:rFonts w:hAnsi="Arial"/>
    <w:rFonts w:ascii="Arial"/>
    <w:sz w:val="22"/>
    <w:u w:val="single"/>
    <w:color w:val="black"/>
  </w:rPr>
  <w:rPr>
    <w:rFonts w:hAnsi="Arial"/>
    <w:rFonts w:ascii="Arial"/>
    <w:sz w:val="22"/>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u w:val="none"/>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color w:val="black"/>
  </w:rPr>
  <w:rPr>
    <w:rFonts w:hAnsi="Arial"/>
    <w:rFonts w:ascii="Arial"/>
    <w:sz w:val="24"/>
    <w:b/>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18"/>
    <w:vanish/>
    <w:color w:val="black"/>
  </w:rPr>
  <w:rPr>
    <w:rFonts w:hAnsi="Arial"/>
    <w:rFonts w:ascii="Arial"/>
    <w:sz w:val="18"/>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style w:type="paragraph" w:styleId="Texto_HLK">
    <w:name w:val="Texto_HLK"/>
    <w:qFormat/>
    <w:rPr>
      <w:rFonts w:hAnsi="Arial"/>
      <w:rFonts w:ascii="Arial"/>
      <w:sz w:val="24"/>
      <w:color w:val="blue"/>
      <w:highlight w:val="white"/>
    </w:rPr>
    <w:pPr>
      <w:ind w:left="567"/>
    </w:pPr>
  </w:style>
</w:styles>
</file>

<file path=word/_rels/document.xml.rels><?xml version="1.0" encoding="UTF-8" standalone="yes"?><Relationships xmlns="http://schemas.openxmlformats.org/package/2006/relationships">
<Relationship Id="eId7472" Type="http://schemas.openxmlformats.org/officeDocument/2006/relationships/header" Target="header_default_7472.xml" />
<Relationship Id="id0" Type="http://schemas.openxmlformats.org/officeDocument/2006/relationships/image" Target="img/img_id0.png"/>
<Relationship Id="eId7473" Type="http://schemas.openxmlformats.org/officeDocument/2006/relationships/footer" Target="footer_default_7473.xml" />
<Relationship Id="id1" Type="http://schemas.openxmlformats.org/officeDocument/2006/relationships/image" Target="img/img_id1.jpg"/>
<Relationship Id="id2" Type="http://schemas.openxmlformats.org/officeDocument/2006/relationships/image" Target="img/img_id2.emf"/>
<Relationship Id="id3" Type="http://schemas.openxmlformats.org/officeDocument/2006/relationships/image" Target="img/img_id3.emf"/>
<Relationship Id="id4" Type="http://schemas.openxmlformats.org/officeDocument/2006/relationships/image" Target="img/img_id4.emf"/>
<Relationship Id="id5" Type="http://schemas.openxmlformats.org/officeDocument/2006/relationships/image" Target="img/img_id5.emf"/>
<Relationship Id="id6" Type="http://schemas.openxmlformats.org/officeDocument/2006/relationships/image" Target="img/img_id6.emf"/>
<Relationship Id="id7" Type="http://schemas.openxmlformats.org/officeDocument/2006/relationships/image" Target="img/img_id7.emf"/>
<Relationship Id="id8" Type="http://schemas.openxmlformats.org/officeDocument/2006/relationships/image" Target="img/img_id8.bmp"/>
<Relationship Id="id9" Type="http://schemas.openxmlformats.org/officeDocument/2006/relationships/image" Target="img/img_id9.emf"/>
<Relationship Id="id10" Type="http://schemas.openxmlformats.org/officeDocument/2006/relationships/image" Target="img/img_id10.emf"/>
<Relationship Id="id11" Type="http://schemas.openxmlformats.org/officeDocument/2006/relationships/image" Target="img/img_id11.emf"/>
<Relationship Id="id12" Type="http://schemas.openxmlformats.org/officeDocument/2006/relationships/image" Target="img/img_id12.bmp"/>
<Relationship Id="id13" Type="http://schemas.openxmlformats.org/officeDocument/2006/relationships/image" Target="img/img_id13.emf"/>
<Relationship Id="id14" Type="http://schemas.openxmlformats.org/officeDocument/2006/relationships/image" Target="img/img_id14.bmp"/>
<Relationship Id="id15" Type="http://schemas.openxmlformats.org/officeDocument/2006/relationships/image" Target="img/img_id15.emf"/>
<Relationship Id="id16" Type="http://schemas.openxmlformats.org/officeDocument/2006/relationships/image" Target="img/img_id16.emf"/>
<Relationship Id="id17" Type="http://schemas.openxmlformats.org/officeDocument/2006/relationships/image" Target="img/img_id17.bmp"/>
<Relationship Id="id18" Type="http://schemas.openxmlformats.org/officeDocument/2006/relationships/image" Target="img/img_id18.bmp"/>
<Relationship Id="id19" Type="http://schemas.openxmlformats.org/officeDocument/2006/relationships/image" Target="img/img_id19.emf"/>
<Relationship Id="id20" Type="http://schemas.openxmlformats.org/officeDocument/2006/relationships/image" Target="img/img_id20.emf"/>
<Relationship Id="id21" Type="http://schemas.openxmlformats.org/officeDocument/2006/relationships/image" Target="img/img_id21.bmp"/>
<Relationship Id="id22" Type="http://schemas.openxmlformats.org/officeDocument/2006/relationships/image" Target="img/img_id22.bmp"/>
<Relationship Id="id23" Type="http://schemas.openxmlformats.org/officeDocument/2006/relationships/image" Target="img/img_id23.bmp"/>
<Relationship Id="id24" Type="http://schemas.openxmlformats.org/officeDocument/2006/relationships/image" Target="img/img_id24.bmp"/>
<Relationship Id="id25" Type="http://schemas.openxmlformats.org/officeDocument/2006/relationships/image" Target="img/img_id25.bmp"/>
<Relationship Id="id26" Type="http://schemas.openxmlformats.org/officeDocument/2006/relationships/image" Target="img/img_id26.bmp"/>
<Relationship Id="id27" Type="http://schemas.openxmlformats.org/officeDocument/2006/relationships/image" Target="img/img_id27.bmp"/>
<Relationship Id="id28" Type="http://schemas.openxmlformats.org/officeDocument/2006/relationships/image" Target="img/img_id28.bmp"/>
<Relationship Id="id29" Type="http://schemas.openxmlformats.org/officeDocument/2006/relationships/image" Target="img/img_id29.bmp"/>
<Relationship Id="id30" Type="http://schemas.openxmlformats.org/officeDocument/2006/relationships/image" Target="img/img_id30.bmp"/>
<Relationship Id="id31" Type="http://schemas.openxmlformats.org/officeDocument/2006/relationships/image" Target="img/img_id31.bmp"/>
<Relationship Id="id32" Type="http://schemas.openxmlformats.org/officeDocument/2006/relationships/image" Target="img/img_id32.bmp"/>
<Relationship Id="id33" Type="http://schemas.openxmlformats.org/officeDocument/2006/relationships/image" Target="img/img_id33.bmp"/>
<Relationship Id="id34" Type="http://schemas.openxmlformats.org/officeDocument/2006/relationships/image" Target="img/img_id34.bmp"/>
<Relationship Id="id35" Type="http://schemas.openxmlformats.org/officeDocument/2006/relationships/image" Target="img/img_id35.bmp"/>
<Relationship Id="id36" Type="http://schemas.openxmlformats.org/officeDocument/2006/relationships/image" Target="img/img_id36.bmp"/>
<Relationship Id="id37" Type="http://schemas.openxmlformats.org/officeDocument/2006/relationships/image" Target="img/img_id37.bmp"/>
<Relationship Id="id38" Type="http://schemas.openxmlformats.org/officeDocument/2006/relationships/image" Target="img/img_id38.bmp"/>
<Relationship Id="id39" Type="http://schemas.openxmlformats.org/officeDocument/2006/relationships/image" Target="img/img_id39.emf"/>
<Relationship Id="id40" Type="http://schemas.openxmlformats.org/officeDocument/2006/relationships/image" Target="img/img_id40.emf"/>
<Relationship Id="id41" Type="http://schemas.openxmlformats.org/officeDocument/2006/relationships/image" Target="img/img_id41.emf"/>
<Relationship Id="id42" Type="http://schemas.openxmlformats.org/officeDocument/2006/relationships/image" Target="img/img_id42.emf"/>
<Relationship Id="id43" Type="http://schemas.openxmlformats.org/officeDocument/2006/relationships/image" Target="img/img_id43.emf"/>
<Relationship Id="id44" Type="http://schemas.openxmlformats.org/officeDocument/2006/relationships/image" Target="img/img_id44.emf"/>
<Relationship Id="id45" Type="http://schemas.openxmlformats.org/officeDocument/2006/relationships/image" Target="img/img_id45.bmp"/>
<Relationship Id="rId49" Type="http://schemas.openxmlformats.org/officeDocument/2006/relationships/settings" Target="settings.xml"/>
<Relationship Id="rId50" Type="http://schemas.openxmlformats.org/officeDocument/2006/relationships/styles" Target="styles.xml"/>
</Relationships>

</file>

<file path=word/_rels/footer_default_7473.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49" Type="http://schemas.openxmlformats.org/officeDocument/2006/relationships/settings" Target="settings.xml"/>
<Relationship Id="rId50" Type="http://schemas.openxmlformats.org/officeDocument/2006/relationships/styles" Target="styles.xml"/>
</Relationships>

</file>

<file path=word/_rels/header_default_7472.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49" Type="http://schemas.openxmlformats.org/officeDocument/2006/relationships/settings" Target="settings.xml"/>
<Relationship Id="rId50"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