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89.xml" ContentType="application/vnd.openxmlformats-officedocument.wordprocessingml.header+xml"/>
  <Override PartName="/word/footer_default_74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1076 DE 2020</w:t>
      </w:r>
    </w:p>
    <w:p>
      <w:pPr>
        <w:jc w:val="center"/>
      </w:pPr>
      <w:r>
        <w:rPr>
          <w:rFonts w:hAnsi="Arial"/>
          <w:rFonts w:ascii="Arial"/>
          <w:sz w:val="24"/>
          <w:color w:val="black"/>
        </w:rPr>
        <w:t xml:space="preserve">(julio 28)</w:t>
      </w:r>
    </w:p>
    <w:p>
      <w:pPr>
        <w:jc w:val="center"/>
      </w:pPr>
      <w:r>
        <w:rPr>
          <w:rFonts w:hAnsi="Arial"/>
          <w:rFonts w:ascii="Arial"/>
          <w:sz w:val="24"/>
          <w:color w:val="black"/>
        </w:rPr>
        <w:t xml:space="preserve">Diario Oficial No. 51.389 de 28 de julio de 2020</w:t>
      </w:r>
    </w:p>
    <w:p>
      <w:pPr>
        <w:jc w:val="center"/>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gray"/>
        </w:rPr>
        <w:t xml:space="preserve">&lt;NOTA DE VIGENCIA: 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del Decreto 1168 de 2020&gt; </w:t>
      </w:r>
    </w:p>
    <w:p>
      <w:pPr>
        <w:jc w:val="center"/>
        <w:outlineLvl w:val="1"/>
      </w:pPr>
      <w:rPr>
        <w:sz w:val="24"/>
        <w:color w:val="black"/>
      </w:rPr>
    </w:p>
    <w:p>
      <w:pPr>
        <w:jc w:val="center"/>
        <w:outlineLvl w:val="1"/>
      </w:pPr>
      <w:r>
        <w:rPr>
          <w:rFonts w:hAnsi="Arial"/>
          <w:rFonts w:ascii="Arial"/>
          <w:sz w:val="24"/>
          <w:color w:val="black"/>
        </w:rPr>
        <w:t xml:space="preserve">&lt;Vigente hasta las cero horas (00:00) del día 1 de septiembre de 2020&gt; </w:t>
      </w:r>
    </w:p>
    <w:p>
      <w:pPr>
        <w:jc w:val="center"/>
        <w:outlineLvl w:val="1"/>
      </w:pPr>
      <w:rPr>
        <w:sz w:val="24"/>
        <w:color w:val="black"/>
      </w:rPr>
    </w:p>
    <w:p>
      <w:pPr>
        <w:jc w:val="center"/>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jc w:val="both"/>
      </w:pPr>
      <w:rPr>
        <w:sz w:val="24"/>
        <w:color w:val="black"/>
      </w:rPr>
    </w:p>
    <w:p>
      <w:pPr>
        <w:jc w:val="both"/>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de.la Constitución Política de Colombia, corresponde al presidente de la República, conservar el orden público en todo el territorio nacional.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jc w:val="both"/>
      </w:pPr>
      <w:rPr>
        <w:sz w:val="24"/>
        <w:color w:val="black"/>
      </w:rPr>
    </w:p>
    <w:p>
      <w:pPr>
        <w:jc w:val="both"/>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w:t>
      </w:r>
      <w:r>
        <w:rPr>
          <w:rFonts w:hAnsi="Arial"/>
          <w:rFonts w:ascii="Arial"/>
          <w:sz w:val="24"/>
          <w:color w:val="black"/>
        </w:rPr>
        <w:t xml:space="preserve">, 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w:t>
      </w:r>
    </w:p>
    <w:p>
      <w:pPr>
        <w:jc w:val="both"/>
      </w:pPr>
      <w:rPr>
        <w:sz w:val="24"/>
        <w:color w:val="black"/>
      </w:rPr>
    </w:p>
    <w:p>
      <w:pPr>
        <w:jc w:val="both"/>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w:t>
      </w:r>
    </w:p>
    <w:p>
      <w:pPr>
        <w:jc w:val="both"/>
      </w:pPr>
      <w:rPr>
        <w:sz w:val="24"/>
        <w:color w:val="black"/>
      </w:rPr>
    </w:p>
    <w:p>
      <w:pPr>
        <w:jc w:val="both"/>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jc w:val="both"/>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C.P.), dentro del marco constitucional, legal y reglamentario.</w:t>
      </w:r>
    </w:p>
    <w:p>
      <w:pPr>
        <w:jc w:val="both"/>
        <w:outlineLvl w:val="1"/>
      </w:pPr>
      <w:rPr>
        <w:sz w:val="24"/>
        <w:b/>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jc w:val="both"/>
        <w:outlineLvl w:val="1"/>
      </w:pPr>
      <w:rPr>
        <w:sz w:val="24"/>
        <w:color w:val="black"/>
      </w:rPr>
    </w:p>
    <w:p>
      <w:pPr>
        <w:jc w:val="both"/>
        <w:outlineLvl w:val="1"/>
      </w:pPr>
      <w:r>
        <w:rPr>
          <w:rFonts w:hAnsi="Arial"/>
          <w:rFonts w:ascii="Arial"/>
          <w:sz w:val="24"/>
          <w:b/>
          <w:color w:val="black"/>
        </w:rPr>
        <w:t xml:space="preserve">“5.1 Los derechos fundamentales no son absolutos</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 </w:t>
      </w:r>
    </w:p>
    <w:p>
      <w:pPr>
        <w:jc w:val="both"/>
        <w:outlineLvl w:val="1"/>
      </w:pPr>
      <w:rPr>
        <w:sz w:val="24"/>
        <w:color w:val="black"/>
      </w:rPr>
    </w:p>
    <w:p>
      <w:pPr>
        <w:jc w:val="both"/>
        <w:outlineLvl w:val="1"/>
      </w:pPr>
      <w:r>
        <w:rPr>
          <w:rFonts w:hAnsi="Arial"/>
          <w:rFonts w:ascii="Arial"/>
          <w:sz w:val="24"/>
          <w:b/>
          <w:color w:val="black"/>
        </w:rPr>
        <w:t xml:space="preserve">5.1.2 El orden público como derecho ciudadano </w:t>
      </w:r>
    </w:p>
    <w:p>
      <w:pPr>
        <w:jc w:val="both"/>
        <w:outlineLvl w:val="1"/>
      </w:pPr>
      <w:rPr>
        <w:sz w:val="24"/>
        <w:b/>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w:t>
      </w:r>
      <w:r>
        <w:rPr>
          <w:rFonts w:hAnsi="Arial"/>
          <w:rFonts w:ascii="Arial"/>
          <w:sz w:val="24"/>
          <w:b/>
          <w:color w:val="black"/>
        </w:rPr>
        <w:t xml:space="preserve">. Luego el orden público supone el ejercicio razonable de la libertad. Es así como el pueblo tiene derecho al orden público, porque éste es de interés general, y como tal, prevalente. </w:t>
      </w:r>
    </w:p>
    <w:p>
      <w:pPr>
        <w:jc w:val="both"/>
        <w:outlineLvl w:val="1"/>
      </w:pPr>
      <w:rPr>
        <w:sz w:val="24"/>
        <w:b/>
        <w:color w:val="black"/>
      </w:rPr>
    </w:p>
    <w:p>
      <w:pPr>
        <w:jc w:val="both"/>
        <w:outlineLvl w:val="1"/>
      </w:pPr>
      <w:r>
        <w:rPr>
          <w:rFonts w:hAnsi="Arial"/>
          <w:rFonts w:ascii="Arial"/>
          <w:sz w:val="24"/>
          <w:color w:val="black"/>
        </w:rPr>
        <w:t xml:space="preserve">Para la Corte es claro que el orden público no solo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b/>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b/>
        <w:color w:val="black"/>
      </w:rPr>
    </w:p>
    <w:p>
      <w:pPr>
        <w:jc w:val="both"/>
        <w:outlineLvl w:val="1"/>
      </w:pPr>
      <w:r>
        <w:rPr>
          <w:rFonts w:hAnsi="Arial"/>
          <w:rFonts w:ascii="Arial"/>
          <w:sz w:val="24"/>
          <w:color w:val="black"/>
        </w:rPr>
        <w:t xml:space="preserve">“La importancia constitucional del medio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del orden público.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pPr>
      <w:rPr>
        <w:sz w:val="24"/>
        <w:b/>
        <w:color w:val="black"/>
      </w:rPr>
    </w:p>
    <w:p>
      <w:pPr>
        <w:jc w:val="both"/>
        <w:outlineLvl w:val="1"/>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 </w:t>
      </w:r>
    </w:p>
    <w:p>
      <w:pPr>
        <w:jc w:val="both"/>
        <w:outlineLvl w:val="1"/>
      </w:pPr>
      <w:rPr>
        <w:sz w:val="24"/>
        <w:b/>
        <w:color w:val="black"/>
      </w:rPr>
    </w:p>
    <w:p>
      <w:pPr>
        <w:jc w:val="both"/>
        <w:outlineLvl w:val="1"/>
      </w:pPr>
      <w:r>
        <w:rPr>
          <w:rFonts w:hAnsi="Arial"/>
          <w:rFonts w:ascii="Arial"/>
          <w:sz w:val="24"/>
          <w:color w:val="black"/>
        </w:rPr>
        <w:t xml:space="preserve">Que de acuerdo al documento técnico expedido por la Dirección de Epidemiologia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b/>
        <w:color w:val="black"/>
      </w:rPr>
    </w:p>
    <w:p>
      <w:pPr>
        <w:jc w:val="both"/>
        <w:outlineLvl w:val="1"/>
      </w:pPr>
      <w:r>
        <w:rPr>
          <w:rFonts w:hAnsi="Arial"/>
          <w:rFonts w:ascii="Arial"/>
          <w:sz w:val="24"/>
          <w:color w:val="black"/>
        </w:rPr>
        <w:t xml:space="preserve">Que en Colombia la fase de contención se inició el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385 de 2020, para suspender los eventos con aforo de más de cincuenta (50) personas.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a.m.) hasta el treinta (30) de mayo de 2020 a las doce de la noche (12:00 p. m.).</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(ii) extendió hasta el 31 de agosto de 2020, las medidas sanitarias de aislamiento y cuarentena preventivo para las personas mayores de 70 años, previsto en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 2020, y (iii) extendió hasta el 31 de agosto de 2020 la medida sanitaria obligatoria de cierre parcial de actividades en centros vida y centros día, a excepción del servicio de alimentación, que deberá ser prestado de manera domiciliaria.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de acuerdo con la Organización Mundial de la Salud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 </w:t>
      </w:r>
    </w:p>
    <w:p>
      <w:pPr>
        <w:jc w:val="both"/>
        <w:outlineLvl w:val="1"/>
      </w:pPr>
      <w:rPr>
        <w:sz w:val="24"/>
        <w:b/>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"http://www.redjurista.com/document.aspx?ajcode=c_me_0020_2016&amp;arts=INICIO"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 </w:t>
      </w:r>
    </w:p>
    <w:p>
      <w:pPr>
        <w:jc w:val="both"/>
        <w:outlineLvl w:val="1"/>
      </w:pPr>
      <w:rPr>
        <w:sz w:val="24"/>
        <w:b/>
        <w:color w:val="black"/>
      </w:rPr>
    </w:p>
    <w:p>
      <w:pPr>
        <w:jc w:val="both"/>
        <w:outlineLvl w:val="1"/>
      </w:pPr>
      <w:r>
        <w:rPr>
          <w:rFonts w:hAnsi="Arial"/>
          <w:rFonts w:ascii="Arial"/>
          <w:sz w:val="24"/>
          <w:color w:val="black"/>
        </w:rPr>
        <w:t xml:space="preserve">Que el Ministerio de Educación Nacional, mediante las Directivas </w:t>
      </w:r>
      <w:r>
        <w:fldChar w:fldCharType="begin"/>
      </w:r>
      <w:r>
        <w:instrText>HYPERLINK "http://www.redjurista.com/document.aspx?ajcode=dir_presidencia_0003_2020&amp;arts=INICIO"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 20 de marzo de 2020, </w:t>
      </w:r>
      <w:r>
        <w:fldChar w:fldCharType="begin"/>
      </w:r>
      <w:r>
        <w:instrText>HYPERLINK "http://www.redjurista.com/document.aspx?ajcode=dir_presidencia_0004_2020&amp;arts=INICIO"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w:t>
      </w:r>
      <w:r>
        <w:fldChar w:fldCharType="begin"/>
      </w:r>
      <w:r>
        <w:instrText>HYPERLINK "http://www.redjurista.com/document.aspx?ajcode=dir_presidencia_0006_2020&amp;arts=INICIO"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25 de marzo de 2020, ha expedido orientaciones a los establecimientos educativos, instituciones de educación superior e instituciones de 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 </w:t>
      </w:r>
    </w:p>
    <w:p>
      <w:pPr>
        <w:jc w:val="both"/>
        <w:outlineLvl w:val="1"/>
      </w:pPr>
      <w:rPr>
        <w:sz w:val="24"/>
        <w:b/>
        <w:color w:val="black"/>
      </w:rPr>
    </w:p>
    <w:p>
      <w:pPr>
        <w:jc w:val="both"/>
        <w:outlineLvl w:val="1"/>
      </w:pPr>
      <w:r>
        <w:rPr>
          <w:rFonts w:hAnsi="Arial"/>
          <w:rFonts w:ascii="Arial"/>
          <w:sz w:val="24"/>
          <w:color w:val="black"/>
        </w:rPr>
        <w:t xml:space="preserve">Que mediante la Directiva No. </w:t>
      </w:r>
      <w:r>
        <w:fldChar w:fldCharType="begin"/>
      </w:r>
      <w:r>
        <w:instrText>HYPERLINK "http://www.redjurista.com/document.aspx?ajcode=dir_presidencia_0007_2020&amp;arts=INICIO"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del 6 de abril de 2020 y la Directiva </w:t>
      </w:r>
      <w:r>
        <w:fldChar w:fldCharType="begin"/>
      </w:r>
      <w:r>
        <w:instrText>HYPERLINK "http://www.redjurista.com/document.aspx?ajcode=dir_presidencia_0010_2020&amp;arts=INICIO"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7 de abril de 2020 del Ministerio de Educación Nacional se definieron las orientaciones para el manejo de la emergencia por COVID-19 en la prestación del servicio de educación inicial, prescolar, básica y media en colegios e instituciones privadas, en línea con las directrices establecidas en la Directiva </w:t>
      </w:r>
      <w:r>
        <w:fldChar w:fldCharType="begin"/>
      </w:r>
      <w:r>
        <w:instrText>HYPERLINK "http://www.redjurista.com/document.aspx?ajcode=dir_presidencia_0003_2020&amp;arts=INICIO"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del 20 de marzo de 2020, que señalan la continuidad en la prestación del servicio educativo a partir de la implementación de metodologías flexibles aplicables al aprendizaje en casa hasta el 31 de mayo de 2020. </w:t>
      </w:r>
    </w:p>
    <w:p>
      <w:pPr>
        <w:jc w:val="both"/>
        <w:outlineLvl w:val="1"/>
      </w:pPr>
      <w:rPr>
        <w:sz w:val="24"/>
        <w:b/>
        <w:color w:val="black"/>
      </w:rPr>
    </w:p>
    <w:p>
      <w:pPr>
        <w:jc w:val="both"/>
        <w:outlineLvl w:val="1"/>
      </w:pPr>
      <w:r>
        <w:rPr>
          <w:rFonts w:hAnsi="Arial"/>
          <w:rFonts w:ascii="Arial"/>
          <w:sz w:val="24"/>
          <w:color w:val="black"/>
        </w:rPr>
        <w:t xml:space="preserve">Que mediante la Directiva No. </w:t>
      </w:r>
      <w:r>
        <w:fldChar w:fldCharType="begin"/>
      </w:r>
      <w:r>
        <w:instrText>HYPERLINK "http://www.redjurista.com/document.aspx?ajcode=dir_presidencia_0008_2020&amp;arts=INICIO"</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del 6 de abril de 2020 del Ministerio de Educación Nacional, se extendió el alcance hasta el 31 de mayo de 2020 de las medidas tomadas para la atención de la emergencia del COVID-19 en Educación Superior y Educación para el Trabajo y Desarrollo Humano, manteniendo la vigencia de lo dispuesto en las Directivas </w:t>
      </w:r>
      <w:r>
        <w:fldChar w:fldCharType="begin"/>
      </w:r>
      <w:r>
        <w:instrText>HYPERLINK "http://www.redjurista.com/document.aspx?ajcode=dir_presidencia_0002_2020&amp;arts=INICIO"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w:t>
      </w:r>
      <w:r>
        <w:fldChar w:fldCharType="begin"/>
      </w:r>
      <w:r>
        <w:instrText>HYPERLINK "http://www.redjurista.com/document.aspx?ajcode=dir_presidencia_0004_2020&amp;arts=INICIO"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w:t>
      </w:r>
      <w:r>
        <w:fldChar w:fldCharType="begin"/>
      </w:r>
      <w:r>
        <w:instrText>HYPERLINK "http://www.redjurista.com/document.aspx?ajcode=dir_presidencia_0006_2020&amp;arts=INICIO"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del 2020, del Ministerio de Educación Nacional. </w:t>
      </w:r>
    </w:p>
    <w:p>
      <w:pPr>
        <w:jc w:val="both"/>
        <w:outlineLvl w:val="1"/>
      </w:pPr>
      <w:rPr>
        <w:sz w:val="24"/>
        <w:b/>
        <w:color w:val="black"/>
      </w:rPr>
    </w:p>
    <w:p>
      <w:pPr>
        <w:jc w:val="both"/>
        <w:outlineLvl w:val="1"/>
      </w:pPr>
      <w:r>
        <w:rPr>
          <w:rFonts w:hAnsi="Arial"/>
          <w:rFonts w:ascii="Arial"/>
          <w:sz w:val="24"/>
          <w:color w:val="black"/>
        </w:rPr>
        <w:t xml:space="preserve">Que en el mismo sentido, el Ministerio de Educación Nacional, mediante Directiva No. </w:t>
      </w:r>
      <w:r>
        <w:fldChar w:fldCharType="begin"/>
      </w:r>
      <w:r>
        <w:instrText>HYPERLINK "http://www.redjurista.com/document.aspx?ajcode=dir_presidencia_0009_2020&amp;arts=INICIO"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del 7 de abril de 2020, definió las orientaciones para garantizar la continuidad de las jornadas de trabajo académico en casa en los establecimientos educativos oficiales entre el 20 de abril y el 31 de mayo de 2020, y brindó orientaciones para el uso de los recursos de calidad matrícula y de calidad gratuidad del Sistema General de Participaciones en Educación a partir de la caracterización eficiente de la población estudiantil de cada una de ellas. </w:t>
      </w:r>
    </w:p>
    <w:p>
      <w:pPr>
        <w:jc w:val="both"/>
        <w:outlineLvl w:val="1"/>
      </w:pPr>
      <w:rPr>
        <w:sz w:val="24"/>
        <w:b/>
        <w:color w:val="black"/>
      </w:rPr>
    </w:p>
    <w:p>
      <w:pPr>
        <w:jc w:val="both"/>
        <w:outlineLvl w:val="1"/>
      </w:pPr>
      <w:r>
        <w:rPr>
          <w:rFonts w:hAnsi="Arial"/>
          <w:rFonts w:ascii="Arial"/>
          <w:sz w:val="24"/>
          <w:color w:val="black"/>
        </w:rPr>
        <w:t xml:space="preserve">Que tal como lo ha anunciado el Ministerio de Educación Nacional, para los niveles de Educación Inicial, Preescolar, Básica y Media el servicio educativo se continuará prestando bajo la modalidad de estudio en casa hasta el 31 de julio de 2020, medidas que igualmente se extienden a la Educación Superior, por lo cual estas Instituciones darán inicio en las próximas semanas a la etapa de preparación y evaluación de protocolos para el retorno progresivo de laboratorios prácticos presenciales durante los meses de junio y julio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b/>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a.m.) del día 27 de abril de 2020, hasta las cero horas (00:00 a.m.) del día 11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 m.) del 31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y prorrogado por los Decretos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respectivamente, se ordenó el aislamiento preventivo obligatorio de todas las personas habitantes de la República de Colombia, a partir de las cero horas (00:00 a. m.) del día 1 de junio de 2020, hasta las doce de la noche (12:00 p. m.) del 15 de julio de 2020. </w:t>
      </w:r>
    </w:p>
    <w:p>
      <w:pPr>
        <w:jc w:val="both"/>
        <w:outlineLvl w:val="1"/>
      </w:pPr>
      <w:rPr>
        <w:sz w:val="24"/>
        <w:b/>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precitado Decreto 749 del 28 de mayo de 2020 se estableció, que en aras de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casos y actividades allí señaladas.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treinta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así mismo, mediante el artículo </w:t>
      </w:r>
      <w:r>
        <w:fldChar w:fldCharType="begin"/>
      </w:r>
      <w:r>
        <w:instrText>HYPERLINK "http://www.redjurista.com/document.aspx?ajcode=d0569020&amp;arts=5"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Legislativo 569 del 15 de abril de 2020, se estableció que durante el término que dure la emergencia sanitaria declarada por el Ministro de Salud y Protección Social, con ocasión de la pandemia derivada Coronavirus Covid-19, o durante el término de cualquier emergencia sanitaria declarada por el Ministerio de Salud y Protección Social con ocasión de la pandemia derivada del Coronavirus Covid-19, se suspende el desembarque con fines de ingreso o conexión en territorio colombiano, de pasajeros procedentes del exterior, por vía aérea, y solo se permitirá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comunicado del 30 de junio de 2020 reiteró el llamado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b/>
        <w:color w:val="black"/>
      </w:rPr>
    </w:p>
    <w:p>
      <w:pPr>
        <w:jc w:val="both"/>
        <w:outlineLvl w:val="1"/>
      </w:pPr>
      <w:r>
        <w:rPr>
          <w:rFonts w:hAnsi="Arial"/>
          <w:rFonts w:ascii="Arial"/>
          <w:sz w:val="24"/>
          <w:color w:val="black"/>
        </w:rPr>
        <w:t xml:space="preserve">Que de acuerdo con el “Boletín Técnico Gran Encuesta Integrada de Hogares (GEIH) marzo 2020”, de fecha 30 de junio de 2020, el Departamento Administrativo Nacional de Estadística (DANE) informó: </w:t>
      </w:r>
    </w:p>
    <w:p>
      <w:pPr>
        <w:jc w:val="both"/>
        <w:outlineLvl w:val="1"/>
      </w:pPr>
      <w:rPr>
        <w:sz w:val="24"/>
        <w:b/>
        <w:color w:val="black"/>
      </w:rPr>
    </w:p>
    <w:p>
      <w:pPr>
        <w:jc w:val="both"/>
        <w:outlineLvl w:val="1"/>
      </w:pPr>
      <w:r>
        <w:rPr>
          <w:rFonts w:hAnsi="Arial"/>
          <w:rFonts w:ascii="Arial"/>
          <w:sz w:val="24"/>
          <w:color w:val="black"/>
        </w:rPr>
        <w:t xml:space="preserve">“Para el mes de mayo de 2020, la tasa de desempleo del total nacional fue 21,4%, lo que significó un aumento de 10,9 puntos porcentuales frente al mismo mes del año pasado (10,5%). </w:t>
      </w: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 la tasa de desempleo en el total de las 13 ciudades y áreas metropolitanas fue 24,5%, lo que representó un aumento de 13,3 puntos porcentuales frente al mismo mes del año pasado (11,2%)”. </w:t>
      </w:r>
    </w:p>
    <w:p>
      <w:pPr>
        <w:jc w:val="both"/>
        <w:outlineLvl w:val="1"/>
      </w:pPr>
      <w:rPr>
        <w:sz w:val="24"/>
        <w:b/>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en Colombia del COVID-19” de fecha 27 de mayo de 2020, indicó: </w:t>
      </w:r>
    </w:p>
    <w:p>
      <w:pPr>
        <w:jc w:val="both"/>
        <w:outlineLvl w:val="1"/>
      </w:pPr>
      <w:rPr>
        <w:sz w:val="24"/>
        <w:b/>
        <w:color w:val="black"/>
      </w:rPr>
    </w:p>
    <w:p>
      <w:pPr>
        <w:jc w:val="both"/>
        <w:outlineLvl w:val="1"/>
      </w:pPr>
      <w:r>
        <w:rPr>
          <w:rFonts w:hAnsi="Arial"/>
          <w:rFonts w:ascii="Arial"/>
          <w:sz w:val="24"/>
          <w:color w:val="black"/>
        </w:rPr>
        <w:t xml:space="preserve">“[e]n el mes de marzo, el comercio al por menor cayó 4,8% y se estima que para el final del año la contracción del sector esté entre el 2% y 3% (luego de crecer 6,5% en 2019). </w:t>
      </w:r>
    </w:p>
    <w:p>
      <w:pPr>
        <w:jc w:val="both"/>
        <w:outlineLvl w:val="1"/>
      </w:pPr>
      <w:rPr>
        <w:sz w:val="24"/>
        <w:b/>
        <w:color w:val="black"/>
      </w:rPr>
    </w:p>
    <w:p>
      <w:pPr>
        <w:jc w:val="both"/>
        <w:outlineLvl w:val="1"/>
      </w:pPr>
      <w:r>
        <w:rPr>
          <w:rFonts w:hAnsi="Arial"/>
          <w:rFonts w:ascii="Arial"/>
          <w:sz w:val="24"/>
          <w:color w:val="black"/>
        </w:rPr>
        <w:t xml:space="preserve">[...] los efectos de las medidas tomadas para contener el COVID-19, empezaron a verse en marzo, mes en el que la producción industrial cayó 8,9%. Se estima que en el mes de abril esta caiga casi el 15% y que al finalizar el año la contracción sea superior al 7%. </w:t>
      </w:r>
    </w:p>
    <w:p>
      <w:pPr>
        <w:jc w:val="both"/>
        <w:outlineLvl w:val="1"/>
      </w:pPr>
      <w:rPr>
        <w:sz w:val="24"/>
        <w:b/>
        <w:color w:val="black"/>
      </w:rPr>
    </w:p>
    <w:p>
      <w:pPr>
        <w:jc w:val="both"/>
        <w:outlineLvl w:val="1"/>
      </w:pPr>
      <w:r>
        <w:rPr>
          <w:rFonts w:hAnsi="Arial"/>
          <w:rFonts w:ascii="Arial"/>
          <w:sz w:val="24"/>
          <w:color w:val="black"/>
        </w:rPr>
        <w:t xml:space="preserve">En cuanto a las ventas industriales, si bien estas crecieron 4,5% en enero y 3,4%  en febrero, en marzo cayeron 8,2%. </w:t>
      </w: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Los ocupados de restaurantes representaron el 6.82% del total de los ocupados en 2019. Se estima que los efectos de la crisis del COVID-19 generarán una contracción en promedio del 37% en el año en esta actividad, con caídas mayores al 60%, entre los meses de junio y octubre”. </w:t>
      </w:r>
    </w:p>
    <w:p>
      <w:pPr>
        <w:jc w:val="both"/>
        <w:outlineLvl w:val="1"/>
      </w:pPr>
      <w:rPr>
        <w:sz w:val="24"/>
        <w:b/>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en Colombia del COVID-19” de fecha 7 de julio de 2020, indicó: </w:t>
      </w:r>
    </w:p>
    <w:p>
      <w:pPr>
        <w:jc w:val="both"/>
        <w:outlineLvl w:val="1"/>
      </w:pPr>
      <w:rPr>
        <w:sz w:val="24"/>
        <w:b/>
        <w:color w:val="black"/>
      </w:rPr>
    </w:p>
    <w:p>
      <w:pPr>
        <w:jc w:val="both"/>
        <w:outlineLvl w:val="1"/>
      </w:pPr>
      <w:r>
        <w:rPr>
          <w:rFonts w:hAnsi="Arial"/>
          <w:rFonts w:ascii="Arial"/>
          <w:sz w:val="24"/>
          <w:color w:val="black"/>
        </w:rPr>
        <w:t xml:space="preserve">“Luego de que el país alcanzara los mayores niveles históricos de ocupación hotelera en 2019 (57,7%), así como durante el período enero-febrero de 2020 (59,1% y 60,4%, respectivamente), en marzo esta solo llegó al 37%, 21,4 p.p. por debajo del mismo mes de 2019. Durante el mes de abril esta fue del 6,1%, 46,4 p.p. por debajo del mismo mes de 2019. Esta cifra es la más baja para un mes de abril en la historia. Para el mes de mayo se proyecta que la ocupación hotelera solo llegue al 3,2%. El daño que ha ocasionado la pandemia sobre este sector es profundo de reactivarse el turismo a partir del 15 de julio, se estima que la tasa de ocupación hotelera llegue solo a cerca del 28% en todo el año 2020. </w:t>
      </w:r>
    </w:p>
    <w:p>
      <w:pPr>
        <w:jc w:val="both"/>
        <w:outlineLvl w:val="1"/>
      </w:pPr>
      <w:rPr>
        <w:sz w:val="24"/>
        <w:b/>
        <w:color w:val="black"/>
      </w:rPr>
    </w:p>
    <w:p>
      <w:pPr>
        <w:jc w:val="both"/>
        <w:outlineLvl w:val="1"/>
      </w:pPr>
      <w:r>
        <w:rPr>
          <w:rFonts w:hAnsi="Arial"/>
          <w:rFonts w:ascii="Arial"/>
          <w:sz w:val="24"/>
          <w:color w:val="black"/>
        </w:rPr>
        <w:t xml:space="preserve">El empleo generado por los hoteles (alojamiento) representó el 0,61% del total de ocupados en el país en 2019. Como consecuencia de las medidas para controlar el COVID-19, se estima que los efectos negativos sobre el empleo de este subsector serán significativos. Se proyecta que para las actividades relacionadas con alojamiento la caída en el número de ocupados sea cercana al 46%, afectándose en particular en los meses de junio a octubre con reducciones hasta del 74%. </w:t>
      </w:r>
    </w:p>
    <w:p>
      <w:pPr>
        <w:jc w:val="both"/>
        <w:outlineLvl w:val="1"/>
      </w:pPr>
      <w:rPr>
        <w:sz w:val="24"/>
        <w:b/>
        <w:color w:val="black"/>
      </w:rPr>
    </w:p>
    <w:p>
      <w:pPr>
        <w:jc w:val="both"/>
        <w:outlineLvl w:val="1"/>
      </w:pPr>
      <w:r>
        <w:rPr>
          <w:rFonts w:hAnsi="Arial"/>
          <w:rFonts w:ascii="Arial"/>
          <w:sz w:val="24"/>
          <w:color w:val="black"/>
        </w:rPr>
        <w:t xml:space="preserve">Que la Oficina Asesora Jurídica del Ministerio de Ambiente y Desarrollo Sostenible, mediante Oficio de fecha 8 de julio de 2020, manifestó: </w:t>
      </w:r>
    </w:p>
    <w:p>
      <w:pPr>
        <w:jc w:val="both"/>
        <w:outlineLvl w:val="1"/>
      </w:pPr>
      <w:rPr>
        <w:sz w:val="24"/>
        <w:b/>
        <w:color w:val="black"/>
      </w:rPr>
    </w:p>
    <w:p>
      <w:pPr>
        <w:jc w:val="both"/>
        <w:outlineLvl w:val="1"/>
      </w:pPr>
      <w:r>
        <w:rPr>
          <w:rFonts w:hAnsi="Arial"/>
          <w:rFonts w:ascii="Arial"/>
          <w:sz w:val="24"/>
          <w:color w:val="black"/>
        </w:rPr>
        <w:t xml:space="preserve">“Que atendiendo a la nueva realidad generada con las medidas de emergencia sanitaria y el gradual levantamiento del aislamiento preventivo obligatorio, es posible reactivar progresivamente, bajo el estricto acatamiento de las restricciones establecidas por la Autoridad Sanitaria, algunas actividades administrativas suspendidas de las Autoridades Ambientales, que permitan el cumplimiento de los cometidos estatales y el ejercicio de deberes y derechos establecidos en la Constitución y en la Ley, en materia de protección ambiental y de participación en las decisiones que emiten las autoridades ambientales”. </w:t>
      </w:r>
    </w:p>
    <w:p>
      <w:pPr>
        <w:jc w:val="both"/>
        <w:outlineLvl w:val="1"/>
      </w:pPr>
      <w:rPr>
        <w:sz w:val="24"/>
        <w:b/>
        <w:color w:val="black"/>
      </w:rPr>
    </w:p>
    <w:p>
      <w:pPr>
        <w:jc w:val="both"/>
        <w:outlineLvl w:val="1"/>
      </w:pPr>
      <w:r>
        <w:rPr>
          <w:rFonts w:hAnsi="Arial"/>
          <w:rFonts w:ascii="Arial"/>
          <w:sz w:val="24"/>
          <w:color w:val="black"/>
        </w:rPr>
        <w:t xml:space="preserve">Que la Dirección de la Autoridad Nacional de la Consulta Previa del Ministerio del Interior, mediante Oficio MEM2020-15988-DCP-2500 de fecha 8 de julio de 2020, manifestó: </w:t>
      </w:r>
    </w:p>
    <w:p>
      <w:pPr>
        <w:jc w:val="both"/>
        <w:outlineLvl w:val="1"/>
      </w:pPr>
      <w:rPr>
        <w:sz w:val="24"/>
        <w:b/>
        <w:color w:val="black"/>
      </w:rPr>
    </w:p>
    <w:p>
      <w:pPr>
        <w:jc w:val="both"/>
        <w:outlineLvl w:val="1"/>
      </w:pPr>
      <w:r>
        <w:rPr>
          <w:rFonts w:hAnsi="Arial"/>
          <w:rFonts w:ascii="Arial"/>
          <w:sz w:val="24"/>
          <w:color w:val="black"/>
        </w:rPr>
        <w:t xml:space="preserve">“La reanudación de las actividades en campo y aquellas necesarias para determinar la procedencia de una consulta o las derivadas de las rutas metodológicas concertadas en los procesos consultivos de decisiones administrativas o legislativas y de proyectos, obras y actividades es necesaria, dado que la realización de importantes proyectos que aportan al desarrollo social, ambiental y económico del país, mitigando el impacto de la crisis generada por el Covid-19 y generando inversión en los territorios, empleo y bienestar para las mismas comunidades, depende de que se adelanten las consultas”. </w:t>
      </w:r>
    </w:p>
    <w:p>
      <w:pPr>
        <w:jc w:val="both"/>
        <w:outlineLvl w:val="1"/>
      </w:pPr>
      <w:rPr>
        <w:sz w:val="24"/>
        <w:b/>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O muertes y 3 casos confirmados en Colombia. </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102 personas contagiadas al 18 de marzo de 2020; 108 personas contagiadas al día 19 de marzo de 2020; 145 personas contagiadas al día 20 de marzo de 2020, 196 personas contagiadas al día 21 de marzo de 2020, 235 personas contagiadas al 22 de marzo de 2020, 306 personas contagiadas al 23 de marzo de 2020; 378 personas contagiadas al día 24 de marzo de 2020; 470 personas contagiadas al día 25 de marzo de 2020, 491 personas contagiadas al día 26 de marzo de 2020, 539 personas contagiadas al día 27 de marzo de 2020, 608 personas contagiadas al 28 de marzo de 2020, 702 personas contagiadas al 29 de marzo de 2020; 798 personas contagiadas al día 30 de marzo de 2020; 906 personas contagiadas al día 31 de marzo de 2020, 1.065 personas contagiadas al día 1 de abril de 2020, 1.161 personas contagiadas al día 2 de abril de 2020, 1.267 personas contagiadas al día 3 de abril de 2020, 1.406 personas contagiadas al día 4 de abril de 2020, 1.485 personas contagiadas al día 5 de abril de 2020, 1.579 personas contagiadas al día 6 de abril de 2020, 1.780 personas contagiadas al 7 de abril de 2020, 2.054 personas contagiadas al 8 de abril de 2020, 2.223 personas contagiadas al 9 de abril de 2020, 2.473 personas contagiadas al día 10 de abril de 2020, 2.709 personas contagiadas al 11 de abril de 2020, 2.776 personas contagiadas al 12 de abril de 2020, 2.852 personas contagiadas al 13 de abril de 2020, 2.979 personas contagiadas al 14 de abril de 2020, 3.105 personas contagiadas al 15 de abril de 2020, 3.233 personas contagiadas al 16 de abril de 2020, 3.439 personas contagiadas al 17 de abril de 2020, 3.621 personas contagiadas al 18 de abril de 2020, 3.792 personas contagiadas al 19 de abril de 2020, 3.977 personas contagiadas al 20 de abril de 2020, 4.149 personas contagiadas al 21 de abril de 2020, 4.356 personas contagiadas al 22 de abril de 2020, 4.561 personas contagiadas al 23 de abril de-2020,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 de mayo de 2020, 7.285 personas contagiadas al 2 de mayo de 2020, 7.668 personas contagiadas al 3 de mayo de 2020, 7.973 personas contagiadas al 4 de mayo de 2020, 8.613 personas contagiadas al 5 de mayo de 2020, 8.959 personas contagiadas al 6 de mayo de 2020, 9.456 personas contagiadas al 7 de mayo de 2020, 10.051 personas contagiadas al 8 de mayo de 2020, 10.495 personas contagiadas al 9 de mayo de 2020, 11.063 personas contagiadas al 10 de mayo de 2020, 11.613 personas contagiadas al 1 de mayo de 2020, 12.272 personas contagiadas al 12 de mayo de 2020, 12.930 personas contagiadas al 13 de mayo de 2020, 13.610 personas contagiadas al 14 de mayo de 2020, 14.216 personas contagiadas al 15 de mayo de 2020, 14.939 personas contagiadas al 16 de mayo de 2020, 15.574 personas contagiadas al 17 de mayo de 2020, 16.295 personas contagiadas al 18 de mayo de 2020, 16.935 personas contagiadas al 19 de mayo de 2020, 17.687 personas contagiadas al 20 de mayo de 2020, 18.330 personas contagiadas al 21 de mayo de 2020, 19.131 personas contagiadas al 22 de mayo de 2020, 20.177 personas contagiadas al 23 de mayo de 2020; 21.175 personas contagiadas al 24 de mayo de 2020, 21.981 personas contagiadas al 25 de mayo de 2020, 23.003 personas contagiadas al 26 de mayo de 2020, 24.104 al 27 de mayo de 2020, 25.366 personas contagiadas al 28 de mayo de 2020, 26.688 personas contagiadas al 29 de mayo de 2020, 28.236 personas contagiadas al 30 de mayo de 2020, 29.383 personas contagiadas al 31 de mayo de 2020, 30.493 personas contagiadas al 1 de junio de 2020, 31.833 personas contagiadas al 2 de junio de 2020, 33.354 personas contagiadas al 3 junio de 2020, 35.120 personas contagiadas al 4 de junio de 2020, 36.635 personas contagiadas al 5 de junio de 2020, 38.027 personas contagiadas al 6 de junio de 2020, 39.236 personas contagiadas al 7 de junio de 2020 y 40.719 personas contagiadas al 8 de junio de 2020, 42.078 personas contagiadas al 9 de junio de 2020, 43.682 personas contagiadas al 10 de junio de 2020, 45.212 personas contagiadas al 11 de junio de 2020, 46.858 personas contagiadas al 12 de junio de 2020, 48.746 personas contagiadas al 13 de junio de 2020, 50.939 personas contagiadas al 14 de junio de 2020, 53.063 personas contagiadas al 15 de junio de 2020, 54.931 personas contagiadas al 16 de junio de 2020, de las cuales hay 32.764 casos activos, 57.046 personas contagiadas al 17 d -junio de 2020, de las cuales hay 33.856 casos activos, 60.217 personas contagiadas al 18 de junio de 2020, de las cuales hay 35.587 casos activos, 63.276 personas contagiadas al 19 de junio de 2020, de las cuales hay 37.243 casos activos, 65.633 personas contagiadas al 20 de junio de 2020, de las cuales hay 38.009 casos activos, 68.652 personas contagiadas al 21 de junio de 2020, de las cuales hay 39.055 casos activos, 71.183 personas contagiadas al 22 de junio de 2020, de las cuales hay 39.786 casos activos, 73.572 personas contagiadas al 23 de junio de 2020, de las cuales hay 40.586 casos activos, 77.113 personas contagiadas al 24 de junio de 2020, de las cuales hay 42.828 casos activos, 80.599 personas contagiadas al 25 de junio de 2020, de las cuales hay 44.460 casos activos, 84.442 personas contagiadas al 26 de junio de 2020, de las cuales hay 46.556 casos activos, 88.591 personas contagiadas al 27 de junio de 2020, de las cuales hay 49.238 casos activos, 91.769 personas contagiadas al 28 de junio de 2020, de las cuales hay 50.228 casos activos, 95.043 personas contagiadas al 29 de junio de 2020, de las cuales hay 51.707 casos activos, 97.846 personas contagiadas al 30 de junio de 2020, de las cuales hay 52.279 casos activos, 102.009 personas contagiadas al 1 de julio de 2020, de las cuales hay 54.941 casos activos, 106.110 personas contagiadas al 2 de julio de 2020, de las cuales hay 57.714 casos activos, 109.505 personas contagiadas al 3 de julio de 2020, de las cuales hay 60.156 casos activos, 113.389 personas contagiadas al 4 de julio de 2020, de las cuales hay 62.632 casos activos, 117.110 personas contagiadas al 5 de julio de 2020, de las cuales hay 64.907 casos activos, 120.281 personas contagiadas al 6 de julio de 2020, de las cuales hay 65.459 casos activos, 124.494 personas contagiadas al 7 de julio de 2020, de las cuales hay 68.027 casos activos, 128.638 personas contagiadas al 8 de julio de 2020, de las cuales hay 70.213 casos activos, 133.973 personas contagiadas al 9 de julio de 2020, de las cuales hay 72.716 casos activos, 140.776 personas contagiadas al 10 de julio de 2020, de las cuales hay 76.774 casos activos, 145.362 personas contagiadas al 11 de julio de 2020, de las cuales hay 78.750 casos activos, 150.445 personas contagiadas al 12 de julio de 2020, de las cuales hay 81.360 casos activos, 154.277 personas contagiadas al 13 de julio de 2020, de las cuales hay 82.681 casos activos, 159.898 personas contagiadas al 14 de julio de 2020, de las cuales hay 85.123 casos activos, 165.169 personas contagiadas al 15 de julio de 2020, de las cuales hay 87.269 casos activos, 173.206 personas contagiadas al 16 de julio de 2020, de las cuales hay 90.648 casos activos, 182.140 personas contagiadas al 17 de julio de 2020, de las cuales hay 94.835 casos activos, 190.700 personas contagiadas al 18 de julio de 2020, de las cuales hay 97:958 casos activos, 197.278 personas contagiadas al 19 de julio de 2020, de las cuales hay 98.355 casos activos, 204.005 personas contagiadas al 20 de julio de 2020, de las cuales hay 100.870 casos activos, 211.038 personas contagiadas al 21 de julio de 2020, de las cuales hay 104.624 casos activos, 218.428 personas contagiadas al 22 de julio de 2020, de las cuales 109.005 casos activos, 226;373 personas contagiadas al 23 de julio de 2020, de las cuales hay 110.281 casos activos, 233.541 personas contagiadas al 24 de julio de 2020, de las cuales hay 111.228 casos activos, 240.795 personas contagiadas al 25 de julio de 2020, de las cuales hay 112.371 casos activos, 248.976 personas contagiadas al 26 de julio de 2020, de las cuales hay 114.857 casos activos, 257.101 personas contagiadas al 27 de julio de 2020, de las cuales hay 116.652 casos activos y ocho mil setecientos setenta y siete (8.777) fallecidos. </w:t>
      </w:r>
    </w:p>
    <w:p>
      <w:pPr>
        <w:jc w:val="both"/>
        <w:outlineLvl w:val="1"/>
      </w:pPr>
      <w:rPr>
        <w:sz w:val="24"/>
        <w:b/>
        <w:color w:val="black"/>
      </w:rPr>
    </w:p>
    <w:p>
      <w:pPr>
        <w:jc w:val="both"/>
        <w:outlineLvl w:val="1"/>
      </w:pPr>
      <w:r>
        <w:rPr>
          <w:rFonts w:hAnsi="Arial"/>
          <w:rFonts w:ascii="Arial"/>
          <w:sz w:val="24"/>
          <w:color w:val="black"/>
        </w:rPr>
        <w:t xml:space="preserve">Que pese a las medidas adoptadas, el Ministerio de Salud y Protección Social (1) reportó el 10 de mayo de 2020 463 muertes y 11.063 casos confirmados en Colombia, distribuidos así: Bogotá D. C., (4.155), Cundinamarca (283), Antioquia (468), Valle del Cauca (1.331), Bolívar (679), Atlántico (970), Magdalena (271), Cesar (72), Norte de Santander (99), Santander (42), Cauca (47), Caldas (100), Risaralda (216), Quindío (67), Huila (178), Tolima (130), Meta (923), Casanare (21), San Andrés y Providencia (6), Nariño (296), Boyacá (67), Córdoba (39), Sucre (4) La Guajira (27), Chocó (28), Caquetá (16) y Amazonas (527); (II) reportó el 11 de mayo de 2020 479 muertes y 11.613 casos confirmados en Colombia, distribuidos así: Bogotá, D. C., (4.305), Cundinamarca (289), Antioquia (474), Valle del Cauca (1.367), Bolívar (742), Atlántico (1.022), Magdalena (284), Cesar (72), Norte de Santander (99), Santander (42), Cauca (51), Caldas (100), Risaralda (216), Quindío (71), Huila (179), Tolima (130), Meta (927), Casanare (21), San Andrés y Providencia (6), Nariño (306), Boyacá (77), Córdoba (39), Sucre (4) La Guajira (27), Chocó (28), Caquetá (16), Amazonas (718), Putumayo (1); y (III) reportó el 27 de julio de 2020 8.777 muertes y 257.101 casos confirmados en Colombia, distribuidos así: Bogotá D.C. (86.857), Cundinamarca (7.241), Antioquia (26.117), Valle del Cauca (22.010), Bolívar (16.88.), Atlántico (49.037), Magdalena (5.397), Cesar (2.636), Norte de Santander (1.785), Santander (2.797), Cauca (1.624), Caldas (723), Risaralda (1.349), Quindío (267), Huila (721), Tolima (2.173), Meta (2.313), Casanare (252), San Andrés y Providencia (35), Nariño (7.090), Boyacá (820), Córdoba (4.504), Sucre (5.440), La Guajira (1.888), Chocó (2.861), Caquetá (678), Amazonas (2.506), Putumayo (759), Vaupés (61), Arauca (181), Guainía (14), Vichada (2) y Guaviare (80).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se ha reportado la siguiente información: (I) en reporte número 57 de fecha 17 de marzo de 2020 a las 10:00 a. m. CET [Central European Time Zone] señaló que se encuentran confirmados 179.111 casos del nuevo coronavirus COVID-19 y 7.426 fallecidos, (II) en reporte número 62 de fecha 21 de marzo de 2020 a las 23:59 p. m. CET señaló que se encuentran confirmados 292.142 casos del nuevo coronavirus COVID-19 y 12.783 fallecidos, (III) en reporte número 63 de fecha 23 de marzo de 2020 a las 10:00 a. m. CET señaló que se encuentran confirmados 332.930 casos del nuevo coronavirus COVID-19 y 14.509 fallecidos, (IV) en el reporte número 79 de fecha 8 de abril de 2020 a las 10:00 a. m. CET se encuentran confirmados 1.353.361 casos del nuevo coronavirus COVID-19 y 79.235 fallecidos, (V) en el reporte número 80 del 9 de abril de 2020 a las 10:00 a. m. CET señaló que se encuentran confirmados 1.436.198 casos del nuevo coronavirus COVID-19 y 85.521 fallecidos, (VI) en el reporte número 81 del 10 de abril de 2020 a las 10:00 a. m. CET señaló que se encuentran confirmados 1.521.252 casos del nuevo coronavirus COVID-19 y 92.798 fallecidos, (VII) en el reporte número 82 del 11 de abril de 2020 a las 10:00 a.m. CET señaló que se encuentran confirmados 1.610.909 casos del nuevo coronavirus COVID-19 y 99.690 muertes, (VIII) en el reporte número 83 del 12 de abril de 2020 a las 10:00 a.m. CET señaló que se encuentran confirmados 1.696.588 casos del nuevo coronavirus COVID-19 y 105.952 fallecidos, (IX) en el reporte número 84 del 13 de abril de 2020 a las 10:00 a. m. CET señaló que se encuentran confirmados 1.773.084 casos del nuevo coronavirus COVID-19 y 111.652 fallecidos, (X) en el reporte número 85 del 14 de abril de 2020 a las 10:00 a.m. CET señaló que se encuentran confirmados 1.844.863 casos del nuevo coronavirus COVID-19 y 117.021 fallecidos, (XI) en el reporte número 86 del 15 de abril de 2020 a las 10:00 a.m. CET señaló que se encuentran confirmados 1.914.916 casos del nuevo coronavirus COVID-19 y 123.010 fallecidos, (XII) en el reporte número 87 del 16 de abril de 2020 a las 10:00 a.m. CEST [Central European Summer Time] señaló que se encuentran confirmados 1.991.562 casos del nuevo coronavirus COVID-19 y 130.885 fallecidos, (XIII) en el reporte número 88 del 17 de abril de 2020 a las 10:00 a.m. CEST señaló que se encuentran confirmados 2.074.529 casos del nuevo coronavirus COVID.-19 y 139.378 fallecidos; (XIV) en el reporte número 89 del 18 de abril de 2020 a las 10:00 a.m. CEST señaló que se encuentran confirmados 2.160.207 casos del nuevo coronavirus COVID-19 y 146.088 fallecidos, (XV) en el reporte número 90 del 19 de abril de 2020 a las 10:00 a.m. CEST señaló qué se encuentran confirmados 2.241.778 casos del nuevo coronavirus COVID-19 y 152.551 fallecidos, (XVI) en el reporte número 91 del 20 de abril de 2020 a las 10:00 a.m. CEST señaló que se encuentran confirmados 2.314.621 casos del nuevo coronavirus COVID- 19 y 157.847 fallecidos y (XVII) en el reporte número 92 del 21 de abril de 2020 a las 10:00 a.m. CEST señaló que se encuentran confirmados 2.397.217 casos del nuevo coronavirus COVID-19 y 162.956 fallecidos, (XVIII) en el reporte número 93 del 22 de abril de 2020 a las 10:00 a.m. CEST señaló que se encuentran confirmados 2.471.136 casos del nuevo coronavirus COVID-19 y 169.006 fallecidos, (XIX) en el reporte número 94 del 23 de abril de 2020 a las 10:00 a.m. CEST señaló que se encuentran confirmados 2.544.792 casos del nuevo coronavirus COVID-19 y 175.694 fallecidos, (XX) en el reporte número 95 del 24 de abril de 2020 a las 10:00 a.m. CEST señaló que se encuentran confirmados 2.626.321 casos del nuevo coronavirus COVID-19 y 181.938 fallecidos, (XXI) en el reporte número 96 del 25 de abril de 2020 a las 10:00 a. m. CEST señaló que se encuentran confirmados 2.719.896 casos del nuevo coronavirus COVID- 19 y 187,.705 fallecidos, (XXII) en el reporte número 97 del 26 de abril de 2020 a las 10:00 a. m. CEST señaló que se encuentran confirmados 2.804.796 casos del nuevo coronavirus COVID-19 y 193.710 fallecidos, (XXIII) en el reporte número 98 del 27 de abril de 2020 a las 10:00 a.m. CEST señaló que se encuentran confirmados 2.878.196 casos del nuevo coronavirus COVID-19 y 198.668 fallecidos, (XXIV) en el reporte número 99 del 28 de abril de 2020 a las 10:00 a.m. CEST señaló que se encuentran confirmados 2.954.222 casos del nuevo coronavirus COVID-19 y 202.597 fallecidos, (XXV) en el reporte número 100 del 29 de abril de 2020 a las 10:00 a. m. CEST señaló que se encuentran confirmados 3.018.952 casos del nuevo coronavirus COVID-19 y 207.973 fallecidos, (XXVI) en el reporte número 101 del 30 de abril de 2020 a las 10:00 a.m. CEST señaló que se encuentran confirmados 3.090.445 casos del nuevo coronavirus COVID- 19 y 217.769 fallecidos, (XXVII) en el reporte número 102 del 1° de mayo de 2020 a las 10:00 a. 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 m. CEST, señaló que se encuentran confirmados 3.349.786 casos del nuevo coronavirus COVID- 19 y 238.628 fallecidos, (XXX) en el reporte número 105 del 4 de mayo de 2020 a las 10:00 a. m. CEST señaló que se encuentran confirmados 3.435.894 casos del nuevo coronavirus COVID-19 y 239.604 fallecidos, (XXXI) en el reporte número 106 del 5 de mayo de 2020 a las 10:00 a. m. CEST señaló que se encuentran confirmados 3.517.345 casos del nuevo coronavirus COVID-19 y 243.401 fallecidos, (XXXII) en el reporte. número 107 del 6 de mayo de 2020 a las 10:00 a. m. CEST señaló que se encuentran confirmados 3.588.773 casos del nuevo coronavirus COVID-19 y 247.503 fallecidos, (XXXIII) en el reporte número 108 del 7 de mayo de 2020 a las 10:00 a. m. CEST señaló que se encuentran confirmados 3.672.238 casos del nuevo coronavirus COVID-19 y 254.045 fallecidos, (XXXIV) en el reporte número 109 del 8 de mayo de 2020 a las 10:00 a. m. CEST señaló que se encuentran confirmados 3.759.967 casos del nuevo coronavirus COVID-19 y 259.474 fallecidos, (XXXV) en el reporte número 110 del 9 de mayo de 2020 a las 10:00 a. m. CEST señaló que se encuentran confirmados 3.855.788 casos del nuevo coronavirus COVID-19 y 265.862 fallecidos, (XXXVI) en el reporte número 111 del 10 de mayo de 2020 a las 10:00 a.m. CEST señaló que se encuentran confirmados 3.917.366 casos del nuevo coronavirus COVID-19 y 274.361 fallecidos, (XXXVII) en el reporte número 112 del 11 de mayo de 2020 a las 10:00 a.m. CEST señaló que se encuentran confirmados 4.006.257 casos del nuevo coronavirus COVID-19 y 278.892 fallecidos, (XXXVIII) en el reporte número 113 del 12 de mayo de 2020 a las 10:00 a.m. CEST señaló que se encuentran confirmados 4.088.848 casos del nuevo coronavirus COVID-19 y 283.153 fallecidos, (XXXIX) en el reporte número 114 del 13 de mayo de 2020 a las 10:00 a. m. CEST señaló que se encuentran confirmados 4.170.424 casos del nuevo coronavirus COVID-19 y 287.399 fallecidos, (XL) en el reporte número 115 del 14 de mayo de 2020 a las 10:00 a.m. CEST señaló que se encuentran confirmados 4.248.389 casos del nuevo coronavirus COVID-19 y 294.046 fallecidos, (XLI) en el reporte número 116 del 15 de mayo de 2020 a las 10:00 a. m. CEST señaló que se encuentran confirmados 4.338.658 casos del nuevo coronavirus COVID-19 y 297.119 fallecidos, (XLII) en el reporte número 117 del 16 de mayo de 2020 a las 10:00 a. m. CEST señaló que se encuentran confirmados 4.425.485 casos del nuevo coronavirus COVID-19 y 302.059 fallecidos, (XLIII) en el reporte número 118 del 17 de mayo de 2020 a las 10:00 a.m. CEST señaló que se encuentran confirmados 4.525.497 casos del nuevo coronavirus COVID-19 y 307.395 fallecidos, (XLIV) en el reporte número 119 del 18 de mayo de 2020 a las 10:00 a.m. CEST señaló que se encuentran confirmados 4.618.821 casos del nuevo coronavirus COVID-19 y 311.847 fallecidos, (XLV) en el reporte número 120 del 19 de mayo de 2020 a las 10:00 a. m. CEST señaló que se encuentran confirmados 4.731.458 casos del nuevo coronavirus COVID-19 y 316.169 fallecidos, (XLVI) en el reporte número 121 del 20 de mayo de 2020 a las 10:00 a. m. CEST señaló que se encuentran confirmados 4.789.205 casos del nuevo coronavirus COVID-19 y 318.789 fallecidos, (XLVII) en el reporte número 122 del 21 de mayo de 2020 a las 10:00 a. m. CEST señaló que se encuentran confirmados 4.893.186 casos del nuevo coronavirus COVID-19 y 323:256 fallecidos, (XLVIII) en el reporte número 123 del 22 de mayo de 2020 señaló que se encuentran confirmadas 4.993.470 casos del nuevo coronavirus COVID-19 y 327.738 fallecidos, (XLIX) en el reporte número 124 del 23 de mayo de 2020 señaló que se encuentran confirmadas 5.103.006 casos del nuevo coronavirus COVID-19 y 333.401 fallecidos, (L) en el reporte número 125 del 24 de mayo de 2020 señaló que se encuentran confirmadas 5.204.508 casos del nuevo coronavirus COVID-19 y 337.687 fallecidos, (LI) en el reporte número 126 del 25 de mayo de 2020 señaló que se encuentran confirmadas 5.304.772 casos del nuevo coronavirus COVID-19 y 342.029 fallecidos, (LII) en el reporte número 127 del 26 de mayo de 2020 señaló que se encuentran confirmados 5.404.512 casos del nuevo coronavirus COVID- 19 y 343.514 fallecidos, (LIII) en el reporte número 128 del 27 de mayo de 2020 señaló que se encuentran confirmados 5.488.825 casos del nuevo coronavirus COVID-19 y 349.095 fallecidos, (LIV) en el reporte número 129 del 28 de mayo de 2020 señaló que se encuentran confirmados 5.593.631 casos del nuevo coronavirus COVID-19 y 353.334 fallecidos, (LV) en el reporte número 130 del 29 de mayo de 2020 señaló que se encuentran confirmados 5.701.337 casos del nuevo coronavirus COVID-19 y 357.688 fallecidos, (LVI) en el reporte número 131 del 30 de mayo de 2020 señaló que se encuentran confirmados 5.817.385 casos del nuevo coronavirus COVID-19 y 362.705 fallecidos, (LVII) en el reporte número 132 del 31 de mayo de 2020 señaló que se encuentran confirmados 5.934.936 casos del nuevo coronavirus COVID-19 y 367.166 fallecidos, (LVIII) en el reporte número 133 del 1 de junio de 2020 señaló que se encuentran confirmados 6.057.853 casos del nuevo coronavirus COVID-19 y 371.166 fallecidos, (LIX) en el reporte número 134 del 2 de junio de 2020 señaló que se encuentran confirmados 6.194.533 casos del nuevo coronavirus COVID-19 y 376.320 fallecidos, (LX) en el reporte número 135 del 3 de junio de 2020 señaló que se encuentran confirmados 6.287.771 casos del nuevo coronavirus COVID-19 y 379.941 fallecidos, (LXI) en el reporte número 136 del 4 de junio de 2020 señaló que se encuentran confirmados 6.416.828 casos del nuevo coronavirus COVID-19 y 382.867 fallecidos, (LXII) en el reporte número 137 del 5 de junio de 2020 señaló que se encuentran confirmados 6.535.354 casos del nuevo coronavirus COVID-19 y 387.155 fallecidos, (LXIII) en el reporte número 138 del 6 de junio de 2020 señaló que se encuentran confirmados 6.663.304 casos del nuevo coronavirus COVID-19 y 392.802 fallecidos, (LXIV) en el reporte número 139 del 7 de junio de 2020 señaló que se encuentran confirmados 6.799.713 casos del nuevo coronavirus COVID-19 y 397.388 fallecidos, (LXIV) en el reporte número 140 del 8 de junio de 2020 señaló que se encuentran confirmados 6.931.000 casos del nuevo coronavirus COVID-19 y 400.857 fallecidos, (LXV) en el reporte número 141 del 9 de junio de 2020 señaló que se encuentran confirmados 7.039.918 casos del nuevo coronavirus COVID-19 y 404.396 fallecidos, (LXVI) en el reporte número 142 del 10 de junio de 2020 señaló que se encuentran confirmados 7.145.539 casos del nuevo coronavirus COVID-19 y 408.025 fallecidos, (LXVII) en el reporte número 143 del 11 de junio de 2020 señaló que se encuentran confirmados 7.273.958 casos del nuevo coronavirus COVID-19 y 413.372 fallecidos, (LXVIII) en el reporte número 144 del 12 de junio de 2020 señaló que se encuentran confirmados 7.410.510 casos del nuevo coronavirus COVID-19 y 418.294 fallecidos, (LXIX) en el reporte número 145 del 13 de junio de 2020 señaló que se encuentran confirmados 7.553.182 casos del nuevo coronavirus COVID-19 y 423.349 fallecidos, (LXX) en el reporte número 146 del 14 de junio de 2020 señaló que se encuentran confirmados 7.690.708 casos del nuevo coronavirus COVID-19 y 427.630 fallecidos, (LXXI) en el reporte número 147 del 15 de junio de 2020 señaló que se encuentran confirmados 7.823.289 casos del nuevo coronavirus COVID-19 y 431.541 fallecidos, (LXXII) en el reporte número 148 del 16 de junio de 2020 señaló que se encuentran confirmados 7.941.791 casos del nuevo coronavirus COVID-19 y 434.796 fallecidos, (LXXIII) en el reporte número 149 del 17 de junio de 2020 señaló que se encuentran confirmados 8.061.550 casos del nuevo coronavirus COVID-19 y 440.290 fallecidos, (LXXIV) en el reporte número 150 del 18 de junio de 2020 señaló que se encuentran confirmados 8.242.999 casos del nuevo coronavirus COVID-19 y 445.535 fallecidos, (LXXV) en el reporte número 151 del 19 de junio de 2020 señaló que se encuentran confirmados 8.385.440 casos del nuevo coronavirus COVID-19 y 450.686 fallecidos, (LXXVI) en el reporte número 152 del 20 de junio de 2020 señaló que se encuentran confirmados 8.525.042 casos del nuevo coronavirus COVID-19 y 456.973 fallecidos, (LXXVII) en el reporte número 153 del 21 de junio de 2020 señaló que se encuentran confirmados 8.708.008 casos del nuevo coronavirus COVID-19 y 461.715 fallecidos, (LXXVIII) en el reporte número 154 del 22 de junio de 2020 señaló que se encuentran confirmados 8.860.331 casos del nuevo coronavirus COVID-19 y 465.740 fallecidos, (LXXIX) en el reporte número 155 del 23 de junio de 2020 señaló que se encuentran confirmados 8.993.659 casos del nuevo coronavirus COVID-19 y 469.587 fallecidos, (LXXX) en el reporte número 156 del 24 de junio de 2020 señaló que se encuentran confirmados 9.129.146 casos del nuevo coronavirus COVID-19 y 473.797 fallecidos, (LXXXI) en el reporte número 157 del 25 de junio de 2020 señaló que se encuentran confirmados 9.296.202 casos del nuevo coronavirus COVID-19 y 479.133 fallecidos, (LXXXII) en el reporte número 158 del 26 de junio de 2020 señaló que se encuentran confirmados 9.473.214 casos del nuevo coronavirus COVID-19 y 484.249 fallecidos, (LXXXIII) en el reporte número 159 del 27 de junio de 2020 señaló que se encuentran confirmados 9.653.048 casos del nuevo coronavirus COVID-19 y 491.128 fallecidos, (LXXXIV) en el reporte número 160 del 28 de junio de 2020 señaló que se encuentran confirmados 9.843.073 casos del nuevo coronavirus COVID-19 y 495.760 fallecidos, (LXXXV) en el reporte número 161 del 29 de junio de 2020 señaló que se encuentran confirmados 10.021.401 casos del nuevo coronavirus COVID-19 y 499.913 fallecidos, (LXXXVI) en el reporte número 162 del 30 de junio de 2020 señaló que se encuentran confirmados 10.185.374 casos del nuevo coronavirus COVID-19 y 503.862 fallecidos, (LXXXVII) en el reporte número 163 del 1 de julio de 2020 señaló que se encuentran confirmados 10.357.662 casos del nuevo coronavirus COVID-19 y 508.055 fallecidos, (LXXXVIII) en el reporte número 164 del 2 de julio de 2020 señaló que se encuentran confirmados 10.533.779 casos del nuevo coronavirus COVID-19 y 512.842 fallecidos, (LXXXIX) en el reporte número 165 del 3 de julio de 2020 señaló que se encuentran confirmados 10.710.005 casos del nuevo coronavirus COVID-19 y 517.877 fallecidos, (XC) en el reporte número 166 del 4 de julio de 2020 señaló que se encuentran confirmados 10.922.324 casos del nuevo coronavirus COVID-19 y 523.011 fallecidos, (XCI) en el reporte número 167 del 5 de julio de 2020 señaló que se encuentran confirmados 11.125.245 casos del nuevo coronavirus COVID-19 y 528.204 fallecidos, (XCII) en el reporte número 168 del 6 de julio de 2020 señaló que se encuentran confirmados 11.327.790 casos del nuevo coronavirus COVID-19 y 532.340 fallecidos, (XCIII) en el reporte número 169 del 7 de julio de 2020 señaló que se encuentran confirmados 11.500.302 casos del nuevo coronavirus COVID-19 y 535.759 fallecidos, (XCIV) en el reporte número 170 del 8 de julio- de 2020 señaló que se encuentran confirmados 11.669.259 casos del nuevo coronavirus COVID-19 y 539.906 fallecidos, (XCV) en el reporte número 171 del 9 de julio de 2020 señaló que se encuentran confirmados 11.874.226 casos del nuevo coronavirus COVID-19 y 545.481 fallecidos, (XCVI) en el reporte número 172 del 10 de julio de 2020 señaló que se encuentran confirmados 12.102.328 casos del nuevo coronavirus COVID-19 y 551.046 fallecidos, (XCVII) en el reporte número 173 del 11 de julio de 2020 señaló que se encuentran confirmados 12.322.395 casos del nuevo coronavirus COVID-19 y 556.335 fallecidos, (XCVIII) en el reporte número 174 del 12 de julio de 2020 señaló que se encuentran confirmados 12.552.765 casos del nuevo coronavirus COVID-19 y 561.617 fallecidos, (XCIX) en el reporte número 175 del 13 de julio de 2020 señaló que se encuentran confirmados 12.768.307 casos del nuevo coronavirus COVID-19 y 566.654 fallecidos, (C) en el reporte número 176 del 14 de julio de 2020 señaló que se encuentran confirmados 12.964.809 casos del nuevo coronavirus COVID-19 y 570.288 fallecidos, (CI) en el reporte número 177 del 15 de julio de 2020 señaló que se encuentran confirmados 13;150.645 casos del nuevo coronavirus COVID-19 y 574.464 fallecidos, (CII) en el reporte número 178 del 16 de julio de 2020 señaló que se encuentran confirmados 13.378.853 casos del nuevo coronavirus COVID-19 y 580.045 fallecidos, (CIII) en el reporte número 179 del 17 de julio de 2020 señaló que se encuentran confirmados 13.616;593 casos del nuevo coronavirus COVID-19 y 585.727 fallecidos, (CIV) en el reporte número 180 del 18 de julio de 2020 señaló que se encuentran confirmados 13.876.441 casos del nuevo coronavirus COVID-19 y 593.087 fallecidos, (CV) en el reporte número 181 del 19 de julio de 2020 señaló que se encuentran confirmados 14.043.176 casos del nuevo coronavirus COVID-19 y 597.583 fallecidos, (CVI) en el reporte número 182 del 20 de julio de 2020 señaló que se encuentran confirmados 14.348.858 casos del nuevo coronavirus COVID-19 y 603.691 fallecidos, (CVII) en el reporte número 183 del 21 de julio de 2020 señaló que se encuentran 14.562.550 casos del nuevo coronavirus COVID-19 y 607.781 fallecidos, (CVIII) en el reporte número 184 del 22 de julio de 2020 señaló que se encuentran 14.765.256 casos del nuevo coronavirus COVID-19 y 607.781 fallecidos, (CVIV) en el reporte número 185 del 23 de julio de 2020 señaló que se encuentran 15.012.731 casos del nuevo coronavirus COVID-19 y 619.150 fallecidos, (CVV) en el reporte número 186 del 24 de julio de 2020 señaló que se encuentran 15.296 casos del nuevo coronavirus COVID-19 y 628.903 fallecidos. (CVVI) en el reporte número 187 del 25 de julio de 2020 señaló que se encuentran 15.581.009 casos del nuevo coronavirus COVID-19 y 635.173 fallecidos, (CVVII) en el reporte número 188 del 26 de julio de 2020 señaló que se encuentran 15.785.641 casos del nuevo coronavirus COVID-19 y 640.016 fallecidos, (CVVIII) en el reporte número 189 del 27 de julio de 2020 señaló que se encuentran, 16.114.449 casos del nuevo coronavirus COVID-19 y 646.641 fallecidos.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(I) en reporte de fecha 10 de mayo de 2020 a las 19:00 GMT-5, –hora del Meridiano de Greenwich–, se encuentran confirmados. 4.006.257 casos, 278.892 fallecidos y 215 países, áreas o territorios con casos del nuevo coronavirus COVID-19; (II) en reporte de fecha 11 de mayo de 2020 a las 19:00 GMT-5, –hora del Meridiano de Greenwich–, se encuentran confirmados 4.088.848 casos, 283.153 fallecidos y 215 países, áreas o territorios con casos del nuevo coronavirus COVID-19; y (III) en reporte de fecha 27 de julio de 2020 a las 19:00 GMT-5, –hora del Meridiano de Greenwich–, se encuentran confirmados 16.301.736 casos, 650.069 fallecidos y 216 países, áreas o territorios con casos del nuevo coronavirus COVID-19”.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distanciamiento social. </w:t>
      </w:r>
    </w:p>
    <w:p>
      <w:pPr>
        <w:jc w:val="both"/>
        <w:outlineLvl w:val="1"/>
      </w:pPr>
      <w:rPr>
        <w:sz w:val="24"/>
        <w:b/>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202022000086563 del 24 de abril de 2020, señaló: </w:t>
      </w:r>
    </w:p>
    <w:p>
      <w:pPr>
        <w:jc w:val="both"/>
        <w:outlineLvl w:val="1"/>
      </w:pPr>
      <w:rPr>
        <w:sz w:val="24"/>
        <w:b/>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b/>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202022000095703 del 6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w:t>
      </w:r>
    </w:p>
    <w:p>
      <w:pPr>
        <w:jc w:val="both"/>
        <w:outlineLvl w:val="1"/>
      </w:pPr>
      <w:rPr>
        <w:sz w:val="24"/>
        <w:b/>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202022000110123 del 27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202022000126153 del 11 de junio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4 y 10 de junio 2020 es de 1.475.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11.8 % para el 10 de junio de 2020.” </w:t>
      </w:r>
    </w:p>
    <w:p>
      <w:pPr>
        <w:jc w:val="both"/>
        <w:outlineLvl w:val="1"/>
      </w:pPr>
      <w:rPr>
        <w:sz w:val="24"/>
        <w:b/>
        <w:color w:val="black"/>
      </w:rPr>
    </w:p>
    <w:p>
      <w:pPr>
        <w:jc w:val="both"/>
        <w:outlineLvl w:val="1"/>
      </w:pPr>
      <w:r>
        <w:rPr>
          <w:rFonts w:hAnsi="Arial"/>
          <w:rFonts w:ascii="Arial"/>
          <w:sz w:val="24"/>
          <w:color w:val="black"/>
        </w:rPr>
        <w:t xml:space="preserve">Que el Ministerio del Deporte, en Comunicación 2020EE0010086 del 11 de junio de 2020, manifestó: </w:t>
      </w:r>
    </w:p>
    <w:p>
      <w:pPr>
        <w:jc w:val="both"/>
        <w:outlineLvl w:val="1"/>
      </w:pPr>
      <w:rPr>
        <w:sz w:val="24"/>
        <w:b/>
        <w:color w:val="black"/>
      </w:rPr>
    </w:p>
    <w:p>
      <w:pPr>
        <w:jc w:val="both"/>
        <w:outlineLvl w:val="1"/>
      </w:pPr>
      <w:r>
        <w:rPr>
          <w:rFonts w:hAnsi="Arial"/>
          <w:rFonts w:ascii="Arial"/>
          <w:sz w:val="24"/>
          <w:color w:val="black"/>
        </w:rPr>
        <w:t xml:space="preserve">“La realización de actividad física al aire libre (prevista en el actual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 2020) es una actividad similar a la práctica de deportes individuales al aire libre, la cual, también presenta un riesgo de contagio bajo. El implementar una medida que permita la práctica de estos deportes, tal como se pretende con la primera solicitud de modificación, supone necesariamente habilitar los espacios en los cuales, esos deportistas puedan llevar a cabo la práctica individual y diferenciada.</w:t>
      </w:r>
    </w:p>
    <w:p>
      <w:pPr>
        <w:jc w:val="both"/>
        <w:outlineLvl w:val="1"/>
      </w:pPr>
      <w:rPr>
        <w:sz w:val="24"/>
        <w:b/>
        <w:color w:val="black"/>
      </w:rPr>
    </w:p>
    <w:p>
      <w:pPr>
        <w:jc w:val="both"/>
        <w:outlineLvl w:val="1"/>
      </w:pPr>
      <w:r>
        <w:rPr>
          <w:rFonts w:hAnsi="Arial"/>
          <w:rFonts w:ascii="Arial"/>
          <w:sz w:val="24"/>
          <w:color w:val="black"/>
        </w:rPr>
        <w:t xml:space="preserve">En efecto, el deporte es una actividad que se encuentra reglamentada y estructurada en condiciones específicas para cada disciplina, razón por la cual, su práctica y ejercicio, requiere la disposición de los escenarios propios de cada una de las actividades deportivas individuales. </w:t>
      </w:r>
    </w:p>
    <w:p>
      <w:pPr>
        <w:jc w:val="both"/>
        <w:outlineLvl w:val="1"/>
      </w:pPr>
      <w:rPr>
        <w:sz w:val="24"/>
        <w:b/>
        <w:color w:val="black"/>
      </w:rPr>
    </w:p>
    <w:p>
      <w:pPr>
        <w:jc w:val="both"/>
        <w:outlineLvl w:val="1"/>
      </w:pPr>
      <w:r>
        <w:rPr>
          <w:rFonts w:hAnsi="Arial"/>
          <w:rFonts w:ascii="Arial"/>
          <w:sz w:val="24"/>
          <w:color w:val="black"/>
        </w:rPr>
        <w:t xml:space="preserve">Por otro lado, habilitar los escenarios para la práctica de las disciplinas deportivas, no configura un riesgo de contagio, en la medida en que, en espacio abierto, el coronavirus (que es pesado) cae rápidamente al suelo en una distancia no mayor de 2 metros donde prontamente se inactiva y el aire libre se recambia. Por el contrario, en espacios cerrados con poca ventilación hay menos distanciamiento y el virus puede permanecer más tiempo en el aire ya que el mismo volumen de aire es respirado por muchas personas. </w:t>
      </w:r>
    </w:p>
    <w:p>
      <w:pPr>
        <w:jc w:val="both"/>
        <w:outlineLvl w:val="1"/>
      </w:pPr>
      <w:rPr>
        <w:sz w:val="24"/>
        <w:b/>
        <w:color w:val="black"/>
      </w:rPr>
    </w:p>
    <w:p>
      <w:pPr>
        <w:jc w:val="both"/>
        <w:outlineLvl w:val="1"/>
      </w:pPr>
      <w:r>
        <w:rPr>
          <w:rFonts w:hAnsi="Arial"/>
          <w:rFonts w:ascii="Arial"/>
          <w:sz w:val="24"/>
          <w:color w:val="black"/>
        </w:rPr>
        <w:t xml:space="preserve">Por lo anterior y con el fin de preservar la salud y vida de los deportistas y la población en general, se sugiere habilitar la apertura de los espacios deportivos, como canchas, siempre que dichos escenarios sean a campo abierto y se garantice que la práctica deportiva se haga de forma individual y diferenciada, cumpliendo además, todos los protocolos de bioseguridad elaborados por las diferentes Federaciones Deportivas Nacionales para el reinicio de su actividad en tiempos de pandemia [... ]”.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202022000137233 del 25 de junio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19 y el 25 de junio de 2020 es de 2.912.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w:t>
      </w:r>
      <w:r>
        <w:fldChar w:fldCharType="begin"/>
      </w:r>
      <w:r>
        <w:instrText>HYPERLINK "http://www.redjurista.com/document.aspx?ajcode=d1076020&amp;arts=NF2"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14.9% para el 24 de junio es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memorando 202020000993541 del 3 de julio de 2020, estableció las siguientes categorías, según la afectación de los municipios por COVID-19: (i) Municipios sin afectación COVID-19, (ii) Municipios de baja afectación, (iii) Municipios de moderada afectación, y (iv) Municipios de alta afectación.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202022000147613 del 7 de julio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29 de junio y el 6 de Julio de 2020 es de 3.600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6 de julio es de 3.5%. La tasa de letalidad global es de 4.6%. Así mismo, a partir de la semana 23, entre el 1 y 7 de junio, la mortalidad por todas las causas muestra un cambio en la tendencia registrando el inicio de un exceso de mortalidad general, que visto por grupos de edad y sexo, es mayor en hombres y mujeres mayores de 60 años.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17.8% para el 6 de julio de 2020.” </w:t>
      </w:r>
    </w:p>
    <w:p>
      <w:pPr>
        <w:jc w:val="both"/>
        <w:outlineLvl w:val="1"/>
      </w:pPr>
      <w:rPr>
        <w:sz w:val="24"/>
        <w:b/>
        <w:color w:val="black"/>
      </w:rPr>
    </w:p>
    <w:p>
      <w:pPr>
        <w:jc w:val="both"/>
        <w:outlineLvl w:val="1"/>
      </w:pPr>
      <w:r>
        <w:rPr>
          <w:rFonts w:hAnsi="Arial"/>
          <w:rFonts w:ascii="Arial"/>
          <w:sz w:val="24"/>
          <w:color w:val="black"/>
        </w:rPr>
        <w:t xml:space="preserve">Que el Instituto Nacional de Salud mediante Comunicación 2-1000-2020-002748 del 8 de julio de 2020, precisó: </w:t>
      </w:r>
    </w:p>
    <w:p>
      <w:pPr>
        <w:jc w:val="both"/>
        <w:outlineLvl w:val="1"/>
      </w:pPr>
      <w:rPr>
        <w:sz w:val="24"/>
        <w:b/>
        <w:color w:val="black"/>
      </w:rPr>
    </w:p>
    <w:p>
      <w:pPr>
        <w:jc w:val="both"/>
        <w:outlineLvl w:val="1"/>
      </w:pPr>
      <w:r>
        <w:rPr>
          <w:rFonts w:hAnsi="Arial"/>
          <w:rFonts w:ascii="Arial"/>
          <w:sz w:val="24"/>
          <w:color w:val="black"/>
        </w:rPr>
        <w:t xml:space="preserve">“Las enfermedades transmisibles se contagian dependiendo de: i) la vía de trasmisión (respiratoria, oral, fecal, vectorial, entre otras), ii) el número de contactos entre las personas, iii) la cantidad y el tamaño de la población afectada, iv) y la cantidad de personas susceptibles de contagiarse. </w:t>
      </w:r>
    </w:p>
    <w:p>
      <w:pPr>
        <w:jc w:val="both"/>
        <w:outlineLvl w:val="1"/>
      </w:pPr>
      <w:rPr>
        <w:sz w:val="24"/>
        <w:b/>
        <w:color w:val="black"/>
      </w:rPr>
    </w:p>
    <w:p>
      <w:pPr>
        <w:jc w:val="both"/>
        <w:outlineLvl w:val="1"/>
      </w:pPr>
      <w:r>
        <w:rPr>
          <w:rFonts w:hAnsi="Arial"/>
          <w:rFonts w:ascii="Arial"/>
          <w:sz w:val="24"/>
          <w:color w:val="black"/>
        </w:rPr>
        <w:t xml:space="preserve">Se puede hacer un seguimiento de los casos nuevos de una enfermedad transmisible que se van presentando a través del tiempo en una población. </w:t>
      </w:r>
    </w:p>
    <w:p>
      <w:pPr>
        <w:jc w:val="both"/>
        <w:outlineLvl w:val="1"/>
      </w:pPr>
      <w:rPr>
        <w:sz w:val="24"/>
        <w:b/>
        <w:color w:val="black"/>
      </w:rPr>
    </w:p>
    <w:p>
      <w:pPr>
        <w:jc w:val="both"/>
        <w:outlineLvl w:val="1"/>
      </w:pPr>
      <w:r>
        <w:rPr>
          <w:rFonts w:hAnsi="Arial"/>
          <w:rFonts w:ascii="Arial"/>
          <w:sz w:val="24"/>
          <w:color w:val="black"/>
        </w:rPr>
        <w:t xml:space="preserve">Se empieza con pocos casos y, en la medida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 </w:t>
      </w:r>
    </w:p>
    <w:p>
      <w:pPr>
        <w:jc w:val="both"/>
        <w:outlineLvl w:val="1"/>
      </w:pPr>
      <w:rPr>
        <w:sz w:val="24"/>
        <w:b/>
        <w:color w:val="black"/>
      </w:rPr>
    </w:p>
    <w:p>
      <w:pPr>
        <w:jc w:val="both"/>
        <w:outlineLvl w:val="1"/>
      </w:pPr>
      <w:r>
        <w:rPr>
          <w:rFonts w:hAnsi="Arial"/>
          <w:rFonts w:ascii="Arial"/>
          <w:sz w:val="24"/>
          <w:color w:val="black"/>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 </w:t>
      </w:r>
    </w:p>
    <w:p>
      <w:pPr>
        <w:jc w:val="both"/>
        <w:outlineLvl w:val="1"/>
      </w:pPr>
      <w:rPr>
        <w:sz w:val="24"/>
        <w:b/>
        <w:color w:val="black"/>
      </w:rPr>
    </w:p>
    <w:p>
      <w:pPr>
        <w:jc w:val="both"/>
        <w:outlineLvl w:val="1"/>
      </w:pPr>
      <w:r>
        <w:rPr>
          <w:rFonts w:hAnsi="Arial"/>
          <w:rFonts w:ascii="Arial"/>
          <w:sz w:val="24"/>
          <w:color w:val="black"/>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 </w:t>
      </w:r>
    </w:p>
    <w:p>
      <w:pPr>
        <w:jc w:val="both"/>
        <w:outlineLvl w:val="1"/>
      </w:pPr>
      <w:rPr>
        <w:sz w:val="24"/>
        <w:b/>
        <w:color w:val="black"/>
      </w:rPr>
    </w:p>
    <w:p>
      <w:pPr>
        <w:jc w:val="both"/>
        <w:outlineLvl w:val="1"/>
      </w:pPr>
      <w:r>
        <w:rPr>
          <w:rFonts w:hAnsi="Arial"/>
          <w:rFonts w:ascii="Arial"/>
          <w:sz w:val="24"/>
          <w:color w:val="black"/>
        </w:rPr>
        <w:t xml:space="preserve">Los modelos matemáticos funcionan con información de las variables: i) tiempo) ii) casos nuevos, iii) el tamaño de la población y iv) las tasas de contacto entre las personas, con esto, se busca poder hacer un pronóstico del probable comportamiento de la epidemia en una población dada. </w:t>
      </w:r>
    </w:p>
    <w:p>
      <w:pPr>
        <w:jc w:val="both"/>
        <w:outlineLvl w:val="1"/>
      </w:pPr>
      <w:rPr>
        <w:sz w:val="24"/>
        <w:b/>
        <w:color w:val="black"/>
      </w:rPr>
    </w:p>
    <w:p>
      <w:pPr>
        <w:jc w:val="both"/>
        <w:outlineLvl w:val="1"/>
      </w:pPr>
      <w:r>
        <w:rPr>
          <w:rFonts w:hAnsi="Arial"/>
          <w:rFonts w:ascii="Arial"/>
          <w:sz w:val="24"/>
          <w:color w:val="black"/>
        </w:rPr>
        <w:t xml:space="preserve">¿Por qué no se ha llegado al pico epidemiológico de COVID-19 en Colombia?</w:t>
      </w:r>
    </w:p>
    <w:p>
      <w:pPr>
        <w:jc w:val="both"/>
        <w:outlineLvl w:val="1"/>
      </w:pPr>
      <w:rPr>
        <w:sz w:val="24"/>
        <w:b/>
        <w:color w:val="black"/>
      </w:rPr>
    </w:p>
    <w:p>
      <w:pPr>
        <w:jc w:val="both"/>
        <w:outlineLvl w:val="1"/>
      </w:pPr>
      <w:r>
        <w:rPr>
          <w:rFonts w:hAnsi="Arial"/>
          <w:rFonts w:ascii="Arial"/>
          <w:sz w:val="24"/>
          <w:color w:val="black"/>
        </w:rPr>
        <w:t xml:space="preserve">El escenario del caso base parte de un supuesto de no implementar una intervención, lo que se traduce en un número reproductivo efectivo (Rt) de 2,28. </w:t>
      </w:r>
    </w:p>
    <w:p>
      <w:pPr>
        <w:jc w:val="both"/>
        <w:outlineLvl w:val="1"/>
      </w:pPr>
      <w:rPr>
        <w:sz w:val="24"/>
        <w:b/>
        <w:color w:val="black"/>
      </w:rPr>
    </w:p>
    <w:p>
      <w:pPr>
        <w:jc w:val="both"/>
        <w:outlineLvl w:val="1"/>
      </w:pPr>
      <w:r>
        <w:rPr>
          <w:rFonts w:hAnsi="Arial"/>
          <w:rFonts w:ascii="Arial"/>
          <w:sz w:val="24"/>
          <w:color w:val="black"/>
        </w:rPr>
        <w:t xml:space="preserve">El Rt corresponde al promedio de casos nuevos que genera un caso infectado en una población susceptible. </w:t>
      </w:r>
    </w:p>
    <w:p>
      <w:pPr>
        <w:jc w:val="both"/>
        <w:outlineLvl w:val="1"/>
      </w:pPr>
      <w:rPr>
        <w:sz w:val="24"/>
        <w:b/>
        <w:color w:val="black"/>
      </w:rPr>
    </w:p>
    <w:p>
      <w:pPr>
        <w:jc w:val="both"/>
        <w:outlineLvl w:val="1"/>
      </w:pPr>
      <w:r>
        <w:rPr>
          <w:rFonts w:hAnsi="Arial"/>
          <w:rFonts w:ascii="Arial"/>
          <w:sz w:val="24"/>
          <w:color w:val="black"/>
        </w:rPr>
        <w:t xml:space="preserve">Con ese valor se estimaba que el pico epidemiológico ocurriría entre la primera y segunda semana de mayo. </w:t>
      </w:r>
    </w:p>
    <w:p>
      <w:pPr>
        <w:jc w:val="both"/>
        <w:outlineLvl w:val="1"/>
      </w:pPr>
      <w:rPr>
        <w:sz w:val="24"/>
        <w:b/>
        <w:color w:val="black"/>
      </w:rPr>
    </w:p>
    <w:p>
      <w:pPr>
        <w:jc w:val="both"/>
        <w:outlineLvl w:val="1"/>
      </w:pPr>
      <w:r>
        <w:rPr>
          <w:rFonts w:hAnsi="Arial"/>
          <w:rFonts w:ascii="Arial"/>
          <w:sz w:val="24"/>
          <w:color w:val="black"/>
        </w:rPr>
        <w:t xml:space="preserve">Sin embargo, como en Colombia se han implementado diferentes medidas de orden individual y poblacional, estas han disminuido las probabilidades de transmisión de la infección (porque se limita el contacto con el virus o con alguien infectado), por ejemplo, el lavado de manos, uso del tapabocas, distanciamiento social o los aislamientos preventivos obligatorios estrictos. </w:t>
      </w: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Con esas mediciones del Rt se puede replicar, en el modelo matemático inicial, la curva de contagios y proyectar cómo sería la dinámica de la trasmisión en el futuro, siempre y cuando se mantengan las condiciones actuales. Es así como proyectando el Rt que se midió para los primeros días de junio (Rt = 1,20), se estima la tendencia de aumento diario de casos (por fecha de inicio de síntomas) que el pico se alcanzará a mediados de septiembre de 2020 (...)” </w:t>
      </w:r>
    </w:p>
    <w:p>
      <w:pPr>
        <w:jc w:val="both"/>
        <w:outlineLvl w:val="1"/>
      </w:pPr>
      <w:rPr>
        <w:sz w:val="24"/>
        <w:b/>
        <w:color w:val="black"/>
      </w:rPr>
    </w:p>
    <w:p>
      <w:pPr>
        <w:jc w:val="both"/>
        <w:outlineLvl w:val="1"/>
      </w:pPr>
      <w:r>
        <w:rPr>
          <w:rFonts w:hAnsi="Arial"/>
          <w:rFonts w:ascii="Arial"/>
          <w:sz w:val="24"/>
          <w:color w:val="black"/>
        </w:rPr>
        <w:t xml:space="preserve">Que mediante Sentencia 061 de 2 de julio de 2020, Radicación 110013343-061-2020-00111-00, notificada mediante correo electrónico el día 3 de julio de 2020, adicionada y aclarada mediante Sentencia complementaria del 3 de julio de 2020 del Juzgado 61 Administrativo del Circuito Judicial de Bogotá, se resolvió </w:t>
      </w:r>
    </w:p>
    <w:p>
      <w:pPr>
        <w:jc w:val="both"/>
        <w:outlineLvl w:val="1"/>
      </w:pPr>
      <w:rPr>
        <w:sz w:val="24"/>
        <w:b/>
        <w:color w:val="black"/>
      </w:rPr>
    </w:p>
    <w:p>
      <w:pPr>
        <w:jc w:val="both"/>
        <w:outlineLvl w:val="1"/>
      </w:pPr>
      <w:r>
        <w:rPr>
          <w:rFonts w:hAnsi="Arial"/>
          <w:rFonts w:ascii="Arial"/>
          <w:sz w:val="24"/>
          <w:color w:val="black"/>
        </w:rPr>
        <w:t xml:space="preserve">“1. INAPLICAR provisionalmente el numeral 35 del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749 del 28 de mayo de 2020, modificado por el artículo </w:t>
      </w:r>
      <w:r>
        <w:fldChar w:fldCharType="begin"/>
      </w:r>
      <w:r>
        <w:instrText>HYPERLINK "http://www.redjurista.com/document.aspx?ajcode=d0847020&amp;arts=1"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847 del 14 de junio de 2020, hasta que no sea decidida en sede judicial la nulidad por inconstitucionalidad o la nulidad simple que deberá ser tramitada por los accionantes dentro de los próximos quince (15) días hábiles en su inciso quinto que dispone: El desarrollo de actividades físicas y de ejercicio al aire libre de los adultos mayores de 70 años, tres (3) veces a la, una hora al día”. </w:t>
      </w:r>
    </w:p>
    <w:p>
      <w:pPr>
        <w:jc w:val="both"/>
        <w:outlineLvl w:val="1"/>
      </w:pPr>
      <w:rPr>
        <w:sz w:val="24"/>
        <w:b/>
        <w:color w:val="black"/>
      </w:rPr>
    </w:p>
    <w:p>
      <w:pPr>
        <w:jc w:val="both"/>
        <w:outlineLvl w:val="1"/>
      </w:pPr>
      <w:r>
        <w:rPr>
          <w:rFonts w:hAnsi="Arial"/>
          <w:rFonts w:ascii="Arial"/>
          <w:sz w:val="24"/>
          <w:color w:val="black"/>
        </w:rPr>
        <w:t xml:space="preserve">2. ORDENAR al señor presidente de la República, Iván Duque Márquez y a la señora ministra del interior Alicia Victoria Arango Olmos que dentro de las cuarenta y ocho (48) horas siguientes a la notificación de esta providencia, previo consenso con los aquí accionantes, con el Instituto para el Envejecimiento de la Facultad de Medicina de la Pontificia Universidad Javeriana, el Instituto Nacional de Salud, la Asociación Colombiana de Gerontología y Geriatría y la Asociación Colombiana de Sociedades Científicas, expedir. el acto administrativo mediante el cual otorga el tiempo para ejercicio físico en exteriores de los adultos mayores de 70 años, teniendo como base las consideraciones de los accionantes y de las ya enunciadas instituciones </w:t>
      </w:r>
    </w:p>
    <w:p>
      <w:pPr>
        <w:jc w:val="both"/>
        <w:outlineLvl w:val="1"/>
      </w:pPr>
      <w:rPr>
        <w:sz w:val="24"/>
        <w:b/>
        <w:color w:val="black"/>
      </w:rPr>
    </w:p>
    <w:p>
      <w:pPr>
        <w:jc w:val="both"/>
        <w:outlineLvl w:val="1"/>
      </w:pPr>
      <w:r>
        <w:rPr>
          <w:rFonts w:hAnsi="Arial"/>
          <w:rFonts w:ascii="Arial"/>
          <w:sz w:val="24"/>
          <w:color w:val="black"/>
        </w:rPr>
        <w:t xml:space="preserve">“(... ) </w:t>
      </w:r>
    </w:p>
    <w:p>
      <w:pPr>
        <w:jc w:val="both"/>
        <w:outlineLvl w:val="1"/>
      </w:pPr>
      <w:r>
        <w:rPr>
          <w:rFonts w:hAnsi="Arial"/>
          <w:rFonts w:ascii="Arial"/>
          <w:sz w:val="24"/>
          <w:color w:val="black"/>
        </w:rPr>
        <w:t xml:space="preserve">6. En tanto el Presidente de la República expide el acto administrativo mediante el cual otorga. el tiempo para ejercicio físico en exteriores de los adultos mayores de 70 años, se entenderá para todos los efectos relacionados con la posibilidad de desarrollo de actividades físicas, de ejercicio al aire libre y práctica deportiva que a los adultos mayores de 70 años les son aplicables las disposiciones contenidas en el inciso segundo del numeral 35 del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749 del 28 de mayo de 2020 modificado por el artículo </w:t>
      </w:r>
      <w:r>
        <w:fldChar w:fldCharType="begin"/>
      </w:r>
      <w:r>
        <w:instrText>HYPERLINK "http://www.redjurista.com/document.aspx?ajcode=d0847020&amp;arts=1"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847 del 14 de junio de 2020. </w:t>
      </w:r>
    </w:p>
    <w:p>
      <w:pPr>
        <w:jc w:val="both"/>
        <w:outlineLvl w:val="1"/>
      </w:pPr>
      <w:rPr>
        <w:sz w:val="24"/>
        <w:b/>
        <w:color w:val="black"/>
      </w:rPr>
    </w:p>
    <w:p>
      <w:pPr>
        <w:jc w:val="both"/>
        <w:outlineLvl w:val="1"/>
      </w:pPr>
      <w:r>
        <w:rPr>
          <w:rFonts w:hAnsi="Arial"/>
          <w:rFonts w:ascii="Arial"/>
          <w:sz w:val="24"/>
          <w:color w:val="black"/>
        </w:rPr>
        <w:t xml:space="preserve">Así, en aras de aplicar la regla de confinamiento sin ningún tipo de distinción en los términos de esta sentencia, estas personas tendrán una restricción del desarrollo de actividades físicas y de ejercicio al aire libre por un período máximo de dos (2) horas diarias, igual al de las personas que están en el rango de edad de 18 a 69 años, mientras se llega al consenso citado”. </w:t>
      </w:r>
    </w:p>
    <w:p>
      <w:pPr>
        <w:jc w:val="both"/>
        <w:outlineLvl w:val="1"/>
      </w:pPr>
      <w:rPr>
        <w:sz w:val="24"/>
        <w:b/>
        <w:color w:val="black"/>
      </w:rPr>
    </w:p>
    <w:p>
      <w:pPr>
        <w:jc w:val="both"/>
        <w:outlineLvl w:val="1"/>
      </w:pPr>
      <w:r>
        <w:rPr>
          <w:rFonts w:hAnsi="Arial"/>
          <w:rFonts w:ascii="Arial"/>
          <w:sz w:val="24"/>
          <w:color w:val="black"/>
        </w:rPr>
        <w:t xml:space="preserve">Que el día 6 de julio de 2020 en cumplimiento de lo ordenado por la Sentencia del Juzgado 61 Administrativo del Circuito Judicial de Bogotá se llevó a cabo una sesión virtual; convocada por los Ministerios del Interior y de Salud y Protección Social con el fin de lograr un consenso con los accionantes y con el Instituto para el Envejecimiento de la Facultad de Medicina de la Pontificia Universidad Javeriana, el Instituto Nacional de Salud, la Asociación Colombiana de Gerontología y Geriatría y la Asociación Colombiana de Sociedades Científicas, sin que se llegara a dicho consenso. </w:t>
      </w:r>
    </w:p>
    <w:p>
      <w:pPr>
        <w:jc w:val="both"/>
        <w:outlineLvl w:val="1"/>
      </w:pPr>
      <w:rPr>
        <w:sz w:val="24"/>
        <w:b/>
        <w:color w:val="black"/>
      </w:rPr>
    </w:p>
    <w:p>
      <w:pPr>
        <w:jc w:val="both"/>
        <w:outlineLvl w:val="1"/>
      </w:pPr>
      <w:r>
        <w:rPr>
          <w:rFonts w:hAnsi="Arial"/>
          <w:rFonts w:ascii="Arial"/>
          <w:sz w:val="24"/>
          <w:color w:val="black"/>
        </w:rPr>
        <w:t xml:space="preserve">Que en tal medida, mientras se resuelve en sede judicial la impugnación a la acción de tutela que fuera presentada el día 8 de julio de 2020 ante el Juzgado 61 Administrativo del Circuito Judicial de Bogotá, se aplicará como lo ordenó el Juzgado, que para todos los efectos relacionados con la posibilidad de desarrollo de actividades físicas, de ejercicio al aire libre y práctica deportiva que los adultos mayores de 70 años tendrán una restricción del desarrollo de actividades físicas y de ejercicio al aire libre por un período máximo de dos (2) horas diarias, igual al de las personas que están en el rango de edad de 18 a 69 años, medida consagrada en el inciso 5 del numeral 35 del artículo 3o del presente Decreto que se podrá modificar conforme los pronunciamientos judiciales sobre el asunto. </w:t>
      </w:r>
    </w:p>
    <w:p>
      <w:pPr>
        <w:jc w:val="both"/>
        <w:outlineLvl w:val="1"/>
      </w:pPr>
      <w:rPr>
        <w:sz w:val="24"/>
        <w:b/>
        <w:color w:val="black"/>
      </w:rPr>
    </w:p>
    <w:p>
      <w:pPr>
        <w:jc w:val="both"/>
        <w:outlineLvl w:val="1"/>
      </w:pPr>
      <w:r>
        <w:rPr>
          <w:rFonts w:hAnsi="Arial"/>
          <w:rFonts w:ascii="Arial"/>
          <w:sz w:val="24"/>
          <w:color w:val="black"/>
        </w:rPr>
        <w:t xml:space="preserve">Que la Oficina de Estudios Económicos del Ministerio de Comercio, Industria y Turismo, mediante documento “Proyecciones e impacto en Colombia del COVID-19” de fecha 27 de julio de 2020, manifestó: </w:t>
      </w:r>
    </w:p>
    <w:p>
      <w:pPr>
        <w:jc w:val="both"/>
        <w:outlineLvl w:val="1"/>
      </w:pPr>
      <w:rPr>
        <w:sz w:val="24"/>
        <w:b/>
        <w:color w:val="black"/>
      </w:rPr>
    </w:p>
    <w:p>
      <w:pPr>
        <w:jc w:val="both"/>
        <w:outlineLvl w:val="1"/>
      </w:pPr>
      <w:r>
        <w:rPr>
          <w:rFonts w:hAnsi="Arial"/>
          <w:rFonts w:ascii="Arial"/>
          <w:sz w:val="24"/>
          <w:color w:val="black"/>
        </w:rPr>
        <w:t xml:space="preserve">“Los servicios de entretenimiento y otros servicios es otro de los sectores más afectados por las medidas implementadas para contener el COVID-19. Dentro de estas actividades se incluyen la exhibición de películas cinematográficas y videos, teatros, espectáculos musicales, jardines botánicos, zoológicos, juegos de azar y apuestas, actividades deportivas y recreativas, parques de atracciones y parques temáticos, estéticas, saunas, turcos, entre otros. De acuerdo con la Encuesta Mensual de Servicios, los ingresos del sector de servicios de entretenimiento y otros servicios cayeron 55,2% en el mes de mayo, siendo el tercer sector con la caída más fuerte. Durante los cinco primeros meses del año la caída llegó al 25,6% frente a iguales meses de 2019. </w:t>
      </w:r>
    </w:p>
    <w:p>
      <w:pPr>
        <w:jc w:val="both"/>
        <w:outlineLvl w:val="1"/>
      </w:pPr>
      <w:rPr>
        <w:sz w:val="24"/>
        <w:b/>
        <w:color w:val="black"/>
      </w:rPr>
    </w:p>
    <w:p>
      <w:pPr>
        <w:jc w:val="both"/>
        <w:outlineLvl w:val="1"/>
      </w:pPr>
      <w:r>
        <w:rPr>
          <w:rFonts w:hAnsi="Arial"/>
          <w:rFonts w:ascii="Arial"/>
          <w:sz w:val="24"/>
          <w:color w:val="black"/>
        </w:rPr>
        <w:t xml:space="preserve">Estas actividades de esparcimiento representaron el 2,0% del total de ocupados en 2019. Sin embargo, se proyecta que el impacto del COVID-19 sobre estas actividades reduzca en promedio más del 30% los ocupados de este sector durante el año, presentando caídas superiores al 50% entre mayo y septiembre”. </w:t>
      </w:r>
    </w:p>
    <w:p>
      <w:pPr>
        <w:jc w:val="both"/>
        <w:outlineLvl w:val="1"/>
      </w:pPr>
      <w:rPr>
        <w:sz w:val="24"/>
        <w:b/>
        <w:color w:val="black"/>
      </w:rPr>
    </w:p>
    <w:p>
      <w:pPr>
        <w:jc w:val="both"/>
        <w:outlineLvl w:val="1"/>
      </w:pPr>
      <w:r>
        <w:rPr>
          <w:rFonts w:hAnsi="Arial"/>
          <w:rFonts w:ascii="Arial"/>
          <w:sz w:val="24"/>
          <w:color w:val="black"/>
        </w:rPr>
        <w:t xml:space="preserve">Que la Dirección de Fortalecimiento a la Gestión Territorial del Ministerio de Educación Nacional, mediante oficio de fecha 27 de julio de 2020, indicó: </w:t>
      </w:r>
    </w:p>
    <w:p>
      <w:pPr>
        <w:jc w:val="both"/>
        <w:outlineLvl w:val="1"/>
      </w:pPr>
      <w:rPr>
        <w:sz w:val="24"/>
        <w:b/>
        <w:color w:val="black"/>
      </w:rPr>
    </w:p>
    <w:p>
      <w:pPr>
        <w:jc w:val="both"/>
        <w:outlineLvl w:val="1"/>
      </w:pPr>
      <w:r>
        <w:rPr>
          <w:rFonts w:hAnsi="Arial"/>
          <w:rFonts w:ascii="Arial"/>
          <w:sz w:val="24"/>
          <w:color w:val="black"/>
        </w:rPr>
        <w:t xml:space="preserve">“Que mediante la Directivas 011 del 29 de mayo y 012 del 2 de junio de 2020, el Ministerio de Educación Nacional, brindó orientaciones para que las autoridades del sector encargadas de la prestación del servicio educativo en conjunto con las autoridades sanitarias, adelanten el trabajo de alistamiento de las condiciones de bioseguridad, administrativas, técnicas y pedagógicas para facilitar la transición gradual y progresiva de las actividades escolares a la presencialidad en las aulas bajo la modalidad de alternancia a partir de agosto de 2020, de acuerdo con las condiciones de la pandemia y el análisis particular de contexto del establecimiento educativo y otras variantes que puedan surgir, observando las medidas de bioseguridad y distanciamiento físico. </w:t>
      </w:r>
    </w:p>
    <w:p>
      <w:pPr>
        <w:jc w:val="both"/>
        <w:outlineLvl w:val="1"/>
      </w:pPr>
      <w:rPr>
        <w:sz w:val="24"/>
        <w:b/>
        <w:color w:val="black"/>
      </w:rPr>
    </w:p>
    <w:p>
      <w:pPr>
        <w:jc w:val="both"/>
        <w:outlineLvl w:val="1"/>
      </w:pPr>
      <w:r>
        <w:rPr>
          <w:rFonts w:hAnsi="Arial"/>
          <w:rFonts w:ascii="Arial"/>
          <w:sz w:val="24"/>
          <w:color w:val="black"/>
        </w:rPr>
        <w:t xml:space="preserve">Que el pasado 13 de junio de 2020 el Ministerio de Educación Nacional, entregó a las secretarías de educación, a los mandatarios territoriales y a las instituciones educativas del sector oficial y no oficial, el documento denominado “Lineamientos para la prestación del servicio de educación en casa y en presencialidad bajo el esquema de alternancia y la implementación de prácticas de bioseguridad en la comunidad educativa”, con base en el cual se imparten las orientaciones para fortalecer el trabajo académico en casa y para dar inicio a partir de agosto y para lo que resta del año 2020 a un proceso gradual y progresivo del servicio educativo a la modalidad presencial en las aulas con esquemas de alternancia, según las definiciones de las autoridades territoriales y previa verificación de las condiciones de bioseguridad en las instituciones educativas que reduzcan el riesgo de contagio de Covid-19 en la comunidad educativa, la evolución de la pandemia en cada territorio y el consentimiento de los padres, acudientes o responsables de los niños, niñas, adolescentes y jóvenes matriculados en el sector educativo oficial y no oficial. </w:t>
      </w:r>
    </w:p>
    <w:p>
      <w:pPr>
        <w:jc w:val="both"/>
        <w:outlineLvl w:val="1"/>
      </w:pPr>
      <w:rPr>
        <w:sz w:val="24"/>
        <w:b/>
        <w:color w:val="black"/>
      </w:rPr>
    </w:p>
    <w:p>
      <w:pPr>
        <w:jc w:val="both"/>
        <w:outlineLvl w:val="1"/>
      </w:pPr>
      <w:r>
        <w:rPr>
          <w:rFonts w:hAnsi="Arial"/>
          <w:rFonts w:ascii="Arial"/>
          <w:sz w:val="24"/>
          <w:color w:val="black"/>
        </w:rPr>
        <w:t xml:space="preserve">Que así mismo, el Ministerio de Educación Nacional, mediante la Directiva 013 del 3 de junio de 2020, expidió orientaciones y recomendaciones para que las Instituciones de Educación Superior y de Educación para el Trabajo y Desarrollo Humano, observando las medidas de bioseguridad y distanciamiento físico que disponga el Ministerio de Salud y Protección Social, pudieran iniciar el retorno progresivo a los laboratorios y espacios académicos de práctica asistida, dotados de equipos técnicos que requieran ser manipulados presencialmente, y para que en uso de su autonomía académica y de acuerdo con las orientaciones que impartan las autoridades locales, decidan retomar las clases de manera presencial y con alternancia, haciendo un análisis de sus condiciones respecto a su capacidad instalada, el número y características de la población estudiantil, docentes y personal administrativo que se movilizarían y las adecuaciones que deberían realizarse con el fin de atender los protocolos de bioseguridad que establezca el Ministerio de Salud y Protección Social para el control de la pandemia del Coronavirus COVID-19 y su contagio”. </w:t>
      </w:r>
    </w:p>
    <w:p>
      <w:pPr>
        <w:jc w:val="both"/>
        <w:outlineLvl w:val="1"/>
      </w:pPr>
      <w:rPr>
        <w:sz w:val="24"/>
        <w:b/>
        <w:color w:val="black"/>
      </w:rPr>
    </w:p>
    <w:p>
      <w:pPr>
        <w:jc w:val="both"/>
        <w:outlineLvl w:val="1"/>
      </w:pPr>
      <w:r>
        <w:rPr>
          <w:rFonts w:hAnsi="Arial"/>
          <w:rFonts w:ascii="Arial"/>
          <w:sz w:val="24"/>
          <w:color w:val="black"/>
        </w:rPr>
        <w:t xml:space="preserve">Que la Dirección de Epidemiología y Demografía del Ministerio de Salud y Protección Social, en memorando 202022000163223 del 27 de julio de 2020, señalo: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entre el 20 y el 26 de julio de 2020 es de 7.385 </w:t>
      </w:r>
    </w:p>
    <w:p>
      <w:pPr>
        <w:jc w:val="both"/>
        <w:outlineLvl w:val="1"/>
      </w:pPr>
      <w:rPr>
        <w:sz w:val="24"/>
        <w:b/>
        <w:color w:val="black"/>
      </w:rPr>
    </w:p>
    <w:p>
      <w:pPr>
        <w:jc w:val="both"/>
        <w:outlineLvl w:val="1"/>
      </w:pPr>
      <w:r>
        <w:rPr>
          <w:rFonts w:hAnsi="Arial"/>
          <w:rFonts w:ascii="Arial"/>
          <w:sz w:val="24"/>
          <w:color w:val="black"/>
        </w:rPr>
        <w:t xml:space="preserve">La letalidad a causa de COVID-19, que establece el porcentaje de personas que han fallecido por esta situación con respecto a los casos identificados como positivos para este evento, en Colombia a 26 de julio es de 3,42%. La tasa de letalidad mundial es de 3.91%.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21% para el 26 de julio de 2020”. </w:t>
      </w:r>
    </w:p>
    <w:p>
      <w:pPr>
        <w:jc w:val="both"/>
        <w:outlineLvl w:val="1"/>
      </w:pPr>
      <w:rPr>
        <w:sz w:val="24"/>
        <w:b/>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las actividades que por su misma naturaleza no deben interrumpirse so pena de afectar el derecho a la vida, a la salud, y la supervivencia de los habitantes, así como atender las recomendaciones de la Organización Internacional del Trabajo (OIT) en materia de protección laboral y en concordancia con la emergencia sanitaria declarada por el Ministerio de Salud y Protección Social en todo el territorio nacional hasta el 31 de agosto de 2020,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es necesario ordenar un “aislamiento preventivo obligatorio” para todos los habitantes de la República de Colombia, de acuerdo con las instrucciones que se impartirán para el efecto. </w:t>
      </w:r>
    </w:p>
    <w:p>
      <w:pPr>
        <w:jc w:val="both"/>
        <w:outlineLvl w:val="1"/>
      </w:pPr>
      <w:rPr>
        <w:sz w:val="24"/>
        <w:b/>
        <w:color w:val="black"/>
      </w:rPr>
    </w:p>
    <w:p>
      <w:pPr>
        <w:jc w:val="both"/>
        <w:outlineLvl w:val="1"/>
      </w:pPr>
      <w:r>
        <w:rPr>
          <w:rFonts w:hAnsi="Arial"/>
          <w:rFonts w:ascii="Arial"/>
          <w:sz w:val="24"/>
          <w:color w:val="black"/>
        </w:rPr>
        <w:t xml:space="preserve">En mérito de lo expuesto,</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&amp;$&amp;$</w:t>
      </w:r>
      <w:bookmarkStart w:id="84564" w:name="1"/>
      <w:r>
        <w:rPr>
          <w:rFonts w:hAnsi="Arial"/>
          <w:rFonts w:ascii="Arial"/>
          <w:sz w:val="24"/>
          <w:color w:val="navy"/>
        </w:rPr>
        <w:t xml:space="preserve">ARTÍCULO 1o. AISLAMIENTO.</w:t>
      </w:r>
      <w:bookmarkEnd w:id="84564"/>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Ordenar el aislamiento preventivo obligatorio de todas las personas habitantes de la República de Colombia, a partir de las cero horas (00:00 a. m.) del día 1 de agosto de 2020, hasta las cero horas (00:00) del día 1 de septiembre de 2020, en el marco de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Para efectos de lograr el efectivo aislamiento preventivo obligatorio se limita la libre circulación de personas y vehículos en el territorio nacional, con las excepciones previstas en el presente Decreto. </w:t>
      </w:r>
    </w:p>
    <w:p>
      <w:rPr>
        <w:color w:val="black"/>
      </w:rPr>
    </w:p>
    <w:p>
      <w:pPr>
        <w:jc w:val="both"/>
        <w:outlineLvl w:val="1"/>
      </w:pPr>
      <w:r>
        <w:rPr>
          <w:rFonts w:hAnsi="Arial"/>
          <w:rFonts w:ascii="Arial"/>
          <w:sz w:val="24"/>
          <w:vanish/>
          <w:color w:val="black"/>
        </w:rPr>
        <w:t>&amp;$</w:t>
      </w:r>
      <w:bookmarkStart w:id="84565" w:name="2"/>
      <w:r>
        <w:rPr>
          <w:rFonts w:hAnsi="Arial"/>
          <w:rFonts w:ascii="Arial"/>
          <w:sz w:val="24"/>
          <w:color w:val="navy"/>
        </w:rPr>
        <w:t xml:space="preserve">ARTÍCULO 2o. EJECUCIÓN DE LA MEDIDA DE AISLAMIENTO.</w:t>
      </w:r>
      <w:bookmarkEnd w:id="84565"/>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De conformidad con lo establecido en los artículos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el numeral 1 del literal b) del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adoptada en el artículo anterior. </w:t>
      </w:r>
    </w:p>
    <w:p>
      <w:pPr>
        <w:jc w:val="both"/>
        <w:outlineLvl w:val="1"/>
      </w:pPr>
      <w:rPr>
        <w:sz w:val="24"/>
        <w:b/>
        <w:color w:val="black"/>
      </w:rPr>
    </w:p>
    <w:p>
      <w:pPr>
        <w:jc w:val="both"/>
        <w:outlineLvl w:val="1"/>
      </w:pPr>
      <w:r>
        <w:rPr>
          <w:rFonts w:hAnsi="Arial"/>
          <w:rFonts w:ascii="Arial"/>
          <w:sz w:val="24"/>
          <w:vanish/>
          <w:color w:val="black"/>
        </w:rPr>
        <w:t>&amp;$</w:t>
      </w:r>
      <w:bookmarkStart w:id="84566" w:name="3"/>
      <w:r>
        <w:rPr>
          <w:rFonts w:hAnsi="Arial"/>
          <w:rFonts w:ascii="Arial"/>
          <w:sz w:val="24"/>
          <w:color w:val="navy"/>
        </w:rPr>
        <w:t xml:space="preserve">ARTÍCULO 3o. GARANTÍAS PARA LA MEDIDA DE AISLAMIENTO.</w:t>
      </w:r>
      <w:bookmarkEnd w:id="84566"/>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Para que el aislamiento preventivo obligatorio garantice el derecho la vida, a la salud en conexidad con la vida y la supervivencia, los gobernadores y alcaldes, en el marco de la emergencia sanitaria por causa del Coronavirus COVID-19, permitirán el derecho de circulación de las personas en los siguientes casos o actividades: </w:t>
      </w:r>
    </w:p>
    <w:p>
      <w:pPr>
        <w:jc w:val="both"/>
        <w:outlineLvl w:val="1"/>
      </w:pPr>
      <w:rPr>
        <w:sz w:val="24"/>
        <w:b/>
        <w:color w:val="black"/>
      </w:rPr>
    </w:p>
    <w:p>
      <w:pPr>
        <w:jc w:val="both"/>
        <w:outlineLvl w:val="1"/>
      </w:pPr>
      <w:r>
        <w:rPr>
          <w:rFonts w:hAnsi="Arial"/>
          <w:rFonts w:ascii="Arial"/>
          <w:sz w:val="24"/>
          <w:color w:val="black"/>
        </w:rPr>
        <w:t xml:space="preserve">1. Asistencia y prestación de servicios de salud. Así mismo, el personal en formación en las diferentes áreas de la salud que sean necesarias para adelantar actividades de salud pública y de salud en general asociada al Coronavirus COVID-19 </w:t>
      </w:r>
    </w:p>
    <w:p>
      <w:pPr>
        <w:jc w:val="both"/>
        <w:outlineLvl w:val="1"/>
      </w:pPr>
      <w:rPr>
        <w:sz w:val="24"/>
        <w:b/>
        <w:color w:val="black"/>
      </w:rPr>
    </w:p>
    <w:p>
      <w:pPr>
        <w:jc w:val="both"/>
        <w:outlineLvl w:val="1"/>
      </w:pPr>
      <w:r>
        <w:rPr>
          <w:rFonts w:hAnsi="Arial"/>
          <w:rFonts w:ascii="Arial"/>
          <w:sz w:val="24"/>
          <w:color w:val="black"/>
        </w:rPr>
        <w:t xml:space="preserve">2. Adquisición y pago de bienes y servicios. </w:t>
      </w:r>
    </w:p>
    <w:p>
      <w:pPr>
        <w:jc w:val="both"/>
        <w:outlineLvl w:val="1"/>
      </w:pPr>
      <w:rPr>
        <w:sz w:val="24"/>
        <w:b/>
        <w:color w:val="black"/>
      </w:rPr>
    </w:p>
    <w:p>
      <w:pPr>
        <w:jc w:val="both"/>
        <w:outlineLvl w:val="1"/>
      </w:pPr>
      <w:r>
        <w:rPr>
          <w:rFonts w:hAnsi="Arial"/>
          <w:rFonts w:ascii="Arial"/>
          <w:sz w:val="24"/>
          <w:color w:val="black"/>
        </w:rPr>
        <w:t xml:space="preserve">3. Asistencia y cuidado a niños, niñas, adolescentes, personas mayores de 70 años, personas con discapacidad y enfermos con tratamientos especiales que requieren asistencia de personal capacitado. </w:t>
      </w:r>
    </w:p>
    <w:p>
      <w:pPr>
        <w:jc w:val="both"/>
        <w:outlineLvl w:val="1"/>
      </w:pPr>
      <w:rPr>
        <w:sz w:val="24"/>
        <w:b/>
        <w:color w:val="black"/>
      </w:rPr>
    </w:p>
    <w:p>
      <w:pPr>
        <w:jc w:val="both"/>
        <w:outlineLvl w:val="1"/>
      </w:pPr>
      <w:r>
        <w:rPr>
          <w:rFonts w:hAnsi="Arial"/>
          <w:rFonts w:ascii="Arial"/>
          <w:sz w:val="24"/>
          <w:color w:val="black"/>
        </w:rPr>
        <w:t xml:space="preserve">4. Por causa de fuerza mayor o caso fortuito. </w:t>
      </w:r>
    </w:p>
    <w:p>
      <w:pPr>
        <w:jc w:val="both"/>
        <w:outlineLvl w:val="1"/>
      </w:pPr>
      <w:rPr>
        <w:sz w:val="24"/>
        <w:b/>
        <w:color w:val="black"/>
      </w:rPr>
    </w:p>
    <w:p>
      <w:pPr>
        <w:jc w:val="both"/>
        <w:outlineLvl w:val="1"/>
      </w:pPr>
      <w:r>
        <w:rPr>
          <w:rFonts w:hAnsi="Arial"/>
          <w:rFonts w:ascii="Arial"/>
          <w:sz w:val="24"/>
          <w:color w:val="black"/>
        </w:rPr>
        <w:t xml:space="preserve">5. Las labores de las misiones médicas de la Organización Panamericana de la Salud (OPS) y de todos los organismos internacionales humanitarios y de salud en conexidad con la vida, la prestación de los servicios profesionales, administrativos, operativos y técnicos de salud públicos y privados. </w:t>
      </w:r>
    </w:p>
    <w:p>
      <w:pPr>
        <w:jc w:val="both"/>
        <w:outlineLvl w:val="1"/>
      </w:pPr>
      <w:rPr>
        <w:sz w:val="24"/>
        <w:b/>
        <w:color w:val="black"/>
      </w:rPr>
    </w:p>
    <w:p>
      <w:pPr>
        <w:jc w:val="both"/>
        <w:outlineLvl w:val="1"/>
      </w:pPr>
      <w:r>
        <w:rPr>
          <w:rFonts w:hAnsi="Arial"/>
          <w:rFonts w:ascii="Arial"/>
          <w:sz w:val="24"/>
          <w:color w:val="black"/>
        </w:rPr>
        <w:t xml:space="preserve">6.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 </w:t>
      </w:r>
    </w:p>
    <w:p>
      <w:pPr>
        <w:jc w:val="both"/>
        <w:outlineLvl w:val="1"/>
      </w:pPr>
      <w:rPr>
        <w:sz w:val="24"/>
        <w:b/>
        <w:color w:val="black"/>
      </w:rPr>
    </w:p>
    <w:p>
      <w:pPr>
        <w:jc w:val="both"/>
        <w:outlineLvl w:val="1"/>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 </w:t>
      </w:r>
    </w:p>
    <w:p>
      <w:pPr>
        <w:jc w:val="both"/>
        <w:outlineLvl w:val="1"/>
      </w:pPr>
      <w:rPr>
        <w:sz w:val="24"/>
        <w:b/>
        <w:color w:val="black"/>
      </w:rPr>
    </w:p>
    <w:p>
      <w:pPr>
        <w:jc w:val="both"/>
        <w:outlineLvl w:val="1"/>
      </w:pPr>
      <w:r>
        <w:rPr>
          <w:rFonts w:hAnsi="Arial"/>
          <w:rFonts w:ascii="Arial"/>
          <w:sz w:val="24"/>
          <w:color w:val="black"/>
        </w:rPr>
        <w:t xml:space="preserve">7. Las actividades relacionadas con los servicios de emergencia, incluidas las emergencias veterinarias. </w:t>
      </w:r>
    </w:p>
    <w:p>
      <w:pPr>
        <w:jc w:val="both"/>
        <w:outlineLvl w:val="1"/>
      </w:pPr>
      <w:rPr>
        <w:sz w:val="24"/>
        <w:b/>
        <w:color w:val="black"/>
      </w:rPr>
    </w:p>
    <w:p>
      <w:pPr>
        <w:jc w:val="both"/>
        <w:outlineLvl w:val="1"/>
      </w:pPr>
      <w:r>
        <w:rPr>
          <w:rFonts w:hAnsi="Arial"/>
          <w:rFonts w:ascii="Arial"/>
          <w:sz w:val="24"/>
          <w:color w:val="black"/>
        </w:rPr>
        <w:t xml:space="preserve">8. Los servicios funerarios, entierros y cremaciones. </w:t>
      </w:r>
    </w:p>
    <w:p>
      <w:pPr>
        <w:jc w:val="both"/>
        <w:outlineLvl w:val="1"/>
      </w:pPr>
      <w:rPr>
        <w:sz w:val="24"/>
        <w:b/>
        <w:color w:val="black"/>
      </w:rPr>
    </w:p>
    <w:p>
      <w:pPr>
        <w:jc w:val="both"/>
        <w:outlineLvl w:val="1"/>
      </w:pPr>
      <w:r>
        <w:rPr>
          <w:rFonts w:hAnsi="Arial"/>
          <w:rFonts w:ascii="Arial"/>
          <w:sz w:val="24"/>
          <w:color w:val="black"/>
        </w:rPr>
        <w:t xml:space="preserve">9. La cadena de producción, abastecimiento, almacenamiento, transporte, comercialización y distribución de: (i) insumos para producir bienes de primera necesidad; (ii) bienes de primera necesidad –alimentos, bebidas, medicamentos, dispositivos médicos, aseo, limpieza, y mercancías de ordinario consumo en la población–, (iii) reactivos de laboratorio, y (iv) alimentos, medicinas y demás productos para mascotas, así como los elementos y bienes necesarios para atender la emergencia sanitaria, así como la cadena de insumos relacionados con la producción de estos bienes. </w:t>
      </w:r>
    </w:p>
    <w:p>
      <w:pPr>
        <w:jc w:val="both"/>
        <w:outlineLvl w:val="1"/>
      </w:pPr>
      <w:rPr>
        <w:sz w:val="24"/>
        <w:b/>
        <w:color w:val="black"/>
      </w:rPr>
    </w:p>
    <w:p>
      <w:pPr>
        <w:jc w:val="both"/>
        <w:outlineLvl w:val="1"/>
      </w:pPr>
      <w:r>
        <w:rPr>
          <w:rFonts w:hAnsi="Arial"/>
          <w:rFonts w:ascii="Arial"/>
          <w:sz w:val="24"/>
          <w:color w:val="black"/>
        </w:rPr>
        <w:t xml:space="preserve">10. La cadena de siembra, fumigación, cosecha, producción, empaque, embalaje, importación, exportación, transporte, almacenamiento, distribución y comercialización de: semillas, insumos y productos agrícolas, pesqueros, acuícolas,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 Así mismo, las actividades de mantenimiento de embarcaciones y maquinaria agrícola o pesquera. </w:t>
      </w:r>
    </w:p>
    <w:p>
      <w:pPr>
        <w:jc w:val="both"/>
        <w:outlineLvl w:val="1"/>
      </w:pPr>
      <w:rPr>
        <w:sz w:val="24"/>
        <w:b/>
        <w:color w:val="black"/>
      </w:rPr>
    </w:p>
    <w:p>
      <w:pPr>
        <w:jc w:val="both"/>
        <w:outlineLvl w:val="1"/>
      </w:pPr>
      <w:r>
        <w:rPr>
          <w:rFonts w:hAnsi="Arial"/>
          <w:rFonts w:ascii="Arial"/>
          <w:sz w:val="24"/>
          <w:color w:val="black"/>
        </w:rPr>
        <w:t xml:space="preserve">11. La comercialización presencial de productos de primera necesidad se hará en, abastos, bodegas, mercados, supermercados mayoristas y minoristas y mercados al detal en establecimientos y locales comerciales a nivel nacional, y podrán comercializar sus productos mediante plataformas de comercio electrónico y/o para entrega a domicilio. </w:t>
      </w:r>
    </w:p>
    <w:p>
      <w:pPr>
        <w:jc w:val="both"/>
        <w:outlineLvl w:val="1"/>
      </w:pPr>
      <w:rPr>
        <w:sz w:val="24"/>
        <w:b/>
        <w:color w:val="black"/>
      </w:rPr>
    </w:p>
    <w:p>
      <w:pPr>
        <w:jc w:val="both"/>
        <w:outlineLvl w:val="1"/>
      </w:pPr>
      <w:r>
        <w:rPr>
          <w:rFonts w:hAnsi="Arial"/>
          <w:rFonts w:ascii="Arial"/>
          <w:sz w:val="24"/>
          <w:color w:val="black"/>
        </w:rPr>
        <w:t xml:space="preserve">12. Las actividades de los servidores públicos, contratistas del Estado, particulares que ejerzan funciones públicas y demás personal necesario para prevenir, mitigar y atender la emergencia sanitaria por causa del Coronavirus COVID-19, y garantizar el funcionamiento de los servicios del Estado. </w:t>
      </w:r>
    </w:p>
    <w:p>
      <w:pPr>
        <w:jc w:val="both"/>
      </w:pPr>
      <w:rPr>
        <w:color w:val="black"/>
      </w:rPr>
    </w:p>
    <w:p>
      <w:pPr>
        <w:jc w:val="both"/>
        <w:outlineLvl w:val="1"/>
      </w:pPr>
      <w:r>
        <w:rPr>
          <w:rFonts w:hAnsi="Arial"/>
          <w:rFonts w:ascii="Arial"/>
          <w:sz w:val="24"/>
          <w:color w:val="black"/>
        </w:rPr>
        <w:t xml:space="preserve">13. Las actividades del personal de las misiones diplomáticas y consulares debidamente acreditadas ante el Estado colombiano, estrictamente necesarias para prevenir, mitigar y atender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14. Las actividades de las Fuerzas Militares, la Policía Nacional y organismos de seguridad del Estado, así como de la industria militar y de defensa, y los funcionaríos de la Fiscalía General de la Nación y el Instituto Nacional de Medicina Legal y Ciencias Forenses. </w:t>
      </w:r>
    </w:p>
    <w:p>
      <w:pPr>
        <w:jc w:val="both"/>
      </w:pPr>
      <w:rPr>
        <w:color w:val="black"/>
      </w:rPr>
    </w:p>
    <w:p>
      <w:pPr>
        <w:jc w:val="both"/>
        <w:outlineLvl w:val="1"/>
      </w:pPr>
      <w:r>
        <w:rPr>
          <w:rFonts w:hAnsi="Arial"/>
          <w:rFonts w:ascii="Arial"/>
          <w:sz w:val="24"/>
          <w:color w:val="black"/>
        </w:rPr>
        <w:t xml:space="preserve">15. Las actividades de los puertos de servicio público y privado, exclusivamente para transporte de carga. </w:t>
      </w:r>
    </w:p>
    <w:p>
      <w:pPr>
        <w:jc w:val="both"/>
        <w:outlineLvl w:val="1"/>
      </w:pPr>
      <w:rPr>
        <w:sz w:val="24"/>
        <w:b/>
        <w:color w:val="black"/>
      </w:rPr>
    </w:p>
    <w:p>
      <w:pPr>
        <w:jc w:val="both"/>
        <w:outlineLvl w:val="1"/>
      </w:pPr>
      <w:r>
        <w:rPr>
          <w:rFonts w:hAnsi="Arial"/>
          <w:rFonts w:ascii="Arial"/>
          <w:sz w:val="24"/>
          <w:color w:val="black"/>
        </w:rPr>
        <w:t xml:space="preserve">16. Las actividades de dragado marítimo y fluvial. </w:t>
      </w:r>
    </w:p>
    <w:p>
      <w:pPr>
        <w:jc w:val="both"/>
        <w:outlineLvl w:val="1"/>
      </w:pPr>
      <w:rPr>
        <w:sz w:val="24"/>
        <w:b/>
        <w:color w:val="black"/>
      </w:rPr>
    </w:p>
    <w:p>
      <w:pPr>
        <w:jc w:val="both"/>
        <w:outlineLvl w:val="1"/>
      </w:pPr>
      <w:r>
        <w:rPr>
          <w:rFonts w:hAnsi="Arial"/>
          <w:rFonts w:ascii="Arial"/>
          <w:sz w:val="24"/>
          <w:color w:val="black"/>
        </w:rPr>
        <w:t xml:space="preserve">17. La ejecución de obras de infraestructura de transporte y obra pública, así como la cadena 'de suministros de materiales e insumos relacionados con la ejecución de las mismas. </w:t>
      </w:r>
    </w:p>
    <w:p>
      <w:pPr>
        <w:jc w:val="both"/>
        <w:outlineLvl w:val="1"/>
      </w:pPr>
      <w:rPr>
        <w:sz w:val="24"/>
        <w:b/>
        <w:color w:val="black"/>
      </w:rPr>
    </w:p>
    <w:p>
      <w:pPr>
        <w:jc w:val="both"/>
        <w:outlineLvl w:val="1"/>
      </w:pPr>
      <w:r>
        <w:rPr>
          <w:rFonts w:hAnsi="Arial"/>
          <w:rFonts w:ascii="Arial"/>
          <w:sz w:val="24"/>
          <w:color w:val="black"/>
        </w:rPr>
        <w:t xml:space="preserve">18. Las actividades del sector de la construcción, ejecución de obras civiles y la remodelación en inmuebles, así como el suministro de materiales e insumos exclusivamente destinados a la ejecución de las mismas. </w:t>
      </w:r>
    </w:p>
    <w:p>
      <w:pPr>
        <w:jc w:val="both"/>
      </w:pPr>
      <w:rPr>
        <w:color w:val="black"/>
      </w:rPr>
    </w:p>
    <w:p>
      <w:pPr>
        <w:jc w:val="both"/>
        <w:outlineLvl w:val="1"/>
      </w:pPr>
      <w:r>
        <w:rPr>
          <w:rFonts w:hAnsi="Arial"/>
          <w:rFonts w:ascii="Arial"/>
          <w:sz w:val="24"/>
          <w:color w:val="black"/>
        </w:rPr>
        <w:t xml:space="preserve">19. La operación aérea y aeroportuaria de conformidad con lo establecido en el artículo </w:t>
      </w:r>
      <w:r>
        <w:fldChar w:fldCharType="begin"/>
      </w:r>
      <w:r>
        <w:instrText>HYPERLINK "http://www.redjurista.com/document.aspx?ajcode=d1076020&amp;arts=8"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presente decreto, y su respectivo mantenimiento. </w:t>
      </w:r>
    </w:p>
    <w:p>
      <w:pPr>
        <w:jc w:val="both"/>
        <w:outlineLvl w:val="1"/>
      </w:pPr>
      <w:rPr>
        <w:sz w:val="24"/>
        <w:b/>
        <w:color w:val="black"/>
      </w:rPr>
    </w:p>
    <w:p>
      <w:pPr>
        <w:jc w:val="both"/>
        <w:outlineLvl w:val="1"/>
      </w:pPr>
      <w:r>
        <w:rPr>
          <w:rFonts w:hAnsi="Arial"/>
          <w:rFonts w:ascii="Arial"/>
          <w:sz w:val="24"/>
          <w:color w:val="black"/>
        </w:rPr>
        <w:t xml:space="preserve">20. La comercialización de los productos de los establecimientos y locales gastronómicos, incluyendo los ubicados en hoteles, mediante plataformas de comercio electrónico, por entrega a domicilio y por entrega para llevar. </w:t>
      </w:r>
    </w:p>
    <w:p>
      <w:pPr>
        <w:jc w:val="both"/>
        <w:outlineLvl w:val="1"/>
      </w:pPr>
      <w:rPr>
        <w:sz w:val="24"/>
        <w:b/>
        <w:color w:val="black"/>
      </w:rPr>
    </w:p>
    <w:p>
      <w:pPr>
        <w:jc w:val="both"/>
        <w:outlineLvl w:val="1"/>
      </w:pPr>
      <w:r>
        <w:rPr>
          <w:rFonts w:hAnsi="Arial"/>
          <w:rFonts w:ascii="Arial"/>
          <w:sz w:val="24"/>
          <w:color w:val="black"/>
        </w:rPr>
        <w:t xml:space="preserve">21. Las actividades de la industria hotelera. </w:t>
      </w:r>
    </w:p>
    <w:p>
      <w:pPr>
        <w:jc w:val="both"/>
        <w:outlineLvl w:val="1"/>
      </w:pPr>
      <w:rPr>
        <w:sz w:val="24"/>
        <w:b/>
        <w:color w:val="black"/>
      </w:rPr>
    </w:p>
    <w:p>
      <w:pPr>
        <w:jc w:val="both"/>
        <w:outlineLvl w:val="1"/>
      </w:pPr>
      <w:r>
        <w:rPr>
          <w:rFonts w:hAnsi="Arial"/>
          <w:rFonts w:ascii="Arial"/>
          <w:sz w:val="24"/>
          <w:color w:val="black"/>
        </w:rPr>
        <w:t xml:space="preserve">22. El funcionamiento de la infraestructura crítica –computadores, sistemas computacionales, redes de comunicaciones, datos e información– cuya destrucción o interferencia puede debilitar o impactar en la seguridad de la economía, salud pública o la combinación de ellas. </w:t>
      </w:r>
    </w:p>
    <w:p>
      <w:pPr>
        <w:jc w:val="both"/>
        <w:outlineLvl w:val="1"/>
      </w:pPr>
      <w:rPr>
        <w:sz w:val="24"/>
        <w:b/>
        <w:color w:val="black"/>
      </w:rPr>
    </w:p>
    <w:p>
      <w:pPr>
        <w:jc w:val="both"/>
        <w:outlineLvl w:val="1"/>
      </w:pPr>
      <w:r>
        <w:rPr>
          <w:rFonts w:hAnsi="Arial"/>
          <w:rFonts w:ascii="Arial"/>
          <w:sz w:val="24"/>
          <w:color w:val="black"/>
        </w:rPr>
        <w:t xml:space="preserve">23. El funcionamiento y operación de los centros de llamadas, los centros de contactos, los centros de soporte técnico y los centros de procesamiento de datos que presten servicios en el territorio nacional y de las plataformas de comercio electrónico. </w:t>
      </w:r>
    </w:p>
    <w:p>
      <w:pPr>
        <w:jc w:val="both"/>
        <w:outlineLvl w:val="1"/>
      </w:pPr>
      <w:rPr>
        <w:sz w:val="24"/>
        <w:b/>
        <w:color w:val="black"/>
      </w:rPr>
    </w:p>
    <w:p>
      <w:pPr>
        <w:jc w:val="both"/>
        <w:outlineLvl w:val="1"/>
      </w:pPr>
      <w:r>
        <w:rPr>
          <w:rFonts w:hAnsi="Arial"/>
          <w:rFonts w:ascii="Arial"/>
          <w:sz w:val="24"/>
          <w:color w:val="black"/>
        </w:rPr>
        <w:t xml:space="preserve">24. El funcionamiento de la prestación de los servicios de vigilancia y seguridad privada, los servicios carcelarios y penitenciarios. </w:t>
      </w:r>
    </w:p>
    <w:p>
      <w:pPr>
        <w:jc w:val="both"/>
        <w:outlineLvl w:val="1"/>
      </w:pPr>
      <w:rPr>
        <w:sz w:val="24"/>
        <w:b/>
        <w:color w:val="black"/>
      </w:rPr>
    </w:p>
    <w:p>
      <w:pPr>
        <w:jc w:val="both"/>
        <w:outlineLvl w:val="1"/>
      </w:pPr>
      <w:r>
        <w:rPr>
          <w:rFonts w:hAnsi="Arial"/>
          <w:rFonts w:ascii="Arial"/>
          <w:sz w:val="24"/>
          <w:color w:val="black"/>
        </w:rPr>
        <w:t xml:space="preserve">25. El servicio de limpieza y aseo, incluido el doméstico y servicio de lavandería. </w:t>
      </w:r>
    </w:p>
    <w:p>
      <w:pPr>
        <w:jc w:val="both"/>
        <w:outlineLvl w:val="1"/>
      </w:pPr>
      <w:rPr>
        <w:sz w:val="24"/>
        <w:b/>
        <w:color w:val="black"/>
      </w:rPr>
    </w:p>
    <w:p>
      <w:pPr>
        <w:jc w:val="both"/>
        <w:outlineLvl w:val="1"/>
      </w:pPr>
      <w:r>
        <w:rPr>
          <w:rFonts w:hAnsi="Arial"/>
          <w:rFonts w:ascii="Arial"/>
          <w:sz w:val="24"/>
          <w:color w:val="black"/>
        </w:rPr>
        <w:t xml:space="preserve">26.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y recuperación de materiales;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así como la operación y mantenimiento de minas, y (iv) el servicio de internet y telefonía. </w:t>
      </w:r>
    </w:p>
    <w:p>
      <w:pPr>
        <w:jc w:val="both"/>
        <w:outlineLvl w:val="1"/>
      </w:pPr>
      <w:rPr>
        <w:sz w:val="24"/>
        <w:b/>
        <w:color w:val="black"/>
      </w:rPr>
    </w:p>
    <w:p>
      <w:pPr>
        <w:jc w:val="both"/>
        <w:outlineLvl w:val="1"/>
      </w:pPr>
      <w:r>
        <w:rPr>
          <w:rFonts w:hAnsi="Arial"/>
          <w:rFonts w:ascii="Arial"/>
          <w:sz w:val="24"/>
          <w:color w:val="black"/>
        </w:rPr>
        <w:t xml:space="preserve">27. La prestación de servicios: (i) bancarios, (ii) financieros, (iii) de operadores postales de pago, (iv) profesionales de compra y venta de divisas, (v) operaciones de juegos de suerte y azar en la modalidad de novedosos y territoriales de apuestas permanentes, (vi) chance y lotería, (vii) centrales de riesgo, (viii) transporte de valores, (ix) actividades notariales y de registro de instrumentos públicos, (x) expedición licencias urbanísticas. </w:t>
      </w:r>
    </w:p>
    <w:p>
      <w:pPr>
        <w:jc w:val="both"/>
        <w:outlineLvl w:val="1"/>
      </w:pPr>
      <w:rPr>
        <w:sz w:val="24"/>
        <w:b/>
        <w:color w:val="black"/>
      </w:rPr>
    </w:p>
    <w:p>
      <w:pPr>
        <w:jc w:val="both"/>
        <w:outlineLvl w:val="1"/>
      </w:pPr>
      <w:r>
        <w:rPr>
          <w:rFonts w:hAnsi="Arial"/>
          <w:rFonts w:ascii="Arial"/>
          <w:sz w:val="24"/>
          <w:color w:val="black"/>
        </w:rPr>
        <w:t xml:space="preserve">El Superintendente de Notariado y Registro determinará los horarios y turnos, en los cuales se prestarán los servicios notariales, garantizando la prestación del servicio a las personas más vulnerables y a las personas de especial protección constitucional. </w:t>
      </w:r>
    </w:p>
    <w:p>
      <w:pPr>
        <w:jc w:val="both"/>
        <w:outlineLvl w:val="1"/>
      </w:pPr>
      <w:rPr>
        <w:sz w:val="24"/>
        <w:b/>
        <w:color w:val="black"/>
      </w:rPr>
    </w:p>
    <w:p>
      <w:pPr>
        <w:jc w:val="both"/>
        <w:outlineLvl w:val="1"/>
      </w:pPr>
      <w:r>
        <w:rPr>
          <w:rFonts w:hAnsi="Arial"/>
          <w:rFonts w:ascii="Arial"/>
          <w:sz w:val="24"/>
          <w:color w:val="black"/>
        </w:rPr>
        <w:t xml:space="preserve">El Superintendente de Notariado y Registro determinará los horarios, turnos en los cuales se prestarán los servicios por parte de las oficinas de registro de instrumentos públicos. </w:t>
      </w:r>
    </w:p>
    <w:p>
      <w:pPr>
        <w:jc w:val="both"/>
        <w:outlineLvl w:val="1"/>
      </w:pPr>
      <w:rPr>
        <w:sz w:val="24"/>
        <w:b/>
        <w:color w:val="black"/>
      </w:rPr>
    </w:p>
    <w:p>
      <w:pPr>
        <w:jc w:val="both"/>
        <w:outlineLvl w:val="1"/>
      </w:pPr>
      <w:r>
        <w:rPr>
          <w:rFonts w:hAnsi="Arial"/>
          <w:rFonts w:ascii="Arial"/>
          <w:sz w:val="24"/>
          <w:color w:val="black"/>
        </w:rPr>
        <w:t xml:space="preserve">28. El funcionamiento de los servicios postales, de mensajería, radio, televisión, prensa y distribución de los medios de comunicación. </w:t>
      </w:r>
    </w:p>
    <w:p>
      <w:pPr>
        <w:jc w:val="both"/>
        <w:outlineLvl w:val="1"/>
      </w:pPr>
      <w:rPr>
        <w:sz w:val="24"/>
        <w:b/>
        <w:color w:val="black"/>
      </w:rPr>
    </w:p>
    <w:p>
      <w:pPr>
        <w:jc w:val="both"/>
        <w:outlineLvl w:val="1"/>
      </w:pPr>
      <w:r>
        <w:rPr>
          <w:rFonts w:hAnsi="Arial"/>
          <w:rFonts w:ascii="Arial"/>
          <w:sz w:val="24"/>
          <w:color w:val="black"/>
        </w:rPr>
        <w:t xml:space="preserve">29. El abastecimiento y distribución de bienes de primera necesidad –alimentos, bebidas, medicamentos, dispositivos médicos, aseo, limpieza, y mercancías de ordinario consumo en la población– en virtud de programas sociales del Estado y de personas privadas. </w:t>
      </w:r>
    </w:p>
    <w:p>
      <w:pPr>
        <w:jc w:val="both"/>
        <w:outlineLvl w:val="1"/>
      </w:pPr>
      <w:rPr>
        <w:sz w:val="24"/>
        <w:b/>
        <w:color w:val="black"/>
      </w:rPr>
    </w:p>
    <w:p>
      <w:pPr>
        <w:jc w:val="both"/>
        <w:outlineLvl w:val="1"/>
      </w:pPr>
      <w:r>
        <w:rPr>
          <w:rFonts w:hAnsi="Arial"/>
          <w:rFonts w:ascii="Arial"/>
          <w:sz w:val="24"/>
          <w:color w:val="black"/>
        </w:rPr>
        <w:t xml:space="preserve">30. Las actividades del sector interreligioso relacionadas con los programas institucionales de emergencia, ayuda humanitaria, espiritual y psicológica. </w:t>
      </w:r>
    </w:p>
    <w:p>
      <w:pPr>
        <w:jc w:val="both"/>
        <w:outlineLvl w:val="1"/>
      </w:pPr>
      <w:rPr>
        <w:sz w:val="24"/>
        <w:b/>
        <w:color w:val="black"/>
      </w:rPr>
    </w:p>
    <w:p>
      <w:pPr>
        <w:jc w:val="both"/>
        <w:outlineLvl w:val="1"/>
      </w:pPr>
      <w:r>
        <w:rPr>
          <w:rFonts w:hAnsi="Arial"/>
          <w:rFonts w:ascii="Arial"/>
          <w:sz w:val="24"/>
          <w:color w:val="black"/>
        </w:rPr>
        <w:t xml:space="preserve">31. La cadena de producción, abastecimiento, almacenamiento, reparación, mantenimiento, transporte y distribución de las industrias manufactureras. </w:t>
      </w:r>
    </w:p>
    <w:p>
      <w:pPr>
        <w:jc w:val="both"/>
        <w:outlineLvl w:val="1"/>
      </w:pPr>
      <w:rPr>
        <w:sz w:val="24"/>
        <w:b/>
        <w:color w:val="black"/>
      </w:rPr>
    </w:p>
    <w:p>
      <w:pPr>
        <w:jc w:val="both"/>
        <w:outlineLvl w:val="1"/>
      </w:pPr>
      <w:r>
        <w:rPr>
          <w:rFonts w:hAnsi="Arial"/>
          <w:rFonts w:ascii="Arial"/>
          <w:sz w:val="24"/>
          <w:color w:val="black"/>
        </w:rPr>
        <w:t xml:space="preserve">32. Comercio al por mayor y al por menor, incluido el funcionamiento de centros comerciales y actividades inmobiliarias. </w:t>
      </w:r>
    </w:p>
    <w:p>
      <w:pPr>
        <w:jc w:val="both"/>
        <w:outlineLvl w:val="1"/>
      </w:pPr>
      <w:rPr>
        <w:sz w:val="24"/>
        <w:b/>
        <w:color w:val="black"/>
      </w:rPr>
    </w:p>
    <w:p>
      <w:pPr>
        <w:jc w:val="both"/>
        <w:outlineLvl w:val="1"/>
      </w:pPr>
      <w:r>
        <w:rPr>
          <w:rFonts w:hAnsi="Arial"/>
          <w:rFonts w:ascii="Arial"/>
          <w:sz w:val="24"/>
          <w:color w:val="black"/>
        </w:rPr>
        <w:t xml:space="preserve">33. Las actividades de los operadores de pagos de salarios, honorarios, pensiones, prestaciones económicas públicos y privados; beneficios económicos periódicos sociales (BEPS), y los correspondientes a los sistemas y subsistemas de Seguridad Social y Protección Social. </w:t>
      </w:r>
    </w:p>
    <w:p>
      <w:pPr>
        <w:jc w:val="both"/>
        <w:outlineLvl w:val="1"/>
      </w:pPr>
      <w:rPr>
        <w:sz w:val="24"/>
        <w:b/>
        <w:color w:val="black"/>
      </w:rPr>
    </w:p>
    <w:p>
      <w:pPr>
        <w:jc w:val="both"/>
        <w:outlineLvl w:val="1"/>
      </w:pPr>
      <w:r>
        <w:rPr>
          <w:rFonts w:hAnsi="Arial"/>
          <w:rFonts w:ascii="Arial"/>
          <w:sz w:val="24"/>
          <w:color w:val="black"/>
        </w:rPr>
        <w:t xml:space="preserve">34. El desplazamiento del personal directivo, docente, administrativo y los estudiantes de las instituciones educativas oficiales y no oficiales de educación inicial, preescolar, básica, media y educación de adultos, para continuar la prestación del servicio educativo con trabajo académico en casa y para el retorno gradual y progresivo a la presencialidad bajo el esquema de alternancia en los casos definidos por las autoridades territoriales según las condiciones de bioseguridad en las instituciones educativas, la evolución de la pandemia y el consentimiento de los padres, acudientes o responsables de su cuidado, de conformidad con los lineamientos del Ministerio de Educación Nacional.</w:t>
      </w:r>
    </w:p>
    <w:p>
      <w:pPr>
        <w:jc w:val="both"/>
        <w:outlineLvl w:val="1"/>
      </w:pPr>
      <w:rPr>
        <w:sz w:val="24"/>
        <w:b/>
        <w:color w:val="black"/>
      </w:rPr>
    </w:p>
    <w:p>
      <w:pPr>
        <w:jc w:val="both"/>
        <w:outlineLvl w:val="1"/>
      </w:pPr>
      <w:r>
        <w:rPr>
          <w:rFonts w:hAnsi="Arial"/>
          <w:rFonts w:ascii="Arial"/>
          <w:sz w:val="24"/>
          <w:color w:val="black"/>
        </w:rPr>
        <w:t xml:space="preserve">El desplazamiento de la comunidad educativa de las instituciones de educación superior y de educación para el trabajo y desarrollo humano, que en el marco de su autonomía, en coordinación con los entes territoriales según las condiciones de bioseguridad en las instituciones educativas y acorde a la evolución de la pandemia desarrollen actividades académicas y formativas bajo el modelo de presencialidad con alternancia. </w:t>
      </w:r>
    </w:p>
    <w:p>
      <w:pPr>
        <w:jc w:val="both"/>
        <w:outlineLvl w:val="1"/>
      </w:pPr>
      <w:rPr>
        <w:sz w:val="24"/>
        <w:b/>
        <w:color w:val="black"/>
      </w:rPr>
    </w:p>
    <w:p>
      <w:pPr>
        <w:jc w:val="both"/>
        <w:outlineLvl w:val="1"/>
      </w:pPr>
      <w:r>
        <w:rPr>
          <w:rFonts w:hAnsi="Arial"/>
          <w:rFonts w:ascii="Arial"/>
          <w:sz w:val="24"/>
          <w:color w:val="black"/>
        </w:rPr>
        <w:t xml:space="preserve">35. De acuerdo con las medidas, instrucciones y horarios que fijen los alcaldes en sus respectivas jurisdicciones territoriales, y en todo caso con sujeción a los protocolos de bioseguridad que para los efectos se establezcan, se permitirá: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de ejercicio al aire libre y la práctica deportiva de manera individual de personas que se encuentren en el rango de edad de 18 a 69 años, por un período máximo de dos (2) horas diarias.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y de ejercicio al aire libre de los niños mayores de 6 años, tres (3) veces a la semana, una (1) hora al día.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y de ejercicio al aire libre de los niños entre dos (2) y cinco (5) años, tres (3) veces a la semana, media hora al día.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y de ejercicio al aire libre de los adultos mayores de 70 años, por un período máximo de dos (2) horas diarias. </w:t>
      </w:r>
    </w:p>
    <w:p>
      <w:pPr>
        <w:jc w:val="both"/>
        <w:outlineLvl w:val="1"/>
      </w:pPr>
      <w:rPr>
        <w:sz w:val="24"/>
        <w:b/>
        <w:color w:val="black"/>
      </w:rPr>
    </w:p>
    <w:p>
      <w:pPr>
        <w:jc w:val="both"/>
        <w:outlineLvl w:val="1"/>
      </w:pPr>
      <w:r>
        <w:rPr>
          <w:rFonts w:hAnsi="Arial"/>
          <w:rFonts w:ascii="Arial"/>
          <w:sz w:val="24"/>
          <w:color w:val="black"/>
        </w:rPr>
        <w:t xml:space="preserve">36. La realización de avalúos de bienes y realización de estudios de títulos que tengan por objeto la constitución de garantías, ante entidades vigiladas por la Superintendencia Financiera de Colombia. </w:t>
      </w:r>
    </w:p>
    <w:p>
      <w:pPr>
        <w:jc w:val="both"/>
        <w:outlineLvl w:val="1"/>
      </w:pPr>
      <w:rPr>
        <w:sz w:val="24"/>
        <w:b/>
        <w:color w:val="black"/>
      </w:rPr>
    </w:p>
    <w:p>
      <w:pPr>
        <w:jc w:val="both"/>
        <w:outlineLvl w:val="1"/>
      </w:pPr>
      <w:r>
        <w:rPr>
          <w:rFonts w:hAnsi="Arial"/>
          <w:rFonts w:ascii="Arial"/>
          <w:sz w:val="24"/>
          <w:color w:val="black"/>
        </w:rPr>
        <w:t xml:space="preserve">37. El funcionamiento de las comisarías de familia e inspecciones de policía, así como los usuarios de estas. </w:t>
      </w:r>
    </w:p>
    <w:p>
      <w:pPr>
        <w:jc w:val="both"/>
        <w:outlineLvl w:val="1"/>
      </w:pPr>
      <w:rPr>
        <w:sz w:val="24"/>
        <w:b/>
        <w:color w:val="black"/>
      </w:rPr>
    </w:p>
    <w:p>
      <w:pPr>
        <w:jc w:val="both"/>
        <w:outlineLvl w:val="1"/>
      </w:pPr>
      <w:r>
        <w:rPr>
          <w:rFonts w:hAnsi="Arial"/>
          <w:rFonts w:ascii="Arial"/>
          <w:sz w:val="24"/>
          <w:color w:val="black"/>
        </w:rPr>
        <w:t xml:space="preserve">38. La fabricación, reparación, mantenimiento y compra y venta de repuestos y accesorios de bicicletas convencionales y eléctricas. </w:t>
      </w:r>
    </w:p>
    <w:p>
      <w:pPr>
        <w:jc w:val="both"/>
        <w:outlineLvl w:val="1"/>
      </w:pPr>
      <w:rPr>
        <w:sz w:val="24"/>
        <w:b/>
        <w:color w:val="black"/>
      </w:rPr>
    </w:p>
    <w:p>
      <w:pPr>
        <w:jc w:val="both"/>
        <w:outlineLvl w:val="1"/>
      </w:pPr>
      <w:r>
        <w:rPr>
          <w:rFonts w:hAnsi="Arial"/>
          <w:rFonts w:ascii="Arial"/>
          <w:sz w:val="24"/>
          <w:color w:val="black"/>
        </w:rPr>
        <w:t xml:space="preserve">39. Parqueaderos públicos para vehículos. </w:t>
      </w:r>
    </w:p>
    <w:p>
      <w:pPr>
        <w:jc w:val="both"/>
        <w:outlineLvl w:val="1"/>
      </w:pPr>
      <w:rPr>
        <w:sz w:val="24"/>
        <w:b/>
        <w:color w:val="black"/>
      </w:rPr>
    </w:p>
    <w:p>
      <w:pPr>
        <w:jc w:val="both"/>
        <w:outlineLvl w:val="1"/>
      </w:pPr>
      <w:r>
        <w:rPr>
          <w:rFonts w:hAnsi="Arial"/>
          <w:rFonts w:ascii="Arial"/>
          <w:sz w:val="24"/>
          <w:color w:val="black"/>
        </w:rPr>
        <w:t xml:space="preserve">40. Museos y bibliotecas. </w:t>
      </w:r>
    </w:p>
    <w:p>
      <w:pPr>
        <w:jc w:val="both"/>
        <w:outlineLvl w:val="1"/>
      </w:pPr>
      <w:rPr>
        <w:sz w:val="24"/>
        <w:b/>
        <w:color w:val="black"/>
      </w:rPr>
    </w:p>
    <w:p>
      <w:pPr>
        <w:jc w:val="both"/>
        <w:outlineLvl w:val="1"/>
      </w:pPr>
      <w:r>
        <w:rPr>
          <w:rFonts w:hAnsi="Arial"/>
          <w:rFonts w:ascii="Arial"/>
          <w:sz w:val="24"/>
          <w:color w:val="black"/>
        </w:rPr>
        <w:t xml:space="preserve">41. Laboratorios, y espacios de práctica y de investigación de las instituciones de educación superior y educación para el trabajo y el desarrollo humano. </w:t>
      </w:r>
    </w:p>
    <w:p>
      <w:pPr>
        <w:jc w:val="both"/>
        <w:outlineLvl w:val="1"/>
      </w:pPr>
      <w:rPr>
        <w:sz w:val="24"/>
        <w:b/>
        <w:color w:val="black"/>
      </w:rPr>
    </w:p>
    <w:p>
      <w:pPr>
        <w:jc w:val="both"/>
        <w:outlineLvl w:val="1"/>
      </w:pPr>
      <w:r>
        <w:rPr>
          <w:rFonts w:hAnsi="Arial"/>
          <w:rFonts w:ascii="Arial"/>
          <w:sz w:val="24"/>
          <w:color w:val="black"/>
        </w:rPr>
        <w:t xml:space="preserve">42. Actividades profesionales, técnicas y de servicios en general. </w:t>
      </w:r>
    </w:p>
    <w:p>
      <w:pPr>
        <w:jc w:val="both"/>
        <w:outlineLvl w:val="1"/>
      </w:pPr>
      <w:rPr>
        <w:sz w:val="24"/>
        <w:b/>
        <w:color w:val="black"/>
      </w:rPr>
    </w:p>
    <w:p>
      <w:pPr>
        <w:jc w:val="both"/>
        <w:outlineLvl w:val="1"/>
      </w:pPr>
      <w:r>
        <w:rPr>
          <w:rFonts w:hAnsi="Arial"/>
          <w:rFonts w:ascii="Arial"/>
          <w:sz w:val="24"/>
          <w:color w:val="black"/>
        </w:rPr>
        <w:t xml:space="preserve">43. Servicios de peluquería. </w:t>
      </w:r>
    </w:p>
    <w:p>
      <w:pPr>
        <w:jc w:val="both"/>
        <w:outlineLvl w:val="1"/>
      </w:pPr>
      <w:rPr>
        <w:sz w:val="24"/>
        <w:b/>
        <w:color w:val="black"/>
      </w:rPr>
    </w:p>
    <w:p>
      <w:pPr>
        <w:jc w:val="both"/>
        <w:outlineLvl w:val="1"/>
      </w:pPr>
      <w:r>
        <w:rPr>
          <w:rFonts w:hAnsi="Arial"/>
          <w:rFonts w:ascii="Arial"/>
          <w:sz w:val="24"/>
          <w:color w:val="black"/>
        </w:rPr>
        <w:t xml:space="preserve">44. El desplazamiento y comparecencia de funcionarios y personas interesadas en la gestión de actividades que garanticen la protección de derechos fundamentales, colectivos y actuaciones administrativas. </w:t>
      </w:r>
    </w:p>
    <w:p>
      <w:pPr>
        <w:jc w:val="both"/>
        <w:outlineLvl w:val="1"/>
      </w:pPr>
      <w:rPr>
        <w:sz w:val="24"/>
        <w:b/>
        <w:color w:val="black"/>
      </w:rPr>
    </w:p>
    <w:p>
      <w:pPr>
        <w:jc w:val="both"/>
        <w:outlineLvl w:val="1"/>
      </w:pPr>
      <w:r>
        <w:rPr>
          <w:rFonts w:hAnsi="Arial"/>
          <w:rFonts w:ascii="Arial"/>
          <w:sz w:val="24"/>
          <w:color w:val="black"/>
        </w:rPr>
        <w:t xml:space="preserve">45. Proyección fílmica, conciertos y artes escénicas realizadas bajo la modalidad de Autocines-autoeventos, sin que se genere aglomeraciones, en los términos que establezca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46. La realización de las Pruebas Estado Saber, y el desplazamiento estrictamente necesario del personal de logística y de quienes las presentarán en los sitios que se designen.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personas que desarrollen las actividades antes mencionadas deberán estar acreditadas o identificadas en el ejercicio de sus funciones o actividades.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permitirá la circulación de una sola persona por núcleo familiar para realizar las actividades descritas en el numeral 2, y del núcleo familiar, para las actividades del numeral 21.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una persona de las relacionadas en el numeral 3 deba salir de su lugar de residencia o aislamiento, podrá hacerlo acompañado de una persona que le sirva de apoyo.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5o, Las personas que desarrollen las actividades mencionadas en el presente artículo, para iniciar las respectivas actividades, deberán cumplir con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Las excepciones que se consideren necesarias adicionar por parte de los gobernadores y alcaldes deben ser previamente informadas y coordinadas con el Ministerio del Interior. </w:t>
      </w:r>
    </w:p>
    <w:p>
      <w:pPr>
        <w:jc w:val="both"/>
        <w:outlineLvl w:val="1"/>
      </w:pPr>
      <w:rPr>
        <w:sz w:val="24"/>
        <w:b/>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Los alcaldes con la debida autorización del Ministerio del Interior podrán suspender las actividades o casos establecidos en el presente artículo. </w:t>
      </w:r>
    </w:p>
    <w:p>
      <w:pPr>
        <w:jc w:val="both"/>
        <w:outlineLvl w:val="1"/>
      </w:pPr>
      <w:rPr>
        <w:sz w:val="24"/>
        <w:b/>
        <w:color w:val="black"/>
      </w:rPr>
    </w:p>
    <w:p>
      <w:pPr>
        <w:jc w:val="both"/>
        <w:outlineLvl w:val="1"/>
      </w:pPr>
      <w:r>
        <w:rPr>
          <w:rFonts w:hAnsi="Arial"/>
          <w:rFonts w:ascii="Arial"/>
          <w:sz w:val="24"/>
          <w:color w:val="black"/>
        </w:rPr>
        <w:t xml:space="preserve">Cuando un municipio presente una variación negativa en el comportamiento de la pandemia del Coronavirus COVID-19 que genere un riesgo excepcional a criterio del Ministerio de Salud y Protección Social, esta entidad enviará al Ministerio del- Interior un informe que contenga la descripción de la situación epidemiológica del municipio relacionada con el Coronavirus COVID-19 y las actividades o casos que estarían permitidos para ese municipio, con base en lo cual, el Ministerio del Interior ordenará al alcalde el cierre de las actividades o casos respectivos. </w:t>
      </w:r>
    </w:p>
    <w:p>
      <w:pPr>
        <w:jc w:val="both"/>
        <w:outlineLvl w:val="1"/>
      </w:pPr>
      <w:rPr>
        <w:sz w:val="24"/>
        <w:b/>
        <w:color w:val="black"/>
      </w:rPr>
    </w:p>
    <w:p>
      <w:pPr>
        <w:jc w:val="both"/>
        <w:outlineLvl w:val="1"/>
      </w:pPr>
      <w:r>
        <w:rPr>
          <w:rFonts w:hAnsi="Arial"/>
          <w:rFonts w:ascii="Arial"/>
          <w:sz w:val="24"/>
          <w:vanish/>
          <w:color w:val="black"/>
        </w:rPr>
        <w:t>&amp;$</w:t>
      </w:r>
      <w:bookmarkStart w:id="84567" w:name="4"/>
      <w:r>
        <w:rPr>
          <w:rFonts w:hAnsi="Arial"/>
          <w:rFonts w:ascii="Arial"/>
          <w:sz w:val="24"/>
          <w:color w:val="navy"/>
        </w:rPr>
        <w:t xml:space="preserve">ARTÍCULO 4o. MEDIDAS PARA MUNICIPIOS SIN AFECTACIÓN Y DE BAJA AFECTACIÓN DEL CORONAVIRUS COVID-19.</w:t>
      </w:r>
      <w:bookmarkEnd w:id="84567"/>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Los alcaldes de municipios sin afectación o de baja afectación del Coronavirus COVID-19 podrán solicitar al Ministerio del Interior el levantamiento de la medida de aislamiento preventivo obligatorio en su territorio. Para tal efecto, el Ministerio de Salud y Protección Social deberá haber informado la condición de municipio sin afectación del Coronavirus COVID-19 o de baja afectación del Coronavirus COVID-19.</w:t>
      </w:r>
    </w:p>
    <w:p>
      <w:pPr>
        <w:jc w:val="both"/>
        <w:outlineLvl w:val="1"/>
      </w:pPr>
      <w:rPr>
        <w:sz w:val="24"/>
        <w:b/>
        <w:color w:val="black"/>
      </w:rPr>
    </w:p>
    <w:p>
      <w:pPr>
        <w:jc w:val="both"/>
        <w:outlineLvl w:val="1"/>
      </w:pPr>
      <w:r>
        <w:rPr>
          <w:rFonts w:hAnsi="Arial"/>
          <w:rFonts w:ascii="Arial"/>
          <w:sz w:val="24"/>
          <w:color w:val="black"/>
        </w:rPr>
        <w:t xml:space="preserve">Verificado que se trata de un municipio sin afectación del Coronavirus COVID-19 o de baja afectación del Coronavirus COVID-19, el Ministerio del Interior podrá autorizar el levantamiento de la medida de aislamiento preventivo obligatorio. </w:t>
      </w:r>
    </w:p>
    <w:p>
      <w:pPr>
        <w:jc w:val="both"/>
        <w:outlineLvl w:val="1"/>
      </w:pPr>
      <w:rPr>
        <w:sz w:val="24"/>
        <w:b/>
        <w:color w:val="black"/>
      </w:rPr>
    </w:p>
    <w:p>
      <w:pPr>
        <w:jc w:val="both"/>
        <w:outlineLvl w:val="1"/>
      </w:pPr>
      <w:r>
        <w:rPr>
          <w:rFonts w:hAnsi="Arial"/>
          <w:rFonts w:ascii="Arial"/>
          <w:sz w:val="24"/>
          <w:color w:val="black"/>
        </w:rPr>
        <w:t xml:space="preserve">Los municipios sin afectación o de baja afectación del Coronavirus COVID-19 no podrán habilitar los siguientes espacios o actividades presenciales: </w:t>
      </w:r>
    </w:p>
    <w:p>
      <w:pPr>
        <w:jc w:val="both"/>
        <w:outlineLvl w:val="1"/>
      </w:pPr>
      <w:rPr>
        <w:sz w:val="24"/>
        <w:b/>
        <w:color w:val="black"/>
      </w:rPr>
    </w:p>
    <w:p>
      <w:pPr>
        <w:jc w:val="both"/>
        <w:outlineLvl w:val="1"/>
      </w:pPr>
      <w:r>
        <w:rPr>
          <w:rFonts w:hAnsi="Arial"/>
          <w:rFonts w:ascii="Arial"/>
          <w:sz w:val="24"/>
          <w:color w:val="black"/>
        </w:rPr>
        <w:t xml:space="preserve">1. Eventos de carácter público o privado que impliquen aglomeración de personas, de conformidad con las disposiciones que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2. Los establecimientos y locales comerciales, de esparcimiento y diversión, bares, discotecas, de baile, ocio y entretenimiento, billares, de juegos de azar y apuestas, tales como casinos, bingos y terminales de juego de video.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 caso para iniciar cualquier actividad los municipios y Distritos sin afectación y de baja afectación de Coronavirus COVID-19 deberán cumplir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personas que se encuentren en los municipios o distritos sin afectación o de baja afectación del Coronavirus COVID-19, solamente podrán entrar o salir del respectivo municipio con ocasión de los casos o actividades descritos en el artículo 3 del presente decreto, debidamente acreditadas o identificadas en el ejercicio de sus funciones.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Ministerio de Salud y Protección Social establecerá si el municipio o distrito es un municipio sin afectación y de baja afectación del Coronavirus COVID-19, y determinará cuándo un municipio pierde la condición de ser un municipio sin afectación o de baja afectación del Coronavirus COVID-19.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Cuando un municipio que haya obtenido la autorización del Ministerio del Interior de que trata el inciso primero de este artículo, pierda la condición de ser un municipio sin afectación o de baja afectación del Coronavirus COVID-19, de acuerdo con la información pública da por el Ministerio de Salud y Protección Social en su página web, el municipio quedará sometido a la medida de aislamiento preventivo obligatorio y solamente podrá permitir las actividades establecidas en el artículo 3 del presente decreto. El Ministerio de Salud y Protección Social podrá determinar el cierre de alguna o algunas de esas actividades dependiendo del análisis del comportamiento epidemiológico del municipio correspondiente. </w:t>
      </w:r>
    </w:p>
    <w:p>
      <w:pPr>
        <w:jc w:val="both"/>
        <w:outlineLvl w:val="1"/>
      </w:pPr>
      <w:rPr>
        <w:sz w:val="24"/>
        <w:b/>
        <w:color w:val="black"/>
      </w:rPr>
    </w:p>
    <w:p>
      <w:pPr>
        <w:jc w:val="both"/>
        <w:outlineLvl w:val="1"/>
      </w:pPr>
      <w:r>
        <w:rPr>
          <w:rFonts w:hAnsi="Arial"/>
          <w:rFonts w:ascii="Arial"/>
          <w:sz w:val="24"/>
          <w:color w:val="black"/>
        </w:rPr>
        <w:t xml:space="preserve">Para tal efecto, el Ministerio de Salud y Protección Social enviará al Ministerio del Interior un informe que contenga la descripción de la situación epidemiológica del municipio relacionada con el Coronavirus COVID-19 y las actividades o casos que estarán restringidos, con base en lo cual el Ministerio del Interior ordenará al alcalde el cierre de las demás actividades o casos.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Los alcaldes de los municipios y distritos, en coordinación con el Ministerio del Interior, podrán autorizar la implementación de planes piloto en (i) bares y casinos para brindar atención al público en el sitio –de manera presencial o a la mesa–, (ii) billares, juegos de azar y apuestas tales como bingos y terminales de juego de video, y (iii) eventos deportivos sin aglomeración de espectadores. En ningún caso queda permitido el consumo de bebidas embriagantes en los lugares en que se implementen los planes piloto. </w:t>
      </w:r>
    </w:p>
    <w:p>
      <w:pPr>
        <w:jc w:val="both"/>
        <w:outlineLvl w:val="1"/>
      </w:pPr>
      <w:rPr>
        <w:sz w:val="24"/>
        <w:b/>
        <w:color w:val="black"/>
      </w:rPr>
    </w:p>
    <w:p>
      <w:pPr>
        <w:jc w:val="both"/>
        <w:outlineLvl w:val="1"/>
      </w:pPr>
      <w:r>
        <w:rPr>
          <w:rFonts w:hAnsi="Arial"/>
          <w:rFonts w:ascii="Arial"/>
          <w:sz w:val="24"/>
          <w:vanish/>
          <w:color w:val="black"/>
        </w:rPr>
        <w:t>&amp;$</w:t>
      </w:r>
      <w:bookmarkStart w:id="84568" w:name="5"/>
      <w:r>
        <w:rPr>
          <w:rFonts w:hAnsi="Arial"/>
          <w:rFonts w:ascii="Arial"/>
          <w:sz w:val="24"/>
          <w:color w:val="navy"/>
        </w:rPr>
        <w:t xml:space="preserve">ARTÍCULO 5o. MEDIDAS PARA MUNICIPIOS DE MODERADA AFECTACIÓN Y DE ALTA AFECTACIÓN DEL CORONAVIRUS COVID-19.</w:t>
      </w:r>
      <w:bookmarkEnd w:id="84568"/>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En ningún municipio de moderada o alta afectación de Coronavirus COVID-19 se podrán habilitar los siguientes espacios o actividades presenciales: </w:t>
      </w:r>
    </w:p>
    <w:p>
      <w:pPr>
        <w:jc w:val="both"/>
        <w:outlineLvl w:val="1"/>
      </w:pPr>
      <w:rPr>
        <w:sz w:val="24"/>
        <w:b/>
        <w:color w:val="black"/>
      </w:rPr>
    </w:p>
    <w:p>
      <w:pPr>
        <w:jc w:val="both"/>
        <w:outlineLvl w:val="1"/>
      </w:pPr>
      <w:r>
        <w:rPr>
          <w:rFonts w:hAnsi="Arial"/>
          <w:rFonts w:ascii="Arial"/>
          <w:sz w:val="24"/>
          <w:color w:val="black"/>
        </w:rPr>
        <w:t xml:space="preserve">1. Eventos de carácter público o privado que impliquen aglomeración de personas, de conformidad con las disposiciones que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2. Los establecimientos y locales comerciales, de esparcimiento y diversión, bares, discotecas, de baile, ocio y entretenimiento, billares, de juegos de azar y apuestas tales como casinos, bingos y terminales de juego de video. </w:t>
      </w:r>
    </w:p>
    <w:p>
      <w:pPr>
        <w:jc w:val="both"/>
        <w:outlineLvl w:val="1"/>
      </w:pPr>
      <w:rPr>
        <w:sz w:val="24"/>
        <w:b/>
        <w:color w:val="black"/>
      </w:rPr>
    </w:p>
    <w:p>
      <w:pPr>
        <w:jc w:val="both"/>
        <w:outlineLvl w:val="1"/>
      </w:pPr>
      <w:r>
        <w:rPr>
          <w:rFonts w:hAnsi="Arial"/>
          <w:rFonts w:ascii="Arial"/>
          <w:sz w:val="24"/>
          <w:color w:val="black"/>
        </w:rPr>
        <w:t xml:space="preserve">3. Los establecimientos y locales gastronómicos permanecerán cerrados y solo podrán ofrecer sus productos a través de comercio electrónico, por entrega a domicilio o por entrega para llevar. </w:t>
      </w:r>
    </w:p>
    <w:p>
      <w:pPr>
        <w:jc w:val="both"/>
        <w:outlineLvl w:val="1"/>
      </w:pPr>
      <w:rPr>
        <w:sz w:val="24"/>
        <w:b/>
        <w:color w:val="black"/>
      </w:rPr>
    </w:p>
    <w:p>
      <w:pPr>
        <w:jc w:val="both"/>
        <w:outlineLvl w:val="1"/>
      </w:pPr>
      <w:r>
        <w:rPr>
          <w:rFonts w:hAnsi="Arial"/>
          <w:rFonts w:ascii="Arial"/>
          <w:sz w:val="24"/>
          <w:color w:val="black"/>
        </w:rPr>
        <w:t xml:space="preserve">4. Piscinas, spa, sauna, turco, balnearios, parques de atracciones mecánicas y parques infantiles. </w:t>
      </w:r>
    </w:p>
    <w:p>
      <w:pPr>
        <w:jc w:val="both"/>
        <w:outlineLvl w:val="1"/>
      </w:pPr>
      <w:rPr>
        <w:sz w:val="24"/>
        <w:b/>
        <w:color w:val="black"/>
      </w:rPr>
    </w:p>
    <w:p>
      <w:pPr>
        <w:jc w:val="both"/>
        <w:outlineLvl w:val="1"/>
      </w:pPr>
      <w:r>
        <w:rPr>
          <w:rFonts w:hAnsi="Arial"/>
          <w:rFonts w:ascii="Arial"/>
          <w:sz w:val="24"/>
          <w:color w:val="black"/>
        </w:rPr>
        <w:t xml:space="preserve">5. Cines y teatros. </w:t>
      </w:r>
    </w:p>
    <w:p>
      <w:pPr>
        <w:jc w:val="both"/>
        <w:outlineLvl w:val="1"/>
      </w:pPr>
      <w:rPr>
        <w:sz w:val="24"/>
        <w:b/>
        <w:color w:val="black"/>
      </w:rPr>
    </w:p>
    <w:p>
      <w:pPr>
        <w:jc w:val="both"/>
        <w:outlineLvl w:val="1"/>
      </w:pPr>
      <w:r>
        <w:rPr>
          <w:rFonts w:hAnsi="Arial"/>
          <w:rFonts w:ascii="Arial"/>
          <w:sz w:val="24"/>
          <w:color w:val="black"/>
        </w:rPr>
        <w:t xml:space="preserve">6. La práctica deportiva y ejercicio grupal en parques públicos y áreas de recreación, deportes de contacto o que se practiquen en conjunto. </w:t>
      </w:r>
    </w:p>
    <w:p>
      <w:pPr>
        <w:jc w:val="both"/>
        <w:outlineLvl w:val="1"/>
      </w:pPr>
      <w:rPr>
        <w:sz w:val="24"/>
        <w:b/>
        <w:color w:val="black"/>
      </w:rPr>
    </w:p>
    <w:p>
      <w:pPr>
        <w:jc w:val="both"/>
        <w:outlineLvl w:val="1"/>
      </w:pPr>
      <w:r>
        <w:rPr>
          <w:rFonts w:hAnsi="Arial"/>
          <w:rFonts w:ascii="Arial"/>
          <w:sz w:val="24"/>
          <w:color w:val="black"/>
        </w:rPr>
        <w:t xml:space="preserve">7. Servicios religiosos que impliquen aglomeraciones, salvo que medie autorización por parte del Ministerio del Interior y se cumpla en todo momento con los protocolos emitidos por el Ministerio de Salud y Protección Social para el desarrollo de esta actividad.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piscinas y polideportivos solo podrán utilizarse para la práctica deportiva por deportistas profesionales y de alto rendimiento, incluidos aquellos que sean menores de edad en el rango de 14 a 17 años.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teatros serán únicamente utilizados para realizar actividades creativas, artísticas de las artes escénicas, sin que en ningún momento se permita el ingreso de público, o la realización de actividades grupales o que generen aglomeración.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alcaldes de los municipios y distritos, en coordinación con el Ministerio del Interior, podrán autorizar la implementación de planes piloto en (i) los establecimientos y locales comerciales que presten servicio de comida, para brindar atención al público en el sitio –de manera presencial o a la mesa–, (ii) las marinas y actividades náuticas, (iii) gimnasios, (iv) cines y teatros; (v) eventos deportivos sin aglomeración de espectadores, (vi) parques temáticos y zoológicos, (vii) bares y casinos para brindar atención al público en el sitio -de manera presencial o a la mesa- y, (viii) billares, juegos de azar y apuestas tales como bingos y terminales de juego de video, y (iv) estéticas, piscinas, spa, sauna y turco, siempre y cuando se cumpla en todo momento con los protocolos de bioseguridad emitidos por el Ministerio de Salud y Protección Social, para el desarrollo de estas actividades. En ningún caso queda permitido el consumo de bebidas embriagantes en los lugares en que se implementen los planes piloto.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servicios religiosos que puedan implicar reunión de personas se podrán permitir siempre y cuando medie autorización de los alcaldes en coordinación con el Ministerio del Interior y se cumpla en todo momento con los protocolos de bioseguridad emitidos por el Ministerio de Salud y Protección Social para el desarrollo de esta actividad. </w:t>
      </w:r>
    </w:p>
    <w:p>
      <w:pPr>
        <w:jc w:val="both"/>
        <w:outlineLvl w:val="1"/>
      </w:pPr>
      <w:rPr>
        <w:sz w:val="24"/>
        <w:b/>
        <w:color w:val="black"/>
      </w:rPr>
    </w:p>
    <w:p>
      <w:pPr>
        <w:jc w:val="both"/>
        <w:outlineLvl w:val="1"/>
      </w:pPr>
      <w:r>
        <w:rPr>
          <w:rFonts w:hAnsi="Arial"/>
          <w:rFonts w:ascii="Arial"/>
          <w:sz w:val="24"/>
          <w:vanish/>
          <w:color w:val="black"/>
        </w:rPr>
        <w:t>&amp;$</w:t>
      </w:r>
      <w:bookmarkStart w:id="84569" w:name="6"/>
      <w:r>
        <w:rPr>
          <w:rFonts w:hAnsi="Arial"/>
          <w:rFonts w:ascii="Arial"/>
          <w:sz w:val="24"/>
          <w:color w:val="navy"/>
        </w:rPr>
        <w:t xml:space="preserve">ARTÍCULO 6o. TELETRABAJO Y TRABAJO EN CASA.</w:t>
      </w:r>
      <w:bookmarkEnd w:id="84569"/>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 </w:t>
      </w:r>
    </w:p>
    <w:p>
      <w:pPr>
        <w:jc w:val="both"/>
        <w:outlineLvl w:val="1"/>
      </w:pPr>
      <w:rPr>
        <w:sz w:val="24"/>
        <w:b/>
        <w:color w:val="black"/>
      </w:rPr>
    </w:p>
    <w:p>
      <w:pPr>
        <w:jc w:val="both"/>
        <w:outlineLvl w:val="1"/>
      </w:pPr>
      <w:r>
        <w:rPr>
          <w:rFonts w:hAnsi="Arial"/>
          <w:rFonts w:ascii="Arial"/>
          <w:sz w:val="24"/>
          <w:vanish/>
          <w:color w:val="black"/>
        </w:rPr>
        <w:t>&amp;$</w:t>
      </w:r>
      <w:bookmarkStart w:id="84570" w:name="7"/>
      <w:r>
        <w:rPr>
          <w:rFonts w:hAnsi="Arial"/>
          <w:rFonts w:ascii="Arial"/>
          <w:sz w:val="24"/>
          <w:color w:val="navy"/>
        </w:rPr>
        <w:t xml:space="preserve">ARTÍCULO 7o. MOVILIDAD.</w:t>
      </w:r>
      <w:bookmarkEnd w:id="84570"/>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presente decreto. </w:t>
      </w:r>
    </w:p>
    <w:p>
      <w:pPr>
        <w:jc w:val="both"/>
        <w:outlineLvl w:val="1"/>
      </w:pPr>
      <w:rPr>
        <w:sz w:val="24"/>
        <w:b/>
        <w:color w:val="black"/>
      </w:rPr>
    </w:p>
    <w:p>
      <w:pPr>
        <w:jc w:val="both"/>
        <w:outlineLvl w:val="1"/>
      </w:pPr>
      <w:r>
        <w:rPr>
          <w:rFonts w:hAnsi="Arial"/>
          <w:rFonts w:ascii="Arial"/>
          <w:sz w:val="24"/>
          <w:color w:val="black"/>
        </w:rPr>
        <w:t xml:space="preserve">Se deberá garantizar el transporte de carga, el almacenamiento y logística para la carga.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los municipios sin afectación o con baja afectación del Coronavirus COVID-19 se autoriza el servicio público de transporte terrestre. En todo caso los municipios de origen y de destino del servicio habrán de ostentar la referida clasificación, y deberán cumplir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black"/>
        </w:rPr>
        <w:t xml:space="preserve">En los municipios de moderada y alta afectación del Coronavirus COVID-19, los Alcaldes podrán solicitar al Ministerio del Interior la autorización para implementar planes piloto en el servicio. público de transporte terrestre. La autorización se otorgará por el Ministerio del Interior siempre y cuando los municipios de origen como de destino lo hayan solicitado, y se cumplan los protocolos de bioseguridad emitidos por el Ministerio de Salud y Protección Social. </w:t>
      </w:r>
    </w:p>
    <w:p>
      <w:pPr>
        <w:jc w:val="both"/>
      </w:pPr>
      <w:rPr>
        <w:color w:val="black"/>
      </w:rPr>
    </w:p>
    <w:p>
      <w:pPr>
        <w:jc w:val="both"/>
        <w:outlineLvl w:val="1"/>
      </w:pPr>
      <w:r>
        <w:rPr>
          <w:rFonts w:hAnsi="Arial"/>
          <w:rFonts w:ascii="Arial"/>
          <w:sz w:val="24"/>
          <w:vanish/>
          <w:color w:val="black"/>
        </w:rPr>
        <w:t>&amp;$</w:t>
      </w:r>
      <w:bookmarkStart w:id="84571" w:name="8"/>
      <w:r>
        <w:rPr>
          <w:rFonts w:hAnsi="Arial"/>
          <w:rFonts w:ascii="Arial"/>
          <w:sz w:val="24"/>
          <w:color w:val="navy"/>
        </w:rPr>
        <w:t xml:space="preserve">ARTÍCULO 8o. SUSPENSIÓN DE TRANSPORTE DOMÉSTICO POR VÍA AÉREA.</w:t>
      </w:r>
      <w:bookmarkEnd w:id="84571"/>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Suspender el transporte doméstico por vía aérea, a partir que las cero horas (00:00 a.m.) del día 1 de agosto de 2020, hasta las cero horas (00:00 a. m.) del día 1 de septiembre de 2020. </w:t>
      </w:r>
    </w:p>
    <w:p>
      <w:pPr>
        <w:jc w:val="both"/>
        <w:outlineLvl w:val="1"/>
      </w:pPr>
      <w:rPr>
        <w:sz w:val="24"/>
        <w:b/>
        <w:color w:val="black"/>
      </w:rPr>
    </w:p>
    <w:p>
      <w:pPr>
        <w:jc w:val="both"/>
        <w:outlineLvl w:val="1"/>
      </w:pPr>
      <w:r>
        <w:rPr>
          <w:rFonts w:hAnsi="Arial"/>
          <w:rFonts w:ascii="Arial"/>
          <w:sz w:val="24"/>
          <w:color w:val="black"/>
        </w:rPr>
        <w:t xml:space="preserve">Solo se permitirá el transporte doméstico por vía aérea, en los siguientes casos: </w:t>
      </w:r>
    </w:p>
    <w:p>
      <w:pPr>
        <w:jc w:val="both"/>
        <w:outlineLvl w:val="1"/>
      </w:pPr>
      <w:rPr>
        <w:sz w:val="24"/>
        <w:b/>
        <w:color w:val="black"/>
      </w:rPr>
    </w:p>
    <w:p>
      <w:pPr>
        <w:jc w:val="both"/>
        <w:outlineLvl w:val="1"/>
      </w:pPr>
      <w:r>
        <w:rPr>
          <w:rFonts w:hAnsi="Arial"/>
          <w:rFonts w:ascii="Arial"/>
          <w:sz w:val="24"/>
          <w:color w:val="black"/>
        </w:rPr>
        <w:t xml:space="preserve">1. Emergencia humanitaria. </w:t>
      </w:r>
    </w:p>
    <w:p>
      <w:pPr>
        <w:jc w:val="both"/>
        <w:outlineLvl w:val="1"/>
      </w:pPr>
      <w:r>
        <w:rPr>
          <w:rFonts w:hAnsi="Arial"/>
          <w:rFonts w:ascii="Arial"/>
          <w:sz w:val="24"/>
          <w:color w:val="black"/>
        </w:rPr>
        <w:t xml:space="preserve">2. El transporte de carga y mercancía. </w:t>
      </w:r>
    </w:p>
    <w:p>
      <w:pPr>
        <w:jc w:val="both"/>
        <w:outlineLvl w:val="1"/>
      </w:pPr>
      <w:r>
        <w:rPr>
          <w:rFonts w:hAnsi="Arial"/>
          <w:rFonts w:ascii="Arial"/>
          <w:sz w:val="24"/>
          <w:color w:val="black"/>
        </w:rPr>
        <w:t xml:space="preserve">3. Caso fortuito o fuerza mayor.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municipios sin afectación o con baja afectación del Coronavirus COVID-19 se autoriza el transporte doméstico de personas por vía aérea. En todo caso los municipios de origen y de destino del servicio habrán de ostentar la referida clasificación, y deberán cumplir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black"/>
        </w:rPr>
        <w:t xml:space="preserve">En los municipios de moderada y alta afectación del Coronavirus COVID-19 en cuya jurisdicción territorial se encuentren localizados aeródromos o aeropuertos, los alcaldes podrán solicitar al Ministerio del Interior, al Ministerio de Transporte y a la Unidad Administrativa Especial de la Aeronáutica Civil la autorización para implementar planes piloto en el transporte doméstico de personas por vía aérea. </w:t>
      </w:r>
    </w:p>
    <w:p>
      <w:pPr>
        <w:jc w:val="both"/>
        <w:outlineLvl w:val="1"/>
      </w:pPr>
      <w:rPr>
        <w:sz w:val="24"/>
        <w:b/>
        <w:color w:val="black"/>
      </w:rPr>
    </w:p>
    <w:p>
      <w:pPr>
        <w:jc w:val="both"/>
        <w:outlineLvl w:val="1"/>
      </w:pPr>
      <w:r>
        <w:rPr>
          <w:rFonts w:hAnsi="Arial"/>
          <w:rFonts w:ascii="Arial"/>
          <w:sz w:val="24"/>
          <w:color w:val="black"/>
        </w:rPr>
        <w:t xml:space="preserve">La autorización que otorgarán el Ministerio del Interior, el Ministerio de Transporte y la Unidad Administrativa Especial de la Aeronáutica Civil procederá previa recomendación del Ministerio de Salud y Protección Social, y siempre y cuando los municipios de la ciudad de origen como de la de destino lo hayan solicitado y se cumplan los protocolos de bioseguridad emitidos por el Ministerio de Salud y Protección Social. </w:t>
      </w:r>
    </w:p>
    <w:p>
      <w:pPr>
        <w:jc w:val="both"/>
        <w:outlineLvl w:val="1"/>
      </w:pPr>
      <w:rPr>
        <w:sz w:val="24"/>
        <w:b/>
        <w:color w:val="black"/>
      </w:rPr>
    </w:p>
    <w:p>
      <w:pPr>
        <w:jc w:val="both"/>
        <w:outlineLvl w:val="1"/>
      </w:pPr>
      <w:r>
        <w:rPr>
          <w:rFonts w:hAnsi="Arial"/>
          <w:rFonts w:ascii="Arial"/>
          <w:sz w:val="24"/>
          <w:vanish/>
          <w:color w:val="black"/>
        </w:rPr>
        <w:t>&amp;$</w:t>
      </w:r>
      <w:bookmarkStart w:id="84572" w:name="9"/>
      <w:r>
        <w:rPr>
          <w:rFonts w:hAnsi="Arial"/>
          <w:rFonts w:ascii="Arial"/>
          <w:sz w:val="24"/>
          <w:color w:val="navy"/>
        </w:rPr>
        <w:t xml:space="preserve">ARTÍCULO 9o. CIERRE DE FRONTERAS.</w:t>
      </w:r>
      <w:bookmarkEnd w:id="84572"/>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Cerrar los pasos marítimos, terrestres y fluviales de frontera con la República de Panamá, República - del Ecuador, República del Perú, República Federativa de Brasil y República Bolivariana de Venezuela, a partir de las cero horas (00:00 a.m.) del 1 de agosto de 2020, hasta las cero horas (00:00 a.m.) del día 1 de septiembre de 2020. </w:t>
      </w:r>
    </w:p>
    <w:p>
      <w:pPr>
        <w:jc w:val="both"/>
        <w:outlineLvl w:val="1"/>
      </w:pPr>
      <w:rPr>
        <w:sz w:val="24"/>
        <w:b/>
        <w:color w:val="black"/>
      </w:rPr>
    </w:p>
    <w:p>
      <w:pPr>
        <w:jc w:val="both"/>
        <w:outlineLvl w:val="1"/>
      </w:pPr>
      <w:r>
        <w:rPr>
          <w:rFonts w:hAnsi="Arial"/>
          <w:rFonts w:ascii="Arial"/>
          <w:sz w:val="24"/>
          <w:color w:val="black"/>
        </w:rPr>
        <w:t xml:space="preserve">Se exceptúan del cierre de frontera, las siguientes actividades: </w:t>
      </w:r>
    </w:p>
    <w:p>
      <w:pPr>
        <w:jc w:val="both"/>
        <w:outlineLvl w:val="1"/>
      </w:pPr>
      <w:rPr>
        <w:sz w:val="24"/>
        <w:b/>
        <w:color w:val="black"/>
      </w:rPr>
    </w:p>
    <w:p>
      <w:pPr>
        <w:jc w:val="both"/>
        <w:outlineLvl w:val="1"/>
      </w:pPr>
      <w:r>
        <w:rPr>
          <w:rFonts w:hAnsi="Arial"/>
          <w:rFonts w:ascii="Arial"/>
          <w:sz w:val="24"/>
          <w:color w:val="black"/>
        </w:rPr>
        <w:t xml:space="preserve">1. Emergencia humanitaria. </w:t>
      </w:r>
    </w:p>
    <w:p>
      <w:pPr>
        <w:jc w:val="both"/>
        <w:outlineLvl w:val="1"/>
      </w:pPr>
      <w:r>
        <w:rPr>
          <w:rFonts w:hAnsi="Arial"/>
          <w:rFonts w:ascii="Arial"/>
          <w:sz w:val="24"/>
          <w:color w:val="black"/>
        </w:rPr>
        <w:t xml:space="preserve">2. El transporte de carga y mercancía</w:t>
      </w:r>
    </w:p>
    <w:p>
      <w:pPr>
        <w:jc w:val="both"/>
        <w:outlineLvl w:val="1"/>
      </w:pPr>
      <w:r>
        <w:rPr>
          <w:rFonts w:hAnsi="Arial"/>
          <w:rFonts w:ascii="Arial"/>
          <w:sz w:val="24"/>
          <w:color w:val="black"/>
        </w:rPr>
        <w:t xml:space="preserve">3. Caso fortuito o fuerza mayor. </w:t>
      </w:r>
    </w:p>
    <w:p>
      <w:pPr>
        <w:jc w:val="both"/>
        <w:outlineLvl w:val="1"/>
      </w:pPr>
      <w:r>
        <w:rPr>
          <w:rFonts w:hAnsi="Arial"/>
          <w:rFonts w:ascii="Arial"/>
          <w:sz w:val="24"/>
          <w:color w:val="black"/>
        </w:rPr>
        <w:t xml:space="preserve">4. La salida del territorio nacional de ciudadanos extranjeros de manera coordinada por la Unidad Administrativa Especial Migración Colombia, con las autoridades distritales y municipales competentes.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vanish/>
          <w:color w:val="black"/>
        </w:rPr>
        <w:t>&amp;$</w:t>
      </w:r>
      <w:bookmarkStart w:id="84573" w:name="10"/>
      <w:r>
        <w:rPr>
          <w:rFonts w:hAnsi="Arial"/>
          <w:rFonts w:ascii="Arial"/>
          <w:sz w:val="24"/>
          <w:color w:val="navy"/>
        </w:rPr>
        <w:t xml:space="preserve">ARTÍCULO 10. PROHIBICIÓN DE CONSUMO DE BEBIDAS EMBRIAGANTES.</w:t>
      </w:r>
      <w:bookmarkEnd w:id="84573"/>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Ordenar a los alcaldes y gobernadores que en el marco de sus competencias constitucionales y legales prohíban, dentro de su circunscripción territorial, el consumo de bebidas embriagantes en espacios abiertos y establecimientos de comercio, a partir de las cero horas (00:00 a. m.) del 1 de agosto de 2020, hasta las cero horas (00:00 a. m.) del día 1 de septiembre de 2020. No queda prohibido el expendio de bebidas embriagantes. </w:t>
      </w:r>
    </w:p>
    <w:p>
      <w:pPr>
        <w:jc w:val="both"/>
        <w:outlineLvl w:val="1"/>
      </w:pPr>
      <w:rPr>
        <w:sz w:val="24"/>
        <w:b/>
        <w:color w:val="black"/>
      </w:rPr>
    </w:p>
    <w:p>
      <w:pPr>
        <w:jc w:val="both"/>
        <w:outlineLvl w:val="1"/>
      </w:pPr>
      <w:r>
        <w:rPr>
          <w:rFonts w:hAnsi="Arial"/>
          <w:rFonts w:ascii="Arial"/>
          <w:sz w:val="24"/>
          <w:vanish/>
          <w:color w:val="black"/>
        </w:rPr>
        <w:t>&amp;$</w:t>
      </w:r>
      <w:bookmarkStart w:id="84574" w:name="11"/>
      <w:r>
        <w:rPr>
          <w:rFonts w:hAnsi="Arial"/>
          <w:rFonts w:ascii="Arial"/>
          <w:sz w:val="24"/>
          <w:color w:val="navy"/>
        </w:rPr>
        <w:t xml:space="preserve">ARTÍCULO 11. GARANTÍAS PARA EL PERSONAL MÉDICO Y DEL SECTOR SALUD.</w:t>
      </w:r>
      <w:bookmarkEnd w:id="84574"/>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Los gobernadores y alcaldes, en el marco de sus competencias, velarán para que no se impida, obstruya o restrinja el pleno ejercicio de los derechos del personal médico y demás vinculados con la prestación del servicio de salud, ni se ejerzan actos de discriminación en su contra. </w:t>
      </w:r>
    </w:p>
    <w:p>
      <w:pPr>
        <w:jc w:val="both"/>
        <w:outlineLvl w:val="1"/>
      </w:pPr>
      <w:rPr>
        <w:sz w:val="24"/>
        <w:b/>
        <w:color w:val="black"/>
      </w:rPr>
    </w:p>
    <w:p>
      <w:pPr>
        <w:jc w:val="both"/>
        <w:outlineLvl w:val="1"/>
      </w:pPr>
      <w:r>
        <w:rPr>
          <w:rFonts w:hAnsi="Arial"/>
          <w:rFonts w:ascii="Arial"/>
          <w:sz w:val="24"/>
          <w:vanish/>
          <w:color w:val="black"/>
        </w:rPr>
        <w:t>&amp;$</w:t>
      </w:r>
      <w:bookmarkStart w:id="84575" w:name="12"/>
      <w:r>
        <w:rPr>
          <w:rFonts w:hAnsi="Arial"/>
          <w:rFonts w:ascii="Arial"/>
          <w:sz w:val="24"/>
          <w:color w:val="navy"/>
        </w:rPr>
        <w:t xml:space="preserve">ARTÍCULO 12. INOBSERVANCIA DE LAS MEDIDAS.</w:t>
      </w:r>
      <w:bookmarkEnd w:id="84575"/>
      <w:r>
        <w:rPr>
          <w:rFonts w:hAnsi="Arial"/>
          <w:rFonts w:ascii="Arial"/>
          <w:sz w:val="24"/>
          <w:color w:val="black"/>
        </w:rPr>
        <w:t xml:space="preserve"> </w:t>
      </w:r>
      <w:r>
        <w:rPr>
          <w:rFonts w:hAnsi="Arial"/>
          <w:rFonts w:ascii="Arial"/>
          <w:sz w:val="24"/>
          <w:b/>
          <w:color w:val="black"/>
        </w:rPr>
        <w:t xml:space="preserve">&lt;Decreto derogado, a partir del 1 de septiembre de 2020, por el artículo </w:t>
      </w:r>
      <w:r>
        <w:fldChar w:fldCharType="begin"/>
      </w:r>
      <w:r>
        <w:instrText>HYPERLINK "http://www.redjurista.com/document.aspx?ajcode=d1168020&amp;arts=11"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1168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 </w:t>
      </w:r>
    </w:p>
    <w:p>
      <w:pPr>
        <w:jc w:val="both"/>
        <w:outlineLvl w:val="1"/>
      </w:pPr>
      <w:rPr>
        <w:sz w:val="24"/>
        <w:b/>
        <w:color w:val="black"/>
      </w:rPr>
    </w:p>
    <w:p>
      <w:pPr>
        <w:jc w:val="both"/>
        <w:outlineLvl w:val="1"/>
      </w:pPr>
      <w:r>
        <w:rPr>
          <w:rFonts w:hAnsi="Arial"/>
          <w:rFonts w:ascii="Arial"/>
          <w:sz w:val="24"/>
          <w:color w:val="black"/>
        </w:rPr>
        <w:t xml:space="preserve">Los gobernadores y alcaldes que omitan el cumplimiento de lo dispuesto en este decreto, serán sujetos de las sanciones a que haya lugar. </w:t>
      </w:r>
    </w:p>
    <w:p>
      <w:pPr>
        <w:jc w:val="both"/>
        <w:outlineLvl w:val="1"/>
      </w:pPr>
      <w:rPr>
        <w:sz w:val="24"/>
        <w:b/>
        <w:color w:val="black"/>
      </w:rPr>
    </w:p>
    <w:p>
      <w:pPr>
        <w:jc w:val="both"/>
        <w:outlineLvl w:val="1"/>
      </w:pPr>
      <w:r>
        <w:rPr>
          <w:rFonts w:hAnsi="Arial"/>
          <w:rFonts w:ascii="Arial"/>
          <w:sz w:val="24"/>
          <w:vanish/>
          <w:color w:val="black"/>
        </w:rPr>
        <w:t>&amp;$</w:t>
      </w:r>
      <w:bookmarkStart w:id="84576" w:name="13"/>
      <w:r>
        <w:rPr>
          <w:rFonts w:hAnsi="Arial"/>
          <w:rFonts w:ascii="Arial"/>
          <w:sz w:val="24"/>
          <w:color w:val="navy"/>
        </w:rPr>
        <w:t xml:space="preserve">ARTÍCULO 13. VIGENCIA.</w:t>
      </w:r>
      <w:bookmarkEnd w:id="84576"/>
      <w:r>
        <w:rPr>
          <w:rFonts w:hAnsi="Arial"/>
          <w:rFonts w:ascii="Arial"/>
          <w:sz w:val="24"/>
          <w:color w:val="black"/>
        </w:rPr>
        <w:t xml:space="preserve"> El presente Decreto rige a partir de las cero horas (00:00 a. m.) del día 1 de agosto de 2020, y deroga el Decreto </w:t>
      </w:r>
      <w:r>
        <w:fldChar w:fldCharType="begin"/>
      </w:r>
      <w:r>
        <w:instrText>HYPERLINK "http://www.redjurista.com/document.aspx?ajcode=d0990020&amp;arts=INICIO"</w:instrText>
      </w:r>
      <w:r>
        <w:fldChar w:fldCharType="separate"/>
      </w:r>
      <w:r>
        <w:rPr>
          <w:rFonts w:hAnsi="Arial"/>
          <w:rFonts w:ascii="Arial"/>
          <w:sz w:val="24"/>
          <w:u w:val="single"/>
          <w:color w:val="black"/>
        </w:rPr>
        <w:t>990</w:t>
      </w:r>
      <w:r>
        <w:fldChar w:fldCharType="end"/>
      </w:r>
      <w:r>
        <w:rPr>
          <w:rFonts w:hAnsi="Arial"/>
          <w:rFonts w:ascii="Arial"/>
          <w:sz w:val="24"/>
          <w:u w:val="none"/>
          <w:color w:val="black"/>
        </w:rPr>
        <w:t xml:space="preserve"> del 9 de julio de 2020.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28 de julio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b/>
        <w:color w:val="black"/>
      </w:rPr>
    </w:p>
    <w:p>
      <w:pPr>
        <w:jc w:val="center"/>
        <w:outlineLvl w:val="1"/>
      </w:pPr>
      <w:r>
        <w:rPr>
          <w:rFonts w:hAnsi="Arial"/>
          <w:rFonts w:ascii="Arial"/>
          <w:sz w:val="24"/>
          <w:color w:val="black"/>
        </w:rPr>
        <w:t xml:space="preserve">La Ministra de Relaciones Exteriores, </w:t>
      </w:r>
    </w:p>
    <w:p>
      <w:pPr>
        <w:jc w:val="center"/>
        <w:outlineLvl w:val="1"/>
      </w:pPr>
      <w:r>
        <w:rPr>
          <w:rFonts w:hAnsi="Arial"/>
          <w:rFonts w:ascii="Arial"/>
          <w:sz w:val="24"/>
          <w:color w:val="gray"/>
        </w:rPr>
        <w:t xml:space="preserve">Claudia Blum de Barberi.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La Ministra de Justicia y del Derecho, </w:t>
      </w:r>
    </w:p>
    <w:p>
      <w:pPr>
        <w:jc w:val="center"/>
        <w:outlineLvl w:val="1"/>
      </w:pPr>
      <w:r>
        <w:rPr>
          <w:rFonts w:hAnsi="Arial"/>
          <w:rFonts w:ascii="Arial"/>
          <w:sz w:val="24"/>
          <w:color w:val="gray"/>
        </w:rPr>
        <w:t xml:space="preserve">Margarita Leonor Cabello Blanco. </w:t>
      </w:r>
    </w:p>
    <w:p>
      <w:pPr>
        <w:jc w:val="center"/>
        <w:outlineLvl w:val="1"/>
      </w:pPr>
      <w:rPr>
        <w:sz w:val="24"/>
        <w:b/>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García.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El Ministro de Trabajo, </w:t>
      </w:r>
    </w:p>
    <w:p>
      <w:pPr>
        <w:jc w:val="center"/>
        <w:outlineLvl w:val="1"/>
      </w:pPr>
      <w:r>
        <w:rPr>
          <w:rFonts w:hAnsi="Arial"/>
          <w:rFonts w:ascii="Arial"/>
          <w:sz w:val="24"/>
          <w:color w:val="gray"/>
        </w:rPr>
        <w:t xml:space="preserve">Ángel Custodio Cabrera Báez </w:t>
      </w:r>
    </w:p>
    <w:p>
      <w:pPr>
        <w:jc w:val="center"/>
        <w:outlineLvl w:val="1"/>
      </w:pPr>
      <w:rPr>
        <w:sz w:val="24"/>
        <w:b/>
        <w:color w:val="black"/>
      </w:rPr>
    </w:p>
    <w:p>
      <w:pPr>
        <w:jc w:val="center"/>
        <w:outlineLvl w:val="1"/>
      </w:pPr>
      <w:r>
        <w:rPr>
          <w:rFonts w:hAnsi="Arial"/>
          <w:rFonts w:ascii="Arial"/>
          <w:sz w:val="24"/>
          <w:color w:val="black"/>
        </w:rPr>
        <w:t xml:space="preserve">El Ministro de Minas y Energía, </w:t>
      </w:r>
    </w:p>
    <w:p>
      <w:pPr>
        <w:jc w:val="center"/>
        <w:outlineLvl w:val="1"/>
      </w:pPr>
      <w:r>
        <w:rPr>
          <w:rFonts w:hAnsi="Arial"/>
          <w:rFonts w:ascii="Arial"/>
          <w:sz w:val="24"/>
          <w:color w:val="gray"/>
        </w:rPr>
        <w:t xml:space="preserve">Diego Mesa Puyo. </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La Ministra de Educación Nacional, </w:t>
      </w:r>
    </w:p>
    <w:p>
      <w:pPr>
        <w:jc w:val="center"/>
        <w:outlineLvl w:val="1"/>
      </w:pPr>
      <w:r>
        <w:rPr>
          <w:rFonts w:hAnsi="Arial"/>
          <w:rFonts w:ascii="Arial"/>
          <w:sz w:val="24"/>
          <w:color w:val="gray"/>
        </w:rPr>
        <w:t xml:space="preserve">María Victoria Angulo González. </w:t>
      </w:r>
    </w:p>
    <w:p>
      <w:pPr>
        <w:jc w:val="center"/>
        <w:outlineLvl w:val="1"/>
      </w:pPr>
      <w:rPr>
        <w:sz w:val="24"/>
        <w:b/>
        <w:color w:val="black"/>
      </w:rPr>
    </w:p>
    <w:p>
      <w:pPr>
        <w:jc w:val="center"/>
        <w:outlineLvl w:val="1"/>
      </w:pPr>
      <w:r>
        <w:rPr>
          <w:rFonts w:hAnsi="Arial"/>
          <w:rFonts w:ascii="Arial"/>
          <w:sz w:val="24"/>
          <w:color w:val="black"/>
        </w:rPr>
        <w:t xml:space="preserve">El Ministro Ambiente y Desarrollo Sostenible, </w:t>
      </w:r>
    </w:p>
    <w:p>
      <w:pPr>
        <w:jc w:val="center"/>
        <w:outlineLvl w:val="1"/>
      </w:pPr>
      <w:r>
        <w:rPr>
          <w:rFonts w:hAnsi="Arial"/>
          <w:rFonts w:ascii="Arial"/>
          <w:sz w:val="24"/>
          <w:color w:val="gray"/>
        </w:rPr>
        <w:t xml:space="preserve">Ricardo José Lozano Picón. </w:t>
      </w:r>
    </w:p>
    <w:p>
      <w:pPr>
        <w:jc w:val="center"/>
        <w:outlineLvl w:val="1"/>
      </w:pPr>
      <w:rPr>
        <w:sz w:val="24"/>
        <w:b/>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Malagón González. </w:t>
      </w:r>
    </w:p>
    <w:p>
      <w:pPr>
        <w:jc w:val="center"/>
        <w:outlineLvl w:val="1"/>
      </w:pPr>
      <w:rPr>
        <w:sz w:val="24"/>
        <w:b/>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b/>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b/>
        <w:color w:val="black"/>
      </w:rPr>
    </w:p>
    <w:p>
      <w:pPr>
        <w:jc w:val="center"/>
        <w:outlineLvl w:val="1"/>
      </w:pPr>
      <w:r>
        <w:rPr>
          <w:rFonts w:hAnsi="Arial"/>
          <w:rFonts w:ascii="Arial"/>
          <w:sz w:val="24"/>
          <w:color w:val="black"/>
        </w:rPr>
        <w:t xml:space="preserve">La Ministra de Cultura, </w:t>
      </w:r>
    </w:p>
    <w:p>
      <w:pPr>
        <w:jc w:val="center"/>
        <w:outlineLvl w:val="1"/>
      </w:pPr>
      <w:r>
        <w:rPr>
          <w:rFonts w:hAnsi="Arial"/>
          <w:rFonts w:ascii="Arial"/>
          <w:sz w:val="24"/>
          <w:color w:val="gray"/>
        </w:rPr>
        <w:t xml:space="preserve">Carmen Inés Vásquez Camacho. </w:t>
      </w:r>
    </w:p>
    <w:p>
      <w:pPr>
        <w:jc w:val="center"/>
        <w:outlineLvl w:val="1"/>
      </w:pPr>
      <w:rPr>
        <w:sz w:val="24"/>
        <w:b/>
        <w:color w:val="black"/>
      </w:rPr>
    </w:p>
    <w:p>
      <w:pPr>
        <w:jc w:val="center"/>
        <w:outlineLvl w:val="1"/>
      </w:pPr>
      <w:r>
        <w:rPr>
          <w:rFonts w:hAnsi="Arial"/>
          <w:rFonts w:ascii="Arial"/>
          <w:sz w:val="24"/>
          <w:color w:val="black"/>
        </w:rPr>
        <w:t xml:space="preserve">El Ministro del Deporte, </w:t>
      </w:r>
    </w:p>
    <w:p>
      <w:pPr>
        <w:jc w:val="center"/>
        <w:outlineLvl w:val="1"/>
      </w:pPr>
      <w:r>
        <w:rPr>
          <w:rFonts w:hAnsi="Arial"/>
          <w:rFonts w:ascii="Arial"/>
          <w:sz w:val="24"/>
          <w:color w:val="gray"/>
        </w:rPr>
        <w:t xml:space="preserve">Ernesto Lucena Barrero.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sz w:val="24"/>
        <w:b/>
        <w:color w:val="black"/>
      </w:rPr>
    </w:p>
    <w:p>
      <w:pPr>
        <w:jc w:val="both"/>
        <w:outlineLvl w:val="1"/>
      </w:pPr>
      <w:r>
        <w:rPr>
          <w:rFonts w:hAnsi="Arial"/>
          <w:rFonts w:ascii="Arial"/>
          <w:sz w:val="16"/>
          <w:b/>
          <w:color w:val="black"/>
        </w:rPr>
        <w:t xml:space="preserve">NOTAS AL FINAL:</w:t>
      </w:r>
    </w:p>
    <w:p>
      <w:pPr>
        <w:jc w:val="both"/>
        <w:outlineLvl w:val="1"/>
      </w:pPr>
      <w:rPr>
        <w:sz w:val="16"/>
        <w:b/>
        <w:color w:val="black"/>
      </w:rPr>
    </w:p>
    <w:p>
      <w:pPr>
        <w:jc w:val="both"/>
        <w:outlineLvl w:val="1"/>
      </w:pPr>
      <w:r>
        <w:rPr>
          <w:rFonts w:hAnsi="Arial"/>
          <w:rFonts w:ascii="Arial"/>
          <w:sz w:val="16"/>
          <w:b/>
          <w:vanish/>
          <w:color w:val="black"/>
        </w:rPr>
        <w:t>&amp;$</w:t>
      </w:r>
      <w:bookmarkStart w:id="84577" w:name="NF1"/>
      <w:r>
        <w:rPr>
          <w:rFonts w:hAnsi="Arial"/>
          <w:rFonts w:ascii="Arial"/>
          <w:sz w:val="16"/>
          <w:color w:val="navy"/>
        </w:rPr>
        <w:t>1.</w:t>
      </w:r>
      <w:bookmarkEnd w:id="84577"/>
      <w:r>
        <w:rPr>
          <w:rFonts w:hAnsi="Arial"/>
          <w:rFonts w:ascii="Arial"/>
          <w:sz w:val="16"/>
          <w:b/>
          <w:color w:val="black"/>
        </w:rPr>
        <w:t xml:space="preserve"> Centro Europeo de Diagnóstico y Control de Enfermedades. https://www.ecdc.europa.eu/en/ publicationsdata/download-todays-data-geographic-distribution-covid-19-cases-worldwide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489"/>
      <w:footerReference w:type="default" r:id="eId7490"/>
      <w:type w:val="continuous"/>
    </w:sectPr>
  </w:body>
</w:document>
</file>

<file path=word/footer_default_74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40</w:t>
      <w:fldChar w:fldCharType="end"/>
    </w:r>
  </w:p>
</w:ftr>
</file>

<file path=word/header_default_74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489" Type="http://schemas.openxmlformats.org/officeDocument/2006/relationships/header" Target="header_default_7489.xml" />
<Relationship Id="id0" Type="http://schemas.openxmlformats.org/officeDocument/2006/relationships/image" Target="img/img_id0.png"/>
<Relationship Id="eId7490" Type="http://schemas.openxmlformats.org/officeDocument/2006/relationships/footer" Target="footer_default_74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