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93.xml" ContentType="application/vnd.openxmlformats-officedocument.wordprocessingml.header+xml"/>
  <Override PartName="/word/footer_default_75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1297 DE 2020</w:t>
      </w:r>
    </w:p>
    <w:p>
      <w:pPr>
        <w:jc w:val="center"/>
      </w:pPr>
      <w:r>
        <w:rPr>
          <w:rFonts w:hAnsi="Arial"/>
          <w:rFonts w:ascii="Arial"/>
          <w:sz w:val="24"/>
          <w:color w:val="black"/>
        </w:rPr>
        <w:t xml:space="preserve">(septiembre 29)</w:t>
      </w:r>
    </w:p>
    <w:p>
      <w:pPr>
        <w:jc w:val="center"/>
      </w:pPr>
      <w:r>
        <w:rPr>
          <w:rFonts w:hAnsi="Arial"/>
          <w:rFonts w:ascii="Arial"/>
          <w:sz w:val="24"/>
          <w:color w:val="black"/>
        </w:rPr>
        <w:t xml:space="preserve">Diario Oficial No. 51.452 de 29 de septiembre de 2020</w:t>
      </w:r>
    </w:p>
    <w:p>
      <w:pPr>
        <w:jc w:val="center"/>
      </w:pPr>
      <w:rPr>
        <w:sz w:val="24"/>
        <w:color w:val="black"/>
      </w:rPr>
    </w:p>
    <w:p>
      <w:pPr>
        <w:jc w:val="center"/>
        <w:outlineLvl w:val="1"/>
      </w:pPr>
      <w:r>
        <w:rPr>
          <w:rFonts w:hAnsi="Arial"/>
          <w:rFonts w:ascii="Arial"/>
          <w:sz w:val="24"/>
          <w:color w:val="gray"/>
        </w:rPr>
        <w:t xml:space="preserve">MINISTERIO DEL INTERIOR</w:t>
      </w:r>
    </w:p>
    <w:p>
      <w:pPr>
        <w:jc w:val="center"/>
        <w:outlineLvl w:val="1"/>
      </w:pPr>
      <w:rPr>
        <w:sz w:val="24"/>
        <w:color w:val="black"/>
      </w:rPr>
    </w:p>
    <w:p>
      <w:pPr>
        <w:jc w:val="center"/>
        <w:outlineLvl w:val="1"/>
        <w:tabs>
          <w:tab w:val="left" w:leader="none" w:pos="8840"/>
        </w:tabs>
      </w:pPr>
      <w:r>
        <w:rPr>
          <w:rFonts w:hAnsi="Arial"/>
          <w:rFonts w:ascii="Arial"/>
          <w:sz w:val="24"/>
          <w:color w:val="gray"/>
        </w:rPr>
        <w:t xml:space="preserve">&lt;NOTA DE VIGENCIA: Decreto derogado por el artículo </w:t>
      </w:r>
      <w:r>
        <w:fldChar w:fldCharType="begin"/>
      </w:r>
      <w:r>
        <w:instrText>HYPERLINK "http://www.redjurista.com/document.aspx?ajcode=d0039021&amp;arts=12"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del Decreto 39 de 2021&gt; </w:t>
      </w:r>
    </w:p>
    <w:p>
      <w:pPr>
        <w:jc w:val="center"/>
        <w:outlineLvl w:val="1"/>
      </w:pPr>
      <w:rPr>
        <w:sz w:val="24"/>
        <w:color w:val="gray"/>
      </w:rPr>
    </w:p>
    <w:p>
      <w:pPr>
        <w:jc w:val="center"/>
        <w:outlineLvl w:val="1"/>
      </w:pPr>
      <w:r>
        <w:rPr>
          <w:rFonts w:hAnsi="Arial"/>
          <w:rFonts w:ascii="Arial"/>
          <w:sz w:val="24"/>
          <w:color w:val="black"/>
        </w:rPr>
        <w:t xml:space="preserve">Por el cual se prorroga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por el cual se imparten instrucciones en virtud de la emergencia sanitaria generada por la pandemia del Coronavirus Covid-19, y el mantenimiento del orden público y se decreta el aislamiento selectivo con distanciamiento individual responsable.</w:t>
      </w:r>
    </w:p>
    <w:p>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pPr>
      <w:rPr>
        <w:sz w:val="24"/>
        <w:color w:val="black"/>
      </w:rPr>
    </w:p>
    <w:p>
      <w:pPr>
        <w:jc w:val="both"/>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pPr>
      <w:rPr>
        <w:sz w:val="24"/>
        <w:color w:val="black"/>
      </w:rPr>
    </w:p>
    <w:p>
      <w:pPr>
        <w:jc w:val="both"/>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w:t>
      </w:r>
      <w:r>
        <w:rPr>
          <w:rFonts w:hAnsi="Arial"/>
          <w:rFonts w:ascii="Arial"/>
          <w:sz w:val="24"/>
          <w:b/>
          <w:color w:val="black"/>
        </w:rPr>
        <w:t xml:space="preserve">, el orden público, la salud y la moral públicas</w:t>
      </w:r>
      <w:r>
        <w:rPr>
          <w:rFonts w:hAnsi="Arial"/>
          <w:rFonts w:ascii="Arial"/>
          <w:sz w:val="24"/>
          <w:color w:val="black"/>
        </w:rPr>
        <w:t xml:space="preserve">,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pPr>
      <w:rPr>
        <w:sz w:val="24"/>
        <w:color w:val="black"/>
      </w:rPr>
    </w:p>
    <w:p>
      <w:pPr>
        <w:jc w:val="both"/>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pPr>
      <w:rPr>
        <w:sz w:val="24"/>
        <w:color w:val="black"/>
      </w:rPr>
    </w:p>
    <w:p>
      <w:pPr>
        <w:jc w:val="both"/>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pierio,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w:instrText>
      </w:r>
      <w:r>
        <w:fldChar w:fldCharType="separate"/>
      </w:r>
      <w:r>
        <w:rPr>
          <w:rFonts w:hAnsi="Arial"/>
          <w:rFonts w:ascii="Arial"/>
          <w:sz w:val="24"/>
          <w:b/>
          <w:u w:val="single"/>
          <w:color w:val="black"/>
        </w:rPr>
        <w:t>189</w:t>
      </w:r>
      <w:r>
        <w:fldChar w:fldCharType="end"/>
      </w:r>
      <w:r>
        <w:rPr>
          <w:rFonts w:hAnsi="Arial"/>
          <w:rFonts w:ascii="Arial"/>
          <w:sz w:val="24"/>
          <w:b/>
          <w:u w:val="none"/>
          <w:color w:val="black"/>
        </w:rPr>
        <w:t xml:space="preserve">-4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b/>
          <w:u w:val="single"/>
          <w:color w:val="black"/>
        </w:rPr>
        <w:t>315</w:t>
      </w:r>
      <w:r>
        <w:fldChar w:fldCharType="end"/>
      </w:r>
      <w:r>
        <w:rPr>
          <w:rFonts w:hAnsi="Arial"/>
          <w:rFonts w:ascii="Arial"/>
          <w:sz w:val="24"/>
          <w:b/>
          <w:u w:val="none"/>
          <w:color w:val="black"/>
        </w:rPr>
        <w:t xml:space="preserve">-2 C.P.), dentro del marco constitucional, legal y reglamentario. </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pPr>
      <w:rPr>
        <w:sz w:val="24"/>
        <w:b/>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pPr>
      <w:rPr>
        <w:sz w:val="24"/>
        <w:b/>
        <w:color w:val="black"/>
      </w:rPr>
    </w:p>
    <w:p>
      <w:pPr>
        <w:jc w:val="both"/>
        <w:outlineLvl w:val="1"/>
      </w:pPr>
      <w:r>
        <w:rPr>
          <w:rFonts w:hAnsi="Arial"/>
          <w:rFonts w:ascii="Arial"/>
          <w:sz w:val="24"/>
          <w:color w:val="black"/>
        </w:rPr>
        <w:t xml:space="preserve">“5.1 Los derechos fundamentales no son absolutos </w:t>
      </w:r>
    </w:p>
    <w:p>
      <w:pPr>
        <w:jc w:val="both"/>
        <w:outlineLvl w:val="1"/>
      </w:pPr>
      <w:rPr>
        <w:sz w:val="24"/>
        <w:b/>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pPr>
      <w:rPr>
        <w:sz w:val="24"/>
        <w:b/>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pPr>
      <w:rPr>
        <w:sz w:val="24"/>
        <w:b/>
        <w:color w:val="black"/>
      </w:rPr>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este queda o violado o suspendido. </w:t>
      </w:r>
    </w:p>
    <w:p>
      <w:pPr>
        <w:jc w:val="both"/>
        <w:outlineLvl w:val="1"/>
      </w:pPr>
      <w:rPr>
        <w:sz w:val="24"/>
        <w:b/>
        <w:color w:val="black"/>
      </w:rPr>
    </w:p>
    <w:p>
      <w:pPr>
        <w:jc w:val="both"/>
        <w:outlineLvl w:val="1"/>
      </w:pPr>
      <w:r>
        <w:rPr>
          <w:rFonts w:hAnsi="Arial"/>
          <w:rFonts w:ascii="Arial"/>
          <w:sz w:val="24"/>
          <w:color w:val="black"/>
        </w:rPr>
        <w:t xml:space="preserve">5.1.2 El orden público como derecho ciudadano </w:t>
      </w:r>
    </w:p>
    <w:p>
      <w:pPr>
        <w:jc w:val="both"/>
        <w:outlineLvl w:val="1"/>
      </w:pPr>
      <w:rPr>
        <w:sz w:val="24"/>
        <w:b/>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 Es así como el pueblo tiene derecho al orden público, porque éste es de interés general, y como tal, prevalente. </w:t>
      </w:r>
    </w:p>
    <w:p>
      <w:pPr>
        <w:jc w:val="both"/>
        <w:outlineLvl w:val="1"/>
      </w:pPr>
      <w:rPr>
        <w:sz w:val="24"/>
        <w:b/>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este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pPr>
      <w:rPr>
        <w:sz w:val="24"/>
        <w:b/>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"http://www.redjurista.com/document.aspx?ajcode=sc255_17&amp;arts=INICIO"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pPr>
      <w:rPr>
        <w:sz w:val="24"/>
        <w:b/>
        <w:color w:val="black"/>
      </w:rPr>
    </w:p>
    <w:p>
      <w:pPr>
        <w:jc w:val="both"/>
        <w:outlineLvl w:val="1"/>
      </w:pPr>
      <w:r>
        <w:rPr>
          <w:rFonts w:hAnsi="Arial"/>
          <w:rFonts w:ascii="Arial"/>
          <w:sz w:val="24"/>
          <w:color w:val="black"/>
        </w:rPr>
        <w:t xml:space="preserve">“La importancia constitucional del medio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orden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(i)conservar el orden público en el municipio, de conformidad con la ley y las instrucciones del presidente de la República y del respectivo gobernador.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de.la Constitución, la ley y el Código Nacional de Seguridad y Convivencia Ciudadana; (iii) impartir instrucciones a los alcaldes y gobernadores para preservar y restablecer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pPr>
      <w:rPr>
        <w:sz w:val="24"/>
        <w:b/>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"http://www.redjurista.com/document.aspx?ajcode=l1801016&amp;arts=6"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pPr>
      <w:rPr>
        <w:sz w:val="24"/>
        <w:b/>
        <w:color w:val="black"/>
      </w:rPr>
    </w:p>
    <w:p>
      <w:pPr>
        <w:jc w:val="both"/>
        <w:outlineLvl w:val="1"/>
      </w:pPr>
      <w:r>
        <w:rPr>
          <w:rFonts w:hAnsi="Arial"/>
          <w:rFonts w:ascii="Arial"/>
          <w:sz w:val="24"/>
          <w:color w:val="black"/>
        </w:rPr>
        <w:t xml:space="preserve">Que la Ley Estatutaria 1751 de 2015, por medio de la cual se regula el derecho fundamental a la salud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que el Estado es responsable de respetar, proteger y garantizar el goce efectivo del derecho fundamental a la salud, como uno de los elementos fundamentales del Estado Social de Derecho. </w:t>
      </w:r>
    </w:p>
    <w:p>
      <w:pPr>
        <w:jc w:val="both"/>
        <w:outlineLvl w:val="1"/>
      </w:pPr>
      <w:rPr>
        <w:sz w:val="24"/>
        <w:b/>
        <w:color w:val="black"/>
      </w:rPr>
    </w:p>
    <w:p>
      <w:pPr>
        <w:jc w:val="both"/>
        <w:outlineLvl w:val="1"/>
      </w:pPr>
      <w:r>
        <w:rPr>
          <w:rFonts w:hAnsi="Arial"/>
          <w:rFonts w:ascii="Arial"/>
          <w:sz w:val="24"/>
          <w:color w:val="black"/>
        </w:rPr>
        <w:t xml:space="preserve">Que de conformidad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1751 de 2015 es un deber de las personas relacionadas con el servicio de salud, “propender por su autocuidado, el de su familia y el de su comunidad”. </w:t>
      </w:r>
    </w:p>
    <w:p>
      <w:pPr>
        <w:jc w:val="both"/>
        <w:outlineLvl w:val="1"/>
      </w:pPr>
      <w:rPr>
        <w:sz w:val="24"/>
        <w:b/>
        <w:color w:val="black"/>
      </w:rPr>
    </w:p>
    <w:p>
      <w:pPr>
        <w:jc w:val="both"/>
        <w:outlineLvl w:val="1"/>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pPr>
      <w:rPr>
        <w:sz w:val="24"/>
        <w:b/>
        <w:color w:val="black"/>
      </w:rPr>
    </w:p>
    <w:p>
      <w:pPr>
        <w:jc w:val="both"/>
        <w:outlineLvl w:val="1"/>
      </w:pPr>
      <w:r>
        <w:rPr>
          <w:rFonts w:hAnsi="Arial"/>
          <w:rFonts w:ascii="Arial"/>
          <w:sz w:val="24"/>
          <w:color w:val="black"/>
        </w:rPr>
        <w:t xml:space="preserve">Que en Colombia la fase de contención se inició el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pPr>
      <w:rPr>
        <w:sz w:val="24"/>
        <w:b/>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 </w:t>
      </w:r>
    </w:p>
    <w:p>
      <w:pPr>
        <w:jc w:val="both"/>
        <w:outlineLvl w:val="1"/>
      </w:pPr>
      <w:rPr>
        <w:sz w:val="24"/>
        <w:b/>
        <w:color w:val="black"/>
      </w:rPr>
    </w:p>
    <w:p>
      <w:pPr>
        <w:jc w:val="both"/>
        <w:outlineLvl w:val="1"/>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a.m. horas del 17 de marzo de 2020 hasta el 30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del presidente de la República. </w:t>
      </w:r>
    </w:p>
    <w:p>
      <w:pPr>
        <w:jc w:val="both"/>
        <w:outlineLvl w:val="1"/>
      </w:pPr>
      <w:rPr>
        <w:sz w:val="24"/>
        <w:b/>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pPr>
      <w:rPr>
        <w:sz w:val="24"/>
        <w:b/>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 m.) del 31 de mayo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 m.) del día 1o. de junio de 2020, hasta las doce de la noche (12:00 p. m) del 15 de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"http://www.redjurista.com/document.aspx?ajcode=d0990020&amp;arts=INICIO"</w:instrText>
      </w:r>
      <w:r>
        <w:fldChar w:fldCharType="separate"/>
      </w:r>
      <w:r>
        <w:rPr>
          <w:rFonts w:hAnsi="Arial"/>
          <w:rFonts w:ascii="Arial"/>
          <w:sz w:val="24"/>
          <w:u w:val="single"/>
          <w:color w:val="black"/>
        </w:rPr>
        <w:t>990</w:t>
      </w:r>
      <w:r>
        <w:fldChar w:fldCharType="end"/>
      </w:r>
      <w:r>
        <w:rPr>
          <w:rFonts w:hAnsi="Arial"/>
          <w:rFonts w:ascii="Arial"/>
          <w:sz w:val="24"/>
          <w:u w:val="none"/>
          <w:color w:val="black"/>
        </w:rPr>
        <w:t xml:space="preserve"> del 9 de julio de 2020 se ordenó el aislamiento preventivo obligatorio de todas las personas habitantes de la República de Colombia, a partir de las cero horas (00:00 a. m.) del día 16 de julio de 2020, hasta las cero horas (00:00 a. m.) del día 1o. de agosto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"http://www.redjurista.com/document.aspx?ajcode=d1076020&amp;arts=INICIO"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28 de julio de 2020, se ordenó el aislamiento preventivo obligatorio de todas las personas habitantes de la República de Colombia, a partir de las cero horas (00:00 a. m.) del día 1o. de agosto de 2020, hasta las cero horas (00:00 a. m.) del día 1o. de septiembre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se reguló la fase de aislamiento selectivo y distanciamiento individual responsable en la República de Colombia en el marco de la emergencia sanitaria por causa del nuevo Coronavirus Covid-19, a partir de las cero horas (00:00 a. m.) del día 1o. de septiembre de 2020, hasta las cero horas (00:00 a. m.) del día 1o. de octubre de 2020. </w:t>
      </w:r>
    </w:p>
    <w:p>
      <w:pPr>
        <w:jc w:val="both"/>
        <w:outlineLvl w:val="1"/>
      </w:pPr>
      <w:rPr>
        <w:sz w:val="24"/>
        <w:b/>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mismo·Decreto 539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pPr>
      <w:rPr>
        <w:sz w:val="24"/>
        <w:b/>
        <w:color w:val="black"/>
      </w:rPr>
    </w:p>
    <w:p>
      <w:pPr>
        <w:jc w:val="both"/>
        <w:outlineLvl w:val="1"/>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pPr>
      <w:rPr>
        <w:sz w:val="24"/>
        <w:b/>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w:t>
      </w:r>
    </w:p>
    <w:p>
      <w:pPr>
        <w:jc w:val="both"/>
        <w:outlineLvl w:val="1"/>
      </w:pPr>
      <w:rPr>
        <w:sz w:val="24"/>
        <w:b/>
        <w:color w:val="black"/>
      </w:rPr>
    </w:p>
    <w:p>
      <w:pPr>
        <w:jc w:val="both"/>
        <w:outlineLvl w:val="1"/>
      </w:pPr>
      <w:r>
        <w:rPr>
          <w:rFonts w:hAnsi="Arial"/>
          <w:rFonts w:ascii="Arial"/>
          <w:sz w:val="24"/>
          <w:color w:val="black"/>
        </w:rPr>
        <w:t xml:space="preserve">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 </w:t>
      </w:r>
    </w:p>
    <w:p>
      <w:pPr>
        <w:jc w:val="both"/>
        <w:outlineLvl w:val="1"/>
      </w:pPr>
      <w:rPr>
        <w:sz w:val="24"/>
        <w:b/>
        <w:color w:val="black"/>
      </w:rPr>
    </w:p>
    <w:p>
      <w:pPr>
        <w:jc w:val="both"/>
        <w:outlineLvl w:val="1"/>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 estimular la economía y el empleo; (ii) apoyar a las empresas, los empleos y los ingresos; (iii) proteger a los trabajadores en el lugar de trabajo y, (iv) buscar soluciones mediante el diálogo social. </w:t>
      </w:r>
    </w:p>
    <w:p>
      <w:pPr>
        <w:jc w:val="both"/>
        <w:outlineLvl w:val="1"/>
      </w:pPr>
      <w:rPr>
        <w:sz w:val="24"/>
        <w:b/>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 </w:t>
      </w:r>
    </w:p>
    <w:p>
      <w:pPr>
        <w:jc w:val="both"/>
        <w:outlineLvl w:val="1"/>
      </w:pPr>
      <w:rPr>
        <w:sz w:val="24"/>
        <w:b/>
        <w:color w:val="black"/>
      </w:rPr>
    </w:p>
    <w:p>
      <w:pPr>
        <w:jc w:val="both"/>
        <w:outlineLvl w:val="1"/>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906 personas contagiadas al día 31 de marzo de 2020, 6.507 personas contagiadas al 30 de abril de 2020, 29.383 personas contagiadas al 31 de mayo de 2020, 97.846 personas contagiadas ·al 30 de junio de 2020., de las cuales hay 52.279 casos activos, 295.508 personas contagiadas al 31 de julio de 2020, de las cuales hay 130.403 casos activos, 551.696 personas contagiadas al 24 de agosto de 2020, de las cuales hay 148.807 casos activos y diecisiete mil seiscientos doce (17.612) fallecidos, 790.823 personas contagiadas al 24 de septiembre de 2020, de las cuales hay 89.282 casos activos y veinticuatro mil novecientos veinticuatro (24.924) fallecidos.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reportó el 24 de septiembre de 2020 24.924 muertes y 89.282 casos confirmados en Colombia, distribuidos así: Bogotá, D. C. (259.008), Cundinamarca (32.080), Antioquia (108.353), Valle del Cauca (59.212), Bolívar (28.374), Atlántico (66.938), Magdalena (14.864), Cesar (18.129), Norte de Santander (15.001), Santander (29.109), Cauca (8.790), Caldas (5.239), Risaralda (10.399), Quindío (2.988), Huila (10.451), Tolima (11.593), Meta (15.111), Casanare (2.012), San Andrés y Providencia (1.079), Nariño (17.825), Boyacá (6.664), Córdoba (23.366), Sucre (13.867), La Guajira (7.689), Chocó (3.975), Caquetá (8.036), Amazonas (2.741), Putumayo (3.695), Vaupés (733), Arauca (1.613), Guainía (736), Vichada (465) y Guaviare (688). </w:t>
      </w:r>
    </w:p>
    <w:p>
      <w:pPr>
        <w:jc w:val="both"/>
        <w:outlineLvl w:val="1"/>
      </w:pPr>
      <w:rPr>
        <w:sz w:val="24"/>
        <w:b/>
        <w:color w:val="black"/>
      </w:rPr>
    </w:p>
    <w:p>
      <w:pPr>
        <w:jc w:val="both"/>
        <w:outlineLvl w:val="1"/>
      </w:pPr>
      <w:r>
        <w:rPr>
          <w:rFonts w:hAnsi="Arial"/>
          <w:rFonts w:ascii="Arial"/>
          <w:sz w:val="24"/>
          <w:color w:val="black"/>
        </w:rPr>
        <w:t xml:space="preserve">Que según la Organización Mundial de la Salud (OMS), se ha reportado la siguiente información: (1) en reporte número 57 de fecha 17 de marzo de 2020 a las 10:00 a. m. CET [Central European Time Zone] señaló que se encuentran confirmados 179.111 casos del nuevo coronavirus Covid-19 y 7.426 fallecidos, (11) en reporte número 71 de fecha 31 de marzo de 2020 a las 10:00 a. m. CET señaló que se encuentran confirmados 750.890 casos del nuevo coronavirus Covid-19 y 36.405 fallecidos, (111) en el reporte número 101 del 30 de abril de 2020 a las 10:00 a. m. CEST [Central European Summer Time Zone] señaló que se encuentran confirmados 3.090.445 casos del nuevo coronavirus Covid-19 ·y 217.769 fallecidos, (IV) en el reporte número 132 del 31 de mayo de 2020 señaló que se encuentran confirmados 5.934.936 casos del nuevo coronavirus Covid-19 y 367.166 fallecidos, (V) en el reporte número 162 del 30 de junio de 2020 señaló que se encuentran confirmados 10.185.374 casos del nuevo coronavirus Covid-19 y 503.862 fallecidos (VI) en el reporte número 193 del 31 de julio de 2020 señaló que se encuentran 17.106.007 casos del nuevo coronavirus Covid-19 y 668.910 fallecidos, (VII) en el informe semanal epidemiológico “Coronavirus disease (Covid-19)” del 23 de agosto de 2020 a las 10:00 a.m. CEST señaló que se encuentran 23.057.288 casos del nuevo coronavirus Covid-19 y 800.906 fallecidos, (VIII) en el informe semanal epidemiológico “Cororiavirus disease (Covid-19)” del 21 de septiembre de 2020 a las 10:00 a.m. CEST señaló que se encuentran 30.675.675 casos del nuevo coronavirus Covid-19 y 954.417 fallecidos”. </w:t>
      </w:r>
    </w:p>
    <w:p>
      <w:pPr>
        <w:jc w:val="both"/>
        <w:outlineLvl w:val="1"/>
      </w:pPr>
      <w:rPr>
        <w:sz w:val="24"/>
        <w:b/>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 </w:t>
      </w:r>
    </w:p>
    <w:p>
      <w:pPr>
        <w:jc w:val="both"/>
        <w:outlineLvl w:val="1"/>
      </w:pPr>
      <w:rPr>
        <w:sz w:val="24"/>
        <w:b/>
        <w:color w:val="black"/>
      </w:rPr>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202022000086563 del 24 de abril de 2020, señaló: </w:t>
      </w:r>
    </w:p>
    <w:p>
      <w:pPr>
        <w:jc w:val="both"/>
        <w:outlineLvl w:val="1"/>
      </w:pPr>
      <w:rPr>
        <w:sz w:val="24"/>
        <w:b/>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pPr>
      <w:rPr>
        <w:sz w:val="24"/>
        <w:b/>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202022000095703 del 6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pPr>
      <w:rPr>
        <w:sz w:val="24"/>
        <w:b/>
        <w:color w:val="black"/>
      </w:rPr>
    </w:p>
    <w:p>
      <w:pPr>
        <w:jc w:val="both"/>
        <w:outlineLvl w:val="1"/>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202022000110123 del 27 de mayo de 2020, señaló: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 </w:t>
      </w:r>
    </w:p>
    <w:p>
      <w:pPr>
        <w:jc w:val="both"/>
        <w:outlineLvl w:val="1"/>
      </w:pPr>
      <w:rPr>
        <w:sz w:val="24"/>
        <w:b/>
        <w:color w:val="black"/>
      </w:rPr>
    </w:p>
    <w:p>
      <w:pPr>
        <w:jc w:val="both"/>
        <w:outlineLvl w:val="1"/>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202022000126153 del 11 de junio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4 y 10 de junio 2020 es de 1.475.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"http://www.redjurista.com/document.aspx?ajcode=r_msps_1003_2020&amp;arts=INICIO"</w:instrText>
      </w:r>
      <w:r>
        <w:fldChar w:fldCharType="separate"/>
      </w:r>
      <w:r>
        <w:rPr>
          <w:rFonts w:hAnsi="Arial"/>
          <w:rFonts w:ascii="Arial"/>
          <w:sz w:val="24"/>
          <w:u w:val="single"/>
          <w:color w:val="black"/>
        </w:rPr>
        <w:t>1003</w:t>
      </w:r>
      <w:r>
        <w:fldChar w:fldCharType="end"/>
      </w:r>
      <w:r>
        <w:rPr>
          <w:rFonts w:hAnsi="Arial"/>
          <w:rFonts w:ascii="Arial"/>
          <w:sz w:val="24"/>
          <w:u w:val="none"/>
          <w:color w:val="black"/>
        </w:rPr>
        <w:t xml:space="preserve"> del 19 de junio de 2020, adoptó una medida sanitaria preventiva en el marco de la Emergencia Sanitaria, en la cual precisó: </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"http://www.redjurista.com/document.aspx?ajcode=r_msps_1003_2020&amp;arts=1"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Medida sanitaria preventiva. No se podrán habilitar eventos de carácter público o privado que impliquen aglomeración de personas, durante el término de la emergencia sanitaria. </w:t>
      </w:r>
    </w:p>
    <w:p>
      <w:pPr>
        <w:jc w:val="both"/>
        <w:outlineLvl w:val="1"/>
      </w:pPr>
      <w:rPr>
        <w:sz w:val="24"/>
        <w:b/>
        <w:color w:val="black"/>
      </w:rPr>
    </w:p>
    <w:p>
      <w:pPr>
        <w:jc w:val="both"/>
        <w:outlineLvl w:val="1"/>
      </w:pPr>
      <w:r>
        <w:rPr>
          <w:rFonts w:hAnsi="Arial"/>
          <w:rFonts w:ascii="Arial"/>
          <w:sz w:val="24"/>
          <w:color w:val="black"/>
        </w:rPr>
        <w:t xml:space="preserve">Se entiende por aglomeración toda concurrencia de personas en espacios cerrados y abiertos en los cuales no se pueda guardar el distanciamiento físico de dos (2) metros, como mínimo, entre persona y persona. También se considera que existe aglomeración cuando la disposición arquitectónica del espacio y la distribución de muebles y enseres dificulten o impiden dicho distanciamiento.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responsables de los establecimientos cuya actividad haya sido habilitada y en los que se pueda generar aglomeración, deberán controlar estrictamente la entrada y la salida de personas. El incumplimiento de esta medida sanitaria podrá dar lugar a la suspensión de actividades del establecimiento”.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202022000137233 del 25 de junio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19 y el 25 de junio de 2020 es de 2.912.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5.13%.2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14.9 % para el 24 de junio es de 2020”.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 </w:t>
      </w:r>
    </w:p>
    <w:p>
      <w:pPr>
        <w:jc w:val="both"/>
        <w:outlineLvl w:val="1"/>
      </w:pPr>
      <w:rPr>
        <w:sz w:val="24"/>
        <w:b/>
        <w:color w:val="black"/>
      </w:rPr>
    </w:p>
    <w:p>
      <w:pPr>
        <w:jc w:val="both"/>
        <w:outlineLvl w:val="1"/>
      </w:pPr>
      <w:r>
        <w:rPr>
          <w:rFonts w:hAnsi="Arial"/>
          <w:rFonts w:ascii="Arial"/>
          <w:sz w:val="24"/>
          <w:color w:val="black"/>
        </w:rPr>
        <w:t xml:space="preserve">Que el Ministerio de Salud y Protección Social, en memorando 202022000147613 del 7 de julio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 los últimos siete días, entre el 29 de junio y el 6 de julio de 2020 es de 3.600 </w:t>
      </w:r>
    </w:p>
    <w:p>
      <w:pPr>
        <w:jc w:val="both"/>
        <w:outlineLvl w:val="1"/>
      </w:pPr>
      <w:rPr>
        <w:sz w:val="24"/>
        <w:b/>
        <w:color w:val="black"/>
      </w:rPr>
    </w:p>
    <w:p>
      <w:pPr>
        <w:jc w:val="both"/>
        <w:outlineLvl w:val="1"/>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1o. y 7 de junio, la mortalidad por todas las causas muestra un cambio en la tendencia registrando el inicio de un exceso de mortalidad general, que visto por grupos de edad y sexo, es mayor en hombres y mujeres mayores de 60 años. </w:t>
      </w:r>
    </w:p>
    <w:p>
      <w:pPr>
        <w:jc w:val="both"/>
        <w:outlineLvl w:val="1"/>
      </w:pPr>
      <w:rPr>
        <w:sz w:val="24"/>
        <w:b/>
        <w:color w:val="black"/>
      </w:rP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 </w:t>
      </w:r>
    </w:p>
    <w:p>
      <w:pPr>
        <w:jc w:val="both"/>
        <w:outlineLvl w:val="1"/>
      </w:pPr>
      <w:rPr>
        <w:sz w:val="24"/>
        <w:b/>
        <w:color w:val="black"/>
      </w:rPr>
    </w:p>
    <w:p>
      <w:pPr>
        <w:jc w:val="both"/>
        <w:outlineLvl w:val="1"/>
      </w:pPr>
      <w:r>
        <w:rPr>
          <w:rFonts w:hAnsi="Arial"/>
          <w:rFonts w:ascii="Arial"/>
          <w:sz w:val="24"/>
          <w:color w:val="black"/>
        </w:rPr>
        <w:t xml:space="preserve">Que el Instituto Nacional de Salud mediante Comunicación 2-1000-2020- 002748 del 8 de julio de 2020, precisó: </w:t>
      </w:r>
    </w:p>
    <w:p>
      <w:pPr>
        <w:jc w:val="both"/>
        <w:outlineLvl w:val="1"/>
      </w:pPr>
      <w:rPr>
        <w:sz w:val="24"/>
        <w:b/>
        <w:color w:val="black"/>
      </w:rPr>
    </w:p>
    <w:p>
      <w:pPr>
        <w:jc w:val="both"/>
        <w:outlineLvl w:val="1"/>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iv) y la cantidad de personas susceptibles de contagiarse. </w:t>
      </w:r>
    </w:p>
    <w:p>
      <w:pPr>
        <w:jc w:val="both"/>
        <w:outlineLvl w:val="1"/>
      </w:pPr>
      <w:rPr>
        <w:sz w:val="24"/>
        <w:b/>
        <w:color w:val="black"/>
      </w:rPr>
    </w:p>
    <w:p>
      <w:pPr>
        <w:jc w:val="both"/>
        <w:outlineLvl w:val="1"/>
      </w:pPr>
      <w:r>
        <w:rPr>
          <w:rFonts w:hAnsi="Arial"/>
          <w:rFonts w:ascii="Arial"/>
          <w:sz w:val="24"/>
          <w:color w:val="black"/>
        </w:rPr>
        <w:t xml:space="preserve">Se puede hacer un seguimiento de los casos nuevos de una enfermedad transmisible que se van presentando a través del tiempo en una población. </w:t>
      </w:r>
    </w:p>
    <w:p>
      <w:pPr>
        <w:jc w:val="both"/>
        <w:outlineLvl w:val="1"/>
      </w:pPr>
      <w:rPr>
        <w:sz w:val="24"/>
        <w:b/>
        <w:color w:val="black"/>
      </w:rPr>
    </w:p>
    <w:p>
      <w:pPr>
        <w:jc w:val="both"/>
        <w:outlineLvl w:val="1"/>
      </w:pPr>
      <w:r>
        <w:rPr>
          <w:rFonts w:hAnsi="Arial"/>
          <w:rFonts w:ascii="Arial"/>
          <w:sz w:val="24"/>
          <w:color w:val="black"/>
        </w:rPr>
        <w:t xml:space="preserve">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 </w:t>
      </w:r>
    </w:p>
    <w:p>
      <w:pPr>
        <w:jc w:val="both"/>
        <w:outlineLvl w:val="1"/>
      </w:pPr>
      <w:rPr>
        <w:sz w:val="24"/>
        <w:b/>
        <w:color w:val="black"/>
      </w:rPr>
    </w:p>
    <w:p>
      <w:pPr>
        <w:jc w:val="both"/>
        <w:outlineLvl w:val="1"/>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pPr>
        <w:jc w:val="both"/>
        <w:outlineLvl w:val="1"/>
      </w:pPr>
      <w:rPr>
        <w:sz w:val="24"/>
        <w:b/>
        <w:color w:val="black"/>
      </w:rPr>
    </w:p>
    <w:p>
      <w:pPr>
        <w:jc w:val="both"/>
        <w:outlineLvl w:val="1"/>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pPr>
        <w:jc w:val="both"/>
        <w:outlineLvl w:val="1"/>
      </w:pPr>
      <w:rPr>
        <w:sz w:val="24"/>
        <w:b/>
        <w:color w:val="black"/>
      </w:rPr>
    </w:p>
    <w:p>
      <w:pPr>
        <w:jc w:val="both"/>
        <w:outlineLvl w:val="1"/>
      </w:pPr>
      <w:r>
        <w:rPr>
          <w:rFonts w:hAnsi="Arial"/>
          <w:rFonts w:ascii="Arial"/>
          <w:sz w:val="24"/>
          <w:color w:val="black"/>
        </w:rPr>
        <w:t xml:space="preserve">Los modelos matemáticos funcionan con información de las variables: i) tiempo) ii) casos nuevos, iii) el tamaño de la población y iv) las tasas de contacto entre las personas, con esto, se busca poder hacer un pronóstico del probable comportamiento de la epidemia en una población dada. </w:t>
      </w:r>
    </w:p>
    <w:p>
      <w:pPr>
        <w:jc w:val="both"/>
        <w:outlineLvl w:val="1"/>
      </w:pPr>
      <w:rPr>
        <w:sz w:val="24"/>
        <w:b/>
        <w:color w:val="black"/>
      </w:rPr>
    </w:p>
    <w:p>
      <w:pPr>
        <w:jc w:val="both"/>
        <w:outlineLvl w:val="1"/>
      </w:pPr>
      <w:r>
        <w:rPr>
          <w:rFonts w:hAnsi="Arial"/>
          <w:rFonts w:ascii="Arial"/>
          <w:sz w:val="24"/>
          <w:color w:val="black"/>
        </w:rPr>
        <w:t xml:space="preserve">¿Por qué no se ha llegado al pico epidemiológico de Covid-19 en Colombia?</w:t>
      </w:r>
    </w:p>
    <w:p>
      <w:pPr>
        <w:jc w:val="both"/>
        <w:outlineLvl w:val="1"/>
      </w:pPr>
      <w:rPr>
        <w:sz w:val="24"/>
        <w:b/>
        <w:color w:val="black"/>
      </w:rPr>
    </w:p>
    <w:p>
      <w:pPr>
        <w:jc w:val="both"/>
        <w:outlineLvl w:val="1"/>
      </w:pPr>
      <w:r>
        <w:rPr>
          <w:rFonts w:hAnsi="Arial"/>
          <w:rFonts w:ascii="Arial"/>
          <w:sz w:val="24"/>
          <w:color w:val="black"/>
        </w:rPr>
        <w:t xml:space="preserve">El escenario del caso base parte de un supuesto de no implementar una intervención, lo que se traduce en un número reproductivo efectivo (Rt) de 2,28. El Rt corresponde al promedio q casos nuevos que genera un caso infectado en una población susceptible. </w:t>
      </w:r>
    </w:p>
    <w:p>
      <w:pPr>
        <w:jc w:val="both"/>
        <w:outlineLvl w:val="1"/>
      </w:pPr>
      <w:rPr>
        <w:sz w:val="24"/>
        <w:b/>
        <w:color w:val="black"/>
      </w:rPr>
    </w:p>
    <w:p>
      <w:pPr>
        <w:jc w:val="both"/>
        <w:outlineLvl w:val="1"/>
      </w:pPr>
      <w:r>
        <w:rPr>
          <w:rFonts w:hAnsi="Arial"/>
          <w:rFonts w:ascii="Arial"/>
          <w:sz w:val="24"/>
          <w:color w:val="black"/>
        </w:rPr>
        <w:t xml:space="preserve">Con ese valor se estimaba que el pico epidemiológico ocurriría entre la primera y segunda semana de mayo. </w:t>
      </w:r>
    </w:p>
    <w:p>
      <w:pPr>
        <w:jc w:val="both"/>
        <w:outlineLvl w:val="1"/>
      </w:pPr>
      <w:rPr>
        <w:sz w:val="24"/>
        <w:b/>
        <w:color w:val="black"/>
      </w:rPr>
    </w:p>
    <w:p>
      <w:pPr>
        <w:jc w:val="both"/>
        <w:outlineLvl w:val="1"/>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Con esas mediciones del Rt se puede replicar, en el modelo matemático inicial, la curva de contagios y proyectar cómo sería la dinámica de la trasmisión en el futuro, siempre y cuando se mantengan las condiciones actuales. Es así como proyectando el Rt que se midió para los primeros días de junio. (Rt = 1,20), se estima la tendencia de aumento diario de casos (por fecha de inicio de síntomas) que el pico se alcanzará a mediados de septiembre de 2020 [...]”. </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memorando 202022000163223 del 27 de julio de 2020, señaló: </w:t>
      </w:r>
    </w:p>
    <w:p>
      <w:pPr>
        <w:jc w:val="both"/>
        <w:outlineLvl w:val="1"/>
      </w:pPr>
      <w:rPr>
        <w:sz w:val="24"/>
        <w:b/>
        <w:color w:val="black"/>
      </w:rPr>
    </w:p>
    <w:p>
      <w:pPr>
        <w:jc w:val="both"/>
        <w:outlineLvl w:val="1"/>
      </w:pPr>
      <w:r>
        <w:rPr>
          <w:rFonts w:hAnsi="Arial"/>
          <w:rFonts w:ascii="Arial"/>
          <w:sz w:val="24"/>
          <w:color w:val="black"/>
        </w:rPr>
        <w:t xml:space="preserve">“De acuerdo a la información reportada por el Instituto Nacional de Salud, el promedio de casos diarios confirmados por fecha de reporte, entre el 20 y el 26 de julio de 2020 es de 7.385. </w:t>
      </w:r>
    </w:p>
    <w:p>
      <w:pPr>
        <w:jc w:val="both"/>
        <w:outlineLvl w:val="1"/>
      </w:pPr>
      <w:rPr>
        <w:sz w:val="24"/>
        <w:b/>
        <w:color w:val="black"/>
      </w:rPr>
    </w:p>
    <w:p>
      <w:pPr>
        <w:jc w:val="both"/>
        <w:outlineLvl w:val="1"/>
      </w:pPr>
      <w:r>
        <w:rPr>
          <w:rFonts w:hAnsi="Arial"/>
          <w:rFonts w:ascii="Arial"/>
          <w:sz w:val="24"/>
          <w:color w:val="black"/>
        </w:rPr>
        <w:t xml:space="preserve">La letalidad a causa de Covid-19, que establece el porcentaje de personas que han fallecido por esta situación con respecto a los casos identificados como positivos para este evento, en Colombia a 26 de julio es de 3,42%. La tasa de letalidad mundial es de 3.91%</w:t>
      </w:r>
      <w:r>
        <w:fldChar w:fldCharType="begin"/>
      </w:r>
      <w:r>
        <w:instrText>HYPERLINK "http://www.redjurista.com/document.aspx?ajcode=d1297020&amp;arts=NF1"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21% para el 26 de julio de 2020”.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agosto de 2020 se implementó una estrategia que permita la flexibilización del aislamiento obligatorio y la puesta en marcha de un aislamiento selectivo de los casos confirmados y casos sospechosos o probables de alto riesgo, a través de la creación del Programa de Pruebas, Rastreo y Aislamiento Selectivo Sostenible - PRASS. </w:t>
      </w:r>
    </w:p>
    <w:p>
      <w:pPr>
        <w:jc w:val="both"/>
        <w:outlineLvl w:val="1"/>
      </w:pPr>
      <w:rPr>
        <w:sz w:val="24"/>
        <w:b/>
        <w:color w:val="black"/>
      </w:rPr>
    </w:p>
    <w:p>
      <w:pPr>
        <w:jc w:val="both"/>
        <w:outlineLvl w:val="1"/>
      </w:pPr>
      <w:r>
        <w:rPr>
          <w:rFonts w:hAnsi="Arial"/>
          <w:rFonts w:ascii="Arial"/>
          <w:sz w:val="24"/>
          <w:color w:val="black"/>
        </w:rPr>
        <w:t xml:space="preserve">Que en tal medida el precitado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estableció como objeto crear, en el Sistema General de Seguridad Social en Salud (SGSSS), el Programa de Pruebas, Rastreo y Aislamiento Selectivo Sostenible (PRASS) para el seguimiento de casos y contactos de Covid-19; reglamentar el reconocimiento económico de quienes deben estar en aislamiento por Covid19 y establecer las responsabilidades que los diferentes actores del Sistema General de Seguridad Social en Salud (SGSSS) deben cumplir para la ejecución del PRASS. </w:t>
      </w:r>
    </w:p>
    <w:p>
      <w:pPr>
        <w:jc w:val="both"/>
        <w:outlineLvl w:val="1"/>
      </w:pPr>
      <w:rPr>
        <w:sz w:val="24"/>
        <w:b/>
        <w:color w:val="black"/>
      </w:rPr>
    </w:p>
    <w:p>
      <w:pPr>
        <w:jc w:val="both"/>
        <w:outlineLvl w:val="1"/>
      </w:pPr>
      <w:r>
        <w:rPr>
          <w:rFonts w:hAnsi="Arial"/>
          <w:rFonts w:ascii="Arial"/>
          <w:sz w:val="24"/>
          <w:color w:val="black"/>
        </w:rPr>
        <w:t xml:space="preserve">Que la Oficina de. Estudios Económicos del Ministerio de Comercio, Industria y Turismo, en el documento “Proyecciones e impacto del Covid-19 en Colombia” del 23 de septiembre de 2020, indicó: </w:t>
      </w:r>
    </w:p>
    <w:p>
      <w:pPr>
        <w:jc w:val="both"/>
        <w:outlineLvl w:val="1"/>
      </w:pPr>
      <w:rPr>
        <w:sz w:val="24"/>
        <w:b/>
        <w:color w:val="black"/>
      </w:rPr>
    </w:p>
    <w:p>
      <w:pPr>
        <w:jc w:val="both"/>
        <w:outlineLvl w:val="1"/>
      </w:pPr>
      <w:r>
        <w:rPr>
          <w:rFonts w:hAnsi="Arial"/>
          <w:rFonts w:ascii="Arial"/>
          <w:sz w:val="24"/>
          <w:color w:val="black"/>
        </w:rPr>
        <w:t xml:space="preserve">“En de abril (sic), mes de aislamiento total, el Índice de Seguimiento a la Economía cayó 20,1%, es la contracción más fuerte desde 2005, año desde el cual se publica este indicador. En mayo, mes de apertura gradual de la economía, se observa un cambio en la tendencia: aunque aún en terreno negativo, este indicador cayó 16,2%. [...] La caída en el ISE se evidencia en la contracción de la economía durante el segundo trimestre del año, la cual cayó 15,7% frente a la variación positiva de 3,1% registrada en similar trimestre del año pasado. La caída del PIB fue de 7,4% en los seis primeros meses del año. </w:t>
      </w:r>
    </w:p>
    <w:p>
      <w:pPr>
        <w:jc w:val="both"/>
        <w:outlineLvl w:val="1"/>
      </w:pPr>
      <w:rPr>
        <w:sz w:val="24"/>
        <w:b/>
        <w:color w:val="black"/>
      </w:rPr>
    </w:p>
    <w:p>
      <w:pPr>
        <w:jc w:val="both"/>
        <w:outlineLvl w:val="1"/>
      </w:pPr>
      <w:r>
        <w:rPr>
          <w:rFonts w:hAnsi="Arial"/>
          <w:rFonts w:ascii="Arial"/>
          <w:sz w:val="24"/>
          <w:color w:val="black"/>
        </w:rPr>
        <w:t xml:space="preserve">La economía continuó recuperándose en julio aunque aún en terreno negativo, la caída fue de 9.5% durante este mes según el ISE. Para el segundo semestre se espera una menor contracción de la economía, lo que traerá como consecuencia una reducción en el PIB superior al 6,7%.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El comercio minorista [...] [a] partir de la apertura gradual de la economía en el mes de mayo, se observa un cambio en la tendencia, aunque con un crecimiento aún en terreno negativo respecto al mismo mes del año anterior: -26,8%. En junio y julio la caída fue menor, 14,1% y 12,4%, respectivamente, frente a los mismos meses del año anterior. Durante los siete primeros meses del año, la reducción del sector comercio fue del 11,9%. Se estima que para final del año la contracción del sector esté entre el 11% y 12%.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La caída del sector industrial se profundizó en abril, mes de cuarentena total, llegando al 35,8%. A partir de la reactivación gradual de la economía en los meses de mayo, junio y julio, se observa un cambio en la tendencia, pero aún en terreno negativo: la producción industrial cayó 26,2%, 9,8% y 8,5% en mayo, junio y julio, respectivamente, frente a los mismos meses del año anterior. Durante los siete primeros meses del año, la producción del sector industrial se contrajo 11,8%. Se estima que la caída de todo el año esté entre el 9% y 10%.</w:t>
      </w:r>
    </w:p>
    <w:p>
      <w:pPr>
        <w:jc w:val="both"/>
        <w:outlineLvl w:val="1"/>
      </w:pPr>
      <w:rPr>
        <w:sz w:val="24"/>
        <w:b/>
        <w:color w:val="black"/>
      </w:rPr>
    </w:p>
    <w:p>
      <w:pPr>
        <w:jc w:val="both"/>
        <w:outlineLvl w:val="1"/>
      </w:pPr>
      <w:r>
        <w:rPr>
          <w:rFonts w:hAnsi="Arial"/>
          <w:rFonts w:ascii="Arial"/>
          <w:sz w:val="24"/>
          <w:color w:val="black"/>
        </w:rPr>
        <w:t xml:space="preserve">Que la Dirección de Epidemiología y Demografía del Ministerio de Salud y Protección Social, en memorando 202022000217733 del 24 de septiembre de 2020, señaló: </w:t>
      </w:r>
    </w:p>
    <w:p>
      <w:pPr>
        <w:jc w:val="both"/>
        <w:outlineLvl w:val="1"/>
      </w:pPr>
      <w:rPr>
        <w:sz w:val="24"/>
        <w:b/>
        <w:color w:val="black"/>
      </w:rPr>
    </w:p>
    <w:p>
      <w:pPr>
        <w:jc w:val="both"/>
        <w:outlineLvl w:val="1"/>
      </w:pPr>
      <w:r>
        <w:rPr>
          <w:rFonts w:hAnsi="Arial"/>
          <w:rFonts w:ascii="Arial"/>
          <w:sz w:val="24"/>
          <w:color w:val="black"/>
        </w:rPr>
        <w:t xml:space="preserve">“El análisis de la información epidemiológica del evento indica que se alcanzó el primer pico de la epidemia, y a la fecha se observa una disminución progresiva de los casos confirmados y las muertes debidas a Covid-19, así como una reducción de la velocidad de la transmisión de acuerdo al índice reproductivo básico (Rt)</w:t>
      </w:r>
      <w:r>
        <w:fldChar w:fldCharType="begin"/>
      </w:r>
      <w:r>
        <w:instrText>HYPERLINK "http://www.redjurista.com/document.aspx?ajcode=d1297020&amp;arts=NF2"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el cual ha venido descendiendo progresivamente</w:t>
      </w:r>
      <w:r>
        <w:rPr>
          <w:rFonts w:hAnsi="Arial"/>
          <w:rFonts w:ascii="Arial"/>
          <w:sz w:val="24"/>
          <w:vertAlign w:val="superscript"/>
          <w:u w:val="double"/>
          <w:color w:val="black"/>
        </w:rPr>
        <w:t>[</w:t>
      </w:r>
      <w:r>
        <w:rPr>
          <w:rFonts w:hAnsi="Arial"/>
          <w:rFonts w:ascii="Arial"/>
          <w:sz w:val="24"/>
          <w:b/>
          <w:vertAlign w:val="superscript"/>
          <w:u w:val="none"/>
          <w:color w:val="black"/>
        </w:rPr>
        <w:t>3]</w:t>
      </w:r>
      <w:r>
        <w:rPr>
          <w:rFonts w:hAnsi="Arial"/>
          <w:rFonts w:ascii="Arial"/>
          <w:sz w:val="24"/>
          <w:b/>
          <w:vertAlign w:val="superscript"/>
          <w:vanish/>
          <w:u w:val="none"/>
          <w:color w:val="black"/>
        </w:rPr>
        <w:t xml:space="preserve">D1297020#NF3*NO EXISTE EL ARCHIVO .</w:t>
      </w:r>
      <w:r>
        <w:rPr>
          <w:rFonts w:hAnsi="Arial"/>
          <w:rFonts w:ascii="Arial"/>
          <w:sz w:val="24"/>
          <w:vanish/>
          <w:u w:val="none"/>
          <w:color w:val="black"/>
        </w:rPr>
        <w:t>BKM</w:t>
      </w:r>
      <w:r>
        <w:rPr>
          <w:rFonts w:hAnsi="Arial"/>
          <w:rFonts w:ascii="Arial"/>
          <w:sz w:val="24"/>
          <w:u w:val="none"/>
          <w:color w:val="black"/>
        </w:rPr>
        <w:t xml:space="preserve"> hasta 1,07. Es importante mencionar que, en virtud de las condiciones particulares de los territorios, estos se encuentran en diferentes fases de la epidemia. Las grandes ciudades (Bogotá, Medellín, Cali y Barranquilla) presentan una reducción considerable de las muertes, así como en la ocupación de camas de Unidad de Cuidado Intensivo (UCI). Las ciudades intermedias y pequeñas pueden encontrarse en fases más tempranas. </w:t>
      </w:r>
    </w:p>
    <w:p>
      <w:pPr>
        <w:jc w:val="both"/>
        <w:outlineLvl w:val="1"/>
      </w:pPr>
      <w:rPr>
        <w:sz w:val="24"/>
        <w:b/>
        <w:color w:val="black"/>
      </w:rPr>
    </w:p>
    <w:p>
      <w:pPr>
        <w:jc w:val="both"/>
        <w:outlineLvl w:val="1"/>
      </w:pPr>
      <w:r>
        <w:rPr>
          <w:rFonts w:hAnsi="Arial"/>
          <w:rFonts w:ascii="Arial"/>
          <w:sz w:val="24"/>
          <w:color w:val="black"/>
        </w:rPr>
        <w:t xml:space="preserve">Es así que, a 24 de septiembre de 2020, de los 1.122 municipios y Áreas No Municipalizadas (ANM), del país, el 7% se encuentran sin afectación o en categoría No Covid, el 26% tienen afectación baja, el 30% afectación moderada y el 37% afectación alta. A 19 de septiembre de 2020 la tasa de mortalidad por cada 100.000 habitantes para el país es de 45.16, mientras que la letalidad total es de 3,2% (0,92% en menores de 60 años y 16.09 en mayores de 60 años).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La ocupación de camas UCI, reportada por el Registro Especial de Prestadores de Servicios de Salud (REPS), con corte a 24 de septiembre de 2020 es del 57.47% para Colombia. </w:t>
      </w:r>
    </w:p>
    <w:p>
      <w:pPr>
        <w:jc w:val="both"/>
        <w:outlineLvl w:val="1"/>
      </w:pPr>
      <w:rPr>
        <w:sz w:val="24"/>
        <w:b/>
        <w:color w:val="black"/>
      </w:rPr>
    </w:p>
    <w:p>
      <w:pPr>
        <w:jc w:val="both"/>
        <w:outlineLvl w:val="1"/>
      </w:pPr>
      <w:r>
        <w:rPr>
          <w:rFonts w:hAnsi="Arial"/>
          <w:rFonts w:ascii="Arial"/>
          <w:sz w:val="24"/>
          <w:color w:val="black"/>
        </w:rPr>
        <w:t xml:space="preserve">En concordancia con lo anterior, se requiere garantizar y monitorear una alta adherencia a los protocolos de bioseguridad, así como propender por que la comunidad en general cumpla con las medidas de distanciamiento físico a nivel personal y colectivo, protección personal y con especial énfasis, implementar el programa de Pruebas, Rastreo y Seguimiento Selectivo Sostenible (PRASS). Igualmente, los municipios categorizados como No Covid y los de. baja afectación deberá continuar con los planes de preparación y adaptación frente al Covid-19”. </w:t>
      </w:r>
    </w:p>
    <w:p>
      <w:pPr>
        <w:jc w:val="both"/>
        <w:outlineLvl w:val="1"/>
      </w:pPr>
      <w:rPr>
        <w:sz w:val="24"/>
        <w:b/>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es necesario prorrogar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por el cual se reguló · la fase de aislamiento selectivo y distanciamiento individual responsable.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343" w:name="1"/>
      <w:r>
        <w:rPr>
          <w:rFonts w:hAnsi="Arial"/>
          <w:rFonts w:ascii="Arial"/>
          <w:sz w:val="24"/>
          <w:color w:val="navy"/>
        </w:rPr>
        <w:t xml:space="preserve">ARTÍCULO 1o. PRÓRROGA.</w:t>
      </w:r>
      <w:bookmarkEnd w:id="8634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Prorrogar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“Por el cual se imparten instrucciones en virtud de la emergencia sanitaria generada por la pandemia del Coronavirus Covid 19, y el mantenimiento del orden público y se decreta el aislamiento selectivo con distanciamiento individual responsable”, hasta las cero horas (00:00 a. m) del día 1o. de noviembre de 2020. </w:t>
      </w:r>
    </w:p>
    <w:p>
      <w:pPr>
        <w:jc w:val="both"/>
        <w:outlineLvl w:val="1"/>
      </w:pPr>
      <w:rPr>
        <w:sz w:val="24"/>
        <w:b/>
        <w:color w:val="black"/>
      </w:rPr>
    </w:p>
    <w:p>
      <w:pPr>
        <w:jc w:val="both"/>
        <w:outlineLvl w:val="1"/>
      </w:pPr>
      <w:r>
        <w:rPr>
          <w:rFonts w:hAnsi="Arial"/>
          <w:rFonts w:ascii="Arial"/>
          <w:sz w:val="24"/>
          <w:vanish/>
          <w:color w:val="black"/>
        </w:rPr>
        <w:t>&amp;$</w:t>
      </w:r>
      <w:bookmarkStart w:id="86344" w:name="2"/>
      <w:r>
        <w:rPr>
          <w:rFonts w:hAnsi="Arial"/>
          <w:rFonts w:ascii="Arial"/>
          <w:sz w:val="24"/>
          <w:color w:val="navy"/>
        </w:rPr>
        <w:t xml:space="preserve">ARTÍCULO 2o. VIGENCIA.</w:t>
      </w:r>
      <w:bookmarkEnd w:id="8634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El presente decreto rige a partir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29 de septiembre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b/>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Carlos Holmes Trujillo García.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Ministro de Trabajo, </w:t>
      </w:r>
    </w:p>
    <w:p>
      <w:pPr>
        <w:jc w:val="center"/>
        <w:outlineLvl w:val="1"/>
      </w:pPr>
      <w:r>
        <w:rPr>
          <w:rFonts w:hAnsi="Arial"/>
          <w:rFonts w:ascii="Arial"/>
          <w:sz w:val="24"/>
          <w:color w:val="gray"/>
        </w:rPr>
        <w:t xml:space="preserve">Ángel Custodio Cabrera Báez.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b/>
        <w:color w:val="black"/>
      </w:rPr>
    </w:p>
    <w:p>
      <w:pPr>
        <w:jc w:val="center"/>
        <w:outlineLvl w:val="1"/>
      </w:pPr>
      <w:r>
        <w:rPr>
          <w:rFonts w:hAnsi="Arial"/>
          <w:rFonts w:ascii="Arial"/>
          <w:sz w:val="24"/>
          <w:color w:val="black"/>
        </w:rPr>
        <w:t xml:space="preserve">La Ministra de Transporte, </w:t>
      </w:r>
    </w:p>
    <w:p>
      <w:pPr>
        <w:jc w:val="center"/>
        <w:outlineLvl w:val="1"/>
      </w:pPr>
      <w:r>
        <w:rPr>
          <w:rFonts w:hAnsi="Arial"/>
          <w:rFonts w:ascii="Arial"/>
          <w:sz w:val="24"/>
          <w:color w:val="gray"/>
        </w:rPr>
        <w:t xml:space="preserve">Ángela María Orozco Gómez.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sz w:val="24"/>
        <w:b/>
        <w:color w:val="black"/>
      </w:rPr>
    </w:p>
    <w:p>
      <w:pPr>
        <w:jc w:val="both"/>
        <w:outlineLvl w:val="1"/>
      </w:pPr>
      <w:r>
        <w:rPr>
          <w:rFonts w:hAnsi="Arial"/>
          <w:rFonts w:ascii="Arial"/>
          <w:sz w:val="16"/>
          <w:b/>
          <w:vanish/>
          <w:color w:val="black"/>
        </w:rPr>
        <w:t>&amp;$</w:t>
      </w:r>
      <w:bookmarkStart w:id="86345" w:name="NF"/>
      <w:r>
        <w:rPr>
          <w:rFonts w:hAnsi="Arial"/>
          <w:rFonts w:ascii="Arial"/>
          <w:sz w:val="16"/>
          <w:color w:val="navy"/>
        </w:rPr>
        <w:t xml:space="preserve">&lt;NOTAS DE PIE DE PAGINA&gt;. </w:t>
      </w:r>
    </w:p>
    <w:p>
      <w:pPr>
        <w:jc w:val="both"/>
        <w:outlineLvl w:val="1"/>
      </w:pPr>
      <w:bookmarkEnd w:id="86345"/>
    </w:p>
    <w:p>
      <w:pPr>
        <w:jc w:val="both"/>
        <w:outlineLvl w:val="1"/>
      </w:pPr>
      <w:r>
        <w:rPr>
          <w:rFonts w:hAnsi="Arial"/>
          <w:rFonts w:ascii="Arial"/>
          <w:sz w:val="16"/>
          <w:b/>
          <w:vanish/>
          <w:color w:val="black"/>
        </w:rPr>
        <w:t>&amp;$</w:t>
      </w:r>
      <w:bookmarkStart w:id="86346" w:name="NF1"/>
      <w:r>
        <w:rPr>
          <w:rFonts w:hAnsi="Arial"/>
          <w:rFonts w:ascii="Arial"/>
          <w:sz w:val="16"/>
          <w:color w:val="navy"/>
        </w:rPr>
        <w:t>1.</w:t>
      </w:r>
      <w:bookmarkEnd w:id="86346"/>
      <w:r>
        <w:rPr>
          <w:rFonts w:hAnsi="Arial"/>
          <w:rFonts w:ascii="Arial"/>
          <w:sz w:val="16"/>
          <w:b/>
          <w:color w:val="black"/>
        </w:rPr>
        <w:t xml:space="preserve"> Centro Europeo de Diagnóstico y Control de Enfermedades. https://www.ecdc.europa.eu/en/ publications-data/download-todays-data-geographicdistribution-covid-19-cases-worldwide.</w:t>
      </w:r>
    </w:p>
    <w:p>
      <w:pPr>
        <w:jc w:val="both"/>
        <w:outlineLvl w:val="1"/>
      </w:pPr>
      <w:rPr>
        <w:sz w:val="16"/>
        <w:b/>
        <w:color w:val="black"/>
      </w:rPr>
    </w:p>
    <w:p>
      <w:pPr>
        <w:jc w:val="both"/>
        <w:outlineLvl w:val="1"/>
      </w:pPr>
      <w:r>
        <w:rPr>
          <w:rFonts w:hAnsi="Arial"/>
          <w:rFonts w:ascii="Arial"/>
          <w:sz w:val="16"/>
          <w:b/>
          <w:vanish/>
          <w:color w:val="black"/>
        </w:rPr>
        <w:t>&amp;$</w:t>
      </w:r>
      <w:bookmarkStart w:id="86347" w:name="NF2"/>
      <w:r>
        <w:rPr>
          <w:rFonts w:hAnsi="Arial"/>
          <w:rFonts w:ascii="Arial"/>
          <w:sz w:val="16"/>
          <w:color w:val="navy"/>
        </w:rPr>
        <w:t>2.</w:t>
      </w:r>
      <w:bookmarkEnd w:id="86347"/>
      <w:r>
        <w:rPr>
          <w:rFonts w:hAnsi="Arial"/>
          <w:rFonts w:ascii="Arial"/>
          <w:sz w:val="16"/>
          <w:b/>
          <w:color w:val="black"/>
        </w:rPr>
        <w:t xml:space="preserve"> Estima la cantidad de personas que cada paciente infecta y permite calcular la velocidad a la que se está propagando el virus y la población de enfermos de las siguientes semanas. </w:t>
      </w:r>
    </w:p>
    <w:p>
      <w:pPr>
        <w:jc w:val="both"/>
        <w:outlineLvl w:val="1"/>
      </w:pPr>
      <w:rPr>
        <w:sz w:val="16"/>
        <w:b/>
        <w:color w:val="black"/>
      </w:rPr>
    </w:p>
    <w:p>
      <w:pPr>
        <w:jc w:val="both"/>
        <w:outlineLvl w:val="1"/>
      </w:pPr>
      <w:r>
        <w:rPr>
          <w:rFonts w:hAnsi="Arial"/>
          <w:rFonts w:ascii="Arial"/>
          <w:sz w:val="16"/>
          <w:b/>
          <w:vanish/>
          <w:color w:val="black"/>
        </w:rPr>
        <w:t>&amp;$</w:t>
      </w:r>
      <w:bookmarkStart w:id="86348" w:name="NF3"/>
      <w:r>
        <w:rPr>
          <w:rFonts w:hAnsi="Arial"/>
          <w:rFonts w:ascii="Arial"/>
          <w:sz w:val="16"/>
          <w:color w:val="navy"/>
        </w:rPr>
        <w:t>3.</w:t>
      </w:r>
      <w:bookmarkEnd w:id="86348"/>
      <w:r>
        <w:rPr>
          <w:rFonts w:hAnsi="Arial"/>
          <w:rFonts w:ascii="Arial"/>
          <w:sz w:val="16"/>
          <w:b/>
          <w:color w:val="black"/>
        </w:rPr>
        <w:t xml:space="preserve"> Calculado entre el 27 de abril de 2020 y el 24 de septiembre de 2020, por el Instituto Nacional de Salud. https://www.ins.gov.co/Noticias/Paginas/Coronavirus-rt.aspx</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593"/>
      <w:footerReference w:type="default" r:id="eId7594"/>
      <w:type w:val="continuous"/>
    </w:sectPr>
  </w:body>
</w:document>
</file>

<file path=word/footer_default_75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75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593" Type="http://schemas.openxmlformats.org/officeDocument/2006/relationships/header" Target="header_default_7593.xml" />
<Relationship Id="id0" Type="http://schemas.openxmlformats.org/officeDocument/2006/relationships/image" Target="img/img_id0.png"/>
<Relationship Id="eId7594" Type="http://schemas.openxmlformats.org/officeDocument/2006/relationships/footer" Target="footer_default_75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