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597.xml" ContentType="application/vnd.openxmlformats-officedocument.wordprocessingml.header+xml"/>
  <Override PartName="/word/footer_default_7598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1298 DE 2015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(junio 18)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49.547 de 18 de junio de 2015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adiciona un título a la Parte 7 del Libro 2 del Decreto número </w:t>
      </w:r>
      <w:r>
        <w:fldChar w:fldCharType="begin"/>
      </w:r>
      <w:r>
        <w:instrText>HYPERLINK "http://www.redjurista.com/document.aspx?ajcode=d1071015&amp;arts=INICIO"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Decreto Único Reglamentario del Sector Administrativo Agropecuario, Pesquero y de Desarrollo Rural, relacionado con el Pacto Nacional por el Agro y el Desarrollo Rural.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facultades constitucionales y legales, en especial las conferidas por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de Colombia, el artículo </w:t>
      </w:r>
      <w:r>
        <w:fldChar w:fldCharType="begin"/>
      </w:r>
      <w:r>
        <w:instrText>HYPERLINK "http://www.redjurista.com/document.aspx?ajcode=l0160_94&amp;arts=1"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160 de 1994 y el Título 2 de la Parte 7 del Decreto número </w:t>
      </w:r>
      <w:r>
        <w:fldChar w:fldCharType="begin"/>
      </w:r>
      <w:r>
        <w:instrText>HYPERLINK "http://www.redjurista.com/document.aspx?ajcode=d1071015&amp;arts=INICIO"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y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"http://www.redjurista.com/document.aspx?ajcode=cons_p91&amp;arts=64"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18 &lt;sic&gt; Carta Política consagra que es deber del Estado promover el acceso progresivo a la propiedad de la tierra de los trabajadores agrarios, en forma individual o asociativa, y a otros servicios públicos rurales, con el fin de mejorar el ingreso y calidad de vida de los campesinos.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numeral 2 del artículo </w:t>
      </w:r>
      <w:r>
        <w:fldChar w:fldCharType="begin"/>
      </w:r>
      <w:r>
        <w:instrText>HYPERLINK "http://www.redjurista.com/document.aspx?ajcode=l0160_94&amp;arts=1"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160 de 1994 establece como objeto de la mencionada ley, entre otros, “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Reformar la estructura social agraria por medio de procedimientos enderezados a eliminar y prevenir la inequitativa concentración de la propiedad rústica o su fraccionamiento antieconómico y dotar de tierras a los hombres y mujeres campesinos de escasos recursos mayores de 16 años que no la posean, a los minifundistas, mujeres campesinas jefes de hogar, a las comunidades indígenas y a los beneficiarios de los programas especiales que establezca el Gobierno Nacional</w:t>
      </w:r>
      <w:r>
        <w:rPr>
          <w:rFonts w:hAnsi="Arial"/>
          <w:rFonts w:ascii="Arial"/>
          <w:sz w:val="24"/>
          <w:u w:val="none"/>
          <w:color w:val="black"/>
        </w:rPr>
        <w:t xml:space="preserve">”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Libro 2, Parte 7, Título I del Decreto número </w:t>
      </w:r>
      <w:r>
        <w:fldChar w:fldCharType="begin"/>
      </w:r>
      <w:r>
        <w:instrText>HYPERLINK "http://www.redjurista.com/document.aspx?ajcode=d1071015&amp;arts=INICIO"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Decreto Único Reglamentario del Sector Administrativo Agropecuario, Pesquero y de Desarrollo Rural, denominado “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Sistema de coordinación de actividades públicas, privadas y de inclusión social para el cumplimiento del Pacto Nacional por el Agro y el Desarrollo Rural</w:t>
      </w:r>
      <w:r>
        <w:rPr>
          <w:rFonts w:hAnsi="Arial"/>
          <w:rFonts w:ascii="Arial"/>
          <w:sz w:val="24"/>
          <w:u w:val="none"/>
          <w:color w:val="black"/>
        </w:rPr>
        <w:t xml:space="preserve">”, establece como fin principal de dicho sistema, coordinar las actividades que realizan las instancias públicas, privadas y de inclusión social, relacionadas con la formulación, ejecución y seguimiento de las políticas, programas, planes y proyectos necesarios para el cumplimiento del Pacto Nacional por el Agro y el Desarrollo Rural.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Libro 2, Parte 7, Título II del Decreto número </w:t>
      </w:r>
      <w:r>
        <w:fldChar w:fldCharType="begin"/>
      </w:r>
      <w:r>
        <w:instrText>HYPERLINK "http://www.redjurista.com/document.aspx?ajcode=d1071015&amp;arts=INICIO"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Decreto Único Reglamentario del Sector Administrativo Agropecuario, Pesquero y de Desarrollo Rural, denominado “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Lineamientos generales para la cofinanciación de los proyectos en el marco del Pacto Nacional por el Agro y el Desarrollo Rural”</w:t>
      </w:r>
      <w:r>
        <w:rPr>
          <w:rFonts w:hAnsi="Arial"/>
          <w:rFonts w:ascii="Arial"/>
          <w:sz w:val="24"/>
          <w:u w:val="none"/>
          <w:color w:val="black"/>
        </w:rPr>
        <w:t xml:space="preserve">, dispuso, dentro de las líneas de los proyectos a ser cofinanciados en los departamentos, el acceso a tierras y la formalización de la propiedad.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citado decreto establece, en el literal b) del numeral 2 del artículo </w:t>
      </w:r>
      <w:r>
        <w:fldChar w:fldCharType="begin"/>
      </w:r>
      <w:r>
        <w:instrText>HYPERLINK "http://www.redjurista.com/document.aspx?ajcode=d1071015&amp;arts=2.7.2.6"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2.7.2.6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., que el Subsidio Integral Directo de Reforma Agraria y el monto del apoyo a los proyectos de formalización de la propiedad serán definidos por el Gobierno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mérito de lo expuesto,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6417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86417"/>
      <w:r>
        <w:rPr>
          <w:rFonts w:hAnsi="Arial"/>
          <w:rFonts w:ascii="Arial"/>
          <w:sz w:val="24"/>
          <w:color w:val="black"/>
        </w:rPr>
        <w:t xml:space="preserve"> Adiciónase a la Parte 7 del Libro 2 del Decreto número </w:t>
      </w:r>
      <w:r>
        <w:fldChar w:fldCharType="begin"/>
      </w:r>
      <w:r>
        <w:instrText>HYPERLINK "http://www.redjurista.com/document.aspx?ajcode=d1071015&amp;arts=INICIO"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1071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2015, Decreto Único Reglamentario del Sector Administrativo Agropecuario, Pesquero y de Desarrollo Rural, un Título III, así: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TÍTULO III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MONTO DEL SUBSIDIO INTEGRAL DE REFORMA AGRARIA Y EL DE FORMALIZACIÓN DE LA PROPIEDAD PARA LOS PROYECTOS COFINANCIADOS EN EL MARCO DEL PACTO NACIONAL POR EL AGRO Y EL DESARROLLO RURAL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"http://www.redjurista.com/document.aspx?ajcode=d1071015&amp;arts=2.7.3.1"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2.7.3.1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Subsidio Integral de Reforma Agraria, (SIRA). </w:t>
      </w:r>
      <w:r>
        <w:rPr>
          <w:rFonts w:hAnsi="Arial"/>
          <w:rFonts w:ascii="Arial"/>
          <w:sz w:val="24"/>
          <w:u w:val="none"/>
          <w:color w:val="black"/>
        </w:rPr>
        <w:t xml:space="preserve">El monto máximo del Subsidio Integral de Reforma Agraria (SIRA) para los proyectos presentados en el marco del Pacto Nacional por el Agro y el Desarrollo Rural será de hasta setenta y un (71) salarios mínimos legales mensuales vigentes (smlmv) por familia, el cual comprenderá tres (3) partidas destinadas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Hasta cincuenta y seis (56) salarios mínimos legales mensuales vigentes (smlmv) por familia beneficiaria, destinados a pagar hasta el 100% del precio del inmueble rural a adquirir.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Hasta catorce (14) salarios mínimos legales mensuales vigentes (smlmv) por familia beneficiaria, destinados a pagar hasta el 100% de los requerimientos financieros para la implementación del proyecto productivo.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Hasta un (1) salario mínimo legal mensual vigente (smlmv) por familia beneficiaria, destinado a pagar los gastos notariales, escrituración y el registro de la compraventa del predio en la Oficina de Registro de Instrumentos Públicos correspondiente.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En la partida del SIRA otorgada para la implementación del proyecto productivo se entenderán incluidos todos los gastos de transacción, impuestos, tasas, contribuciones y demás emolumentos en los que deba incurrir el adjudicatario en la ejecución del proyecto.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Los beneficiarios podrán manifestar por escrito su decisión de destinar la totalidad del subsidio para la compra del predio, en cuyo caso deberán garantizar la ejecución del proyecto productivo a través de otro medio de financiación aprobado por el Instituto Colombiano de Desarrollo Rural (Incoder), o acreditar que el predio objeto de compra incorpora un proyecto productivo en desarrollo que cumple con los requisitos exigidos en los documentos técnicos o protocolos de procedimiento de otorgamiento del subsidio adoptados por el Instituto Colombiano de Desarrollo Rural (Incoder). Adicional a lo anterior, el proyecto productivo deberá contar con la aprobación del mencionado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"http://www.redjurista.com/document.aspx?ajcode=d1071015&amp;arts=2.7.3.2"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2.7.3.2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Formalización de la Propiedad</w:t>
      </w:r>
      <w:r>
        <w:rPr>
          <w:rFonts w:hAnsi="Arial"/>
          <w:rFonts w:ascii="Arial"/>
          <w:sz w:val="24"/>
          <w:u w:val="none"/>
          <w:color w:val="black"/>
        </w:rPr>
        <w:t xml:space="preserve">. El monto máximo de cofinanciación para la línea de los proyectos de formalización de la propiedad presentados en el marco del Pacto Nacional por el Agro y el Desarrollo Rural será de hasta tres (3) salarios mínimos legales mensuales vigentes (smlmv) por cada predio a formalizar.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"http://www.redjurista.com/document.aspx?ajcode=d1071015&amp;arts=2.7.3.3"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2.7.3.3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Costo Fiscal</w:t>
      </w:r>
      <w:r>
        <w:rPr>
          <w:rFonts w:hAnsi="Arial"/>
          <w:rFonts w:ascii="Arial"/>
          <w:sz w:val="24"/>
          <w:u w:val="none"/>
          <w:color w:val="black"/>
        </w:rPr>
        <w:t xml:space="preserve">. El costo fiscal que generen los proyectos deberá guardar concordancia con las disponibilidades presupuestales vigentes para los programas de Subsidio Integral de Reforma Agraria y de Formalización de la Propiedad para los proyectos cofinanciados en el marco del Pacto Nacional por el Agro y el Desarrollo Rural, tanto en el Marco de Gasto de Mediano Plazo del Sector como en el Marco Fiscal de Mediano Plazo.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6418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86418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18 de junio de 2015.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 CALDERÓN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MAURICIO CÁRDENAS SANTAMARÍA.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AURELIO IRAGORRI VALENCIA.</w:t>
      </w:r>
    </w:p>
    <w:p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7597"/>
      <w:footerReference w:type="default" r:id="eId7598"/>
      <w:type w:val="continuous"/>
    </w:sectPr>
  </w:body>
</w:document>
</file>

<file path=word/footer_default_7598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2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7597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7597" Type="http://schemas.openxmlformats.org/officeDocument/2006/relationships/header" Target="header_default_7597.xml" />
<Relationship Id="id0" Type="http://schemas.openxmlformats.org/officeDocument/2006/relationships/image" Target="img/img_id0.png"/>
<Relationship Id="eId7598" Type="http://schemas.openxmlformats.org/officeDocument/2006/relationships/footer" Target="footer_default_7598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59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59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