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53.xml" ContentType="application/vnd.openxmlformats-officedocument.wordprocessingml.header+xml"/>
  <Override PartName="/word/footer_default_76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1408 DE 2020</w:t>
      </w:r>
    </w:p>
    <w:p>
      <w:pPr>
        <w:jc w:val="center"/>
        <w:outlineLvl w:val="1"/>
      </w:pPr>
      <w:r>
        <w:rPr>
          <w:rFonts w:hAnsi="Arial"/>
          <w:rFonts w:ascii="Arial"/>
          <w:sz w:val="24"/>
          <w:color w:val="black"/>
        </w:rPr>
        <w:t xml:space="preserve">(octubre 30)</w:t>
      </w:r>
    </w:p>
    <w:p>
      <w:pPr>
        <w:jc w:val="center"/>
        <w:outlineLvl w:val="1"/>
      </w:pPr>
      <w:r>
        <w:rPr>
          <w:rFonts w:hAnsi="Arial"/>
          <w:rFonts w:ascii="Arial"/>
          <w:sz w:val="24"/>
          <w:color w:val="black"/>
        </w:rPr>
        <w:t xml:space="preserve">Diario Oficial No. 51.483 de 30 de octubre de 2020</w:t>
      </w:r>
    </w:p>
    <w:p>
      <w:pPr>
        <w:jc w:val="center"/>
        <w:outlineLvl w:val="1"/>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b/>
        <w:color w:val="black"/>
      </w:rPr>
    </w:p>
    <w:p>
      <w:pPr>
        <w:jc w:val="center"/>
        <w:outlineLvl w:val="1"/>
        <w:tabs>
          <w:tab w:val="left" w:leader="none" w:pos="8840"/>
        </w:tabs>
      </w:pPr>
      <w:r>
        <w:rPr>
          <w:rFonts w:hAnsi="Arial"/>
          <w:rFonts w:ascii="Arial"/>
          <w:sz w:val="24"/>
          <w:color w:val="gray"/>
        </w:rPr>
        <w:t xml:space="preserve">&lt;NOTA DE VIGENCIA: Decreto derogado por el artículo </w:t>
      </w:r>
      <w:r>
        <w:fldChar w:fldCharType="begin"/>
      </w:r>
      <w:r>
        <w:instrText>HYPERLINK "http://www.redjurista.com/document.aspx?ajcode=d0039021&amp;arts=12"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del Decreto 39 de 2021&gt; </w:t>
      </w:r>
    </w:p>
    <w:p>
      <w:pPr>
        <w:jc w:val="center"/>
        <w:outlineLvl w:val="1"/>
      </w:pPr>
      <w:rPr>
        <w:sz w:val="24"/>
        <w:color w:val="gray"/>
      </w:rPr>
    </w:p>
    <w:p>
      <w:pPr>
        <w:jc w:val="center"/>
        <w:outlineLvl w:val="1"/>
      </w:pPr>
      <w:r>
        <w:rPr>
          <w:rFonts w:hAnsi="Arial"/>
          <w:rFonts w:ascii="Arial"/>
          <w:sz w:val="24"/>
          <w:color w:val="black"/>
        </w:rPr>
        <w:t xml:space="preserve">Por el cual se prorroga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 25 de agosto de 2020 “Por el cual se imparten instrucciones en virtud de la emergencia sanitaria generada por la pandemia del Coronavirus COVID-19, y el mantenimiento del orden público y se decreta el aislamiento selectivo con distanciamiento individual responsable”, prorrogado por el Decreto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w:t>
      </w:r>
    </w:p>
    <w:p>
      <w:rPr>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w:instrText>
      </w:r>
      <w:r>
        <w:fldChar w:fldCharType="separate"/>
      </w:r>
      <w:r>
        <w:rPr>
          <w:rFonts w:hAnsi="Arial"/>
          <w:rFonts w:ascii="Arial"/>
          <w:sz w:val="24"/>
          <w:b/>
          <w:u w:val="single"/>
          <w:color w:val="black"/>
        </w:rPr>
        <w:t>189</w:t>
      </w:r>
      <w:r>
        <w:fldChar w:fldCharType="end"/>
      </w:r>
      <w:r>
        <w:rPr>
          <w:rFonts w:hAnsi="Arial"/>
          <w:rFonts w:ascii="Arial"/>
          <w:sz w:val="24"/>
          <w:b/>
          <w:u w:val="none"/>
          <w:color w:val="black"/>
        </w:rPr>
        <w:t xml:space="preserve">-4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b/>
          <w:u w:val="single"/>
          <w:color w:val="black"/>
        </w:rPr>
        <w:t>315</w:t>
      </w:r>
      <w:r>
        <w:fldChar w:fldCharType="end"/>
      </w:r>
      <w:r>
        <w:rPr>
          <w:rFonts w:hAnsi="Arial"/>
          <w:rFonts w:ascii="Arial"/>
          <w:sz w:val="24"/>
          <w:b/>
          <w:u w:val="none"/>
          <w:color w:val="black"/>
        </w:rPr>
        <w:t xml:space="preserve">-2 C.P.), dentro del marco constitucional, legal y reglamentario. </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 </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este queda o violado o suspendido. </w:t>
      </w:r>
    </w:p>
    <w:p>
      <w:pPr>
        <w:jc w:val="both"/>
        <w:outlineLvl w:val="1"/>
      </w:pPr>
      <w:rPr>
        <w:sz w:val="24"/>
        <w:b/>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este es de. interés general, y como tal, prevalente. </w:t>
      </w:r>
    </w:p>
    <w:p>
      <w:pPr>
        <w:jc w:val="both"/>
        <w:outlineLvl w:val="1"/>
      </w:pPr>
      <w:rPr>
        <w:sz w:val="24"/>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este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b/>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asignan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con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"http://www.redjurista.com/document.aspx?ajcode=l1801016&amp;arts=6"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b/>
        <w:color w:val="black"/>
      </w:rPr>
    </w:p>
    <w:p>
      <w:pPr>
        <w:jc w:val="both"/>
        <w:outlineLvl w:val="1"/>
      </w:pPr>
      <w:r>
        <w:rPr>
          <w:rFonts w:hAnsi="Arial"/>
          <w:rFonts w:ascii="Arial"/>
          <w:sz w:val="24"/>
          <w:color w:val="black"/>
        </w:rPr>
        <w:t xml:space="preserve">Que la Ley Estatutaria 1751 de 2015, por medio de la cual se regula el derecho fundamental a la salud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1751 de 2015 es un deber de las personas relacionadas con el servicio de salud, “propender por su autocuidado, el de su familia y el de su comunidad.” </w:t>
      </w:r>
    </w:p>
    <w:p>
      <w:pPr>
        <w:jc w:val="both"/>
        <w:outlineLvl w:val="1"/>
      </w:pPr>
      <w:rPr>
        <w:sz w:val="24"/>
        <w:b/>
        <w:color w:val="black"/>
      </w:rPr>
    </w:p>
    <w:p>
      <w:pPr>
        <w:jc w:val="both"/>
        <w:outlineLvl w:val="1"/>
      </w:pPr>
      <w:r>
        <w:rPr>
          <w:rFonts w:hAnsi="Arial"/>
          <w:rFonts w:ascii="Arial"/>
          <w:sz w:val="24"/>
          <w:color w:val="black"/>
        </w:rPr>
        <w:t xml:space="preserve">Que, de acuerdo con el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el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 </w:t>
      </w:r>
    </w:p>
    <w:p>
      <w:pPr>
        <w:jc w:val="both"/>
        <w:outlineLvl w:val="1"/>
      </w:pPr>
      <w:rPr>
        <w:sz w:val="24"/>
        <w:b/>
        <w:color w:val="black"/>
      </w:rPr>
    </w:p>
    <w:p>
      <w:pPr>
        <w:jc w:val="both"/>
        <w:outlineLvl w:val="1"/>
      </w:pPr>
      <w:r>
        <w:rPr>
          <w:rFonts w:hAnsi="Arial"/>
          <w:rFonts w:ascii="Arial"/>
          <w:sz w:val="24"/>
          <w:color w:val="black"/>
        </w:rPr>
        <w:t xml:space="preserve">Que mediante la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prevenir y controlar la propagación del nuevo Coronavirus COVID-19 en el territorio nacional y mitigar sus efectos, se adoptaron entre otras medidas las siguientes: </w:t>
      </w:r>
    </w:p>
    <w:p>
      <w:pPr>
        <w:jc w:val="both"/>
        <w:outlineLvl w:val="1"/>
      </w:pPr>
      <w:rPr>
        <w:sz w:val="24"/>
        <w:b/>
        <w:color w:val="black"/>
      </w:rPr>
    </w:p>
    <w:p>
      <w:pPr>
        <w:jc w:val="both"/>
        <w:outlineLvl w:val="1"/>
      </w:pPr>
      <w:r>
        <w:rPr>
          <w:rFonts w:hAnsi="Arial"/>
          <w:rFonts w:ascii="Arial"/>
          <w:sz w:val="24"/>
          <w:color w:val="black"/>
        </w:rPr>
        <w:t xml:space="preserve">“2.1. Prohibir los eventos de carácter público o privado que impliquen aglomeración de personas. </w:t>
      </w:r>
    </w:p>
    <w:p>
      <w:pPr>
        <w:jc w:val="both"/>
        <w:outlineLvl w:val="1"/>
      </w:pPr>
      <w:rPr>
        <w:sz w:val="24"/>
        <w:b/>
        <w:color w:val="black"/>
      </w:rPr>
    </w:p>
    <w:p>
      <w:pPr>
        <w:jc w:val="both"/>
        <w:outlineLvl w:val="1"/>
      </w:pPr>
      <w:r>
        <w:rPr>
          <w:rFonts w:hAnsi="Arial"/>
          <w:rFonts w:ascii="Arial"/>
          <w:sz w:val="24"/>
          <w:color w:val="black"/>
        </w:rPr>
        <w:t xml:space="preserve">2.2. Prohibir los eventos de carácter público o privado que impliquen la concurrencia de más de cincuenta (50) personas. Los eventos públicos o privados en los que concurran hasta cincuenta (50) personas, deben garantizar que no exista aglomeración y el cumplimiento de los protocolos de bioseguridad expedidos por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Entiéndase por aglomeración toda concurrencia de personas en espacios cerrados y abiertos en los cuales no pueda guardarse el distanciamiento físico de dos (2) metros, como mínimo, entre persona y persona. También se entiende que hay aglomeración, cuando la disposición del espacio y la distribución de muebles y enseres dificulte o impide dicho distanciamiento.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Estas medidas son de inmediata ejecución; tienen carácter preventivo, obligatorio y transitorio y se aplicarán sin perjuicio de las sanciones a que hubiere lugar.” </w:t>
      </w:r>
    </w:p>
    <w:p>
      <w:pPr>
        <w:jc w:val="both"/>
        <w:outlineLvl w:val="1"/>
      </w:pPr>
      <w:rPr>
        <w:sz w:val="24"/>
        <w:b/>
        <w:color w:val="black"/>
      </w:rPr>
    </w:p>
    <w:p>
      <w:pPr>
        <w:jc w:val="both"/>
        <w:outlineLvl w:val="1"/>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de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 m.) del día 1o. de junio de 2020 hasta las doce de la noche (12:00 p. m.) del 15 de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"http://www.redjurista.com/document.aspx?ajcode=d0990020&amp;arts=INICIO"</w:instrText>
      </w:r>
      <w:r>
        <w:fldChar w:fldCharType="separate"/>
      </w:r>
      <w:r>
        <w:rPr>
          <w:rFonts w:hAnsi="Arial"/>
          <w:rFonts w:ascii="Arial"/>
          <w:sz w:val="24"/>
          <w:u w:val="single"/>
          <w:color w:val="black"/>
        </w:rPr>
        <w:t>990</w:t>
      </w:r>
      <w:r>
        <w:fldChar w:fldCharType="end"/>
      </w:r>
      <w:r>
        <w:rPr>
          <w:rFonts w:hAnsi="Arial"/>
          <w:rFonts w:ascii="Arial"/>
          <w:sz w:val="24"/>
          <w:u w:val="none"/>
          <w:color w:val="black"/>
        </w:rPr>
        <w:t xml:space="preserve"> del 9 de julio de 2020, se ordenó el aislamiento preventivo obligatorio de todas las personas habitantes de la República de Colombia, a partir de las cero horas (00:00 a. m.) del día 16 de julio de 2020, hasta las cero horas (00:00 a. m.) del día 1o. de agosto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"http://www.redjurista.com/document.aspx?ajcode=d1076020&amp;arts=INICIO"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28 de julio de 2020, se ordenó el aislamiento preventivo obligatorio de todas las personas habitantes de la República de Colombia, a partir de las cero horas (00:00 a. m.) del día 1o. de agosto de 2020 hasta las cero horas (00:00 a. m.) del día 1o. de septiembre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prorrogado por el Decreto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se reguló la fase de aislamiento selectivo y distanciamiento individual responsable en la República de Colombia, en el marco de la emergencia sanitaria por causa del nuevo Coronavirus COVID-19, a partir de las cero horas (00:00 a. m.) del día 1o. de septiembre de 2020 hasta las cero horas (00:00 a. m.) del día 1o. de noviembre de 2020.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 Decreto 539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del 23 de septiembre de 2020, sugirió adoptar medidas de respuesta duraderas y eficaces en el plano político, a fin de afrontar cinco retos fundamentales: </w:t>
      </w:r>
      <w:r>
        <w:rPr>
          <w:rFonts w:hAnsi="Arial"/>
          <w:rFonts w:ascii="Arial"/>
          <w:sz w:val="24"/>
          <w:b/>
          <w:color w:val="black"/>
        </w:rPr>
        <w:t xml:space="preserve">“Armonizar y planificar las intervenciones en los planos sanitario, económico y social, (...) Velar por que las intervenciones en materia de políticas se mantengan en la justa medida y sean cada vez más eficaces y eficientes. (...) incentivo fiscal en los países emergentes o en desarrollo, lo que requiere fomentar la solidaridad internacional </w:t>
      </w:r>
      <w:r>
        <w:rPr>
          <w:rFonts w:hAnsi="Arial"/>
          <w:rFonts w:ascii="Arial"/>
          <w:sz w:val="24"/>
          <w:color w:val="black"/>
        </w:rPr>
        <w:t xml:space="preserve">y aumentar la eficacia de las medidas de incentivo fiscal que se adopten. </w:t>
      </w:r>
      <w:r>
        <w:rPr>
          <w:rFonts w:hAnsi="Arial"/>
          <w:rFonts w:ascii="Arial"/>
          <w:sz w:val="24"/>
          <w:b/>
          <w:color w:val="black"/>
        </w:rPr>
        <w:t xml:space="preserve">Adaptar las medidas de apoyo en materia de políticas a los grupos vulnerables más afectados, (...) Fomentar el diálogo social como mecanismo eficaz para adoptar medidas de respuesta política frente a la crisis.</w:t>
      </w:r>
      <w:r>
        <w:rPr>
          <w:rFonts w:hAnsi="Arial"/>
          <w:rFonts w:ascii="Arial"/>
          <w:sz w:val="24"/>
          <w:color w:val="black"/>
        </w:rPr>
        <w:t xml:space="preserve">” (Negrilla en el texto)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entre las cuales se encuentran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(I) 906 personas contagiadas al día 31 de marzo de 2020, (II) 6.507 personas contagiadas al 30 de abril de 2020, (III) 29.383 personas contagiadas al 31 de mayo de 2020, (IV) 97.846 personas contagiadas al 30 de junio de 2020, de las cuales hay 52.279 casos activos, (V) 295.508 personas contagiadas al 31 de julio de 2020, de las cuales hay 130.403 casos activos, (VI) 551.696 personas contagiadas al 24 de agosto de 2020, de las cuales hay 148.807 casos activos y diecisiete mil seiscientos doce (17.612) fallecidos, (VII) 790.823 personas contagiadas al 24 de septiembre de 2020, de las cuales hay 89.282 casos activos y veinticuatro mil novecientos veinticuatro (24.924) fallecidos, (VIII) 1.025.052 personas contagiadas al 26 de octubre de 2020, de las cuales hay 68.310 casos activos y treinta mil trescientos cuarenta y ocho (30.348) fallecidos.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26 de octubre de 2020 30.348 muertes y 1.025.052 casos confirmados en Colombia, distribuidos así: Bogotá, D. C. (311.102), Cundinamarca (40.881), Antioquia (157:970), Valle del Cauca (79.184), Bolívar (32.223), Atlántico (70.848), Magdalena (16.978), Cesar (25.072), Norte de Santander (20.285), Santander (40.238), Cauca (12.566), Caldas (11.763), Risaralda (16.396), Quindío (8.444), Huila (20.547), Tolima (17.927), Meta (21.700), Casanare (4.606), San Andrés y Providencia (1.857), Nariño (21.245), Boyacá (12.726), Córdoba (26.008), Sucre (15.295), La Guajira (9.590), Chocó (4.152), Caquetá (10.963), Amazonas (2.882), Putumayo (4.283), Vaupés (1.042), Arauca (3.020), Guainía (1.116), Vichada (775) y Guaviare (1.368).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 [Central European Time Zone] señaló que se encuentran confirmados 179.111 casos del nuevo coronavirus COVID-19 y 7.426 fallecidos, (II) en reporte número 71 de fecha 31 de marzo de 2020 a las 10:00 a. m. CET señaló que se encuentran confirmados 750.890 casos del nuevo coronavirus COVID-19 y 36.405 fallecidos, (III) en el reporte número 101 del 30 de abril de 2020 a las 10:00 a. m. CEST [Central European Summer Time Zone] señaló que se encuentran confirmados 3.090.445 casos del nuevo coronavirus COVID-19 y 217.769 fallecidos, (IV) en el reporte número 132 del 31 de mayo de 2020 señaló que se encuentran confirmados 5.934.936 casos del nuevo coronavirus COVID-19 y 367.166 fallecidos, (V) en el reporte número 162 del 30 de junio de 2020 señaló que se encuentran confirmados 10.185.374 casos del nuevo coronavirus COVID-19 y 503.862 fallecidos, (VI) en el reporte número 193 del 31 de julio de 2020 señaló que se encuentran 17.106.007 casos del nuevo coronavirus COVID-19 y 668.910 fallecidos, (VII) en el informe semanal epidemiológico “Coronavirus disease (COVID-19)” del 23 de agosto de 2020 a las 10:00 a. m. CEST señaló que se encuentran 23.057.288 casos del nuevo coronavirus COVID-19 y 800.906 fallecidos, (VIII) en el informe semanal epidemiológico “Coronavirus disease (COVID-19)” del 21 de septiembre de 2020 a las 10:00 a. m. CEST señaló que se encuentran 30.675.675 casos del nuevo coronavirus COVID-19 y 954.417 fallecidos, (IX) en el informe semanal epidemiológico “Weekly Operational Update on COVID-19” del 23 de octubre de 2020 a las 10:00 a. m. CEST señaló que se encuentran 41.570.883 casos del nuevo coronavirus COVID-19 y 1.134.940 fallecidos”.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entre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202022000110123 del 27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202022000126153 del 11 de junio de 2020, señaló: </w:t>
      </w:r>
    </w:p>
    <w:p>
      <w:pPr>
        <w:jc w:val="both"/>
        <w:outlineLvl w:val="1"/>
      </w:pPr>
      <w:rPr>
        <w:sz w:val="24"/>
        <w:b/>
        <w:color w:val="black"/>
      </w:rPr>
    </w:p>
    <w:p>
      <w:pPr>
        <w:jc w:val="both"/>
        <w:outlineLvl w:val="1"/>
      </w:pPr>
      <w:r>
        <w:rPr>
          <w:rFonts w:hAnsi="Arial"/>
          <w:rFonts w:ascii="Arial"/>
          <w:sz w:val="24"/>
          <w:color w:val="black"/>
        </w:rPr>
        <w:t xml:space="preserve">“De acuerdo con la información reportada por el Instituto Nacional de Salud, el promedio de casos diarios confirmados por fecha de reporte, en los últimos siete días, entre el 4 y 10 de junio 2020 es de 1.475.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202022000137233 del 25 de junio de 2020, señaló: </w:t>
      </w:r>
    </w:p>
    <w:p>
      <w:pPr>
        <w:jc w:val="both"/>
        <w:outlineLvl w:val="1"/>
      </w:pPr>
      <w:rPr>
        <w:sz w:val="24"/>
        <w:b/>
        <w:color w:val="black"/>
      </w:rPr>
    </w:p>
    <w:p>
      <w:pPr>
        <w:jc w:val="both"/>
        <w:outlineLvl w:val="1"/>
      </w:pPr>
      <w:r>
        <w:rPr>
          <w:rFonts w:hAnsi="Arial"/>
          <w:rFonts w:ascii="Arial"/>
          <w:sz w:val="24"/>
          <w:color w:val="black"/>
        </w:rPr>
        <w:t xml:space="preserve">“De acuerdo con la información reportada por el Instituto Nacional de Salud, el promedio de casos diarios confirmados por fecha de reporte, en los últimos siete días, entre el 19 y el 25 de junio de 2020, es de 2.912.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5.13%.2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14.9% para el 24 de junio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202022000147613 del 7 de julio de 2020, señaló: </w:t>
      </w:r>
    </w:p>
    <w:p>
      <w:pPr>
        <w:jc w:val="both"/>
        <w:outlineLvl w:val="1"/>
      </w:pPr>
      <w:rPr>
        <w:sz w:val="24"/>
        <w:b/>
        <w:color w:val="black"/>
      </w:rPr>
    </w:p>
    <w:p>
      <w:pPr>
        <w:jc w:val="both"/>
        <w:outlineLvl w:val="1"/>
      </w:pPr>
      <w:r>
        <w:rPr>
          <w:rFonts w:hAnsi="Arial"/>
          <w:rFonts w:ascii="Arial"/>
          <w:sz w:val="24"/>
          <w:color w:val="black"/>
        </w:rPr>
        <w:t xml:space="preserve">“De acuerdo con la información reportada por el Instituto Nacional de Salud, el promedio de casos diarios confirmados por fecha de reporte, en los últimos siete días, entre el 29 de junio y el 6 de julio de 2020, es de 3.600.</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 y 7 de junio, la mortalidad por todas las causas muestra un cambio en la tendencia, registrando el inicio de un exceso de mortalidad general que, visto por grupos de edad y sexo, es mayor en hombres y mujeres mayores de 60 años.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 </w:t>
      </w:r>
    </w:p>
    <w:p>
      <w:pPr>
        <w:jc w:val="both"/>
        <w:outlineLvl w:val="1"/>
      </w:pPr>
      <w:rPr>
        <w:sz w:val="24"/>
        <w:b/>
        <w:color w:val="black"/>
      </w:rPr>
    </w:p>
    <w:p>
      <w:pPr>
        <w:jc w:val="both"/>
        <w:outlineLvl w:val="1"/>
      </w:pPr>
      <w:r>
        <w:rPr>
          <w:rFonts w:hAnsi="Arial"/>
          <w:rFonts w:ascii="Arial"/>
          <w:sz w:val="24"/>
          <w:color w:val="black"/>
        </w:rPr>
        <w:t xml:space="preserve">Que el Instituto Nacional de Salud, mediante Comunicación 2-1000-2020-002748 del 8 de julio de 2020, precisó: </w:t>
      </w:r>
    </w:p>
    <w:p>
      <w:pPr>
        <w:jc w:val="both"/>
        <w:outlineLvl w:val="1"/>
      </w:pPr>
      <w:rPr>
        <w:sz w:val="24"/>
        <w:b/>
        <w:color w:val="black"/>
      </w:rPr>
    </w:p>
    <w:p>
      <w:pPr>
        <w:jc w:val="both"/>
        <w:outlineLvl w:val="1"/>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y iv) la cantidad de personas susceptibles de contagiarse. </w:t>
      </w:r>
    </w:p>
    <w:p>
      <w:pPr>
        <w:jc w:val="both"/>
        <w:outlineLvl w:val="1"/>
      </w:pPr>
      <w:rPr>
        <w:sz w:val="24"/>
        <w:b/>
        <w:color w:val="black"/>
      </w:rPr>
    </w:p>
    <w:p>
      <w:pPr>
        <w:jc w:val="both"/>
        <w:outlineLvl w:val="1"/>
      </w:pPr>
      <w:r>
        <w:rPr>
          <w:rFonts w:hAnsi="Arial"/>
          <w:rFonts w:ascii="Arial"/>
          <w:sz w:val="24"/>
          <w:color w:val="black"/>
        </w:rPr>
        <w:t xml:space="preserve">Se puede hacer un seguimiento de los casos nuevos de una enfermedad transmisible que se van presentando a través del tiempo en una población. </w:t>
      </w:r>
    </w:p>
    <w:p>
      <w:pPr>
        <w:jc w:val="both"/>
        <w:outlineLvl w:val="1"/>
      </w:pPr>
      <w:rPr>
        <w:sz w:val="24"/>
        <w:b/>
        <w:color w:val="black"/>
      </w:rPr>
    </w:p>
    <w:p>
      <w:pPr>
        <w:jc w:val="both"/>
        <w:outlineLvl w:val="1"/>
      </w:pPr>
      <w:r>
        <w:rPr>
          <w:rFonts w:hAnsi="Arial"/>
          <w:rFonts w:ascii="Arial"/>
          <w:sz w:val="24"/>
          <w:color w:val="black"/>
        </w:rPr>
        <w:t xml:space="preserve">Se empieza con pocos casos y, en la medida en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 </w:t>
      </w:r>
    </w:p>
    <w:p>
      <w:pPr>
        <w:jc w:val="both"/>
        <w:outlineLvl w:val="1"/>
      </w:pPr>
      <w:rPr>
        <w:sz w:val="24"/>
        <w:b/>
        <w:color w:val="black"/>
      </w:rPr>
    </w:p>
    <w:p>
      <w:pPr>
        <w:jc w:val="both"/>
        <w:outlineLvl w:val="1"/>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pPr>
        <w:jc w:val="both"/>
        <w:outlineLvl w:val="1"/>
      </w:pPr>
      <w:rPr>
        <w:sz w:val="24"/>
        <w:b/>
        <w:color w:val="black"/>
      </w:rPr>
    </w:p>
    <w:p>
      <w:pPr>
        <w:jc w:val="both"/>
        <w:outlineLvl w:val="1"/>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pPr>
        <w:jc w:val="both"/>
        <w:outlineLvl w:val="1"/>
      </w:pPr>
      <w:rPr>
        <w:sz w:val="24"/>
        <w:b/>
        <w:color w:val="black"/>
      </w:rPr>
    </w:p>
    <w:p>
      <w:pPr>
        <w:jc w:val="both"/>
        <w:outlineLvl w:val="1"/>
      </w:pPr>
      <w:r>
        <w:rPr>
          <w:rFonts w:hAnsi="Arial"/>
          <w:rFonts w:ascii="Arial"/>
          <w:sz w:val="24"/>
          <w:color w:val="black"/>
        </w:rPr>
        <w:t xml:space="preserve">Los modelos matemáticos funcionan con información de las variables: i) tiempo) ii) casos nuevos, iii) el tamaño de la población y iv) las tasas de contacto entre las personas, con esto, se busca poder hacer un pronóstico del probable comportamiento de la epidemia en una población dada. </w:t>
      </w:r>
    </w:p>
    <w:p>
      <w:pPr>
        <w:jc w:val="both"/>
        <w:outlineLvl w:val="1"/>
      </w:pPr>
      <w:rPr>
        <w:sz w:val="24"/>
        <w:b/>
        <w:color w:val="black"/>
      </w:rPr>
    </w:p>
    <w:p>
      <w:pPr>
        <w:jc w:val="both"/>
        <w:outlineLvl w:val="1"/>
      </w:pPr>
      <w:r>
        <w:rPr>
          <w:rFonts w:hAnsi="Arial"/>
          <w:rFonts w:ascii="Arial"/>
          <w:sz w:val="24"/>
          <w:color w:val="black"/>
        </w:rPr>
        <w:t xml:space="preserve">¿Por qué no se ha llegado al pico epidemiológico de COVID-19 en Colombia? </w:t>
      </w:r>
    </w:p>
    <w:p>
      <w:pPr>
        <w:jc w:val="both"/>
        <w:outlineLvl w:val="1"/>
      </w:pPr>
      <w:rPr>
        <w:sz w:val="24"/>
        <w:b/>
        <w:color w:val="black"/>
      </w:rPr>
    </w:p>
    <w:p>
      <w:pPr>
        <w:jc w:val="both"/>
        <w:outlineLvl w:val="1"/>
      </w:pPr>
      <w:r>
        <w:rPr>
          <w:rFonts w:hAnsi="Arial"/>
          <w:rFonts w:ascii="Arial"/>
          <w:sz w:val="24"/>
          <w:color w:val="black"/>
        </w:rPr>
        <w:t xml:space="preserve">El escenario del caso base parte de un supuesto de no implementar una intervención, lo que se traduce en un número reproductivo efectivo (Rt) de 2,28. El Rt corresponde al promedio de casos nuevos que genera un caso infectado en una población susceptible. </w:t>
      </w:r>
    </w:p>
    <w:p>
      <w:pPr>
        <w:jc w:val="both"/>
        <w:outlineLvl w:val="1"/>
      </w:pPr>
      <w:rPr>
        <w:sz w:val="24"/>
        <w:b/>
        <w:color w:val="black"/>
      </w:rPr>
    </w:p>
    <w:p>
      <w:pPr>
        <w:jc w:val="both"/>
        <w:outlineLvl w:val="1"/>
      </w:pPr>
      <w:r>
        <w:rPr>
          <w:rFonts w:hAnsi="Arial"/>
          <w:rFonts w:ascii="Arial"/>
          <w:sz w:val="24"/>
          <w:color w:val="black"/>
        </w:rPr>
        <w:t xml:space="preserve">Con ese valor se estimaba que el pico epidemiológico ocurriría entre la primera y segunda semana de mayo. </w:t>
      </w:r>
    </w:p>
    <w:p>
      <w:pPr>
        <w:jc w:val="both"/>
        <w:outlineLvl w:val="1"/>
      </w:pPr>
      <w:rPr>
        <w:sz w:val="24"/>
        <w:b/>
        <w:color w:val="black"/>
      </w:rPr>
    </w:p>
    <w:p>
      <w:pPr>
        <w:jc w:val="both"/>
        <w:outlineLvl w:val="1"/>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Con esas mediciones del Rt se puede replicar, en el modelo matemático inicial, la curva de contagios y proyectar cómo sería la dinámica de la trasmisión en el futuro, siempre y cuando se mantengan las condiciones actuales. Es así como proyectando el Rt que se midió para los primeros días de junio (Rt = 1,20), se estima la tendencia de aumento diario de casos (por fecha de inicio de síntomas) que el pico se alcanzará a mediados de septiembre de 2020 [...]” </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Memorando 202022000163223 del 27 de julio de 2020, señaló: </w:t>
      </w:r>
    </w:p>
    <w:p>
      <w:pPr>
        <w:jc w:val="both"/>
        <w:outlineLvl w:val="1"/>
      </w:pPr>
      <w:rPr>
        <w:sz w:val="24"/>
        <w:b/>
        <w:color w:val="black"/>
      </w:rPr>
    </w:p>
    <w:p>
      <w:pPr>
        <w:jc w:val="both"/>
        <w:outlineLvl w:val="1"/>
      </w:pPr>
      <w:r>
        <w:rPr>
          <w:rFonts w:hAnsi="Arial"/>
          <w:rFonts w:ascii="Arial"/>
          <w:sz w:val="24"/>
          <w:color w:val="black"/>
        </w:rPr>
        <w:t xml:space="preserve">“De acuerdo con la información reportada por el Instituto Nacional de Salud, el promedio de casos diarios confirmados por fecha de reporte, entre el 20 y el 26 de julio de 2020, es de 7.385. </w:t>
      </w:r>
    </w:p>
    <w:p>
      <w:pPr>
        <w:jc w:val="both"/>
        <w:outlineLvl w:val="1"/>
      </w:pPr>
      <w:rPr>
        <w:sz w:val="24"/>
        <w:b/>
        <w:color w:val="black"/>
      </w:rPr>
    </w:p>
    <w:p>
      <w:pPr>
        <w:jc w:val="both"/>
        <w:outlineLvl w:val="1"/>
      </w:pPr>
      <w:r>
        <w:rPr>
          <w:rFonts w:hAnsi="Arial"/>
          <w:rFonts w:ascii="Arial"/>
          <w:sz w:val="24"/>
          <w:color w:val="black"/>
        </w:rPr>
        <w:t xml:space="preserve">La letalidad a causa de COVID-19, que establece el porcentaje de personas que han fallecido por esta situación con respecto a los casos identificados como positivos para este evento, en Colombia a 26 de julio es de 3,42%. La tasa de letalidad mundial es de 3.91%</w:t>
      </w:r>
      <w:r>
        <w:fldChar w:fldCharType="begin"/>
      </w:r>
      <w:r>
        <w:instrText>HYPERLINK "http://www.redjurista.com/document.aspx?ajcode=d1408020&amp;arts=NF1"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21% para el 26 de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se implementó una estrategia que permite la flexibilización del aislamiento obligatorio y la puesta en marcha de un aislamiento selectivo de los casos confirmados y casos sospechosos o probables de alto riesgo, a través de la creación del Programa de Pruebas, Rastreo y Aislamiento Selectivo Sostenible (PRASS).</w:t>
      </w:r>
    </w:p>
    <w:p>
      <w:pPr>
        <w:jc w:val="both"/>
        <w:outlineLvl w:val="1"/>
      </w:pPr>
      <w:rPr>
        <w:sz w:val="24"/>
        <w:b/>
        <w:color w:val="black"/>
      </w:rPr>
    </w:p>
    <w:p>
      <w:pPr>
        <w:jc w:val="both"/>
        <w:outlineLvl w:val="1"/>
      </w:pPr>
      <w:r>
        <w:rPr>
          <w:rFonts w:hAnsi="Arial"/>
          <w:rFonts w:ascii="Arial"/>
          <w:sz w:val="24"/>
          <w:color w:val="black"/>
        </w:rPr>
        <w:t xml:space="preserve">Que en tal medida el precitado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estableció como objeto crear, en el Sistema General de Seguridad Social en Salud (SGSSS), el Programa de Pruebas, Rastreo y Aislamiento Selectivo Sostenible (PRASS) para el seguimiento de casos y contactos de COVID-19; reglamentar el reconocimiento económico de quienes deben estar en aislamiento por COVID-19 y establecer las responsabilidades que los diferentes actores del Sistema General de Seguridad Social en Salud (SGSSS) deben cumplir para la ejecución del PRASS.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"http://www.redjurista.com/document.aspx?ajcode=d1374020&amp;arts=INICIO"</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del 19 de octubre de 2020 optimizó el Programa de Pruebas, Rastreo y Aislamiento Selectivo Sostenible (PRASS) para el monitoreo y seguimiento masivo y sistemático de casos y contactos de COVID-19, a través del rastreo de los casos confirmados y de los casos sospechosos, del aislamiento de los casos confirmados y sus contactos, y la toma de muestras y realización de pruebas diagnósticas de laboratorio, y derogó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del COVID-19 en Colombia” del 23 de octubre de 2020, indicó: </w:t>
      </w:r>
    </w:p>
    <w:p>
      <w:pPr>
        <w:jc w:val="both"/>
        <w:outlineLvl w:val="1"/>
      </w:pPr>
      <w:rPr>
        <w:sz w:val="24"/>
        <w:b/>
        <w:color w:val="black"/>
      </w:rPr>
    </w:p>
    <w:p>
      <w:pPr>
        <w:jc w:val="both"/>
        <w:outlineLvl w:val="1"/>
      </w:pPr>
      <w:r>
        <w:rPr>
          <w:rFonts w:hAnsi="Arial"/>
          <w:rFonts w:ascii="Arial"/>
          <w:sz w:val="24"/>
          <w:color w:val="black"/>
        </w:rPr>
        <w:t xml:space="preserve">“En abril, mes de aislamiento total, el ISE</w:t>
      </w:r>
      <w:r>
        <w:fldChar w:fldCharType="begin"/>
      </w:r>
      <w:r>
        <w:instrText>HYPERLINK "http://www.redjurista.com/document.aspx?ajcode=d1408020&amp;arts=NF2"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cayó 20,2%, es la contracción más fuerte desde 2005, año desde el cual se publica este indicador. En mayo, mes de apertura gradual de la economía, se observa un cambio en la tendencia: aunque aún en terreno negativo, este indicador cayó 16,2%. Hasta el momento estos han sido los meses en el año de mayor caída de este indicador, dado que en junio el índice cayó 11%, frente al mismo mes del año anterior. La caída en el ISE se evidencia en la contracción de la economía durante el segundo trimestre del año, la cual cayó 15,7% frente a la variación positiva de 3% registrada en similar trimestre del año pasado. La caída del PIB fue de 7,4% en los seis primeros meses del año. </w:t>
      </w:r>
    </w:p>
    <w:p>
      <w:pPr>
        <w:jc w:val="both"/>
        <w:outlineLvl w:val="1"/>
      </w:pPr>
      <w:rPr>
        <w:sz w:val="24"/>
        <w:b/>
        <w:color w:val="black"/>
      </w:rPr>
    </w:p>
    <w:p>
      <w:pPr>
        <w:jc w:val="both"/>
        <w:outlineLvl w:val="1"/>
      </w:pPr>
      <w:r>
        <w:rPr>
          <w:rFonts w:hAnsi="Arial"/>
          <w:rFonts w:ascii="Arial"/>
          <w:sz w:val="24"/>
          <w:color w:val="black"/>
        </w:rPr>
        <w:t xml:space="preserve">La economía continuó recuperándose en julio, aunque aún en terreno negativo, la caída fue de 9.7% durante este mes según el ISE. Sin embargo, se observa una caída más profunda en agosto (-10,6%). Para el segundo semestre se espera una menor contracción de la economía; no obstante, se estima que la reducción en el PIB sea superior al 7,6%.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comercio minorista [...] [a]partir de la apertura gradual de la economía en el mes de mayo, se observa un cambio en la tendencia, aunque con un crecimiento aún en terreno negativo respecto al mismo mes del año anterior. Sin embargo, se evidenció un retroceso en agosto: -17,1% frente a -14,1% y-12,4% de junio y julio, respectivamente. Es de recordar que en estos dos últimos meses las ventas fueron impulsadas por el descuento del IVA. Durante los ocho primeros meses del año, la reducción del sector comercio fue del 12,6%. Se estima que para final del año la contracción del sector esté entre el 11% y 13%.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 caída del sector industrial se profundizó en abril, mes de cuarentena total, llegando al 35,8% y en mayo la contracción fue del 26,3%. A partir de la reactivación gradual de la economía, se observa un cambio en la tendencia, pero aún en terreno negativo. En el mes de junio la caída fue de 9,8%, mientras que en julio se redujo 8,5%, no obstante, en agosto se observa un retroceso en esta dinámica cayendo 10,3%. Durante los ocho primeros meses del año, la producción del sector industrial se contrajo 11,6%. Se estima que la caída de todo el año esté entre el 9,8% y 11,2%”. </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Memorando 202022000217733 del 24 de septiembre de 2020, señaló: </w:t>
      </w:r>
    </w:p>
    <w:p>
      <w:pPr>
        <w:jc w:val="both"/>
        <w:outlineLvl w:val="1"/>
      </w:pPr>
      <w:rPr>
        <w:sz w:val="24"/>
        <w:b/>
        <w:color w:val="black"/>
      </w:rPr>
    </w:p>
    <w:p>
      <w:pPr>
        <w:jc w:val="both"/>
        <w:outlineLvl w:val="1"/>
      </w:pPr>
      <w:r>
        <w:rPr>
          <w:rFonts w:hAnsi="Arial"/>
          <w:rFonts w:ascii="Arial"/>
          <w:sz w:val="24"/>
          <w:color w:val="black"/>
        </w:rPr>
        <w:t xml:space="preserve">“El análisis de la información epidemiológica del evento indica que se alcanzó el primer pico de la epidemia, y a la fecha se observa una disminución progresiva de los casos confirmados y las muertes debidas a COVID-19, así como una reducción de la velocidad de la transmisión de acuerdo con el índice reproductivo básico (Rt)</w:t>
      </w:r>
      <w:r>
        <w:fldChar w:fldCharType="begin"/>
      </w:r>
      <w:r>
        <w:instrText>HYPERLINK "http://www.redjurista.com/document.aspx?ajcode=d1408020&amp;arts=NF3"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el cual. ha venido descendiendo progresivamente</w:t>
      </w:r>
      <w:r>
        <w:fldChar w:fldCharType="begin"/>
      </w:r>
      <w:r>
        <w:instrText>HYPERLINK "http://www.redjurista.com/document.aspx?ajcode=d1408020&amp;arts=NF4"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hasta 1,07. Es importante mencionar que, en virtud de las condiciones particulares de los territorios, estos se encuentran en diferentes fases de la epidemia. Las grandes ciudades (Bogotá, Medellín, Cali y Barranquilla) presentan una reducción considerable de las muertes, así como en la ocupación de camas de Unidad de Cuidado Intensivo (UCI). Las ciudades intermedias y pequeñas pueden encontrarse en fases más tempranas. </w:t>
      </w:r>
    </w:p>
    <w:p>
      <w:pPr>
        <w:jc w:val="both"/>
        <w:outlineLvl w:val="1"/>
      </w:pPr>
      <w:rPr>
        <w:sz w:val="24"/>
        <w:b/>
        <w:color w:val="black"/>
      </w:rPr>
    </w:p>
    <w:p>
      <w:pPr>
        <w:jc w:val="both"/>
        <w:outlineLvl w:val="1"/>
      </w:pPr>
      <w:r>
        <w:rPr>
          <w:rFonts w:hAnsi="Arial"/>
          <w:rFonts w:ascii="Arial"/>
          <w:sz w:val="24"/>
          <w:color w:val="black"/>
        </w:rPr>
        <w:t xml:space="preserve">Es así que, a 24 de septiembre de 2020, de los 1.122 municipios y Áreas No Municipalizadas (ANM), del país, el 7% se encuentran sin afectación o en categoría No COVID, el 26% tienen afectación baja, el 30% afectación moderada y el 37% afectación alta. A 19 de septiembre de 2020 la tasa de mortalidad por cada 100.000 habitantes para el país es de 45.16, mientras que la letalidad total es de 3,2% (0,92% en menores de 60 años y 16.09 en mayores de 60 años).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 ocupación de camas UCI, reportada por el Registro Especial de Prestadores de Servicios de Salud (REPS), con corte a 24 de septiembre de 2020, es del 57.47% para Colombia.</w:t>
      </w:r>
    </w:p>
    <w:p>
      <w:pPr>
        <w:jc w:val="both"/>
        <w:outlineLvl w:val="1"/>
      </w:pPr>
      <w:rPr>
        <w:sz w:val="24"/>
        <w:b/>
        <w:color w:val="black"/>
      </w:rPr>
    </w:p>
    <w:p>
      <w:pPr>
        <w:jc w:val="both"/>
        <w:outlineLvl w:val="1"/>
      </w:pPr>
      <w:r>
        <w:rPr>
          <w:rFonts w:hAnsi="Arial"/>
          <w:rFonts w:ascii="Arial"/>
          <w:sz w:val="24"/>
          <w:color w:val="black"/>
        </w:rPr>
        <w:t xml:space="preserve">En concordancia con lo anterior, se requiere garantizar y monitorear una alta adherencia a los protocolos de bioseguridad, así como propender por que la comunidad en general cumpla con las medidas de distanciamiento físico a nivel personal y colectivo; protección personal y con especial énfasis, implementar el programa de Pruebas, Rastreo y Seguimiento Selectivo Sostenible (PRASS). </w:t>
      </w:r>
    </w:p>
    <w:p>
      <w:pPr>
        <w:jc w:val="both"/>
        <w:outlineLvl w:val="1"/>
      </w:pPr>
      <w:rPr>
        <w:sz w:val="24"/>
        <w:b/>
        <w:color w:val="black"/>
      </w:rPr>
    </w:p>
    <w:p>
      <w:pPr>
        <w:jc w:val="both"/>
        <w:outlineLvl w:val="1"/>
      </w:pPr>
      <w:r>
        <w:rPr>
          <w:rFonts w:hAnsi="Arial"/>
          <w:rFonts w:ascii="Arial"/>
          <w:sz w:val="24"/>
          <w:color w:val="black"/>
        </w:rPr>
        <w:t xml:space="preserve">Igualmente, los municipios categorizados como No COVID y los de baja afectación deberán continuar con los planes de preparación y adaptación frente al COVID-19.”. </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el anexo técnico titulado “Situación COVID-19 (corte, octubre 26 de 2020)”, allegado mediante el Memorando 202022000255053 del 28 de octubre de 2020, señaló: </w:t>
      </w:r>
    </w:p>
    <w:p>
      <w:pPr>
        <w:jc w:val="both"/>
        <w:outlineLvl w:val="1"/>
      </w:pPr>
      <w:rPr>
        <w:sz w:val="24"/>
        <w:b/>
        <w:color w:val="black"/>
      </w:rPr>
    </w:p>
    <w:p>
      <w:pPr>
        <w:jc w:val="both"/>
        <w:outlineLvl w:val="1"/>
      </w:pPr>
      <w:r>
        <w:rPr>
          <w:rFonts w:hAnsi="Arial"/>
          <w:rFonts w:ascii="Arial"/>
          <w:sz w:val="24"/>
          <w:color w:val="black"/>
        </w:rPr>
        <w:t xml:space="preserve">“Actualmente, Colombia presenta una reducción, aunque estabilizada recientemente, en la velocidad de transmisión por el nuevo coronavirus SARS CoV-2 (COVID-19), encontrando con corte a octubre 26 de 2020 un total de 1.025.052 casos confirmados, 924.044 casos recuperados, con una tasa de contagio acumulada de 2.034,95 casos por 100.000 habitantes, 30.348 fallecidos y una tasa de mortalidad acumulada de 60,25 por 100.000 habitantes. Sin embargo, el comportamiento de la pandemia al interior del país se presenta de una manera asincrónica con visibles diferencias en los tiempos de aparición de picos a nivel territorial, observando ciudades con un incremento de casos actuales, como Neiva, Ibagué y Medellín, otros con una aceleración reciente como las ciudades del Eje Cafetero, y, así mismo, ciudades con franco comportamiento al descenso o ya con muy baja transmisión, sea el caso de Leticia, Barranquilla y varias zonas de la costa caribe. Estos distintos momentos de la pandemia, plantean la necesidad de mantener las medidas de distanciamiento físico personal y de promoción del autocuidado, aunque en el contexto de un aislamiento selectivo. </w:t>
      </w:r>
    </w:p>
    <w:p>
      <w:pPr>
        <w:jc w:val="both"/>
        <w:outlineLvl w:val="1"/>
      </w:pPr>
      <w:rPr>
        <w:sz w:val="24"/>
        <w:b/>
        <w:color w:val="black"/>
      </w:rPr>
    </w:p>
    <w:p>
      <w:pPr>
        <w:jc w:val="both"/>
        <w:outlineLvl w:val="1"/>
      </w:pPr>
      <w:r>
        <w:rPr>
          <w:rFonts w:hAnsi="Arial"/>
          <w:rFonts w:ascii="Arial"/>
          <w:sz w:val="24"/>
          <w:color w:val="black"/>
        </w:rPr>
        <w:t xml:space="preserve">De igual manera, el tiempo efectivo de reproducción R(t) presenta una tendencia a la reducción progresiva basado en las estimaciones calculadas por el Observatorio Nacional de Salud del INS a corte de 20 de octubre de 2020, teniendo un Rt de 1,29 a 31 de mayo (promedio calculado del 27 de abril hasta 5 días antes de la última fecha de ajuste del modelo), descendiendo al 1,19 a 23 de junio (promedio calculado desde 27 de abril hasta el 30 de junio), luego a 1,15 al 27 de julio (promedio calculado desde el 27 de abril al 31 de julio) 1,04 a corte del 13 de octubre (promedio calculado desde el 27 de abril) y de 1,02 con corte a octubre 26. La duplicación de casos está tardando 37,7 días (la última fue el 29 de agosto) y la duplicación de muertes 66,98 días (la última el 13 de octubre). </w:t>
      </w:r>
    </w:p>
    <w:p>
      <w:pPr>
        <w:jc w:val="both"/>
        <w:outlineLvl w:val="1"/>
      </w:pPr>
      <w:rPr>
        <w:sz w:val="24"/>
        <w:b/>
        <w:color w:val="black"/>
      </w:rPr>
    </w:p>
    <w:p>
      <w:pPr>
        <w:jc w:val="both"/>
        <w:outlineLvl w:val="1"/>
      </w:pPr>
      <w:r>
        <w:rPr>
          <w:rFonts w:hAnsi="Arial"/>
          <w:rFonts w:ascii="Arial"/>
          <w:sz w:val="24"/>
          <w:color w:val="black"/>
        </w:rPr>
        <w:t xml:space="preserve">En esta fase de aislamiento selectivo, al igual que en otras partes del mundo, la pandemia plantea un reto persistente para las capacidades epidemiológicas del país, y el impacto de posibles nuevos ascensos de la curva dependerá fundamentalmente de: 1) La proporción de personas que fueron expuestas a la infección (que sólo podrá ser mejor estimada con los estudios de seroprevalencia en curso), 2) La adherencia a las medidas de distanciamiento físico y protección personal, y 3) La implementación exitosa del programa PRASS, dado que el rastreo y aislamiento de contactos permitirá reducir la velocidad de transmisión y la mortalidad.”.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es necesario prorrogar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 25 de agosto de 2020 “Por el cual se imparten instrucciones en virtud de la emergencia sanitaria generada por la pandemia del Coronavirus COVID-19, y el mantenimiento del orden público y se decreta el aislamiento selectivo con distanciamiento individual responsable”, que fuera prorrogado por el Decreto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872" w:name="1"/>
      <w:r>
        <w:rPr>
          <w:rFonts w:hAnsi="Arial"/>
          <w:rFonts w:ascii="Arial"/>
          <w:sz w:val="24"/>
          <w:color w:val="navy"/>
        </w:rPr>
        <w:t xml:space="preserve">ARTÍCULO 1o. PRÓRROGA.</w:t>
      </w:r>
      <w:bookmarkEnd w:id="8687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Prorrogar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“Por el cual se imparten instrucciones en virtud de la emergencia sanitaria generada por la pandemia del coronavirus COVID-19, y el mantenimiento del orden público y se decreta el aislamiento selectivo con distanciamiento individual responsable”, que fuera prorrogado por el Decreto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hasta las cero horas (00:00 a. m.) del día 1o. de diciembre 2020. </w:t>
      </w:r>
    </w:p>
    <w:p>
      <w:pPr>
        <w:jc w:val="both"/>
        <w:outlineLvl w:val="1"/>
      </w:pPr>
      <w:rPr>
        <w:sz w:val="24"/>
        <w:b/>
        <w:color w:val="black"/>
      </w:rPr>
    </w:p>
    <w:p>
      <w:pPr>
        <w:jc w:val="both"/>
        <w:outlineLvl w:val="1"/>
      </w:pPr>
      <w:r>
        <w:rPr>
          <w:rFonts w:hAnsi="Arial"/>
          <w:rFonts w:ascii="Arial"/>
          <w:sz w:val="24"/>
          <w:vanish/>
          <w:color w:val="black"/>
        </w:rPr>
        <w:t>&amp;$</w:t>
      </w:r>
      <w:bookmarkStart w:id="86873" w:name="2"/>
      <w:r>
        <w:rPr>
          <w:rFonts w:hAnsi="Arial"/>
          <w:rFonts w:ascii="Arial"/>
          <w:sz w:val="24"/>
          <w:color w:val="navy"/>
        </w:rPr>
        <w:t xml:space="preserve">ARTÍCULO 2o. VIGENCIA.</w:t>
      </w:r>
      <w:bookmarkEnd w:id="8687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El presente decreto rige a partir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30 de octubre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b/>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w:t>
      </w:r>
    </w:p>
    <w:p>
      <w:pPr>
        <w:jc w:val="center"/>
        <w:outlineLvl w:val="1"/>
      </w:pPr>
      <w:rPr>
        <w:sz w:val="24"/>
        <w:b/>
        <w:color w:val="black"/>
      </w:rPr>
    </w:p>
    <w:p>
      <w:pPr>
        <w:jc w:val="center"/>
        <w:outlineLvl w:val="1"/>
      </w:pPr>
      <w:r>
        <w:rPr>
          <w:rFonts w:hAnsi="Arial"/>
          <w:rFonts w:ascii="Arial"/>
          <w:sz w:val="24"/>
          <w:color w:val="black"/>
        </w:rPr>
        <w:t xml:space="preserve">El Ministro del Trabajo, </w:t>
      </w:r>
    </w:p>
    <w:p>
      <w:pPr>
        <w:jc w:val="center"/>
        <w:outlineLvl w:val="1"/>
      </w:pPr>
      <w:r>
        <w:rPr>
          <w:rFonts w:hAnsi="Arial"/>
          <w:rFonts w:ascii="Arial"/>
          <w:sz w:val="24"/>
          <w:color w:val="gray"/>
        </w:rPr>
        <w:t xml:space="preserve">Ángel Custodio Cabrera Báez.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sz w:val="24"/>
        <w:b/>
        <w:color w:val="black"/>
      </w:rPr>
    </w:p>
    <w:p>
      <w:pPr>
        <w:jc w:val="both"/>
        <w:outlineLvl w:val="1"/>
      </w:pPr>
      <w:r>
        <w:rPr>
          <w:rFonts w:hAnsi="Arial"/>
          <w:rFonts w:ascii="Arial"/>
          <w:sz w:val="16"/>
          <w:b/>
          <w:vanish/>
          <w:color w:val="black"/>
        </w:rPr>
        <w:t>&amp;$</w:t>
      </w:r>
      <w:bookmarkStart w:id="86874" w:name="NF"/>
      <w:r>
        <w:rPr>
          <w:rFonts w:hAnsi="Arial"/>
          <w:rFonts w:ascii="Arial"/>
          <w:sz w:val="16"/>
          <w:color w:val="navy"/>
        </w:rPr>
        <w:t xml:space="preserve">&lt;NOTAS DE PIE DE PAGINA&gt;. </w:t>
      </w:r>
    </w:p>
    <w:p>
      <w:pPr>
        <w:jc w:val="both"/>
        <w:outlineLvl w:val="1"/>
      </w:pPr>
      <w:bookmarkEnd w:id="86874"/>
    </w:p>
    <w:p>
      <w:pPr>
        <w:jc w:val="both"/>
        <w:outlineLvl w:val="1"/>
      </w:pPr>
      <w:r>
        <w:rPr>
          <w:rFonts w:hAnsi="Arial"/>
          <w:rFonts w:ascii="Arial"/>
          <w:sz w:val="16"/>
          <w:b/>
          <w:vanish/>
          <w:color w:val="black"/>
        </w:rPr>
        <w:t>&amp;$</w:t>
      </w:r>
      <w:bookmarkStart w:id="86875" w:name="NF1"/>
      <w:r>
        <w:rPr>
          <w:rFonts w:hAnsi="Arial"/>
          <w:rFonts w:ascii="Arial"/>
          <w:sz w:val="16"/>
          <w:color w:val="navy"/>
        </w:rPr>
        <w:t>1.</w:t>
      </w:r>
      <w:bookmarkEnd w:id="86875"/>
      <w:r>
        <w:rPr>
          <w:rFonts w:hAnsi="Arial"/>
          <w:rFonts w:ascii="Arial"/>
          <w:sz w:val="16"/>
          <w:b/>
          <w:color w:val="black"/>
        </w:rPr>
        <w:t xml:space="preserve"> Centro Europeo de Diagnóstico y Control de Enfermedades. https://www.ecdc.europa.eu/en/ publications-data/download-todays-data-geographic-distributioncovid-19-cases-worldwide.</w:t>
      </w:r>
    </w:p>
    <w:p>
      <w:pPr>
        <w:jc w:val="both"/>
        <w:outlineLvl w:val="1"/>
      </w:pPr>
      <w:rPr>
        <w:sz w:val="16"/>
        <w:b/>
        <w:color w:val="black"/>
      </w:rPr>
    </w:p>
    <w:p>
      <w:pPr>
        <w:jc w:val="both"/>
        <w:outlineLvl w:val="1"/>
      </w:pPr>
      <w:r>
        <w:rPr>
          <w:rFonts w:hAnsi="Arial"/>
          <w:rFonts w:ascii="Arial"/>
          <w:sz w:val="16"/>
          <w:b/>
          <w:vanish/>
          <w:color w:val="black"/>
        </w:rPr>
        <w:t>&amp;$</w:t>
      </w:r>
      <w:bookmarkStart w:id="86876" w:name="NF2"/>
      <w:r>
        <w:rPr>
          <w:rFonts w:hAnsi="Arial"/>
          <w:rFonts w:ascii="Arial"/>
          <w:sz w:val="16"/>
          <w:color w:val="navy"/>
        </w:rPr>
        <w:t>2.</w:t>
      </w:r>
      <w:bookmarkEnd w:id="86876"/>
      <w:r>
        <w:rPr>
          <w:rFonts w:hAnsi="Arial"/>
          <w:rFonts w:ascii="Arial"/>
          <w:sz w:val="16"/>
          <w:b/>
          <w:color w:val="black"/>
        </w:rPr>
        <w:t xml:space="preserve"> ISE. Índice de Seguimiento a la Economía. </w:t>
      </w:r>
    </w:p>
    <w:p>
      <w:pPr>
        <w:jc w:val="both"/>
        <w:outlineLvl w:val="1"/>
      </w:pPr>
      <w:rPr>
        <w:sz w:val="16"/>
        <w:b/>
        <w:color w:val="black"/>
      </w:rPr>
    </w:p>
    <w:p>
      <w:pPr>
        <w:jc w:val="both"/>
        <w:outlineLvl w:val="1"/>
      </w:pPr>
      <w:r>
        <w:rPr>
          <w:rFonts w:hAnsi="Arial"/>
          <w:rFonts w:ascii="Arial"/>
          <w:sz w:val="16"/>
          <w:b/>
          <w:vanish/>
          <w:color w:val="black"/>
        </w:rPr>
        <w:t>&amp;$</w:t>
      </w:r>
      <w:bookmarkStart w:id="86877" w:name="NF3"/>
      <w:r>
        <w:rPr>
          <w:rFonts w:hAnsi="Arial"/>
          <w:rFonts w:ascii="Arial"/>
          <w:sz w:val="16"/>
          <w:color w:val="navy"/>
        </w:rPr>
        <w:t>3.</w:t>
      </w:r>
      <w:bookmarkEnd w:id="86877"/>
      <w:r>
        <w:rPr>
          <w:rFonts w:hAnsi="Arial"/>
          <w:rFonts w:ascii="Arial"/>
          <w:sz w:val="16"/>
          <w:b/>
          <w:color w:val="black"/>
        </w:rPr>
        <w:t xml:space="preserve"> Estima la cantidad de personas que cada paciente infecta y permite calcular la velocidad a la que se está propagando el virus y la población de enfermos de las siguientes semanas. </w:t>
      </w:r>
    </w:p>
    <w:p>
      <w:pPr>
        <w:jc w:val="both"/>
        <w:outlineLvl w:val="1"/>
      </w:pPr>
      <w:rPr>
        <w:sz w:val="16"/>
        <w:b/>
        <w:color w:val="black"/>
      </w:rPr>
    </w:p>
    <w:p>
      <w:pPr>
        <w:jc w:val="both"/>
        <w:outlineLvl w:val="1"/>
      </w:pPr>
      <w:r>
        <w:rPr>
          <w:rFonts w:hAnsi="Arial"/>
          <w:rFonts w:ascii="Arial"/>
          <w:sz w:val="16"/>
          <w:b/>
          <w:vanish/>
          <w:color w:val="black"/>
        </w:rPr>
        <w:t>&amp;$</w:t>
      </w:r>
      <w:bookmarkStart w:id="86878" w:name="NF4"/>
      <w:r>
        <w:rPr>
          <w:rFonts w:hAnsi="Arial"/>
          <w:rFonts w:ascii="Arial"/>
          <w:sz w:val="16"/>
          <w:color w:val="navy"/>
        </w:rPr>
        <w:t>4.</w:t>
      </w:r>
      <w:bookmarkEnd w:id="86878"/>
      <w:r>
        <w:rPr>
          <w:rFonts w:hAnsi="Arial"/>
          <w:rFonts w:ascii="Arial"/>
          <w:sz w:val="16"/>
          <w:b/>
          <w:color w:val="black"/>
        </w:rPr>
        <w:t xml:space="preserve"> Calculado entre el 27 de abril de 2020 y el 24 de septiembre de 2020, por el Instituto Nacional de Salud. https://www.ins.gov.co/Noticias/Paginas/Coronavirus-rt.aspx</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653"/>
      <w:footerReference w:type="default" r:id="eId7654"/>
      <w:type w:val="continuous"/>
    </w:sectPr>
  </w:body>
</w:document>
</file>

<file path=word/footer_default_76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76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653" Type="http://schemas.openxmlformats.org/officeDocument/2006/relationships/header" Target="header_default_7653.xml" />
<Relationship Id="id0" Type="http://schemas.openxmlformats.org/officeDocument/2006/relationships/image" Target="img/img_id0.png"/>
<Relationship Id="eId7654" Type="http://schemas.openxmlformats.org/officeDocument/2006/relationships/footer" Target="footer_default_76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