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769.xml" ContentType="application/vnd.openxmlformats-officedocument.wordprocessingml.header+xml"/>
  <Override PartName="/word/footer_default_777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both"/>
      </w:pPr>
      <w:r>
        <w:rPr>
          <w:rFonts w:hAnsi="Arial"/>
          <w:rFonts w:ascii="Arial"/>
          <w:sz w:val="20"/>
          <w:vanish/>
          <w:color w:val="black"/>
        </w:rPr>
        <w:t>&amp;&amp;</w:t>
      </w: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b/>
          <w:color w:val="gray"/>
        </w:rPr>
        <w:t xml:space="preserve">DECRETO 1592 DE 1994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(julio 27)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41.465, del 29 de JULIO DE 1994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reglamenta la Ley 114 del 4 de febrero de 1994. 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en especial las que le confiere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48" w:name="1"/>
      <w:r>
        <w:rPr>
          <w:rFonts w:hAnsi="Arial"/>
          <w:rFonts w:ascii="Arial"/>
          <w:sz w:val="24"/>
          <w:color w:val="navy"/>
        </w:rPr>
        <w:t xml:space="preserve">ARTICULO 1o. DE LAS LEGUMINOSAS DE GRANO. </w:t>
      </w:r>
      <w:bookmarkEnd w:id="8974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Para efectos del artículo </w:t>
      </w:r>
      <w:r>
        <w:fldChar w:fldCharType="begin"/>
      </w:r>
      <w:r>
        <w:instrText>HYPERLINK "http://www.redjurista.com/document.aspx?ajcode=l0114_94&amp;arts=1"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primero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114 del 4 de febrero de 1994, se entiende por leguminosas de grano las especies de fríjol, arveja, lenteja, garbanzo, haba y fríjol soya.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49" w:name="2"/>
      <w:r>
        <w:rPr>
          <w:rFonts w:hAnsi="Arial"/>
          <w:rFonts w:ascii="Arial"/>
          <w:sz w:val="24"/>
          <w:color w:val="navy"/>
        </w:rPr>
        <w:t xml:space="preserve">ARTICULO 2o. DE LA CUOTA DE FOMENTO DE LEGUMINOSAS DE GRANO. </w:t>
      </w:r>
      <w:bookmarkEnd w:id="89749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cuota de fomento de las leguminosas de grano será equivalente al medio por ciento (0.5%) sobre el precio de venta de cada kilogramo de fríjol, arveja, lenteja, garbanzo, haba y fríjol soya.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Para determinar la cuota de fomento de las leguminosas de grano, el Ministerio de Agricultura y Desarrollo Rural señalará semestralmente antes del 30 de junio y 31 de diciembre de cada año, el valor del kilogramo del producto respectivo a nivel regional o nacional, con base en el cual se hará la liquidación de la cuota de fomento durante el semestre inmediatamente siguiente.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50" w:name="3"/>
      <w:r>
        <w:rPr>
          <w:rFonts w:hAnsi="Arial"/>
          <w:rFonts w:ascii="Arial"/>
          <w:sz w:val="24"/>
          <w:color w:val="navy"/>
        </w:rPr>
        <w:t xml:space="preserve">ARTICULO 3o. CAUSACION Y RECAUDO DE LA CUOTA. </w:t>
      </w:r>
      <w:bookmarkEnd w:id="89750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cuota de fomento de las leguminosas de grano se causará a partir del perfeccionamiento de los contratos que se suscriban para su administración entre el Ministerio de Agricultura y Desarrollo Rural y la Federación Nacional de Cultivadores de Cereales, Fenalce, para las leguminosas de grano de fríjol, arveja, lenteja, garbanzo y haba y con la Cooperativa Agropecuaria de Ginebra Limitada, Coagro, para el fríjol soya, y su recaudo se hará efectivo una vez iniciados los respectivos contratos.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51" w:name="4"/>
      <w:r>
        <w:rPr>
          <w:rFonts w:hAnsi="Arial"/>
          <w:rFonts w:ascii="Arial"/>
          <w:sz w:val="24"/>
          <w:color w:val="navy"/>
        </w:rPr>
        <w:t xml:space="preserve">ARTICULO 4o. PERSONA OBLIGADA A LA CONTRIBUCION. </w:t>
      </w:r>
      <w:bookmarkEnd w:id="89751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Será sujeto de la contribución, toda persona natural o jurídica que produzca en el territorio nacional fríjol, arveja, lenteja, garbanzo, haba y fríjol soya.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52" w:name="5"/>
      <w:r>
        <w:rPr>
          <w:rFonts w:hAnsi="Arial"/>
          <w:rFonts w:ascii="Arial"/>
          <w:sz w:val="24"/>
          <w:color w:val="navy"/>
        </w:rPr>
        <w:t xml:space="preserve">ARTICULO 5o. PERSONAS OBLIGADAS AL RECAUDO. </w:t>
      </w:r>
      <w:bookmarkEnd w:id="89752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Efectuarán el recaudo de la contribución a que se refiere la Ley 114 del 4 de febrero de 1994, toda entidad o empresa que compre, beneficie o transforme leguminosas de grano de producción nacional, bien sea que se destinen al mercado interno o de exportación, o se utilicen como materias primas o componentes de productos industriales para consumo humano o animal.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53" w:name="6"/>
      <w:r>
        <w:rPr>
          <w:rFonts w:hAnsi="Arial"/>
          <w:rFonts w:ascii="Arial"/>
          <w:sz w:val="24"/>
          <w:color w:val="navy"/>
        </w:rPr>
        <w:t xml:space="preserve">ARTICULO 6o. RESPONSABILIDADES DE LOS RECAUDADORES. </w:t>
      </w:r>
      <w:bookmarkEnd w:id="89753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recaudadores de las cuotas de fomento de leguminosas de grano, serán responsables por el valor de las sumas recaudadas, por las cuotas dejadas de recaudar y por las liquidaciones equivocadas o defectuosas.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54" w:name="7"/>
      <w:r>
        <w:rPr>
          <w:rFonts w:hAnsi="Arial"/>
          <w:rFonts w:ascii="Arial"/>
          <w:sz w:val="24"/>
          <w:color w:val="navy"/>
        </w:rPr>
        <w:t xml:space="preserve">ARTICULO 7o. SEPARACION DE CUENTAS Y DEPOSITO DE LA CUOTA. </w:t>
      </w:r>
      <w:bookmarkEnd w:id="89754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recaudadores de la cuota de fomento de leguminosas de grano deberán mantener dichos recursos en una cuenta contable separada, y están obligados a depositarlos dentro de los diez (10) primeros días del mes siguiente al recaudo en la cuenta especial denominada Cuota de Fomento de Leguminosas de Grano y Cuota de Fomento de Fríjol Soya que para el efecto abran las respectivas entidades administradoras. También deberán enviar mensualmente a la entidad administradora, una relación pormenorizada de los recaudos firmada por el representante legal de la entidad obligada al recaudo.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55" w:name="8"/>
      <w:r>
        <w:rPr>
          <w:rFonts w:hAnsi="Arial"/>
          <w:rFonts w:ascii="Arial"/>
          <w:sz w:val="24"/>
          <w:color w:val="navy"/>
        </w:rPr>
        <w:t xml:space="preserve">ARTICULO 8o. REGISTRO DE LOS RECAUDOS. </w:t>
      </w:r>
      <w:bookmarkEnd w:id="8975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recaudadores están obligados a llevar un registro contable del recaudo el cual contendrá los siguientes datos: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Nombre e identificación del recaudador;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Fecha y número del comprobante de pago de la cuota de fomento de leguminosas de grano;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Especie que paga la cuota y origen municipal;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Cantidad del producto que causa la cuota señalada en kilogramos;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El valor recaudado.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56" w:name="9"/>
      <w:r>
        <w:rPr>
          <w:rFonts w:hAnsi="Arial"/>
          <w:rFonts w:ascii="Arial"/>
          <w:sz w:val="24"/>
          <w:color w:val="navy"/>
        </w:rPr>
        <w:t xml:space="preserve">ARTICULO 9o. COMISION DE FOMENTO. </w:t>
      </w:r>
      <w:bookmarkEnd w:id="89756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Comisión de Fomento Cerealista y de Leguminosas de Grano y la Comisión de Fomento de Fríjol Soya, se conformarán de acuerdo con lo establecido en los artículos </w:t>
      </w:r>
      <w:r>
        <w:fldChar w:fldCharType="begin"/>
      </w:r>
      <w:r>
        <w:instrText>HYPERLINK "http://www.redjurista.com/document.aspx?ajcode=l0114_94&amp;arts=4"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cuarto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"http://www.redjurista.com/document.aspx?ajcode=l0114_94&amp;arts=5"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quinto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114 del 4 de febrero de 1994.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1o.</w:t>
      </w:r>
      <w:r>
        <w:rPr>
          <w:rFonts w:hAnsi="Arial"/>
          <w:rFonts w:ascii="Arial"/>
          <w:sz w:val="24"/>
          <w:color w:val="black"/>
        </w:rPr>
        <w:t xml:space="preserve"> Los miembros de la Comisión de Fomento Cerealista y de Leguminosas de Grano y de la Comisión de Fomento de Fríjol Soya que no sean representantes de las entidades estatales, tendrán un período fijo de dos (2) años y dejarán de ser miembros si renunciaren a la Comisión o perdieren su carácter de afiliados o asociados de las entidades contempladas en los artículos </w:t>
      </w:r>
      <w:r>
        <w:fldChar w:fldCharType="begin"/>
      </w:r>
      <w:r>
        <w:instrText>HYPERLINK "http://www.redjurista.com/document.aspx?ajcode=l0114_94&amp;arts=4"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cuarto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"http://www.redjurista.com/document.aspx?ajcode=l0114_94&amp;arts=5"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quinto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114 de 1994; en tal caso la entidad deberá designar su reemplazo.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2o.</w:t>
      </w:r>
      <w:r>
        <w:rPr>
          <w:rFonts w:hAnsi="Arial"/>
          <w:rFonts w:ascii="Arial"/>
          <w:sz w:val="24"/>
          <w:color w:val="black"/>
        </w:rPr>
        <w:t xml:space="preserve"> Las Comisiones se reunirán ordinariamente cuatro (4) veces al año y extraordinariamente cuando el Ministro de Agricultura y Desarrollo Rural la Entidad Administradora o tres (3) de sus miembros la convoquen.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57" w:name="10"/>
      <w:r>
        <w:rPr>
          <w:rFonts w:hAnsi="Arial"/>
          <w:rFonts w:ascii="Arial"/>
          <w:sz w:val="24"/>
          <w:color w:val="navy"/>
        </w:rPr>
        <w:t xml:space="preserve">ARTICULO 10. FUNCIONES DE LA COMISION. </w:t>
      </w:r>
      <w:bookmarkEnd w:id="8975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"http://www.redjurista.com/document.aspx?ajcode=d1071015&amp;arts=2.10.3.9.10"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2.10.3.9.10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Comisión de Fomento Cerealista y de Leguminosas de Grano y la Comisión de Fomento de Fríjol Soya, tendrán las siguientes funciones: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Aprobar el Plan de Inversiones y Gastos de que trata la Ley 67 de 1983;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Determinar los gastos administrativos que para el cumplimiento de los objetivos legales le corresponde asumir a los fondos durante cada vigencia;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Revisar y aprobar los estados financieros que le presente la entidad administradora;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Establecer los límites dentro de los cuales el representante legal de la entidad administradora, puede contratar sin autorización previa de las comisiones de los fondos;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Autorizar los contratos o subcontratos que se deberán firmar con otras agremiaciones o cooperativas del subsector propuestos por la administración o cualesquiera de los miembros de las comisiones, para el desarrollo de los planes, programas y proyectos;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Conformar Comités Asesores de acuerdo con las necesidades;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Determinar los programas y proyectos estratégicos, tanto de índole nacional, como regionales y subregionales, para lo cual, con el apoyo del comité asesor que para el efecto conforme, evaluará y decidirá sobre las propuestas elaboradas por las respectivas organizaciones;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Darse su propio reglamento;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Las demás que sean de su estricta competencia de acuerdo con los objetivos.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58" w:name="11"/>
      <w:r>
        <w:rPr>
          <w:rFonts w:hAnsi="Arial"/>
          <w:rFonts w:ascii="Arial"/>
          <w:sz w:val="24"/>
          <w:color w:val="navy"/>
        </w:rPr>
        <w:t xml:space="preserve">ARTICULO 11. ADMINISTRACION DE LOS FONDOS. </w:t>
      </w:r>
      <w:bookmarkEnd w:id="8975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"http://www.redjurista.com/document.aspx?ajcode=d1071015&amp;arts=2.10.3.9.11"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2.10.3.9.11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Ministerio de Agricultura y Desarrollo Rural contratará con la Federación Nacional de Cultivadores de Cereales, Fenalce, y con la Cooperativa Agropecuaria de Ginebra Limitada, Coagro, la administración y recaudo de la Cuota de Fomento de Leguminosas de Grano y de Fríjol Soya, respectivamente. En los contratos se dispondrá lo relativo a la contraprestación por la administración del fondo, al manejo de los recursos, la gerencia estratégica y administración por objetivos, la definición y establecimiento de programas y proyectos, las facultades y prohibiciones de la entidad administradora y los demás requisitos y condiciones necesarios para el cumplimiento de los objetivos previstos en la Ley 67 de 1983 y la Ley 114 de 1994.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59" w:name="12"/>
      <w:r>
        <w:rPr>
          <w:rFonts w:hAnsi="Arial"/>
          <w:rFonts w:ascii="Arial"/>
          <w:sz w:val="24"/>
          <w:color w:val="navy"/>
        </w:rPr>
        <w:t xml:space="preserve">ARTICULO 12. PLAN DE INVERSIONES Y GASTOS. </w:t>
      </w:r>
      <w:bookmarkEnd w:id="89759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"http://www.redjurista.com/document.aspx?ajcode=d1071015&amp;arts=2.10.3.9.12"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2.10.3.9.12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Las entidades administradoras del Fondo de Fomento de Leguminosas de Grano y del Fondo de Fomento de Fríjol Soya, elaborarán, antes del 1o. de octubre de cada año, el Plan de Inversiones y Gastos por Programas y Proyectos del año siguiente en forma discriminada y por especie. El plan sólo podrá ejecutarse una vez haya sido aprobado por la Comisión con el voto favorable del Ministro de Agricultura y Desarrollo Rural o su delegado.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Los programas y proyectos de inversión podrán tener cobertura nacional, regional o subregional. En el primer caso, su ejecución será competencia de la entidad administradora en asocio con las entidades gremiales por especie que sean representativas a nivel nacional; en los otros, debe concertarse la acción con la entidad o entidades regionales o subregionales presentes en el área.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1o.</w:t>
      </w:r>
      <w:r>
        <w:rPr>
          <w:rFonts w:hAnsi="Arial"/>
          <w:rFonts w:ascii="Arial"/>
          <w:sz w:val="24"/>
          <w:color w:val="black"/>
        </w:rPr>
        <w:t xml:space="preserve"> En la asignación de los recursos para los proyectos regionales y subregionales, se tendrá en cuenta la proporción en que participan las respectivas regiones y especies en la contribución al respectivo fondo.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2o.</w:t>
      </w:r>
      <w:r>
        <w:rPr>
          <w:rFonts w:hAnsi="Arial"/>
          <w:rFonts w:ascii="Arial"/>
          <w:sz w:val="24"/>
          <w:color w:val="black"/>
        </w:rPr>
        <w:t xml:space="preserve"> Los programas y proyectos propuestos deben justificar la manera en que incidirán en la transformación de las condiciones de producción en la respectiva región o subregión.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3o.</w:t>
      </w:r>
      <w:r>
        <w:rPr>
          <w:rFonts w:hAnsi="Arial"/>
          <w:rFonts w:ascii="Arial"/>
          <w:sz w:val="24"/>
          <w:color w:val="black"/>
        </w:rPr>
        <w:t xml:space="preserve"> Coagro y Fenalce una vez iniciado el contrato de administración, presentarán ante la Comisión de Fomento del Fríjol soya y la Comisión de Fomento Cerealista y de Leguminosas de Grano respectivamente, el plan de inversiones y gastos para la vigencia de 1994.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60" w:name="13"/>
      <w:r>
        <w:rPr>
          <w:rFonts w:hAnsi="Arial"/>
          <w:rFonts w:ascii="Arial"/>
          <w:sz w:val="24"/>
          <w:color w:val="navy"/>
        </w:rPr>
        <w:t xml:space="preserve">ARTICULO 13. MANEJO DE LOS RECURSOS Y ACTIVOS. </w:t>
      </w:r>
      <w:bookmarkEnd w:id="89760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"http://www.redjurista.com/document.aspx?ajcode=d1071015&amp;arts=2.10.3.9.13"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2.10.3.9.13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manejo de los recursos y activos del Fondo de Fomento Cerealista y de Leguminosas de Grano y del Fondo de Fomento de Fríjol Soya, deberán cumplirse de manera que en cualquier momento se pueda determinar su estado y movimiento. Con tal fin, la entidad administradora, organizará la contabilidad de conformidad con los métodos contables prescritos por las normas vigentes y utilizará cuentas bancarias independientes de las que emplea para el manejo de sus propios recursos y demás bienes.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9761" w:name="14"/>
      <w:r>
        <w:rPr>
          <w:rFonts w:hAnsi="Arial"/>
          <w:rFonts w:ascii="Arial"/>
          <w:sz w:val="24"/>
          <w:color w:val="navy"/>
        </w:rPr>
        <w:t xml:space="preserve">ARTICULO 14. &lt;VIGENCIA&gt;.</w:t>
      </w:r>
      <w:bookmarkEnd w:id="89761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en el DIARIO OFICIAL.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Santafé de Bogotá, D.C., a 27 de julio de 1994.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CESAR GAVIRIA TRUJILLO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JOSÉ ANTONIO OCAMPO GAVIRIA.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     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720" w:footer="720"/>
      <w:headerReference w:type="default" r:id="eId7769"/>
      <w:footerReference w:type="default" r:id="eId7770"/>
      <w:type w:val="continuous"/>
    </w:sectPr>
  </w:body>
</w:document>
</file>

<file path=word/footer_default_777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4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5</w:t>
      <w:fldChar w:fldCharType="end"/>
    </w:r>
  </w:p>
</w:ftr>
</file>

<file path=word/header_default_776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7769" Type="http://schemas.openxmlformats.org/officeDocument/2006/relationships/header" Target="header_default_7769.xml" />
<Relationship Id="id0" Type="http://schemas.openxmlformats.org/officeDocument/2006/relationships/image" Target="img/img_id0.png"/>
<Relationship Id="eId7770" Type="http://schemas.openxmlformats.org/officeDocument/2006/relationships/footer" Target="footer_default_777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77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76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