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685.xml" ContentType="application/vnd.openxmlformats-officedocument.wordprocessingml.header+xml"/>
  <Override PartName="/word/footer_default_868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4390 DE 2010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(noviembre 23)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47.902 de 23 de noviembre de 2010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COMERCIO, INDUSTRIA Y TURISMO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modifica parcialmente el Arancel de Aduanas.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211D1E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de las conferidas por el numeral 25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con sujeción a lo dispuesto en la Leyes </w:t>
      </w:r>
      <w:r>
        <w:fldChar w:fldCharType="begin"/>
      </w:r>
      <w:r>
        <w:instrText>HYPERLINK "http://www.redjurista.com/document.aspx?ajcode=l0006_71&amp;arts=1"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1971 y </w:t>
      </w:r>
      <w:r>
        <w:fldChar w:fldCharType="begin"/>
      </w:r>
      <w:r>
        <w:instrText>HYPERLINK "http://www.redjurista.com/document.aspx?ajcode=l0007_91&amp;arts=1"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1991,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Decreto </w:t>
      </w:r>
      <w:r>
        <w:fldChar w:fldCharType="begin"/>
      </w:r>
      <w:r>
        <w:instrText>HYPERLINK "http://www.redjurista.com/document.aspx?ajcode=d4589006&amp;arts=1"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27 de diciembre de 2006, se adoptó el Arancel de Aduanas que entró a regir a partir del 1o de enero de 2007.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la sesión 221 del 21 de septiembre de 2010, el Comité de Asuntos Aduaneros, Arancelarios y de Comercio Exterior recomendó al Gobierno Nacional desdoblar la subpartida 0210.99.90.00 con el fin de crear una subpartida arancelaria específica para el producto “Carne de aves de la partida 01.05, salados o en salmuera”.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la misma sesión, el Comité recomendó adicionar una nota complementaria nacional en el Capítulo 2 del Arancel de Aduanas con el objeto de establecer fronteras claramente definidas para la clasificación del producto “Carne de aves de la partida 01.05, salados o en salmuera”, en la partida 02.10, de tal manera que se evite la elusión del cumplimiento de los requisitos establecidos para la importación de estos productos,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1074" w:name="1"/>
      <w:r>
        <w:rPr>
          <w:rFonts w:hAnsi="Arial"/>
          <w:rFonts w:ascii="Arial"/>
          <w:sz w:val="24"/>
          <w:color w:val="navy"/>
        </w:rPr>
        <w:t xml:space="preserve">ARTÍCULO 1</w:t>
      </w:r>
      <w:r>
        <w:rPr>
          <w:rFonts w:hAnsi="Arial"/>
          <w:rFonts w:ascii="Arial"/>
          <w:sz w:val="24"/>
          <w:i/>
          <w:color w:val="navy"/>
        </w:rPr>
        <w:t>o.</w:t>
      </w:r>
      <w:bookmarkEnd w:id="121074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Desdoblar la subpartida arancelaria 0210.99.90.00, la cual quedará con el código, descripción y gravamen arancelario que se indican a continuación: </w:t>
      </w:r>
    </w:p>
    <w:p>
      <w:pPr>
        <w:jc w:val="both"/>
        <w:outlineLvl w:val="1"/>
      </w:pPr>
      <w:rPr>
        <w:sz w:val="24"/>
        <w:color w:val="211D1E"/>
      </w:rP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1075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21075"/>
      <w:r>
        <w:rPr>
          <w:rFonts w:hAnsi="Arial"/>
          <w:rFonts w:ascii="Arial"/>
          <w:sz w:val="24"/>
          <w:color w:val="black"/>
        </w:rPr>
        <w:t xml:space="preserve"> Adicionar una Nota Complementaria Nacional al Capítulo 2 del Arancel de Aduanas, con el siguiente texto: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En la subpartida 0210.99.90.10 se entiende por “Carne de aves de la partida 01.05, salados o en salmuera”, la carne comestible que ha sido impregnada homogéneamente en todas sus partes de sal, en un porcentaje igual o superior al 1.2% de su peso total.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1076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21076"/>
      <w:r>
        <w:rPr>
          <w:rFonts w:hAnsi="Arial"/>
          <w:rFonts w:ascii="Arial"/>
          <w:sz w:val="24"/>
          <w:color w:val="black"/>
        </w:rPr>
        <w:t xml:space="preserve"> El presente decreto entra en vigencia a partir de la fecha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modifica en lo pertinente el artículo </w:t>
      </w:r>
      <w:r>
        <w:fldChar w:fldCharType="begin"/>
      </w:r>
      <w:r>
        <w:instrText>HYPERLINK "http://www.redjurista.com/document.aspx?ajcode=d4589006&amp;arts=1"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4589 de 2006.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23 de noviembre de 2010.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CARLOS ECHEVERRY GARZÓN.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Comercio, Industria y Turismo,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SERGIO DIAZGRANADOS GUIDA.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685"/>
      <w:footerReference w:type="default" r:id="eId8686"/>
      <w:type w:val="continuous"/>
    </w:sectPr>
  </w:body>
</w:document>
</file>

<file path=word/footer_default_868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68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685" Type="http://schemas.openxmlformats.org/officeDocument/2006/relationships/header" Target="header_default_8685.xml" />
<Relationship Id="id0" Type="http://schemas.openxmlformats.org/officeDocument/2006/relationships/image" Target="img/img_id0.png"/>
<Relationship Id="eId8686" Type="http://schemas.openxmlformats.org/officeDocument/2006/relationships/footer" Target="footer_default_868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68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68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