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797.xml" ContentType="application/vnd.openxmlformats-officedocument.wordprocessingml.header+xml"/>
  <Override PartName="/word/footer_default_879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4832 DE 2007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(diciembre 17)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46.846 de 18 de Diciembre de 2007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COMERCIO, INDUSTRIA Y TURISMO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modifica el Arancel de Aduanas.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de las conferidas por el numeral 25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con sujeción a lo dispuesto en las Leyes </w:t>
      </w:r>
      <w:r>
        <w:fldChar w:fldCharType="begin"/>
      </w:r>
      <w:r>
        <w:instrText>HYPERLINK "http://www.redjurista.com/document.aspx?ajcode=l0006_71&amp;arts=1"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1971 y </w:t>
      </w:r>
      <w:r>
        <w:fldChar w:fldCharType="begin"/>
      </w:r>
      <w:r>
        <w:instrText>HYPERLINK "http://www.redjurista.com/document.aspx?ajcode=l0007_91&amp;arts=1"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1991,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Decreto </w:t>
      </w:r>
      <w:r>
        <w:fldChar w:fldCharType="begin"/>
      </w:r>
      <w:r>
        <w:instrText>HYPERLINK "http://www.redjurista.com/document.aspx?ajcode=d4589006&amp;arts=1"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27 de diciembre de 2006, se adoptó el nuevo Arancel de Aduanas que entró a regir a partir del 1o de enero de 2007;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Sesión 176 del 20 de septiembre de 2007, el Comité de Asuntos Aduaneros, Arancelarios y de Comercio Exterior, recomendó los desdoblamientos de las siguientes subpartidas arancelarias: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-- 2101.11.00.00 correspondiente a extractos, esencias y concentrados de café y preparaciones a base de estos extractos, esencias o concentrados, con el fin de diferenciar los tipos de café liofilizado soluble y atomizado soluble.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-- 3824.90.99.00 correspondiente a los demás productos químicos y preparaciones de la industria química o de las industrias conexas, con el fin de crear una subpartida específica para el producto Biodiésel.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-- 8528.72.00.00 correspondiente a los demás aparatos receptores de televisión, incluso con aparato receptor de radiodifusión o grabación o reproducción de sonido o imagen incorporada en colores, con el fin de crear subpartidas específicas para los televisores por tipo de pantalla, para identificar los diferentes niveles de tecnología utilizada.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-- 9506.62.00.00 que corresponde a balones y pelotas excepto las de golf o tenis de mesa inflables, con el fin de diferenciar los balones y pelotas inflables de PVC para uso recreativo, de los demás balones deportivos,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6346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26346"/>
      <w:r>
        <w:rPr>
          <w:rFonts w:hAnsi="Arial"/>
          <w:rFonts w:ascii="Arial"/>
          <w:sz w:val="24"/>
          <w:color w:val="black"/>
        </w:rPr>
        <w:t xml:space="preserve"> Desdoblar las siguientes subpartidas arancelarias, las cuales quedarán con el código y descripción que se indica a continuación:</w:t>
      </w:r>
    </w:p>
    <w:p>
      <w:pPr>
        <w:outlineLvl w:val="1"/>
      </w:pPr>
      <w:rPr>
        <w:sz w:val="24"/>
        <w:color w:val="black"/>
      </w:rPr>
    </w:p>
    <w:p>
      <w:pPr>
        <w:outlineLvl w:val="1"/>
        <w:tabs>
          <w:tab w:val="left" w:leader="none" w:pos="2016"/>
        </w:tabs>
      </w:pPr>
      <w:r>
        <w:rPr>
          <w:rFonts w:hAnsi="Arial"/>
          <w:rFonts w:ascii="Arial"/>
          <w:sz w:val="24"/>
          <w:b/>
          <w:color w:val="black"/>
        </w:rPr>
        <w:t>Subpartidaarancelaria</w:t>
        <w:tab/>
        <w:t>Descripción</w:t>
      </w:r>
    </w:p>
    <w:p>
      <w:pPr>
        <w:outlineLvl w:val="1"/>
        <w:tabs>
          <w:tab w:val="left" w:leader="none" w:pos="2016"/>
        </w:tabs>
      </w:pPr>
      <w:r>
        <w:rPr>
          <w:rFonts w:hAnsi="Arial"/>
          <w:rFonts w:ascii="Arial"/>
          <w:sz w:val="24"/>
          <w:color w:val="black"/>
        </w:rPr>
        <w:t xml:space="preserve"/>
        <w:tab/>
        <w:t>-</w:t>
        <w:tab/>
        <w:t>Extractos, esencias y concentrados de café y preparaciones</w:t>
      </w:r>
    </w:p>
    <w:p>
      <w:pPr>
        <w:outlineLvl w:val="1"/>
        <w:tabs>
          <w:tab w:val="left" w:leader="none" w:pos="2016"/>
        </w:tabs>
      </w:pPr>
      <w:r>
        <w:rPr>
          <w:rFonts w:hAnsi="Arial"/>
          <w:rFonts w:ascii="Arial"/>
          <w:sz w:val="24"/>
          <w:color w:val="black"/>
        </w:rPr>
        <w:t xml:space="preserve"/>
        <w:tab/>
        <w:t> a base de estos extractos, esencias o concentrados o a base</w:t>
      </w:r>
    </w:p>
    <w:p>
      <w:pPr>
        <w:outlineLvl w:val="1"/>
        <w:tabs>
          <w:tab w:val="left" w:leader="none" w:pos="2016"/>
        </w:tabs>
      </w:pPr>
      <w:r>
        <w:rPr>
          <w:rFonts w:hAnsi="Arial"/>
          <w:rFonts w:ascii="Arial"/>
          <w:sz w:val="24"/>
          <w:color w:val="black"/>
        </w:rPr>
        <w:t xml:space="preserve"/>
        <w:tab/>
        <w:t>de café: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2101.11.00</w:t>
        <w:tab/>
        <w:t/>
        <w:tab/>
        <w:t>--</w:t>
        <w:tab/>
        <w:t>Extractos, esencias y concentrados: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 10</w:t>
        <w:tab/>
        <w:t/>
        <w:tab/>
        <w:t>---</w:t>
        <w:tab/>
        <w:t>Café soluble liofilizado, con granulometría de 2.0 – 3.00 mm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  90</w:t>
        <w:tab/>
        <w:t/>
        <w:tab/>
        <w:t>---</w:t>
        <w:tab/>
        <w:t>Los demás</w:t>
      </w:r>
    </w:p>
    <w:p>
      <w:pPr>
        <w:outlineLvl w:val="1"/>
        <w:tabs>
          <w:tab w:val="left" w:leader="none" w:pos="2016"/>
          <w:tab w:val="left" w:leader="none" w:pos="1728"/>
        </w:tabs>
      </w:pPr>
      <w:rPr>
        <w:sz w:val="24"/>
        <w:color w:val="black"/>
      </w:rP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3824.90.99</w:t>
        <w:tab/>
        <w:t/>
        <w:tab/>
        <w:t>---</w:t>
        <w:tab/>
        <w:t>Los demás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 30</w:t>
        <w:tab/>
        <w:t/>
        <w:tab/>
        <w:t>----</w:t>
        <w:tab/>
        <w:t>“Biodiésel”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 90</w:t>
        <w:tab/>
        <w:t/>
        <w:tab/>
        <w:t>----</w:t>
        <w:tab/>
        <w:t>Los demás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8528.72.00</w:t>
        <w:tab/>
        <w:t/>
        <w:tab/>
        <w:t>--</w:t>
        <w:tab/>
        <w:t>Los demás, en colores: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 10</w:t>
        <w:tab/>
        <w:t/>
        <w:tab/>
        <w:t>---</w:t>
        <w:tab/>
        <w:t>De tubos catódicos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 20</w:t>
        <w:tab/>
        <w:t/>
        <w:tab/>
        <w:t>---</w:t>
        <w:tab/>
        <w:t>De pantalla de plasma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 30</w:t>
        <w:tab/>
        <w:t/>
        <w:tab/>
        <w:t>---</w:t>
        <w:tab/>
        <w:t>De pantalla de cristal líquido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 90</w:t>
        <w:tab/>
        <w:t/>
        <w:tab/>
        <w:t>---</w:t>
        <w:tab/>
        <w:t>Los demás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>9506.62.00</w:t>
        <w:tab/>
        <w:t/>
        <w:tab/>
        <w:t>--</w:t>
        <w:tab/>
        <w:t>Inflables: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10</w:t>
        <w:tab/>
        <w:t/>
        <w:tab/>
        <w:t>---</w:t>
        <w:tab/>
        <w:t>De fútbol, incluido el americano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20</w:t>
        <w:tab/>
        <w:t/>
        <w:tab/>
        <w:t>---</w:t>
        <w:tab/>
        <w:t>De basquetbol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30</w:t>
        <w:tab/>
        <w:t/>
        <w:tab/>
        <w:t>---</w:t>
        <w:tab/>
        <w:t>De voleibol</w:t>
      </w:r>
    </w:p>
    <w:p>
      <w:pPr>
        <w:outlineLvl w:val="1"/>
        <w:tabs>
          <w:tab w:val="left" w:leader="none" w:pos="2016"/>
          <w:tab w:val="left" w:leader="none" w:pos="1728"/>
        </w:tabs>
      </w:pPr>
      <w:r>
        <w:rPr>
          <w:rFonts w:hAnsi="Arial"/>
          <w:rFonts w:ascii="Arial"/>
          <w:sz w:val="24"/>
          <w:color w:val="black"/>
        </w:rPr>
        <w:t xml:space="preserve">                    90</w:t>
        <w:tab/>
        <w:t/>
        <w:tab/>
        <w:t>---</w:t>
        <w:tab/>
        <w:t>Las demás</w:t>
      </w:r>
    </w:p>
    <w:p>
      <w:pPr>
        <w:outlineLvl w:val="1"/>
      </w:pPr>
      <w:rPr>
        <w:color w:val="black"/>
      </w:rPr>
    </w:p>
    <w:p>
      <w:pPr>
        <w:outlineLvl w:val="1"/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6347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26347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modifica en lo pertinente el artículo </w:t>
      </w:r>
      <w:r>
        <w:fldChar w:fldCharType="begin"/>
      </w:r>
      <w:r>
        <w:instrText>HYPERLINK "http://www.redjurista.com/document.aspx?ajcode=d4589006&amp;arts=1"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Decrete 4589 de 2006.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17 de diciembre de 2007.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OSCAR IVÁN ZULUAGA ESCOBAR.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Comercio, Industria y Turismo,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LUIS GUILLERMO PLATA PÁEZ.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797"/>
      <w:footerReference w:type="default" r:id="eId8798"/>
      <w:type w:val="continuous"/>
    </w:sectPr>
  </w:body>
</w:document>
</file>

<file path=word/footer_default_879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79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797" Type="http://schemas.openxmlformats.org/officeDocument/2006/relationships/header" Target="header_default_8797.xml" />
<Relationship Id="id0" Type="http://schemas.openxmlformats.org/officeDocument/2006/relationships/image" Target="img/img_id0.png"/>
<Relationship Id="eId8798" Type="http://schemas.openxmlformats.org/officeDocument/2006/relationships/footer" Target="footer_default_879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79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79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