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833.xml" ContentType="application/vnd.openxmlformats-officedocument.wordprocessingml.header+xml"/>
  <Override PartName="/word/footer_default_8834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DIRECTIVA PRESIDENCIAL 2 DE 2020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(marzo 12)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51.254 de 12 de marzo 2020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PRESIDENCIA DE LA REPÚBLICA</w:t>
      </w:r>
    </w:p>
    <w:tbl>
      <w:tblGrid>
        <w:gridCol w:w="1280"/>
        <w:gridCol w:w="7540"/>
      </w:tblGrid>
      <w:tblPr>
        <w:tblW w:w="8838" w:type="dxa"/>
        <w:tblBorders/>
      </w:tblPr>
      <w:tr>
        <w:trPr/>
        <w:tc>
          <w:tcPr>
            <w:tcW w:w="1282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b/>
                <w:color w:val="black"/>
              </w:rPr>
              <w:t>PARA:</w:t>
            </w:r>
          </w:p>
        </w:tc>
        <w:tc>
          <w:tcPr>
            <w:tcW w:w="7556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ORGANISMOS y ENTIDADES DE LA RAMA EJECUTIVA DEL ORDEN NACIONAL Y TERRITORIAL </w:t>
              <w:br w:type="textWrapping"/>
              <w:t/>
            </w:r>
          </w:p>
        </w:tc>
      </w:tr>
      <w:tr>
        <w:trPr/>
        <w:tc>
          <w:tcPr>
            <w:tcW w:w="1282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b/>
                <w:color w:val="black"/>
              </w:rPr>
              <w:t>DE:</w:t>
            </w:r>
          </w:p>
        </w:tc>
        <w:tc>
          <w:tcPr>
            <w:tcW w:w="7556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PRESIDENTE DE LA REPÚBLICA </w:t>
              <w:br w:type="textWrapping"/>
              <w:t/>
            </w:r>
          </w:p>
        </w:tc>
      </w:tr>
      <w:tr>
        <w:trPr/>
        <w:tc>
          <w:tcPr>
            <w:tcW w:w="1282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b/>
                <w:color w:val="black"/>
              </w:rPr>
              <w:t>ASUNTO:</w:t>
            </w:r>
          </w:p>
        </w:tc>
        <w:tc>
          <w:tcPr>
            <w:tcW w:w="7556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MEDIDAS PARA ATENDER LA CONTINGENCIA GENERADA POR EL COVID-19, A PARTIR DEL USO DE LAS TECNOLOGÍAS DE LA INFORMACIÓN Y LAS TELECOMUNICACIONES (TIC) </w:t>
              <w:br w:type="textWrapping"/>
              <w:t/>
            </w:r>
          </w:p>
        </w:tc>
      </w:tr>
      <w:tr>
        <w:trPr/>
        <w:tc>
          <w:tcPr>
            <w:tcW w:w="1282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b/>
                <w:color w:val="black"/>
              </w:rPr>
              <w:t>FECHA</w:t>
            </w:r>
          </w:p>
        </w:tc>
        <w:tc>
          <w:tcPr>
            <w:tcW w:w="7556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12 DE MARZO DE 2020</w:t>
            </w:r>
          </w:p>
        </w:tc>
      </w:tr>
    </w:tbl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Como mecanismo de contingencia en relación con los posibles impactos en la salud de las personas que pueda generar el COVID-19 -antes coronavirus-, declarado el 11 de marzo de 2020 por la Organización Mundial de la Salud (OMS) como una pandemia, y con el propósito de garantizar la prestación del servicio público, se imparten las siguientes directrices: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 xml:space="preserve">1. TRABAJO EN CASA POR MEDIO DEL USO DE LAS TIC </w:t>
      </w:r>
    </w:p>
    <w:p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Como medida preventiva de carácter temporal y extraordinario, y hasta que se supere la emergencia sanitaria decretada mediante la Resolución </w:t>
      </w:r>
      <w:r>
        <w:fldChar w:fldCharType="begin"/>
      </w:r>
      <w:r>
        <w:instrText>HYPERLINK "http://www.redjurista.com/document.aspx?ajcode=r_msps_0385_2020&amp;arts=INICIO"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385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12 de marzo de 2020, “por medio de la cual se declara emergencia sanitaria por causa del coronavirus COVID-19 y se adoptan medidas para hacer frente al virus” por el Ministerio de Salud y Protección Social, los organismos y entidades de la Rama Ejecutiva del orden nacional deberán revisar las condiciones particulares de salud de los servidores públicos, así como las funciones y actividades que desarrollan, con el fin de adoptar mecanismos que permitan su cumplimiento desde la casa. Para ello, se podrá acudir a las tecnologías de la información y las comunicaciones, sin que esto constituya la modalidad de teletrabajo, de conformidad con lo previsto en el numeral 4 del artículo </w:t>
      </w:r>
      <w:r>
        <w:fldChar w:fldCharType="begin"/>
      </w:r>
      <w:r>
        <w:instrText>HYPERLINK "http://www.redjurista.com/document.aspx?ajcode=l1221008&amp;arts=6"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1221 de 2008, “por la cual se establecen normas para promover y regular el teletrabajo y se dictan otras disposiciones”</w:t>
      </w:r>
      <w:r>
        <w:fldChar w:fldCharType="begin"/>
      </w:r>
      <w:r>
        <w:instrText>HYPERLINK "http://www.redjurista.com/document.aspx?ajcode=dir_presidencia_0002_2020&amp;arts=NF1"</w:instrText>
      </w:r>
      <w:r>
        <w:fldChar w:fldCharType="separate"/>
      </w:r>
      <w:r>
        <w:rPr>
          <w:rFonts w:hAnsi="Arial"/>
          <w:rFonts w:ascii="Arial"/>
          <w:sz w:val="24"/>
          <w:b/>
          <w:vertAlign w:val="superscript"/>
          <w:u w:val="single"/>
          <w:color w:val="black"/>
        </w:rPr>
        <w:t>(1)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. </w:t>
      </w:r>
    </w:p>
    <w:p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 xml:space="preserve">2. USO DE HERRAMIENTAS COLABORATIVAS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2.1. Minimizar las reuniones presenciales de grupo, y cuando sea necesario realizarlas, propender por reuniones virtuales mediante el uso de las tecnologías de la información y las comunicaciones.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2.2. Acudir a canales virtuales institucionales, transmisiones en vivo y redes sociales, para realizar conversatorios, foros, congresos o cualquier tipo de evento masivo.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2.3. Usar las herramientas tecnológicas para comunicarse, el acuerdo marco de precios de nube pública vigente, trabajo colaborativo y telepresencial –videoconferencia–, para evitar el uso, impresión y manipulación de papel.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2.4. Adoptar las acciones que sean necesarias para que los trámites que realicen los ciudadanos se adelanten dándole prioridad a los medios digitales.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2.5. Hacer uso de herramientas como e-learning, portales de conocimiento, redes sociales y plataformas colaborativas, para adelantar los procesos de capacitación y formación que sean inaplazables.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El uso de las tecnologías de la información y telecomunicaciones deberá garantizar el cumplimiento de los lineamientos establecidos en materia de ciberseguridad por la entidad y con sujeción a la legislación vigente en materia de habeas data.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Por último, se invita a todas las entidades territoriales para que dentro de sus competencias, acojan las directrices del presente acto administrativo. 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IVÁN DUQUE MÁRQUEZ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16"/>
          <w:b/>
          <w:color w:val="black"/>
        </w:rPr>
        <w:t xml:space="preserve">NOTAS AL FINAL</w:t>
      </w:r>
    </w:p>
    <w:p>
      <w:pPr>
        <w:jc w:val="both"/>
      </w:pPr>
      <w:rPr>
        <w:sz w:val="16"/>
        <w:b/>
        <w:color w:val="black"/>
      </w:rPr>
    </w:p>
    <w:p>
      <w:pPr>
        <w:jc w:val="both"/>
      </w:pPr>
      <w:r>
        <w:rPr>
          <w:rFonts w:hAnsi="Arial"/>
          <w:rFonts w:ascii="Arial"/>
          <w:sz w:val="16"/>
          <w:b/>
          <w:vanish/>
          <w:color w:val="black"/>
        </w:rPr>
        <w:t>&amp;$</w:t>
      </w:r>
      <w:bookmarkStart w:id="126981" w:name="NF1"/>
      <w:r>
        <w:rPr>
          <w:rFonts w:hAnsi="Arial"/>
          <w:rFonts w:ascii="Arial"/>
          <w:sz w:val="16"/>
          <w:color w:val="navy"/>
        </w:rPr>
        <w:t>1.</w:t>
      </w:r>
      <w:bookmarkEnd w:id="126981"/>
      <w:r>
        <w:rPr>
          <w:rFonts w:hAnsi="Arial"/>
          <w:rFonts w:ascii="Arial"/>
          <w:sz w:val="16"/>
          <w:b/>
          <w:color w:val="black"/>
        </w:rPr>
        <w:t xml:space="preserve"> Artículo 6. “Garantías laborales, sindicales y de seguridad social para los teletrabajadores. [...] 4. Una persona que tenga la condición de asalariado no se considerará teletrabajador por el mero hecho de realizar ocasionalmente su trabajo como asalariado en su domicilio o en lugar distinto de los locales de trabajo del empleador, en vez de realizarlo en su lugar de trabajo habitual. [...]”.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8833"/>
      <w:footerReference w:type="default" r:id="eId8834"/>
      <w:type w:val="continuous"/>
    </w:sectPr>
  </w:body>
</w:document>
</file>

<file path=word/footer_default_8834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8833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16"/>
    <w:b/>
    <w:vanish/>
    <w:color w:val="black"/>
  </w:rPr>
  <w:rPr>
    <w:rFonts w:hAnsi="Arial"/>
    <w:rFonts w:ascii="Arial"/>
    <w:sz w:val="16"/>
    <w:color w:val="navy"/>
  </w:rPr>
</w:styles>
</file>

<file path=word/_rels/document.xml.rels><?xml version="1.0" encoding="UTF-8" standalone="yes"?><Relationships xmlns="http://schemas.openxmlformats.org/package/2006/relationships">
<Relationship Id="eId8833" Type="http://schemas.openxmlformats.org/officeDocument/2006/relationships/header" Target="header_default_8833.xml" />
<Relationship Id="id0" Type="http://schemas.openxmlformats.org/officeDocument/2006/relationships/image" Target="img/img_id0.png"/>
<Relationship Id="eId8834" Type="http://schemas.openxmlformats.org/officeDocument/2006/relationships/footer" Target="footer_default_8834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83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833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