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120.xml" ContentType="application/vnd.openxmlformats-officedocument.wordprocessingml.header+xml"/>
  <Override PartName="/word/footer_default_1112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991 DE 2001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(junio 1)</w:t>
      </w:r>
    </w:p>
    <w:p>
      <w:pPr>
        <w:jc w:val="center"/>
        <w:outlineLvl w:val="1"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&lt;Fuente: Archivo interno entidad emisora&gt;</w:t>
      </w:r>
    </w:p>
    <w:p>
      <w:pPr>
        <w:jc w:val="center"/>
        <w:outlineLvl w:val="1"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keepNext/>
        <w:outlineLvl w:val="1"/>
      </w:pPr>
      <w:rPr>
        <w:sz w:val="24"/>
        <w:color w:val="gray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prohíbe el uso de harinas de carne, de sangre, de hueso (vaporizadas), de carne y hueso y de despojos de mamíferos para la alimentación de rumiantes</w:t>
      </w:r>
    </w:p>
    <w:p>
      <w:pPr>
        <w:jc w:val="both"/>
      </w:pPr>
      <w:rPr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 xml:space="preserve">EL SECRETARIO GENERAL DEL INSTITUTO COLOMBIANO AGROPECUARIO ICA</w:t>
      </w:r>
    </w:p>
    <w:p>
      <w:pPr>
        <w:jc w:val="center"/>
        <w:keepNext/>
        <w:outlineLvl w:val="1"/>
      </w:pPr>
      <w:rPr>
        <w:sz w:val="24"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las conferidas en los Decretos No. </w:t>
      </w:r>
      <w:r>
        <w:fldChar w:fldCharType="begin"/>
      </w:r>
      <w:r>
        <w:instrText>HYPERLINK "http://www.redjurista.com/document.aspx?ajcode=d2141_92&amp;arts=0"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"http://www.redjurista.com/document.aspx?ajcode=d2645_93&amp;arts=0"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 y </w:t>
      </w:r>
      <w:r>
        <w:fldChar w:fldCharType="begin"/>
      </w:r>
      <w:r>
        <w:instrText>HYPERLINK "http://www.redjurista.com/document.aspx?ajcode=d1840_94&amp;arts=0"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Resolución </w:t>
      </w:r>
      <w:r>
        <w:fldChar w:fldCharType="begin"/>
      </w:r>
      <w:r>
        <w:instrText>HYPERLINK "http://www.redjurista.com/document.aspx?ajcode=rsg0447&amp;arts=0"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de la Comunidad Andina y Resolución No. 0</w:t>
      </w:r>
      <w:r>
        <w:fldChar w:fldCharType="begin"/>
      </w:r>
      <w:r>
        <w:instrText>HYPERLINK "http://www.redjurista.com/document.aspx?ajcode=r_ica_0964_2001&amp;arts=0"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 </w:t>
      </w:r>
    </w:p>
    <w:p>
      <w:pPr>
        <w:jc w:val="center"/>
        <w:keepNext/>
        <w:outlineLvl w:val="1"/>
      </w:pPr>
      <w:rPr>
        <w:sz w:val="24"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>CONSIDERANDO</w:t>
      </w:r>
    </w:p>
    <w:p>
      <w:pPr>
        <w:jc w:val="both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 responsabilidad del Instituto Colombiano Agropecuario ICA proteger la sanidad agropecuaria del país a fin de prevenir la introducción y propagación de enfermedades que puedan afectar la ganadería nacional y ejercer el control técnico de los Insumos Pecuarios que se importen, exporten, produzcan, comercialicen y utilicen en el territorio nacional, a fin de minimizar los riesgos para la salud humana, la sanidad animal y el medio ambiente.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Encefalopatía Espongiforme Bovina - EEB no ha sido registrada hasta la fecha en Colombia, por lo tanto es catalogada como una enfermedad exótica al territorio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las harinas de carne, de sangre, de hueso vaporizadas, de carne y hueso y de despojos de mamíferos son ingredientes proteicos utilizados en la elaboración de alimentos balanceados y suplementos para la alimentación de rumiantes.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a nivel internacional existen evidencias de que las harinas de carne, de sangre, de hueso vaporizadas, de carne y hueso y de despojos de mamíferos utilizadas en la alimentación de rumiantes, son material de riesgo para la transmisión de la EEB.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Organización Mundial de la Salud OMS, la Oficina Internacional de Epizootias OIE, la Organización de las Naciones Unidas para la Agricultura y la Alimentación FAO, recomiendan prohibir el uso de las harinas de carne, de sangre, de hueso vaporizadas de carne y hueso y de despojos de mamíferos en la alimentación de rumiantes dentro de las estrategias para prevención de la EE3.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las harinas de carne, de sangre, de hueso vaporizadas, de carne y hueso y despojos de mamíferos pueden ser sustituidas por otras materias primas para la formulación de alimentos balanceados y suplementos para la alimentación de rumiantes.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las harinas de hueso calcinadas o también denominadas cenizas de hueso obtenidas mediante el método de calcinación elimina la posibilidad que las mismas presenten proteínas y por lo tanto, no constituyen riesgo para la transmisión de la Encefalopatía Espongiforme Bovina, EEB.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 necesario que el ICA tome las medidas preventivas necesarias para minimizar los posibles riesgos de ingreso y transmisión de la EEB.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938" w:name="1"/>
      <w:r>
        <w:rPr>
          <w:rFonts w:hAnsi="Arial"/>
          <w:rFonts w:ascii="Arial"/>
          <w:sz w:val="24"/>
          <w:color w:val="navy"/>
        </w:rPr>
        <w:t xml:space="preserve">ARTÍCULO PRIMERO.</w:t>
      </w:r>
      <w:bookmarkEnd w:id="155938"/>
      <w:r>
        <w:rPr>
          <w:rFonts w:hAnsi="Arial"/>
          <w:rFonts w:ascii="Arial"/>
          <w:sz w:val="24"/>
          <w:color w:val="black"/>
        </w:rPr>
        <w:t xml:space="preserve"> Prohibir el uso de harinas de carne, de sangre, de hueso vaporizadas, de carne y hueso y de despojos de mamíferos nacionales o importadas, en la formulación de alimentos, sales mineralizadas para rumiantes y en la elaboración de abonos o fertilizantes.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PARÁGRAFO:</w:t>
      </w:r>
      <w:r>
        <w:rPr>
          <w:rFonts w:hAnsi="Arial"/>
          <w:rFonts w:ascii="Arial"/>
          <w:sz w:val="24"/>
          <w:color w:val="black"/>
        </w:rPr>
        <w:t xml:space="preserve"> Los productores comerciales y para autoconsumo de alimentos y suplementos para animales deben establecer las siguientes medidas para prevenir la contaminación cruzada: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a. Aplicar y mantener documentadas las medidas de limpieza y desinfección establecidas en el manual para Buenas Prácticas de Fabricación de Alimentos (BPFA), antes de la elaboración de cualquier lote de alimentos y suplementos con destino a rumiantes.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b. Almacenar en forma separada las harinas de carne, de sangre, de hueso vaporizadas, de carne y hueso y de despojos de mamíferos, así como los alimentos que las contengan, de cualquier otra materia prima y de los alimentos y suplementos con destino a rumiantes.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c. No reutilizar empaques que hayan contenido harinas de carne, de sangre, de hueso vaporizadas de carne y hueso y de despojos de mamíferos. ni de alimentos que las contengan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d. Mantener documentados los procedimientos para producción, almacenamiento y distribución de las harinas de carne, de sangre, de hueso vaporizadas, de carne y hueso y de despojos de mamíferos, así como de los alimentos que las contengan, por lo menos durante ocho años.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e. Mantener registros de recepción, procesamiento y uso de las harinas de carne, de sangre, de hueso vaporizadas, de carne y hueso y de despojos de mamíferos, así como de los alimentos que las contengan, por lo menos durante ocho años.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288"/>
        </w:tabs>
      </w:pPr>
      <w:r>
        <w:rPr>
          <w:rFonts w:hAnsi="Arial"/>
          <w:rFonts w:ascii="Arial"/>
          <w:sz w:val="24"/>
          <w:color w:val="black"/>
        </w:rPr>
        <w:t xml:space="preserve">f. Las demás medidas que el ICA considere necesarias, para prevenir la contaminación cruzada.</w:t>
      </w:r>
    </w:p>
    <w:p>
      <w:pPr>
        <w:jc w:val="both"/>
        <w:outlineLvl w:val="1"/>
        <w:tabs>
          <w:tab w:val="left" w:leader="none" w:pos="288"/>
        </w:tabs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939" w:name="2"/>
      <w:r>
        <w:rPr>
          <w:rFonts w:hAnsi="Arial"/>
          <w:rFonts w:ascii="Arial"/>
          <w:sz w:val="24"/>
          <w:color w:val="navy"/>
        </w:rPr>
        <w:t xml:space="preserve">ARTÍCULO SEGUNDO.</w:t>
      </w:r>
      <w:bookmarkEnd w:id="155939"/>
      <w:r>
        <w:rPr>
          <w:rFonts w:hAnsi="Arial"/>
          <w:rFonts w:ascii="Arial"/>
          <w:sz w:val="24"/>
          <w:color w:val="black"/>
        </w:rPr>
        <w:t xml:space="preserve"> Los productores comerciales y para autoconsumo que utilicen cenizas de hueso calcinadas para la fabricación de alimentos y sales mineralizadas para rumiantes, además de cumplir con lo establecido en el Parágrafo del Artículo anterior, deben mantener y suministrar la siguiente información y documentos:</w:t>
      </w:r>
    </w:p>
    <w:p>
      <w:pPr>
        <w:jc w:val="both"/>
        <w:outlineLvl w:val="1"/>
        <w:tabs>
          <w:tab w:val="left" w:leader="none" w:pos="43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a. Nombre del proveedor</w:t>
      </w: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b. Volumen de compra</w:t>
      </w: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c. Procedencia del hueso</w:t>
      </w:r>
    </w:p>
    <w:p>
      <w:pPr>
        <w:jc w:val="both"/>
        <w:outlineLvl w:val="1"/>
        <w:tabs>
          <w:tab w:val="left" w:leader="none" w:pos="432"/>
        </w:tabs>
      </w:pPr>
      <w:r>
        <w:rPr>
          <w:rFonts w:hAnsi="Arial"/>
          <w:rFonts w:ascii="Arial"/>
          <w:sz w:val="24"/>
          <w:color w:val="black"/>
        </w:rPr>
        <w:t xml:space="preserve">d. Presentar resultado de análisis que demuestre que las cenizas de hueso no contienen proteína.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55940" w:name="TERCERO"/>
      <w:r>
        <w:rPr>
          <w:rFonts w:hAnsi="Arial"/>
          <w:rFonts w:ascii="Arial"/>
          <w:sz w:val="24"/>
          <w:color w:val="navy"/>
        </w:rPr>
        <w:t xml:space="preserve">ARTÍCULO TERCERO.</w:t>
      </w:r>
      <w:bookmarkEnd w:id="155940"/>
      <w:r>
        <w:rPr>
          <w:rFonts w:hAnsi="Arial"/>
          <w:rFonts w:ascii="Arial"/>
          <w:sz w:val="24"/>
          <w:color w:val="black"/>
        </w:rPr>
        <w:t xml:space="preserve"> Las harinas de carne, de sangre, de hueso vaporizadas, de carne y hueso y de despojos de mamíferos que se importen deben proceder de países libres de la Encefalopatía Espongiforme Bovina, EEB y que adicionalmente demuestren esa condición con base en las directrices establecidas por la OIE.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PRIMERO.</w:t>
      </w:r>
      <w:r>
        <w:rPr>
          <w:rFonts w:hAnsi="Arial"/>
          <w:rFonts w:ascii="Arial"/>
          <w:sz w:val="24"/>
          <w:color w:val="black"/>
        </w:rPr>
        <w:t xml:space="preserve"> El país de origen deberá demostrar la existencia y funcionamiento de un sistema continuo de vigilancia, específico para la EEB establecido oficialmente. Igualmente deberá contar con la prohibición de importación de bovinos y sus productos de países afectados.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SEGUNDO.</w:t>
      </w:r>
      <w:r>
        <w:rPr>
          <w:rFonts w:hAnsi="Arial"/>
          <w:rFonts w:ascii="Arial"/>
          <w:sz w:val="24"/>
          <w:color w:val="black"/>
        </w:rPr>
        <w:t xml:space="preserve"> En cualquier caso, el ICA evaluará la situación del país de origen con respecto a la EEB.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941" w:name="4"/>
      <w:r>
        <w:rPr>
          <w:rFonts w:hAnsi="Arial"/>
          <w:rFonts w:ascii="Arial"/>
          <w:sz w:val="24"/>
          <w:color w:val="navy"/>
        </w:rPr>
        <w:t xml:space="preserve">ARTÍCULO CUARTO.</w:t>
      </w:r>
      <w:bookmarkEnd w:id="155941"/>
      <w:r>
        <w:rPr>
          <w:rFonts w:hAnsi="Arial"/>
          <w:rFonts w:ascii="Arial"/>
          <w:sz w:val="24"/>
          <w:color w:val="black"/>
        </w:rPr>
        <w:t xml:space="preserve"> Las harinas de carne, de sangre, de hueso vaporizadas, de carne y hueso y de despojos de mamíferos que se importen o produzcan deben ser elaboradas mediante procesos que garanticen temperaturas de 133° C, presiones de 3 bares ó 43.5 libras de presión por pulgada cuadrada (PSI), por lo menos durante 20 minutos o cualquier otro procedimiento que inactive los agentes causantes de la EEB.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942" w:name="5"/>
      <w:r>
        <w:rPr>
          <w:rFonts w:hAnsi="Arial"/>
          <w:rFonts w:ascii="Arial"/>
          <w:sz w:val="24"/>
          <w:color w:val="navy"/>
        </w:rPr>
        <w:t xml:space="preserve">ARTÍCULO QUINTO.</w:t>
      </w:r>
      <w:bookmarkEnd w:id="155942"/>
      <w:r>
        <w:rPr>
          <w:rFonts w:hAnsi="Arial"/>
          <w:rFonts w:ascii="Arial"/>
          <w:sz w:val="24"/>
          <w:color w:val="black"/>
        </w:rPr>
        <w:t xml:space="preserve"> Las harinas de carne, de sangre, de hueso vaporizadas, de carne y hueso y de despojos de mamíferos nacionales e importadas y los alimentos que las contengan, deben tener impreso en el empaque la leyenda </w:t>
      </w:r>
      <w:r>
        <w:rPr>
          <w:rFonts w:hAnsi="Arial"/>
          <w:rFonts w:ascii="Arial"/>
          <w:sz w:val="24"/>
          <w:b/>
          <w:color w:val="black"/>
        </w:rPr>
        <w:t xml:space="preserve">"PROHIBIDO SU USO EN LA </w:t>
      </w:r>
      <w:r>
        <w:rPr>
          <w:rFonts w:hAnsi="Arial"/>
          <w:rFonts w:ascii="Arial"/>
          <w:sz w:val="24"/>
          <w:color w:val="black"/>
        </w:rPr>
        <w:t xml:space="preserve">ALIMENTACIÓN DE RUMIANTES". Esta leyenda debe ser visible por su tamaño y color.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5943" w:name="6"/>
      <w:r>
        <w:rPr>
          <w:rFonts w:hAnsi="Arial"/>
          <w:rFonts w:ascii="Arial"/>
          <w:sz w:val="24"/>
          <w:color w:val="navy"/>
        </w:rPr>
        <w:t xml:space="preserve">ARTÍCULO SEXTO.</w:t>
      </w:r>
      <w:bookmarkEnd w:id="155943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expedición y deroga la Resolución </w:t>
      </w:r>
      <w:r>
        <w:fldChar w:fldCharType="begin"/>
      </w:r>
      <w:r>
        <w:instrText>HYPERLINK "http://www.redjurista.com/document.aspx?ajcode=r_ica_0347_2001&amp;arts=0"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marzo 6 de 2001.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PUBLÍQUESE, COMUNÍQUESE Y CÚMPLASE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 D.C., a los 01 JUN. 2001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ANTONIO F. SÁNCHEZ C.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Secretario General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1120"/>
      <w:footerReference w:type="default" r:id="eId11121"/>
      <w:type w:val="continuous"/>
    </w:sectPr>
  </w:body>
</w:document>
</file>

<file path=word/footer_default_1112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112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1120" Type="http://schemas.openxmlformats.org/officeDocument/2006/relationships/header" Target="header_default_11120.xml" />
<Relationship Id="id0" Type="http://schemas.openxmlformats.org/officeDocument/2006/relationships/image" Target="img/img_id0.png"/>
<Relationship Id="eId11121" Type="http://schemas.openxmlformats.org/officeDocument/2006/relationships/footer" Target="footer_default_1112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12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12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