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1200.xml" ContentType="application/vnd.openxmlformats-officedocument.wordprocessingml.header+xml"/>
  <Override PartName="/word/footer_default_1120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keepNext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1022 DE 1999</w:t>
      </w:r>
    </w:p>
    <w:p>
      <w:pPr>
        <w:jc w:val="center"/>
        <w:keepNext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(junio 3)</w:t>
      </w:r>
    </w:p>
    <w:p>
      <w:pPr>
        <w:jc w:val="center"/>
        <w:keepNext/>
        <w:tabs>
          <w:tab w:val="left" w:leader="none" w:pos="8840"/>
        </w:tabs>
      </w:pPr>
      <w:r>
        <w:rPr>
          <w:rFonts w:hAnsi="Arial"/>
          <w:rFonts w:ascii="Arial"/>
          <w:sz w:val="24"/>
          <w:color w:val="black"/>
        </w:rPr>
        <w:t xml:space="preserve">&lt;Fuente: Archivo interno entidad emisora&gt;</w:t>
      </w:r>
    </w:p>
    <w:p>
      <w:pPr>
        <w:jc w:val="center"/>
        <w:keepNext/>
        <w:tabs>
          <w:tab w:val="left" w:leader="none" w:pos="8840"/>
        </w:tabs>
      </w:pPr>
      <w:rPr>
        <w:sz w:val="24"/>
        <w:color w:val="black"/>
      </w:rPr>
    </w:p>
    <w:p>
      <w:pPr>
        <w:jc w:val="center"/>
        <w:keepNext/>
      </w:pPr>
      <w:r>
        <w:rPr>
          <w:rFonts w:hAnsi="Arial"/>
          <w:rFonts w:ascii="Arial"/>
          <w:sz w:val="24"/>
          <w:color w:val="gray"/>
        </w:rPr>
        <w:t xml:space="preserve">INSTITUTO COLOMBIANO AGROPECUARIO –ICA</w:t>
      </w:r>
    </w:p>
    <w:p>
      <w:pPr>
        <w:jc w:val="both"/>
        <w:keepNext/>
      </w:pPr>
      <w:rPr>
        <w:sz w:val="24"/>
        <w:color w:val="black"/>
      </w:rPr>
    </w:p>
    <w:p>
      <w:pPr>
        <w:jc w:val="center"/>
        <w:keepNext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"http://www.redjurista.com/document.aspx?ajcode=r_ica_0676_2015&amp;arts=7"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676 de 2015&gt; </w:t>
      </w:r>
    </w:p>
    <w:p>
      <w:pPr>
        <w:jc w:val="both"/>
        <w:keepNext/>
      </w:pPr>
      <w:rPr>
        <w:sz w:val="24"/>
        <w:color w:val="black"/>
      </w:rPr>
    </w:p>
    <w:p>
      <w:pPr>
        <w:jc w:val="center"/>
        <w:keepNext/>
      </w:pPr>
      <w:r>
        <w:rPr>
          <w:rFonts w:hAnsi="Arial"/>
          <w:rFonts w:ascii="Arial"/>
          <w:sz w:val="24"/>
          <w:color w:val="black"/>
        </w:rPr>
        <w:t xml:space="preserve">Por la cual se establecen medidas sanitarias para la prevención y control de la Influenza Equina y de la Anemia Infecciosa Equina</w:t>
      </w:r>
    </w:p>
    <w:p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–ICA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especial, de las que le confieren los Decretos </w:t>
      </w:r>
      <w:r>
        <w:fldChar w:fldCharType="begin"/>
      </w:r>
      <w:r>
        <w:instrText>HYPERLINK "http://www.redjurista.com/document.aspx?ajcode=d2645_93&amp;arts=0"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2645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1993 y </w:t>
      </w:r>
      <w:r>
        <w:fldChar w:fldCharType="begin"/>
      </w:r>
      <w:r>
        <w:instrText>HYPERLINK "http://www.redjurista.com/document.aspx?ajcode=d1840_94&amp;arts=0"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ICA es el organismo encargado de velar por la salud animal del país.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necesario establecer algunos controles sanitarios para prevenir la presentación y difusión de estas enfermedades.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se ha establecido un convenio de cooperación en materia de sanidad equina entre el Instituto Colombiano Agropecuario ICA, y la principal representante de los caballistas del país, la Federación Nacional de Asociaciones Equinas FEDEQUINAS, para la prevención de la Influenza Equina y la Anemia Infecciosa Equina.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156304" w:name="1"/>
      <w:r>
        <w:rPr>
          <w:rFonts w:hAnsi="Arial"/>
          <w:rFonts w:ascii="Arial"/>
          <w:sz w:val="24"/>
          <w:color w:val="navy"/>
        </w:rPr>
        <w:t xml:space="preserve">ARTÍCULO PRIMERO.</w:t>
      </w:r>
      <w:bookmarkEnd w:id="156304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"http://www.redjurista.com/document.aspx?ajcode=r_ica_0676_2015&amp;arts=7"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676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Con el fin de prevenir eventuales epidemias de Influenza Equina, el ICA exigirá como requisito para la prevención en remates, exposiciones y competencias ecuestres, la vacunación vigente contra Influenza Equina.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PRIMERO.</w:t>
      </w:r>
      <w:r>
        <w:rPr>
          <w:rFonts w:hAnsi="Arial"/>
          <w:rFonts w:ascii="Arial"/>
          <w:sz w:val="24"/>
          <w:color w:val="black"/>
        </w:rPr>
        <w:t xml:space="preserve"> El período de validez del certificado de vacunación será de un (1) año.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SEGUNDO.</w:t>
      </w:r>
      <w:r>
        <w:rPr>
          <w:rFonts w:hAnsi="Arial"/>
          <w:rFonts w:ascii="Arial"/>
          <w:sz w:val="24"/>
          <w:color w:val="black"/>
        </w:rPr>
        <w:t xml:space="preserve"> El ICA autorizará y controlará la importación y comercialización del biológico.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TERCERO.</w:t>
      </w:r>
      <w:r>
        <w:rPr>
          <w:rFonts w:hAnsi="Arial"/>
          <w:rFonts w:ascii="Arial"/>
          <w:sz w:val="24"/>
          <w:b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No se admitirá en los mencionados eventos la participación de équidos con menos de catorce (14) días de vacunados.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156305" w:name="2"/>
      <w:r>
        <w:rPr>
          <w:rFonts w:hAnsi="Arial"/>
          <w:rFonts w:ascii="Arial"/>
          <w:sz w:val="24"/>
          <w:color w:val="navy"/>
        </w:rPr>
        <w:t xml:space="preserve">ARTÍCULO SEGUNDO.</w:t>
      </w:r>
      <w:bookmarkEnd w:id="156305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"http://www.redjurista.com/document.aspx?ajcode=r_ica_0676_2015&amp;arts=7"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676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Para la realización de ferias, exposiciones, remates de équidos y competencias ecuestres, etc., se exigirá como requisito la presentación de resultados de laboratorio negativos a Anemia Infecciosa Equina expedidos directamente por el ICA o por Laboratorios autorizados por este Instituto.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PRIMERO.</w:t>
      </w:r>
      <w:r>
        <w:rPr>
          <w:rFonts w:hAnsi="Arial"/>
          <w:rFonts w:ascii="Arial"/>
          <w:sz w:val="24"/>
          <w:b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El certificado negativo a la prueba diagnóstica de Anemia Infecciosa Equina tendrá validez de ciento veinte (120) días calendario.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SEGUNDO.</w:t>
      </w:r>
      <w:r>
        <w:rPr>
          <w:rFonts w:hAnsi="Arial"/>
          <w:rFonts w:ascii="Arial"/>
          <w:sz w:val="24"/>
          <w:b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Para el caso de importación o exportación de équidos, la validez del certificado de la prueba será de treinta (30) días.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156306" w:name="3"/>
      <w:r>
        <w:rPr>
          <w:rFonts w:hAnsi="Arial"/>
          <w:rFonts w:ascii="Arial"/>
          <w:sz w:val="24"/>
          <w:color w:val="navy"/>
        </w:rPr>
        <w:t xml:space="preserve">ARTÍCULO TERCERO.</w:t>
      </w:r>
      <w:bookmarkEnd w:id="156306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"http://www.redjurista.com/document.aspx?ajcode=r_ica_0676_2015&amp;arts=7"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676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Todo recinto donde se celebren eventos que impliquen concentración de équidos deberá tener licencia de funcionamiento otorgada por el ICA de conformidad con las disposiciones legales vigentes.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156307" w:name="4"/>
      <w:r>
        <w:rPr>
          <w:rFonts w:hAnsi="Arial"/>
          <w:rFonts w:ascii="Arial"/>
          <w:sz w:val="24"/>
          <w:color w:val="navy"/>
        </w:rPr>
        <w:t xml:space="preserve">ARTÍCULO CUARTO.</w:t>
      </w:r>
      <w:bookmarkEnd w:id="156307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"http://www.redjurista.com/document.aspx?ajcode=r_ica_0676_2015&amp;arts=7"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676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Los funcionarios del ICA que están en la obligación de hacer cumplir las disposiciones de la presente Resolución, gozarán en el desempeño de sus labores, del amparo y protección de las autoridades civiles y militares, y tendrán carácter de inspectores de policía sanitaria, al tenor de los establecido en el Artículo </w:t>
      </w:r>
      <w:r>
        <w:fldChar w:fldCharType="begin"/>
      </w:r>
      <w:r>
        <w:instrText>HYPERLINK "http://www.redjurista.com/document.aspx?ajcode=d1840_94&amp;arts=14"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1840 de 1994.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156308" w:name="5"/>
      <w:r>
        <w:rPr>
          <w:rFonts w:hAnsi="Arial"/>
          <w:rFonts w:ascii="Arial"/>
          <w:sz w:val="24"/>
          <w:color w:val="navy"/>
        </w:rPr>
        <w:t xml:space="preserve">ARTÍCULO QUINTO.</w:t>
      </w:r>
      <w:bookmarkEnd w:id="156308"/>
      <w:r>
        <w:rPr>
          <w:rFonts w:hAnsi="Arial"/>
          <w:rFonts w:ascii="Arial"/>
          <w:sz w:val="24"/>
          <w:b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"http://www.redjurista.com/document.aspx?ajcode=r_ica_0676_2015&amp;arts=7"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676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Las violaciones a las normas establecidas en la presente Resolución serán sancionadas mediante Resolución motivadas que expida el ICA, de conformidad con el Artículo </w:t>
      </w:r>
      <w:r>
        <w:fldChar w:fldCharType="begin"/>
      </w:r>
      <w:r>
        <w:instrText>HYPERLINK "http://www.redjurista.com/document.aspx?ajcode=d1840_94&amp;arts=17"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1840 de 1994.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156309" w:name="6"/>
      <w:r>
        <w:rPr>
          <w:rFonts w:hAnsi="Arial"/>
          <w:rFonts w:ascii="Arial"/>
          <w:sz w:val="24"/>
          <w:color w:val="navy"/>
        </w:rPr>
        <w:t xml:space="preserve">ARTÍCULO SEXTO.</w:t>
      </w:r>
      <w:bookmarkEnd w:id="156309"/>
      <w:r>
        <w:rPr>
          <w:rFonts w:hAnsi="Arial"/>
          <w:rFonts w:ascii="Arial"/>
          <w:sz w:val="24"/>
          <w:b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presente resolución rige a partir de la fecha de su publicación en el Diario Oficial y deroga la Resolución </w:t>
      </w:r>
      <w:r>
        <w:fldChar w:fldCharType="begin"/>
      </w:r>
      <w:r>
        <w:instrText>HYPERLINK "http://www.redjurista.com/document.aspx?ajcode=r_ica_0141_1998&amp;arts=0"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junio 11 de 1998.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Santafé de Bogotá, a 3 Junio de 1999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ALVARO ABISAMBRA ABISAMBRA,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Gerente General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1200"/>
      <w:footerReference w:type="default" r:id="eId11201"/>
      <w:type w:val="continuous"/>
    </w:sectPr>
  </w:body>
</w:document>
</file>

<file path=word/footer_default_1120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120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1200" Type="http://schemas.openxmlformats.org/officeDocument/2006/relationships/header" Target="header_default_11200.xml" />
<Relationship Id="id0" Type="http://schemas.openxmlformats.org/officeDocument/2006/relationships/image" Target="img/img_id0.png"/>
<Relationship Id="eId11201" Type="http://schemas.openxmlformats.org/officeDocument/2006/relationships/footer" Target="footer_default_1120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120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120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