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868.xml" ContentType="application/vnd.openxmlformats-officedocument.wordprocessingml.header+xml"/>
  <Override PartName="/word/footer_default_1186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1414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(mayo 26)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Diario Oficial No. 46.284 de 30 de mayo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9907 de 2024&gt; 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Por la cual se establece el registro ante el ICA, de productores de camarón y de peces para consumo humano con destino a la exportación.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LA GERENTE GENERAL ENCARGADA DEL INSTITUTO COLOMBIANO AGROPECUARIO, ICA,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uso de sus atribuciones legales y estatutarias, en especial las conferidas por la Ley </w:t>
      </w:r>
      <w:r>
        <w:fldChar w:fldCharType="begin"/>
      </w:r>
      <w:r>
        <w:instrText>HYPERLINK "http://www.redjurista.com/document.aspx?ajcode=l0101_93&amp;arts=1"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1993, los Decretos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la Resolución </w:t>
      </w:r>
      <w:r>
        <w:fldChar w:fldCharType="begin"/>
      </w:r>
      <w:r>
        <w:instrText>HYPERLINK "http://www.redjurista.com/document.aspx?ajcode=r_ica_0116_2006&amp;arts=1"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y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Gobierno Nacional mediante el Decreto </w:t>
      </w:r>
      <w:r>
        <w:fldChar w:fldCharType="begin"/>
      </w:r>
      <w:r>
        <w:instrText>HYPERLINK "http://www.redjurista.com/document.aspx?ajcode=d1293003&amp;arts=1"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21 de mayo de 2003, dispuso la liquidación del INPA, por lo cual el ICA retomó mediante el Acuerdo número </w:t>
      </w:r>
      <w:r>
        <w:fldChar w:fldCharType="begin"/>
      </w:r>
      <w:r>
        <w:instrText>HYPERLINK "http://www.redjurista.com/document.aspx?ajcode=a_ica_0005_2003&amp;arts=1"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00005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18 de junio de 2003 del Consejo Directivo del ICA, las funciones delegadas al INPA;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le corresponde como Misión al ICA contribuir al desarrollo agropecuario sostenible, mediante la prevención, control y disminución de problemas y riesgos sanitarios, biológicos y químicos que afecten la producción agropecuaria y la salud del hombre, y la capacidad nacional de oferta agroalimentaria y agroindustrial en condiciones de rentabilidad, menor deterioro ambiental y competitividad;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de acuerdo con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 y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el ICA es responsable de ejercer acciones de sanidad agropecuaria y el control técnico de las importaciones, exportaciones, manufactura, comercialización y uso de los insumos agropecuarios destinados a proteger la producción agropecuaria nacional y a minimizar los riesgos alimentarios y ambientales que provengan del empleo de los mismos y a facilitar el acceso de los productos nacionales al mercado internacional;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Colombia requiere asegurar que los productos pecuarios que se exporten cumplan con los estándares sanitarios y de inocuidad que requieran los países importadores;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necesario establecer las condiciones sanitarias óptimas, de manejo de insumos agropecuarios y de infraestructura que deben cumplir las explotaciones pecuarias cuyos animales o productos se destinen a la exportación;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de acuerdo con el Decreto 1840 de 1994, artículos </w:t>
      </w:r>
      <w:r>
        <w:fldChar w:fldCharType="begin"/>
      </w:r>
      <w:r>
        <w:instrText>HYPERLINK "http://www.redjurista.com/document.aspx?ajcode=d1840_94&amp;arts=6"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"http://www.redjurista.com/document.aspx?ajcode=d1840_94&amp;arts=7"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es responsabilidad del ICA expedir y aplicar normas para el control técnico en la producción y exportación de productos y subproductos agropecuarios; certificar la calidad sanitaria de las exportaciones de animales y sus productos cuando sea requerida; asegurar y regular la inocuidad de los alimentos no procesados de origen animal en su fase de producción primaria; inspeccionar y aplicar cualquier otra medida zoosanitaria en animales y sus productos con destino a exportación y mantener un sistema de vigilancia zoosanitaria;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de acuerdo con el literal a) del artículo </w:t>
      </w:r>
      <w:r>
        <w:fldChar w:fldCharType="begin"/>
      </w:r>
      <w:r>
        <w:instrText>HYPERLINK "http://www.redjurista.com/document.aspx?ajcode=d1840_94&amp;arts=9"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1840 de 1994, corresponde al ICA determinar los requisitos para el registro de las personas que usan y aplican insumos agropecuarios;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virtud de lo anterior,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044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El objeto de esta resolución es establecer el registro ante el ICA, de los productores de camarón y de peces para consumo humano que se destinan a la exportación. 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2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OBJETIVOS.</w:t>
      </w:r>
      <w:bookmarkEnd w:id="16044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Son objetivos específicos de la presente resolución: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a) Establecer el registro de los productores de camarón y peces para consumo humano que se destinan a la exportación, como medida para la prevención, vigilancia y control de riesgos químicos y biológicos en la producción primaria, que puedan afectar la salud humana y animal, y la competitividad de los productos de la acuicultura en el comercio internacional;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b) Contribuir al aseguramiento de la sanidad de los animales e inocuidad de los productos que se obtengan en la producción camaronícola y piscícola, en su fase de producción primaria.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6044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Toda persona natural o jurídica que se dedique a la producción de camarón y de peces para consumo humano con destino a la exportación, debe registrarse en el ICA para lo cual debe presentar la solicitud acompañada de la siguiente información: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a) Nombre y apellidos del propietario o representante legal, cédula de ciudadanía o NIT, dirección y teléfono;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b) Nombres, apellidos y matrícula del profesional responsable del manejo sanitario de la explotación;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c) Nombre de la finca o predio;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d) Ubicación geográfica (departamento, municipio, vereda);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e) Especies cultivadas;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f) Fases de producción que se desarrollan en la explotación;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g) Copia vigente del acto administrativo del Instituto Colombiano de Desarrollo Rural, Incoder, que otorga el permiso para el ejercicio de la actividad acuícola.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4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6044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Toda persona dedicada a la producción del camarón y de peces para consumo humano con destino a la exportación, deben cumplir con las siguientes obligaciones: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1. Debe contar con la asistencia técnica de un profesional universitario con formación académica relacionada con el manejo técnico y sanitario de las explotaciones acuícolas.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2. Disponer de los resultados de diagnósticos efectuados a las especies cultivadas, derivados de los problemas sanitarios que se presenten.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3. Disponer de registros del uso de medicamentos veterinarios, alimentos para animales y de los insumos agropecuarios empleados en la explotación, al igual que de los parámetros productivos; los cuales deben conservarse mínimo por dos años.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4. Utilizar exclusivamente medicamentos veterinarios, biológicos y otros insumos agropecuarios registrados ante el ICA.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5. Participar en el Plan Nacional de Control de Residuos de Medicamentos Veterinarios en las especies acuícolas.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6. Disponer de un programa documentado de manejo de desechos sólidos y líquidos, y cumplir con los requerimientos de tratamiento de aguas residuales exigidos por la autoridad ambiental competente.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7. Disponer de un programa documentado de bioseguridad o adoptar un protocolo sectorial de bioseguridad desarrollado por un centro de reconocida idoneidad en este campo.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8. Informar al ICA de manera inmediata sobre cualquier cambio de los requisitos que dieron lugar a la expedición del registro.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5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6044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prescripción de los medicamentos veterinarios y otras sustancias químicas empleadas para la prevención, tratamiento y control de las enfermedades de los animales, deberá ser efectuada por un Médico Veterinario o Médico Veterinario Zootecnista de conformidad con el parágrafo del artículo </w:t>
      </w:r>
      <w:r>
        <w:fldChar w:fldCharType="begin"/>
      </w:r>
      <w:r>
        <w:instrText>HYPERLINK "http://www.redjurista.com/document.aspx?ajcode=l0073_85&amp;arts=3"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73 de 1985, y el artículo </w:t>
      </w:r>
      <w:r>
        <w:fldChar w:fldCharType="begin"/>
      </w:r>
      <w:r>
        <w:instrText>HYPERLINK "http://www.redjurista.com/document.aspx?ajcode=l0576000&amp;arts=60"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576 de 2000. Las personas responsables de los predios en mención deberán conservar copia de dicha prescripción.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6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6044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El registro de que trata la presente resolución será expedido mediante Resolución motivada de la Subgerencia de Producción y Regulación Pecuaria del ICA y su vigencia será de carácter indefinido, sin perjuicio de su cancelación por violación a las normas que rigen la materia.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7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6044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La solicitud de registro de productores de camarón y de peces para consumo humano con destino a exportación se tramitará por conducto de las respectivas Seccionales del ICA en el país.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8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6044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El ICA llevará a cabo mínimo dos visitas de auditoría al año, a las fincas o predios inscritos a efectos de comprobar el cumplimiento de lo establecido en la presente Resolución. De dichas auditorías se levantarán actas suscritas por las partes.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49" w:name="9"/>
      <w:r>
        <w:rPr>
          <w:rFonts w:hAnsi="Arial"/>
          <w:rFonts w:ascii="Arial"/>
          <w:sz w:val="24"/>
          <w:color w:val="navy"/>
        </w:rPr>
        <w:t xml:space="preserve">ARTÍCULO 9o.</w:t>
      </w:r>
      <w:bookmarkEnd w:id="16044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"http://www.redjurista.com/document.aspx?ajcode=r_ica_9907_2024&amp;arts=0"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9907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La violación a las disposiciones previstas en esta resolución serán sancionadas de acuerdo con el Decreto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1994. Los funcionarios del ICA, para efectos de la presente resolución tienen el carácter y funciones de policía sanitaria y gozan del amparo de las autoridades civiles y militares.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50" w:name="10"/>
      <w:r>
        <w:rPr>
          <w:rFonts w:hAnsi="Arial"/>
          <w:rFonts w:ascii="Arial"/>
          <w:sz w:val="24"/>
          <w:color w:val="navy"/>
        </w:rPr>
        <w:t xml:space="preserve">ARTÍCULO 10.</w:t>
      </w:r>
      <w:bookmarkEnd w:id="160450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</w:t>
      </w:r>
      <w:r>
        <w:rPr>
          <w:rFonts w:hAnsi="Arial"/>
          <w:rFonts w:ascii="Arial"/>
          <w:sz w:val="24"/>
          <w:color w:val="black"/>
        </w:rPr>
        <w:t>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Comuníquese, publíquese y cúmplase.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Dada en Bogotá, D. C., a 26 de mayo de 2006.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La Gerente General encargada,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MARÍA TERESA GONZÁLEZ JARAMILLO.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868"/>
      <w:footerReference w:type="default" r:id="eId11869"/>
      <w:type w:val="continuous"/>
    </w:sectPr>
  </w:body>
</w:document>
</file>

<file path=word/footer_default_1186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1186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1868" Type="http://schemas.openxmlformats.org/officeDocument/2006/relationships/header" Target="header_default_11868.xml" />
<Relationship Id="id0" Type="http://schemas.openxmlformats.org/officeDocument/2006/relationships/image" Target="img/img_id0.png"/>
<Relationship Id="eId11869" Type="http://schemas.openxmlformats.org/officeDocument/2006/relationships/footer" Target="footer_default_1186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86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86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