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632.xml" ContentType="application/vnd.openxmlformats-officedocument.wordprocessingml.header+xml"/>
  <Override PartName="/word/footer_default_136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outlineLvl w:val="1"/>
      </w:pPr>
      <w:r>
        <w:rPr>
          <w:rFonts w:hAnsi="Arial"/>
          <w:rFonts w:ascii="Arial"/>
          <w:sz w:val="24"/>
          <w:b/>
          <w:vanish/>
          <w:color w:val="gray"/>
        </w:rPr>
        <w:t>&amp;&amp;</w:t>
      </w:r>
      <w:r>
        <w:rPr>
          <w:rFonts w:hAnsi="Arial"/>
          <w:rFonts w:ascii="Arial"/>
          <w:sz w:val="24"/>
          <w:b/>
          <w:color w:val="gray"/>
        </w:rPr>
        <w:t xml:space="preserve">RESOLUCION 3164 DE 2005</w:t>
      </w:r>
    </w:p>
    <w:p>
      <w:pPr>
        <w:jc w:val="center"/>
        <w:keepNext/>
        <w:outlineLvl w:val="1"/>
        <w:tabs>
          <w:tab w:val="center" w:leader="none" w:pos="576"/>
          <w:tab w:val="left" w:leader="none" w:pos="1152"/>
        </w:tabs>
      </w:pPr>
      <w:r>
        <w:rPr>
          <w:rFonts w:hAnsi="Arial"/>
          <w:rFonts w:ascii="Arial"/>
          <w:sz w:val="24"/>
          <w:color w:val="black"/>
        </w:rPr>
        <w:t xml:space="preserve">(noviembre 9)</w:t>
      </w:r>
    </w:p>
    <w:p>
      <w:pPr>
        <w:jc w:val="center"/>
        <w:keepNext/>
        <w:outlineLvl w:val="1"/>
        <w:tabs>
          <w:tab w:val="center" w:leader="none" w:pos="576"/>
          <w:tab w:val="left" w:leader="none" w:pos="1152"/>
        </w:tabs>
      </w:pPr>
      <w:r>
        <w:rPr>
          <w:rFonts w:hAnsi="Arial"/>
          <w:rFonts w:ascii="Arial"/>
          <w:sz w:val="24"/>
          <w:color w:val="black"/>
        </w:rPr>
        <w:t xml:space="preserve">Diario Oficial No. 46.089 de 11 de noviembre de 2005</w:t>
      </w:r>
    </w:p>
    <w:p>
      <w:pPr>
        <w:jc w:val="center"/>
        <w:keepNext/>
        <w:outlineLvl w:val="1"/>
        <w:tabs>
          <w:tab w:val="center" w:leader="none" w:pos="576"/>
          <w:tab w:val="left" w:leader="none" w:pos="1152"/>
        </w:tabs>
      </w:pPr>
      <w:rPr>
        <w:sz w:val="24"/>
        <w:color w:val="black"/>
      </w:rPr>
    </w:p>
    <w:p>
      <w:pPr>
        <w:jc w:val="center"/>
        <w:keepNext/>
        <w:outlineLvl w:val="1"/>
        <w:tabs>
          <w:tab w:val="center" w:leader="none" w:pos="576"/>
          <w:tab w:val="left" w:leader="none" w:pos="1152"/>
        </w:tabs>
      </w:pPr>
      <w:r>
        <w:rPr>
          <w:rFonts w:hAnsi="Arial"/>
          <w:rFonts w:ascii="Arial"/>
          <w:sz w:val="24"/>
          <w:color w:val="gray"/>
        </w:rPr>
        <w:t xml:space="preserve">INSTITUTO COLOMBIANO AGROPECUARIO</w:t>
      </w:r>
    </w:p>
    <w:p>
      <w:pPr>
        <w:jc w:val="center"/>
        <w:keepNext/>
        <w:outlineLvl w:val="1"/>
        <w:tabs>
          <w:tab w:val="center" w:leader="none" w:pos="576"/>
          <w:tab w:val="left" w:leader="none" w:pos="1152"/>
        </w:tabs>
      </w:pPr>
      <w:rPr>
        <w:sz w:val="24"/>
        <w:color w:val="black"/>
      </w:rPr>
    </w:p>
    <w:p>
      <w:pPr>
        <w:jc w:val="center"/>
        <w:keepNext/>
        <w:outlineLvl w:val="1"/>
        <w:tabs>
          <w:tab w:val="center" w:leader="none" w:pos="576"/>
          <w:tab w:val="left" w:leader="none" w:pos="1152"/>
        </w:tabs>
      </w:pPr>
      <w:r>
        <w:rPr>
          <w:rFonts w:hAnsi="Arial"/>
          <w:rFonts w:ascii="Arial"/>
          <w:sz w:val="24"/>
          <w:color w:val="gray"/>
        </w:rPr>
        <w:t xml:space="preserve">&lt;NOTA DE VIGENCIA: Derogada por la Resolución 3901 de 2005&gt;</w:t>
      </w:r>
    </w:p>
    <w:p>
      <w:pPr>
        <w:jc w:val="center"/>
        <w:keepNext/>
        <w:outlineLvl w:val="1"/>
        <w:tabs>
          <w:tab w:val="center" w:leader="none" w:pos="576"/>
          <w:tab w:val="left" w:leader="none" w:pos="1152"/>
        </w:tabs>
      </w:pPr>
      <w:rPr>
        <w:sz w:val="24"/>
        <w:color w:val="black"/>
      </w:rPr>
    </w:p>
    <w:p>
      <w:pPr>
        <w:jc w:val="center"/>
        <w:keepNext/>
        <w:outlineLvl w:val="1"/>
        <w:tabs>
          <w:tab w:val="center" w:leader="none" w:pos="576"/>
          <w:tab w:val="left" w:leader="none" w:pos="1152"/>
        </w:tabs>
      </w:pPr>
      <w:r>
        <w:rPr>
          <w:rFonts w:hAnsi="Arial"/>
          <w:rFonts w:ascii="Arial"/>
          <w:sz w:val="24"/>
          <w:color w:val="black"/>
        </w:rPr>
        <w:t xml:space="preserve">Por medio de la cual se establece la situación sanitaria en las diferentes zonas del país en relación con la fiebre aftosa.</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"http://www.redjurista.com/document.aspx?ajcode=r_ica_1779_2001&amp;arts=1"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w:t>
      </w:r>
      <w:r>
        <w:rPr>
          <w:rFonts w:hAnsi="Arial"/>
          <w:rFonts w:ascii="Arial"/>
          <w:sz w:val="24"/>
          <w:i/>
          <w:u w:val="none"/>
          <w:color w:val="black"/>
        </w:rPr>
        <w:t xml:space="preserve">por el cual se reglamenta la Ley </w:t>
      </w:r>
      <w:r>
        <w:fldChar w:fldCharType="begin"/>
      </w:r>
      <w:r>
        <w:instrText>HYPERLINK "http://www.redjurista.com/document.aspx?ajcode=l0395_97&amp;arts=1"</w:instrText>
      </w:r>
      <w:r>
        <w:fldChar w:fldCharType="separate"/>
      </w:r>
      <w:r>
        <w:rPr>
          <w:rFonts w:hAnsi="Arial"/>
          <w:rFonts w:ascii="Arial"/>
          <w:sz w:val="24"/>
          <w:i/>
          <w:u w:val="single"/>
          <w:color w:val="black"/>
        </w:rPr>
        <w:t>395</w:t>
      </w:r>
      <w:r>
        <w:fldChar w:fldCharType="end"/>
      </w:r>
      <w:r>
        <w:rPr>
          <w:rFonts w:hAnsi="Arial"/>
          <w:rFonts w:ascii="Arial"/>
          <w:sz w:val="24"/>
          <w:i/>
          <w:u w:val="none"/>
          <w:color w:val="black"/>
        </w:rPr>
        <w:t xml:space="preserve"> de 1997,</w:t>
      </w:r>
      <w:r>
        <w:rPr>
          <w:rFonts w:hAnsi="Arial"/>
          <w:rFonts w:ascii="Arial"/>
          <w:sz w:val="24"/>
          <w:u w:val="none"/>
          <w:color w:val="black"/>
        </w:rPr>
        <w:t xml:space="preserve">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 de fiebre aftosa se requiere definir la situación sanitaria de las diferentes zonas del país, acorde con normas internacionales sobre la materia,</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24" w:name="1"/>
      <w:r>
        <w:rPr>
          <w:rFonts w:hAnsi="Arial"/>
          <w:rFonts w:ascii="Arial"/>
          <w:sz w:val="24"/>
          <w:color w:val="navy"/>
        </w:rPr>
        <w:t xml:space="preserve">ARTÍCULO 1o. </w:t>
      </w:r>
      <w:r>
        <w:rPr>
          <w:rFonts w:hAnsi="Arial"/>
          <w:rFonts w:ascii="Arial"/>
          <w:sz w:val="24"/>
          <w:i/>
          <w:color w:val="navy"/>
        </w:rPr>
        <w:t>OBJETO.</w:t>
      </w:r>
      <w:bookmarkEnd w:id="171224"/>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Esta resolución tiene por objeto establecer la situación sanitaria en las diferentes zonas del país en relación con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25" w:name="2"/>
      <w:r>
        <w:rPr>
          <w:rFonts w:hAnsi="Arial"/>
          <w:rFonts w:ascii="Arial"/>
          <w:sz w:val="24"/>
          <w:color w:val="navy"/>
        </w:rPr>
        <w:t xml:space="preserve">ARTÍCULO 2o.</w:t>
      </w:r>
      <w:bookmarkEnd w:id="171225"/>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Para efectos de la presente resolución se establecen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sin vacunación: Es aquella reconocida oficialmente por la Organización Mundial de Sanidad Animal (OIE)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sin vacunación, reconocida internamente: Es aquella zona del país, donde el ICA nunca ha detectado presencia de Fiebre Aftosa, cuenta con adecuada Vigilancia Epidemiológica, no se vacuna y no se ha presentado a la Organización Mundial de Sanidad Animal (OIE) para certificación como libre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de vigilancia de la zona libre de Fiebre Aftosa sin vacunación: Es aquella donde está comprobada la ausencia del virus de la fiebre aftosa, no está sometida a programas de vacunación y separa la zona libre sin vacunación de la zona libre con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con vacunación: Es aquella reconocida oficialmente por la OIE que cumple con los requisitos sanitarios previstos en el Código Zoosanitario Internacional,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Tapón o de Protección de la zona libre de Fiebre Aftosa con vacunación: Es aquella donde no está comprobada la ausencia de virus de la fiebre aftosa; se vacuna masivamente y bajo calendario contra la enfermedad. Su función es proteger y separar las zonas libres de la enfermedad de las zonas no reconocidas como libres.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endémica de Fiebre Aftosa: Es aquella que no reúne las condiciones necesarias para ser reconocida zona libre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SIN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26" w:name="3"/>
      <w:r>
        <w:rPr>
          <w:rFonts w:hAnsi="Arial"/>
          <w:rFonts w:ascii="Arial"/>
          <w:sz w:val="24"/>
          <w:color w:val="navy"/>
        </w:rPr>
        <w:t xml:space="preserve">ARTÍCULO 3o.</w:t>
      </w:r>
      <w:bookmarkEnd w:id="171226"/>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Zona libre de Fiebre Aftosa sin Vacunación es la conformada por los siguientes municipios de la zona norte del departamento del Chocó y los que dentro de estos llegaren a crearse:</w:t>
      </w:r>
    </w:p>
    <w:tbl>
      <w:tblGrid>
        <w:gridCol w:w="2260"/>
        <w:gridCol w:w="4860"/>
      </w:tblGrid>
      <w:tblPr>
        <w:tblW w:w="7137" w:type="dxa"/>
        <w:tblBorders/>
      </w:tblPr>
      <w:tr>
        <w:trPr/>
        <w:tc>
          <w:tcPr>
            <w:tcW w:w="2267" w:type="dxa"/>
            <w:tcMar/>
            <w:tcBorders/>
          </w:tcPr>
          <w:p>
            <w:pPr>
              <w:jc w:val="both"/>
              <w:jc w:val="center"/>
            </w:pPr>
            <w:r>
              <w:rPr>
                <w:rFonts w:hAnsi="Arial"/>
                <w:rFonts w:ascii="Arial"/>
                <w:sz w:val="24"/>
                <w:color w:val="black"/>
              </w:rPr>
              <w:t/>
              <w:br w:type="textWrapping"/>
              <w:t>DEPARTAMENTO</w:t>
            </w:r>
          </w:p>
        </w:tc>
        <w:tc>
          <w:tcPr>
            <w:tcW w:w="4870" w:type="dxa"/>
            <w:tcMar/>
            <w:tcBorders/>
          </w:tcPr>
          <w:p>
            <w:pPr>
              <w:jc w:val="both"/>
            </w:pPr>
            <w:r>
              <w:rPr>
                <w:rFonts w:hAnsi="Arial"/>
                <w:rFonts w:ascii="Arial"/>
                <w:sz w:val="24"/>
                <w:color w:val="black"/>
              </w:rPr>
              <w:t/>
              <w:br w:type="textWrapping"/>
              <w:t>MUNICIPIOS</w:t>
            </w:r>
          </w:p>
        </w:tc>
      </w:tr>
      <w:tr>
        <w:trPr/>
        <w:tc>
          <w:tcPr>
            <w:tcW w:w="2267" w:type="dxa"/>
            <w:tcMar/>
            <w:tcBorders/>
          </w:tcPr>
          <w:p>
            <w:pPr>
              <w:jc w:val="both"/>
              <w:jc w:val="center"/>
            </w:pPr>
            <w:r>
              <w:rPr>
                <w:rFonts w:hAnsi="Arial"/>
                <w:rFonts w:ascii="Arial"/>
                <w:sz w:val="24"/>
                <w:color w:val="black"/>
              </w:rPr>
              <w:t/>
              <w:br w:type="textWrapping"/>
              <w:t>Chocó</w:t>
            </w:r>
          </w:p>
        </w:tc>
        <w:tc>
          <w:tcPr>
            <w:tcW w:w="4870" w:type="dxa"/>
            <w:tcMar/>
            <w:tcBorders/>
          </w:tcPr>
          <w:p>
            <w:pPr>
              <w:jc w:val="both"/>
              <w:jc w:val="center"/>
            </w:pPr>
            <w:r>
              <w:rPr>
                <w:rFonts w:hAnsi="Arial"/>
                <w:rFonts w:ascii="Arial"/>
                <w:sz w:val="24"/>
                <w:color w:val="black"/>
              </w:rPr>
              <w:t xml:space="preserve"/>
              <w:br w:type="textWrapping"/>
              <w:t>Acandí, Bahía Solano, Bojayá, Carmen del Darién (margen izquierda del río Atrato), Juradó, Riosucio (margen izquierda del río Atrato), Unguía.</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71227" w:name="4"/>
      <w:r>
        <w:rPr>
          <w:rFonts w:hAnsi="Arial"/>
          <w:rFonts w:ascii="Arial"/>
          <w:sz w:val="24"/>
          <w:color w:val="navy"/>
        </w:rPr>
        <w:t xml:space="preserve">ARTÍCULO 4o.</w:t>
      </w:r>
      <w:bookmarkEnd w:id="171227"/>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Se establece como zona de vigilancia de la zona libre de fiebre aftosa sin vacunación prevista en el artículo </w:t>
      </w:r>
      <w:r>
        <w:fldChar w:fldCharType="begin"/>
      </w:r>
      <w:r>
        <w:instrText>HYPERLINK "http://www.redjurista.com/document.aspx?ajcode=r_ica_3164_2005&amp;arts=1"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una franja de terreno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Utría en el Océano Pacífico, va hacia el oriente hasta la desembocadura del río Murrí en el río Atrato. Esta zona de vigilancia queda incorporada en parte, al Parque Nacional de Utría, en donde por normas legales no está permitido ningún tipo de explotación de los recursos naturales allí existentes.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SIN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RECONOCIDA INTERNAMENTE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28" w:name="5"/>
      <w:r>
        <w:rPr>
          <w:rFonts w:hAnsi="Arial"/>
          <w:rFonts w:ascii="Arial"/>
          <w:sz w:val="24"/>
          <w:color w:val="navy"/>
        </w:rPr>
        <w:t xml:space="preserve">ARTÍCULO 5o.</w:t>
      </w:r>
      <w:bookmarkEnd w:id="171228"/>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Zona libre de fiebre aftosa sin vacunación reconocida internamente es la conformada por las islas de San Andrés, Providencia, Santa Catalina, Gorgona y Malpelo.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ZONA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29" w:name="6"/>
      <w:r>
        <w:rPr>
          <w:rFonts w:hAnsi="Arial"/>
          <w:rFonts w:ascii="Arial"/>
          <w:sz w:val="24"/>
          <w:color w:val="navy"/>
        </w:rPr>
        <w:t xml:space="preserve">ARTÍCULO 6o.</w:t>
      </w:r>
      <w:bookmarkEnd w:id="171229"/>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Zona libre de fiebre aftosa con vacunación es la conformada por los siguientes departamentos y municipios y los que dentro de estos llegaren a crearse:</w:t>
      </w:r>
    </w:p>
    <w:tbl>
      <w:tblGrid>
        <w:gridCol w:w="2420"/>
        <w:gridCol w:w="4700"/>
      </w:tblGrid>
      <w:tblPr>
        <w:tblW w:w="7128" w:type="dxa"/>
        <w:tblBorders/>
      </w:tblPr>
      <w:tr>
        <w:trPr/>
        <w:tc>
          <w:tcPr>
            <w:tcW w:w="2431" w:type="dxa"/>
            <w:tcMar/>
            <w:tcBorders/>
          </w:tcPr>
          <w:p>
            <w:pPr>
              <w:jc w:val="both"/>
              <w:jc w:val="center"/>
            </w:pPr>
            <w:r>
              <w:rPr>
                <w:rFonts w:hAnsi="Arial"/>
                <w:rFonts w:ascii="Arial"/>
                <w:sz w:val="24"/>
                <w:color w:val="black"/>
              </w:rPr>
              <w:t/>
              <w:br w:type="textWrapping"/>
              <w:t>DEPARTAMENTOS</w:t>
            </w:r>
          </w:p>
        </w:tc>
        <w:tc>
          <w:tcPr>
            <w:tcW w:w="4697" w:type="dxa"/>
            <w:tcMar/>
            <w:tcBorders/>
          </w:tcPr>
          <w:p>
            <w:pPr>
              <w:jc w:val="both"/>
            </w:pPr>
            <w:r>
              <w:rPr>
                <w:rFonts w:hAnsi="Arial"/>
                <w:rFonts w:ascii="Arial"/>
                <w:sz w:val="24"/>
                <w:color w:val="black"/>
              </w:rPr>
              <w:t/>
              <w:br w:type="textWrapping"/>
              <w:t>MUNICIPIOS</w:t>
            </w:r>
          </w:p>
        </w:tc>
      </w:tr>
      <w:tr>
        <w:trPr/>
        <w:tc>
          <w:tcPr>
            <w:tcW w:w="2431" w:type="dxa"/>
            <w:tcMar/>
            <w:tcBorders/>
          </w:tcPr>
          <w:p>
            <w:pPr>
              <w:jc w:val="both"/>
              <w:jc w:val="center"/>
            </w:pPr>
            <w:r>
              <w:rPr>
                <w:rFonts w:hAnsi="Arial"/>
                <w:rFonts w:ascii="Arial"/>
                <w:sz w:val="24"/>
                <w:color w:val="black"/>
              </w:rPr>
              <w:t/>
              <w:br w:type="textWrapping"/>
              <w:t>Amazonas</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Antioquia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Atlántico</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Bolívar</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Boyacá</w:t>
            </w:r>
          </w:p>
        </w:tc>
        <w:tc>
          <w:tcPr>
            <w:tcW w:w="4697" w:type="dxa"/>
            <w:tcMar/>
            <w:tcBorders/>
          </w:tcPr>
          <w:p>
            <w:pPr>
              <w:jc w:val="both"/>
            </w:pPr>
            <w:r>
              <w:rPr>
                <w:rFonts w:hAnsi="Arial"/>
                <w:rFonts w:ascii="Arial"/>
                <w:sz w:val="24"/>
                <w:color w:val="black"/>
              </w:rPr>
              <w:t xml:space="preserve"/>
              <w:br w:type="textWrapping"/>
              <w:t>Puerto Boyacá.</w:t>
            </w:r>
          </w:p>
        </w:tc>
      </w:tr>
      <w:tr>
        <w:trPr/>
        <w:tc>
          <w:tcPr>
            <w:tcW w:w="2431" w:type="dxa"/>
            <w:tcMar/>
            <w:tcBorders/>
          </w:tcPr>
          <w:p>
            <w:pPr>
              <w:jc w:val="both"/>
              <w:jc w:val="center"/>
            </w:pPr>
            <w:r>
              <w:rPr>
                <w:rFonts w:hAnsi="Arial"/>
                <w:rFonts w:ascii="Arial"/>
                <w:sz w:val="24"/>
                <w:color w:val="black"/>
              </w:rPr>
              <w:t/>
              <w:br w:type="textWrapping"/>
              <w:t>Caldas</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Caquetá</w:t>
            </w:r>
          </w:p>
        </w:tc>
        <w:tc>
          <w:tcPr>
            <w:tcW w:w="4697" w:type="dxa"/>
            <w:tcMar/>
            <w:tcBorders/>
          </w:tcPr>
          <w:p>
            <w:pPr>
              <w:jc w:val="both"/>
            </w:pPr>
            <w:r>
              <w:rPr>
                <w:rFonts w:hAnsi="Arial"/>
                <w:rFonts w:ascii="Arial"/>
                <w:sz w:val="24"/>
                <w:color w:val="black"/>
              </w:rPr>
              <w:t/>
              <w:br w:type="textWrapping"/>
              <w:t>Solano.</w:t>
            </w:r>
          </w:p>
        </w:tc>
      </w:tr>
      <w:tr>
        <w:trPr/>
        <w:tc>
          <w:tcPr>
            <w:tcW w:w="2431" w:type="dxa"/>
            <w:tcMar/>
            <w:tcBorders/>
          </w:tcPr>
          <w:p>
            <w:pPr>
              <w:jc w:val="both"/>
              <w:jc w:val="center"/>
            </w:pPr>
            <w:r>
              <w:rPr>
                <w:rFonts w:hAnsi="Arial"/>
                <w:rFonts w:ascii="Arial"/>
                <w:sz w:val="24"/>
                <w:color w:val="black"/>
              </w:rPr>
              <w:t/>
              <w:br w:type="textWrapping"/>
              <w:t>Cesar</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Chocó</w:t>
            </w:r>
          </w:p>
        </w:tc>
        <w:tc>
          <w:tcPr>
            <w:tcW w:w="4697" w:type="dxa"/>
            <w:tcMar/>
            <w:tcBorders/>
          </w:tcPr>
          <w:p>
            <w:pPr>
              <w:jc w:val="both"/>
            </w:pPr>
            <w:r>
              <w:rPr>
                <w:rFonts w:hAnsi="Arial"/>
                <w:rFonts w:ascii="Arial"/>
                <w:sz w:val="24"/>
                <w:color w:val="black"/>
              </w:rPr>
              <w:t xml:space="preserve"/>
              <w:br w:type="textWrapping"/>
              <w:t>Alto Baudó, Atrato, Belén de Bajirá, Bagadó, Bajo Baudó, Cantón de San Pablo, Condoto, El Carmen de Atrato, El Litoral del San Juan, Itsmina, Lloró, Nóvita, Nuquí, Quibdó, Riosucio (margen derecha del río Atrato), San José del Palmar, Sipí, Tadó</w:t>
            </w:r>
          </w:p>
        </w:tc>
      </w:tr>
      <w:tr>
        <w:trPr/>
        <w:tc>
          <w:tcPr>
            <w:tcW w:w="2431" w:type="dxa"/>
            <w:tcMar/>
            <w:tcBorders/>
          </w:tcPr>
          <w:p>
            <w:pPr>
              <w:jc w:val="both"/>
              <w:jc w:val="center"/>
            </w:pPr>
            <w:r>
              <w:rPr>
                <w:rFonts w:hAnsi="Arial"/>
                <w:rFonts w:ascii="Arial"/>
                <w:sz w:val="24"/>
                <w:color w:val="black"/>
              </w:rPr>
              <w:t/>
              <w:br w:type="textWrapping"/>
              <w:t>Córdoba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Cundinamarca</w:t>
            </w:r>
          </w:p>
        </w:tc>
        <w:tc>
          <w:tcPr>
            <w:tcW w:w="4697" w:type="dxa"/>
            <w:tcMar/>
            <w:tcBorders/>
          </w:tcPr>
          <w:p>
            <w:pPr>
              <w:jc w:val="both"/>
            </w:pPr>
            <w:r>
              <w:rPr>
                <w:rFonts w:hAnsi="Arial"/>
                <w:rFonts w:ascii="Arial"/>
                <w:sz w:val="24"/>
                <w:color w:val="black"/>
              </w:rPr>
              <w:t xml:space="preserve"/>
              <w:br w:type="textWrapping"/>
              <w:t>Caparrapí, Guaduas, Puerto Salgar, Yacopí</w:t>
            </w:r>
          </w:p>
        </w:tc>
      </w:tr>
      <w:tr>
        <w:trPr/>
        <w:tc>
          <w:tcPr>
            <w:tcW w:w="2431" w:type="dxa"/>
            <w:tcMar/>
            <w:tcBorders/>
          </w:tcPr>
          <w:p>
            <w:pPr>
              <w:jc w:val="both"/>
              <w:jc w:val="center"/>
            </w:pPr>
            <w:r>
              <w:rPr>
                <w:rFonts w:hAnsi="Arial"/>
                <w:rFonts w:ascii="Arial"/>
                <w:sz w:val="24"/>
                <w:color w:val="black"/>
              </w:rPr>
              <w:t/>
              <w:br w:type="textWrapping"/>
              <w:t>Guainía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xml:space="preserve"/>
              <w:br w:type="textWrapping"/>
              <w:t>La Guajira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Guaviare</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Magdalena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xml:space="preserve"/>
              <w:br w:type="textWrapping"/>
              <w:t>Norte de Santander</w:t>
            </w:r>
          </w:p>
        </w:tc>
        <w:tc>
          <w:tcPr>
            <w:tcW w:w="4697" w:type="dxa"/>
            <w:tcMar/>
            <w:tcBorders/>
          </w:tcPr>
          <w:p>
            <w:pPr>
              <w:jc w:val="both"/>
            </w:pPr>
            <w:r>
              <w:rPr>
                <w:rFonts w:hAnsi="Arial"/>
                <w:rFonts w:ascii="Arial"/>
                <w:sz w:val="24"/>
                <w:color w:val="black"/>
              </w:rPr>
              <w:t xml:space="preserve"/>
              <w:br w:type="textWrapping"/>
              <w:t>Abrego, Cáchira, Convención, El Carmen, Hacarí, La Esperanza, La Playa, Ocaña, San Calixto, Teorama y Villacaro.</w:t>
            </w:r>
          </w:p>
        </w:tc>
      </w:tr>
      <w:tr>
        <w:trPr/>
        <w:tc>
          <w:tcPr>
            <w:tcW w:w="2431" w:type="dxa"/>
            <w:tcMar/>
            <w:tcBorders/>
          </w:tcPr>
          <w:p>
            <w:pPr>
              <w:jc w:val="both"/>
              <w:jc w:val="center"/>
            </w:pPr>
            <w:r>
              <w:rPr>
                <w:rFonts w:hAnsi="Arial"/>
                <w:rFonts w:ascii="Arial"/>
                <w:sz w:val="24"/>
                <w:color w:val="black"/>
              </w:rPr>
              <w:t/>
              <w:br w:type="textWrapping"/>
              <w:t>Quindío</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Risaralda</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Santander</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Sucre</w:t>
            </w:r>
          </w:p>
        </w:tc>
        <w:tc>
          <w:tcPr>
            <w:tcW w:w="4697" w:type="dxa"/>
            <w:tcMar/>
            <w:tcBorders/>
          </w:tcPr>
          <w:p>
            <w:pPr>
              <w:jc w:val="both"/>
            </w:pPr>
            <w:r>
              <w:rPr>
                <w:rFonts w:hAnsi="Arial"/>
                <w:rFonts w:ascii="Arial"/>
                <w:sz w:val="24"/>
                <w:color w:val="black"/>
              </w:rPr>
              <w:t xml:space="preserve"/>
              <w:br w:type="textWrapping"/>
              <w:t>Todo el departamento</w:t>
            </w:r>
          </w:p>
        </w:tc>
      </w:tr>
      <w:tr>
        <w:trPr/>
        <w:tc>
          <w:tcPr>
            <w:tcW w:w="2431" w:type="dxa"/>
            <w:tcMar/>
            <w:tcBorders/>
          </w:tcPr>
          <w:p>
            <w:pPr>
              <w:jc w:val="both"/>
              <w:jc w:val="center"/>
            </w:pPr>
            <w:r>
              <w:rPr>
                <w:rFonts w:hAnsi="Arial"/>
                <w:rFonts w:ascii="Arial"/>
                <w:sz w:val="24"/>
                <w:color w:val="black"/>
              </w:rPr>
              <w:t/>
              <w:br w:type="textWrapping"/>
              <w:t>Tolima</w:t>
            </w:r>
          </w:p>
        </w:tc>
        <w:tc>
          <w:tcPr>
            <w:tcW w:w="4697" w:type="dxa"/>
            <w:tcMar/>
            <w:tcBorders/>
          </w:tcPr>
          <w:p>
            <w:pPr>
              <w:jc w:val="both"/>
            </w:pPr>
            <w:r>
              <w:rPr>
                <w:rFonts w:hAnsi="Arial"/>
                <w:rFonts w:ascii="Arial"/>
                <w:sz w:val="24"/>
                <w:color w:val="black"/>
              </w:rPr>
              <w:t xml:space="preserve"/>
              <w:br w:type="textWrapping"/>
              <w:t>Ambalema, Armero, Casabianca, Falan, Fresno, Herveo, Honda, Lérida, Líbano, Mariquita, Murillo, Palocabildo, Santa Isabel, Venadillo, Villahermosa.</w:t>
            </w:r>
          </w:p>
        </w:tc>
      </w:tr>
      <w:tr>
        <w:trPr/>
        <w:tc>
          <w:tcPr>
            <w:tcW w:w="2431" w:type="dxa"/>
            <w:tcMar/>
            <w:tcBorders/>
          </w:tcPr>
          <w:p>
            <w:pPr>
              <w:jc w:val="both"/>
              <w:jc w:val="center"/>
            </w:pPr>
            <w:r>
              <w:rPr>
                <w:rFonts w:hAnsi="Arial"/>
                <w:rFonts w:ascii="Arial"/>
                <w:sz w:val="24"/>
                <w:color w:val="black"/>
              </w:rPr>
              <w:t>Valle</w:t>
            </w:r>
          </w:p>
        </w:tc>
        <w:tc>
          <w:tcPr>
            <w:tcW w:w="4697" w:type="dxa"/>
            <w:tcMar/>
            <w:tcBorders/>
          </w:tcPr>
          <w:p>
            <w:pPr>
              <w:jc w:val="both"/>
            </w:pPr>
            <w:r>
              <w:rPr>
                <w:rFonts w:hAnsi="Arial"/>
                <w:rFonts w:ascii="Arial"/>
                <w:sz w:val="24"/>
                <w:color w:val="black"/>
              </w:rPr>
              <w:t xml:space="preserve">Alcalá, Anserma Nuevo, Argelia, Caicedonia, Cartago, El Aguila, El Cairo, El Dovio, La Unión, La Victoria, Obando, Roldanillo, Sevilla, Toro, Ulloa, Versalles, Zarzal.</w:t>
            </w:r>
          </w:p>
        </w:tc>
      </w:tr>
      <w:tr>
        <w:trPr/>
        <w:tc>
          <w:tcPr>
            <w:tcW w:w="2431" w:type="dxa"/>
            <w:tcMar/>
            <w:tcBorders/>
          </w:tcPr>
          <w:p>
            <w:pPr>
              <w:jc w:val="both"/>
              <w:jc w:val="center"/>
            </w:pPr>
            <w:r>
              <w:rPr>
                <w:rFonts w:hAnsi="Arial"/>
                <w:rFonts w:ascii="Arial"/>
                <w:sz w:val="24"/>
                <w:color w:val="black"/>
              </w:rPr>
              <w:t>Vaupés</w:t>
            </w:r>
          </w:p>
        </w:tc>
        <w:tc>
          <w:tcPr>
            <w:tcW w:w="4697" w:type="dxa"/>
            <w:tcMar/>
            <w:tcBorders/>
          </w:tcPr>
          <w:p>
            <w:pPr>
              <w:jc w:val="both"/>
            </w:pPr>
            <w:r>
              <w:rPr>
                <w:rFonts w:hAnsi="Arial"/>
                <w:rFonts w:ascii="Arial"/>
                <w:sz w:val="24"/>
                <w:color w:val="black"/>
              </w:rPr>
              <w:t xml:space="preserve">Todo el departamento.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TAPON O DE PROTECCION DE LA ZONA LIBRE </w:t>
        <w:br w:type="textWrapping"/>
        <w:t>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30" w:name="7"/>
      <w:r>
        <w:rPr>
          <w:rFonts w:hAnsi="Arial"/>
          <w:rFonts w:ascii="Arial"/>
          <w:sz w:val="24"/>
          <w:color w:val="navy"/>
        </w:rPr>
        <w:t xml:space="preserve">ARTÍCULO 7o.</w:t>
      </w:r>
      <w:bookmarkEnd w:id="171230"/>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Zona tapón o de protección de la zona libre de fiebre aftosa con vacunación es la conformada por los siguientes departamentos y municipios o los que dentro de estos llegaren a crearse:</w:t>
      </w:r>
    </w:p>
    <w:tbl>
      <w:tblGrid>
        <w:gridCol w:w="2340"/>
        <w:gridCol w:w="4780"/>
      </w:tblGrid>
      <w:tblPr>
        <w:tblW w:w="7128" w:type="dxa"/>
        <w:tblBorders/>
      </w:tblPr>
      <w:tr>
        <w:trPr/>
        <w:tc>
          <w:tcPr>
            <w:tcW w:w="2348" w:type="dxa"/>
            <w:tcMar/>
            <w:tcBorders/>
          </w:tcPr>
          <w:p>
            <w:pPr>
              <w:jc w:val="both"/>
              <w:jc w:val="center"/>
            </w:pPr>
            <w:r>
              <w:rPr>
                <w:rFonts w:hAnsi="Arial"/>
                <w:rFonts w:ascii="Arial"/>
                <w:sz w:val="24"/>
                <w:color w:val="black"/>
              </w:rPr>
              <w:t>DEPARTAMENTOS</w:t>
            </w:r>
          </w:p>
        </w:tc>
        <w:tc>
          <w:tcPr>
            <w:tcW w:w="4780" w:type="dxa"/>
            <w:tcMar/>
            <w:tcBorders/>
          </w:tcPr>
          <w:p>
            <w:pPr>
              <w:jc w:val="both"/>
            </w:pPr>
            <w:r>
              <w:rPr>
                <w:rFonts w:hAnsi="Arial"/>
                <w:rFonts w:ascii="Arial"/>
                <w:sz w:val="24"/>
                <w:color w:val="black"/>
              </w:rPr>
              <w:t>MUNICIPIOS</w:t>
            </w:r>
          </w:p>
        </w:tc>
      </w:tr>
      <w:tr>
        <w:trPr/>
        <w:tc>
          <w:tcPr>
            <w:tcW w:w="2348" w:type="dxa"/>
            <w:tcMar/>
            <w:tcBorders/>
          </w:tcPr>
          <w:p>
            <w:pPr>
              <w:jc w:val="both"/>
              <w:jc w:val="center"/>
            </w:pPr>
            <w:r>
              <w:rPr>
                <w:rFonts w:hAnsi="Arial"/>
                <w:rFonts w:ascii="Arial"/>
                <w:sz w:val="24"/>
                <w:color w:val="black"/>
              </w:rPr>
              <w:t>Arauca</w:t>
            </w:r>
          </w:p>
        </w:tc>
        <w:tc>
          <w:tcPr>
            <w:tcW w:w="4780" w:type="dxa"/>
            <w:tcMar/>
            <w:tcBorders/>
          </w:tcPr>
          <w:p>
            <w:pPr>
              <w:jc w:val="both"/>
              <w:jc w:val="center"/>
            </w:pPr>
            <w:r>
              <w:rPr>
                <w:rFonts w:hAnsi="Arial"/>
                <w:rFonts w:ascii="Arial"/>
                <w:sz w:val="24"/>
                <w:color w:val="black"/>
              </w:rPr>
              <w:t xml:space="preserve">Arauca: Complejo petrolero Caño Limón (margen derecha vía Arauca-Arauquita, y las veredas Sinaí, Todos los Santos (margen derecha vía Arauca-Arauquita), Corocito, La Payara, El Torno, Barrancones, Mategallina (margen derecha Arauca, Arauquita), Monserrate, Clarinitero, Bocas de Arauca, El Vapor, La Malorita (margen izquierda del caño Juan Brito), Villanueva, Caracol (margen izquierda del caño Corocoro), Barranca Amarilla, Punt ofijo, El Peligro, Puerto Colombia, Hato Cinarucony y Hato La Rubiera.</w:t>
              <w:br w:type="textWrapping"/>
              <w:t>Arauquita: Veredas Pueblo Nuevo, La Esperanza, El Cedrito, Los Pájaros, Bocas de Jujú, Las Canciones, El Campamento (margen derecha vía Arauquita-Saravena), San Lorenzo, Peralonso, Campo Alegre, El Troncal, Carretero, Las Bancas, Barranquillita y todas las veredas de la Isla La Reinera.</w:t>
              <w:br w:type="textWrapping"/>
              <w:t>Cravo Norte: Veredas Lejanías de Juriepe y La Virgen.</w:t>
              <w:br w:type="textWrapping"/>
              <w:t>Saravena: Veredas Campo Oscuro, Puerto Rico, Charo Alto, Charo Centro, Charo Bajo, El Dique, La Palma, Monteadentro y Puerto Lleras</w:t>
            </w:r>
          </w:p>
        </w:tc>
      </w:tr>
      <w:tr>
        <w:trPr/>
        <w:tc>
          <w:tcPr>
            <w:tcW w:w="2348" w:type="dxa"/>
            <w:tcMar/>
            <w:tcBorders/>
          </w:tcPr>
          <w:p>
            <w:pPr>
              <w:jc w:val="both"/>
              <w:jc w:val="center"/>
            </w:pPr>
            <w:r>
              <w:rPr>
                <w:rFonts w:hAnsi="Arial"/>
                <w:rFonts w:ascii="Arial"/>
                <w:sz w:val="24"/>
                <w:color w:val="black"/>
              </w:rPr>
              <w:t>Boyacá</w:t>
            </w:r>
          </w:p>
        </w:tc>
        <w:tc>
          <w:tcPr>
            <w:tcW w:w="4780" w:type="dxa"/>
            <w:tcMar/>
            <w:tcBorders/>
          </w:tcPr>
          <w:p>
            <w:pPr>
              <w:jc w:val="both"/>
            </w:pPr>
            <w:r>
              <w:rPr>
                <w:rFonts w:hAnsi="Arial"/>
                <w:rFonts w:ascii="Arial"/>
                <w:sz w:val="24"/>
                <w:color w:val="black"/>
              </w:rPr>
              <w:t xml:space="preserve">Caldas, Chiquinquirá, Cubará, San Miguel de Sema y Tinjacá</w:t>
            </w:r>
          </w:p>
        </w:tc>
      </w:tr>
      <w:tr>
        <w:trPr/>
        <w:tc>
          <w:tcPr>
            <w:tcW w:w="2348" w:type="dxa"/>
            <w:tcMar/>
            <w:tcBorders/>
          </w:tcPr>
          <w:p>
            <w:pPr>
              <w:jc w:val="both"/>
              <w:jc w:val="center"/>
            </w:pPr>
            <w:r>
              <w:rPr>
                <w:rFonts w:hAnsi="Arial"/>
                <w:rFonts w:ascii="Arial"/>
                <w:sz w:val="24"/>
                <w:color w:val="black"/>
              </w:rPr>
              <w:t>Cundinamarca</w:t>
            </w:r>
          </w:p>
        </w:tc>
        <w:tc>
          <w:tcPr>
            <w:tcW w:w="4780" w:type="dxa"/>
            <w:tcMar/>
            <w:tcBorders/>
          </w:tcPr>
          <w:p>
            <w:pPr>
              <w:jc w:val="both"/>
            </w:pPr>
            <w:r>
              <w:rPr>
                <w:rFonts w:hAnsi="Arial"/>
                <w:rFonts w:ascii="Arial"/>
                <w:sz w:val="24"/>
                <w:color w:val="black"/>
              </w:rPr>
              <w:t xml:space="preserve">Bojacá, Cajicá, Cáqueza, Carmen de Carupa, Chía, Chipaque, Choachí, Chocontá, Cogua, Cota, Cucunubá, El Rosal, Facatativá, Fómeque, Fosca, Funza, Fúquene, Gachancipá, Guachetá, Guasca, Guatavita, La Calera, Lenguazaque, Madrid, Mosquera, Nemocón, San Cayetano, Sesquilé, Sibaté, Simijaca, Soacha, Sopó, Subachoque, Suesca, Susa, Sutatausa, Tabio, Tausa, Tenjo, Tocancipá, Ubaque, Ubaté, Une, Villapinzón, Zipacón, Zipaquirá.</w:t>
            </w:r>
          </w:p>
        </w:tc>
      </w:tr>
      <w:tr>
        <w:trPr/>
        <w:tc>
          <w:tcPr>
            <w:tcW w:w="2348" w:type="dxa"/>
            <w:tcMar/>
            <w:tcBorders/>
          </w:tcPr>
          <w:p>
            <w:pPr>
              <w:jc w:val="both"/>
              <w:jc w:val="center"/>
            </w:pPr>
            <w:r>
              <w:rPr>
                <w:rFonts w:hAnsi="Arial"/>
                <w:rFonts w:ascii="Arial"/>
                <w:sz w:val="24"/>
                <w:color w:val="black"/>
              </w:rPr>
              <w:t xml:space="preserve">Norte de Santander</w:t>
            </w:r>
          </w:p>
        </w:tc>
        <w:tc>
          <w:tcPr>
            <w:tcW w:w="4780" w:type="dxa"/>
            <w:tcMar/>
            <w:tcBorders/>
          </w:tcPr>
          <w:p>
            <w:pPr>
              <w:jc w:val="both"/>
            </w:pPr>
            <w:r>
              <w:rPr>
                <w:rFonts w:hAnsi="Arial"/>
                <w:rFonts w:ascii="Arial"/>
                <w:sz w:val="24"/>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A RECONOCER COMO LIBRE DE FIEBRE AFTOSA </w:t>
        <w:br w:type="textWrapping"/>
        <w:t>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31" w:name="8"/>
      <w:r>
        <w:rPr>
          <w:rFonts w:hAnsi="Arial"/>
          <w:rFonts w:ascii="Arial"/>
          <w:sz w:val="24"/>
          <w:color w:val="navy"/>
        </w:rPr>
        <w:t xml:space="preserve">ARTÍCULO 8o.</w:t>
      </w:r>
      <w:bookmarkEnd w:id="171231"/>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Es la conformada por los siguientes departamentos y municipios o los que dentro de ellos llegaren a crearse:</w:t>
      </w:r>
    </w:p>
    <w:tbl>
      <w:tblGrid>
        <w:gridCol w:w="2320"/>
        <w:gridCol w:w="4800"/>
      </w:tblGrid>
      <w:tblPr>
        <w:tblW w:w="7128" w:type="dxa"/>
        <w:tblBorders/>
      </w:tblPr>
      <w:tr>
        <w:trPr/>
        <w:tc>
          <w:tcPr>
            <w:tcW w:w="2320" w:type="dxa"/>
            <w:tcMar/>
            <w:tcBorders/>
          </w:tcPr>
          <w:p>
            <w:pPr>
              <w:jc w:val="both"/>
              <w:jc w:val="center"/>
            </w:pPr>
            <w:r>
              <w:rPr>
                <w:rFonts w:hAnsi="Arial"/>
                <w:rFonts w:ascii="Arial"/>
                <w:sz w:val="24"/>
                <w:color w:val="black"/>
              </w:rPr>
              <w:t>DEPARTAMENTOS</w:t>
            </w:r>
          </w:p>
        </w:tc>
        <w:tc>
          <w:tcPr>
            <w:tcW w:w="4808" w:type="dxa"/>
            <w:tcMar/>
            <w:tcBorders/>
          </w:tcPr>
          <w:p>
            <w:pPr>
              <w:jc w:val="both"/>
            </w:pPr>
            <w:r>
              <w:rPr>
                <w:rFonts w:hAnsi="Arial"/>
                <w:rFonts w:ascii="Arial"/>
                <w:sz w:val="24"/>
                <w:color w:val="black"/>
              </w:rPr>
              <w:t>MUNICIPIOS</w:t>
            </w:r>
          </w:p>
        </w:tc>
      </w:tr>
      <w:tr>
        <w:trPr/>
        <w:tc>
          <w:tcPr>
            <w:tcW w:w="2320" w:type="dxa"/>
            <w:tcMar/>
            <w:tcBorders/>
          </w:tcPr>
          <w:p>
            <w:pPr>
              <w:jc w:val="both"/>
              <w:jc w:val="center"/>
            </w:pPr>
            <w:r>
              <w:rPr>
                <w:rFonts w:hAnsi="Arial"/>
                <w:rFonts w:ascii="Arial"/>
                <w:sz w:val="24"/>
                <w:color w:val="black"/>
              </w:rPr>
              <w:t>Arauca</w:t>
              <w:tab/>
              <w:t/>
            </w:r>
          </w:p>
        </w:tc>
        <w:tc>
          <w:tcPr>
            <w:tcW w:w="4808" w:type="dxa"/>
            <w:tcMar/>
            <w:tcBorders/>
          </w:tcPr>
          <w:p>
            <w:pPr>
              <w:jc w:val="both"/>
              <w:jc w:val="center"/>
            </w:pPr>
            <w:r>
              <w:rPr>
                <w:rFonts w:hAnsi="Arial"/>
                <w:rFonts w:ascii="Arial"/>
                <w:sz w:val="24"/>
                <w:color w:val="black"/>
              </w:rPr>
              <w:t xml:space="preserve">Todo el departamento, excepto las veredas de Arauca, Arauquita, Cravo Norte y Saravena enumeradas en el artículo </w:t>
            </w:r>
            <w:r>
              <w:fldChar w:fldCharType="begin"/>
            </w:r>
            <w:r>
              <w:instrText>HYPERLINK "http://www.redjurista.com/document.aspx?ajcode=r_ica_3164_2005&amp;arts=7"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w:t>
            </w:r>
          </w:p>
        </w:tc>
      </w:tr>
      <w:tr>
        <w:trPr/>
        <w:tc>
          <w:tcPr>
            <w:tcW w:w="2320" w:type="dxa"/>
            <w:tcMar/>
            <w:tcBorders/>
          </w:tcPr>
          <w:p>
            <w:pPr>
              <w:jc w:val="both"/>
              <w:jc w:val="center"/>
            </w:pPr>
            <w:r>
              <w:rPr>
                <w:rFonts w:hAnsi="Arial"/>
                <w:rFonts w:ascii="Arial"/>
                <w:sz w:val="24"/>
                <w:color w:val="black"/>
              </w:rPr>
              <w:t>Boyacá</w:t>
            </w:r>
          </w:p>
        </w:tc>
        <w:tc>
          <w:tcPr>
            <w:tcW w:w="4808" w:type="dxa"/>
            <w:tcMar/>
            <w:tcBorders/>
          </w:tcPr>
          <w:p>
            <w:pPr>
              <w:jc w:val="both"/>
              <w:jc w:val="center"/>
            </w:pPr>
            <w:r>
              <w:rPr>
                <w:rFonts w:hAnsi="Arial"/>
                <w:rFonts w:ascii="Arial"/>
                <w:sz w:val="24"/>
                <w:color w:val="black"/>
              </w:rPr>
              <w:t xml:space="preserve">Almeida, Aquitania, Arcabuco, Belén, Berbeo, Beteítiva, Boavita, Boyacá, Briceño, Buenavista, Buzbanza, Campohermoso, Cerinza, Chinavita, Chiquita, Chiscas, Chita, Chitaraque, Chivatá, Chivor, Ciénega, Cómbita, Coper, Corrales, Covarachía, Cucaita, Cuítiva, Duitama, El Cocuy, El Espino, Firavitova, Floresta, Gachantivá, Gámeza, Garagoa, Guacamayas, Guateque, Guayatá, Güicán, Iza, Jenezano, Jericó, La Uvita, La Capilla, La Victoria, Labranzagrande, Macanal, Maripí, Miraflores, Mongua, Monguí, Moniquirá, Motavita, Muzo, Nobsa, Nuevo Colón, Oicatá, Otanche, Pachavita, Páez, Paipa, Pajarito, Panqueba, Pauna, Paya, Paz de Río, Pesca, Pisba, Quípama, Ráquira, Ramiriquí, Rondón, Saboyá, Sáchica, Samacá, San Eduardo, San José de Pare, San Luis de Gaceno, San Pablo de Borbur, San Mateo, Santa Rosa de Viterbo, Santa María, Santa Sofía, Santana, Sátiva Norte, Sátiva Sur, Siachoque, Soatá, Socha, Socotá, Sogamoso, Somondoco, Sora, Soraya, Sotaquirá, Susacón, Sutamarchán, Sutatenza, Tasco, Tenza, Tibaná, Tibasosa, Tipacoque, Toca, Togüí, Tópaga, Tota, Tunja, Tununguá, Turmequé, Tuta, Tutazá, Umbita, Ventaquemada, Villa de Leiva, Vira cachá, Zetaquira.</w:t>
              <w:br w:type="textWrapping"/>
              <w:t> </w:t>
            </w:r>
          </w:p>
        </w:tc>
      </w:tr>
      <w:tr>
        <w:trPr/>
        <w:tc>
          <w:tcPr>
            <w:tcW w:w="2320" w:type="dxa"/>
            <w:tcMar/>
            <w:tcBorders/>
          </w:tcPr>
          <w:p>
            <w:pPr>
              <w:jc w:val="both"/>
              <w:jc w:val="center"/>
            </w:pPr>
            <w:r>
              <w:rPr>
                <w:rFonts w:hAnsi="Arial"/>
                <w:rFonts w:ascii="Arial"/>
                <w:sz w:val="24"/>
                <w:color w:val="black"/>
              </w:rPr>
              <w:t>Cauca</w:t>
              <w:tab/>
              <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Caquetá</w:t>
            </w:r>
          </w:p>
        </w:tc>
        <w:tc>
          <w:tcPr>
            <w:tcW w:w="4808" w:type="dxa"/>
            <w:tcMar/>
            <w:tcBorders/>
          </w:tcPr>
          <w:p>
            <w:pPr>
              <w:jc w:val="both"/>
              <w:jc w:val="center"/>
            </w:pPr>
            <w:r>
              <w:rPr>
                <w:rFonts w:hAnsi="Arial"/>
                <w:rFonts w:ascii="Arial"/>
                <w:sz w:val="24"/>
                <w:color w:val="black"/>
              </w:rPr>
              <w:t xml:space="preserve">Todo el departamento a excepción de Solano</w:t>
            </w:r>
          </w:p>
        </w:tc>
      </w:tr>
      <w:tr>
        <w:trPr/>
        <w:tc>
          <w:tcPr>
            <w:tcW w:w="2320" w:type="dxa"/>
            <w:tcMar/>
            <w:tcBorders/>
          </w:tcPr>
          <w:p>
            <w:pPr>
              <w:jc w:val="both"/>
              <w:jc w:val="center"/>
            </w:pPr>
            <w:r>
              <w:rPr>
                <w:rFonts w:hAnsi="Arial"/>
                <w:rFonts w:ascii="Arial"/>
                <w:sz w:val="24"/>
                <w:color w:val="black"/>
              </w:rPr>
              <w:t>Casanare</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Cundinamarca</w:t>
            </w:r>
          </w:p>
        </w:tc>
        <w:tc>
          <w:tcPr>
            <w:tcW w:w="4808" w:type="dxa"/>
            <w:tcMar/>
            <w:tcBorders/>
          </w:tcPr>
          <w:p>
            <w:pPr>
              <w:jc w:val="both"/>
              <w:jc w:val="center"/>
            </w:pPr>
            <w:r>
              <w:rPr>
                <w:rFonts w:hAnsi="Arial"/>
                <w:rFonts w:ascii="Arial"/>
                <w:sz w:val="24"/>
                <w:color w:val="black"/>
              </w:rPr>
              <w:t xml:space="preserve">Agua de Dios, Albán, Anapoima, Anolaima, Apulo, Arbeláez, Beltrán, Buítima, Cabrera, Cachipay, Chaguaní, El Colegio, El Peñón, Fusagasugá, Gachalá, Gachetá, Gama, Girardot, Granada, Guataquí, Guayabal de Síquima, Guayabetal, Gutiérrez, Jerusalén, Junín, La Palma, La Peña, La Mesa, La Vega, Machetá, Manta, Medina, Nariño, Nilo, Nimaima, Nocaima, Tocaima, Pacho, Paime, Pandi, Paratebueno, Pasca, Pulí, Quebrada Negra, Quetame, Quipile, Ricaurte, San Antonio de Tequendama, San Juan de Rioseco, San Bernardo, San Francisco, Sasaima, Silvania, Supatá, Tena, Tibacuy, Tibirita, Tocaima, Topaipí, Ubalá, Utica, Venecia, Vergara, Vianí, Villa Gómez, Villeta, Viotá.</w:t>
            </w:r>
          </w:p>
        </w:tc>
      </w:tr>
      <w:tr>
        <w:trPr/>
        <w:tc>
          <w:tcPr>
            <w:tcW w:w="2320" w:type="dxa"/>
            <w:tcMar/>
            <w:tcBorders/>
          </w:tcPr>
          <w:p>
            <w:pPr>
              <w:jc w:val="both"/>
              <w:jc w:val="center"/>
            </w:pPr>
            <w:r>
              <w:rPr>
                <w:rFonts w:hAnsi="Arial"/>
                <w:rFonts w:ascii="Arial"/>
                <w:sz w:val="24"/>
                <w:color w:val="black"/>
              </w:rPr>
              <w:t>Huila</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Nariño</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Meta</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Tolima</w:t>
            </w:r>
          </w:p>
        </w:tc>
        <w:tc>
          <w:tcPr>
            <w:tcW w:w="4808" w:type="dxa"/>
            <w:tcMar/>
            <w:tcBorders/>
          </w:tcPr>
          <w:p>
            <w:pPr>
              <w:jc w:val="both"/>
              <w:jc w:val="center"/>
            </w:pPr>
            <w:r>
              <w:rPr>
                <w:rFonts w:hAnsi="Arial"/>
                <w:rFonts w:ascii="Arial"/>
                <w:sz w:val="24"/>
                <w:color w:val="black"/>
              </w:rPr>
              <w:t xml:space="preserve">Alpujarra, Alvarado, Anzoátegui, Ataco, Cajamarca, Carmen de Apicalá, Chaparral, Coello, Coyaima, Cunday, Dolores, Espinal, Flandes, Guamo, Ibagué, Icononzo, Melgar, Natagaima, Ortega, Planadas, Piedras, Prado, Purificación, Rioblanco, Roncesvalles, Rovira, Saldaña, San Antonio, San Luis, Suárez, Valle de San Juan, Villarrica.</w:t>
            </w:r>
          </w:p>
        </w:tc>
      </w:tr>
      <w:tr>
        <w:trPr/>
        <w:tc>
          <w:tcPr>
            <w:tcW w:w="2320" w:type="dxa"/>
            <w:tcMar/>
            <w:tcBorders/>
          </w:tcPr>
          <w:p>
            <w:pPr>
              <w:jc w:val="both"/>
              <w:jc w:val="center"/>
            </w:pPr>
            <w:r>
              <w:rPr>
                <w:rFonts w:hAnsi="Arial"/>
                <w:rFonts w:ascii="Arial"/>
                <w:sz w:val="24"/>
                <w:color w:val="black"/>
              </w:rPr>
              <w:t>Putumayo</w:t>
            </w:r>
          </w:p>
        </w:tc>
        <w:tc>
          <w:tcPr>
            <w:tcW w:w="4808" w:type="dxa"/>
            <w:tcMar/>
            <w:tcBorders/>
          </w:tcPr>
          <w:p>
            <w:pPr>
              <w:jc w:val="both"/>
              <w:jc w:val="center"/>
            </w:pPr>
            <w:r>
              <w:rPr>
                <w:rFonts w:hAnsi="Arial"/>
                <w:rFonts w:ascii="Arial"/>
                <w:sz w:val="24"/>
                <w:color w:val="black"/>
              </w:rPr>
              <w:t xml:space="preserve">Todo el departamento.</w:t>
            </w:r>
          </w:p>
        </w:tc>
      </w:tr>
      <w:tr>
        <w:trPr/>
        <w:tc>
          <w:tcPr>
            <w:tcW w:w="2320" w:type="dxa"/>
            <w:tcMar/>
            <w:tcBorders/>
          </w:tcPr>
          <w:p>
            <w:pPr>
              <w:jc w:val="both"/>
              <w:jc w:val="center"/>
            </w:pPr>
            <w:r>
              <w:rPr>
                <w:rFonts w:hAnsi="Arial"/>
                <w:rFonts w:ascii="Arial"/>
                <w:sz w:val="24"/>
                <w:color w:val="black"/>
              </w:rPr>
              <w:t>Valle</w:t>
            </w:r>
          </w:p>
        </w:tc>
        <w:tc>
          <w:tcPr>
            <w:tcW w:w="4808" w:type="dxa"/>
            <w:tcMar/>
            <w:tcBorders/>
          </w:tcPr>
          <w:p>
            <w:pPr>
              <w:jc w:val="both"/>
              <w:jc w:val="center"/>
            </w:pPr>
            <w:r>
              <w:rPr>
                <w:rFonts w:hAnsi="Arial"/>
                <w:rFonts w:ascii="Arial"/>
                <w:sz w:val="24"/>
                <w:color w:val="black"/>
              </w:rPr>
              <w:t xml:space="preserve">Andalucía, Bolívar, Buenaventura, Buga, Bugalagrande, Cali, Calima, Candelaria, Dagua, Cerrito, La Florida, Ginebra, Guacarí, Jamundí, La Cumbre, Palmira, Pradera, Restrepo, Riofrío, San Pedro, Trujillo Tuluá, Vijes, Yotoco, Yumbo.</w:t>
            </w:r>
          </w:p>
        </w:tc>
      </w:tr>
      <w:tr>
        <w:trPr/>
        <w:tc>
          <w:tcPr>
            <w:tcW w:w="2320" w:type="dxa"/>
            <w:tcMar/>
            <w:tcBorders/>
          </w:tcPr>
          <w:p>
            <w:pPr>
              <w:jc w:val="both"/>
              <w:jc w:val="center"/>
            </w:pPr>
            <w:r>
              <w:rPr>
                <w:rFonts w:hAnsi="Arial"/>
                <w:rFonts w:ascii="Arial"/>
                <w:sz w:val="24"/>
                <w:color w:val="black"/>
              </w:rPr>
              <w:t>Vichada</w:t>
            </w:r>
          </w:p>
        </w:tc>
        <w:tc>
          <w:tcPr>
            <w:tcW w:w="4808" w:type="dxa"/>
            <w:tcMar/>
            <w:tcBorders/>
          </w:tcPr>
          <w:p>
            <w:pPr>
              <w:jc w:val="both"/>
              <w:jc w:val="center"/>
            </w:pPr>
            <w:r>
              <w:rPr>
                <w:rFonts w:hAnsi="Arial"/>
                <w:rFonts w:ascii="Arial"/>
                <w:sz w:val="24"/>
                <w:color w:val="black"/>
              </w:rPr>
              <w:t xml:space="preserve">Todo el departamento.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ENDEMICA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32" w:name="9"/>
      <w:r>
        <w:rPr>
          <w:rFonts w:hAnsi="Arial"/>
          <w:rFonts w:ascii="Arial"/>
          <w:sz w:val="24"/>
          <w:color w:val="navy"/>
        </w:rPr>
        <w:t xml:space="preserve">ARTÍCULO 9o.</w:t>
      </w:r>
      <w:bookmarkEnd w:id="171232"/>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Zona endémica de fiebre aftosa es la conformada por el Distrito Capital de Bogotá o los municipios que dentro de este llegaren a crearse.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1233" w:name="10"/>
      <w:r>
        <w:rPr>
          <w:rFonts w:hAnsi="Arial"/>
          <w:rFonts w:ascii="Arial"/>
          <w:sz w:val="24"/>
          <w:color w:val="navy"/>
        </w:rPr>
        <w:t xml:space="preserve">ARTÍCULO 10.</w:t>
      </w:r>
      <w:bookmarkEnd w:id="171233"/>
      <w:r>
        <w:rPr>
          <w:rFonts w:hAnsi="Arial"/>
          <w:rFonts w:ascii="Arial"/>
          <w:sz w:val="24"/>
          <w:color w:val="black"/>
        </w:rPr>
        <w:t xml:space="preserve"> &lt;Resolución derogada por el artículo </w:t>
      </w:r>
      <w:r>
        <w:fldChar w:fldCharType="begin"/>
      </w:r>
      <w:r>
        <w:instrText>HYPERLINK "http://www.redjurista.com/document.aspx?ajcode=r_ica_3901_2005&amp;arts=11"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3901 de 2005&gt; La presente resolución rige a partir de la fecha de publicación en el </w:t>
      </w:r>
      <w:r>
        <w:rPr>
          <w:rFonts w:hAnsi="Arial"/>
          <w:rFonts w:ascii="Arial"/>
          <w:sz w:val="24"/>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"http://www.redjurista.com/document.aspx?ajcode=r_ica_1717_2005&amp;arts=1"</w:instrText>
      </w:r>
      <w:r>
        <w:fldChar w:fldCharType="separate"/>
      </w:r>
      <w:r>
        <w:rPr>
          <w:rFonts w:hAnsi="Arial"/>
          <w:rFonts w:ascii="Arial"/>
          <w:sz w:val="24"/>
          <w:u w:val="single"/>
          <w:color w:val="black"/>
        </w:rPr>
        <w:t>01717</w:t>
      </w:r>
      <w:r>
        <w:fldChar w:fldCharType="end"/>
      </w:r>
      <w:r>
        <w:rPr>
          <w:rFonts w:hAnsi="Arial"/>
          <w:rFonts w:ascii="Arial"/>
          <w:sz w:val="24"/>
          <w:u w:val="none"/>
          <w:color w:val="black"/>
        </w:rPr>
        <w:t xml:space="preserve"> de junio 13 de 2005 y las normas que le sean contrarias.</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9 de noviembre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3632"/>
      <w:footerReference w:type="default" r:id="eId13633"/>
      <w:type w:val="continuous"/>
    </w:sectPr>
  </w:body>
</w:document>
</file>

<file path=word/footer_default_136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36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632" Type="http://schemas.openxmlformats.org/officeDocument/2006/relationships/header" Target="header_default_13632.xml" />
<Relationship Id="id0" Type="http://schemas.openxmlformats.org/officeDocument/2006/relationships/image" Target="img/img_id0.png"/>
<Relationship Id="eId13633" Type="http://schemas.openxmlformats.org/officeDocument/2006/relationships/footer" Target="footer_default_136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6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6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