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3776.xml" ContentType="application/vnd.openxmlformats-officedocument.wordprocessingml.header+xml"/>
  <Override PartName="/word/footer_default_13777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RESOLUCION 3336 DE 2004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(diciembre 28)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45.784 de 7 de enero de 2005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INSTITUTO COLOMBIANO AGROPECUARIO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la cual se adoptan medidas de índole sanitaria para importaciones y exportaciones de animales y sus productos, se establecen algunas excepciones y se derogan las Resoluciones </w:t>
      </w:r>
      <w:r>
        <w:fldChar w:fldCharType="begin"/>
      </w:r>
      <w:r>
        <w:instrText>HYPERLINK "http://www.redjurista.com/document.aspx?ajcode=r_ica_1160_2002&amp;arts=1"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1160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24 de mayo de 2002 y </w:t>
      </w:r>
      <w:r>
        <w:fldChar w:fldCharType="begin"/>
      </w:r>
      <w:r>
        <w:instrText>HYPERLINK "http://www.redjurista.com/document.aspx?ajcode=r_ica_3382_2003 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3382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24 de noviembre de 2003.</w:t>
      </w:r>
    </w:p>
    <w:p>
      <w:pPr>
        <w:jc w:val="both"/>
      </w:pPr>
      <w:rPr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GERENTE GENERAL DEL INSTITUTO COLOMBIANO AGROPECUARIO, ICA,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ejercicio de sus atribuciones legales y estatutarias, en especial las conferidas por los Decretos </w:t>
      </w:r>
      <w:r>
        <w:fldChar w:fldCharType="begin"/>
      </w:r>
      <w:r>
        <w:instrText>HYPERLINK "http://www.redjurista.com/document.aspx?ajcode=d1840_94&amp;arts=1"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1840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1994, </w:t>
      </w:r>
      <w:r>
        <w:fldChar w:fldCharType="begin"/>
      </w:r>
      <w:r>
        <w:instrText>HYPERLINK "http://www.redjurista.com/document.aspx?ajcode=d1454001&amp;arts=1"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1454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2001, y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corresponde al Instituto Colombiano Agropecuario ejercer el control sanitario sobre las importaciones de animales y sus productos, a fin de prevenir la introducción de enfermedades que puedan afectar la sanidad animal del país;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corresponde al ICA certificar la calidad sanitaria de las exportaciones de animales y sus productos cuando sea requerida;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existen productos de origen animal que por su constitución física y por los procesos de transformación a que han sido sometidos representan un riesgo insignificante de difundir enfermedades que afecten la población animal del país;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en la Decisión </w:t>
      </w:r>
      <w:r>
        <w:fldChar w:fldCharType="begin"/>
      </w:r>
      <w:r>
        <w:instrText>HYPERLINK "http://www.redjurista.com/document.aspx?ajcode=dec515&amp;arts=1"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515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2002 de la Comunidad Andina se establece el marco jurídico andino para la adopción de medidas sanitarias y fitosanitarias de aplicación al comercio intrasubregional y con terceros países de plantas, productos vegetales, artículos reglamentados, animales y sus productos;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en el artículo </w:t>
      </w:r>
      <w:r>
        <w:fldChar w:fldCharType="begin"/>
      </w:r>
      <w:r>
        <w:instrText>HYPERLINK "http://www.redjurista.com/document.aspx?ajcode=dec515&amp;arts=10"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numeral 5, de la Decisión 515 de 2002 de la Comunidad Andina se establece como instrumentos del Sistema Andino de Sanidad Agropecuaria a los Permisos o Documentos Fito y Zoosanitarios para importación, Certificados Fito y Zoosanitarios para exportación y Certificados Fito y Zoosanitarios para reexportación;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en la Decisión 515 de 2002 de la Comunidad Andina, sección F artículos 41 al 43 y Anexos II-1 al II-6, se establece la información y validez de los Permisos o Documentos Fito y Zoosanitarios para importación, Certificados Fito y Zoosanitarios para exportación y Certificados Fito y Zoosanitarios para reexportación;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en la Sección E de la Decisión 515 de 2000 de la Comunidad Andina se establece el procedimiento para la inscripción de normas nacionales en el Registro Subregional de Normas Sanitarias y Fitosanitarias;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Acuerdo de medidas sanitarias y Fitosanitarias MSF de la Organización Mundial del Comercio, OMC, establece un plazo para que cualquier país que se sienta afectado por una medida sanitaria nacional realice observaciones y comentarios a la misma;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en virtud de lo anterior,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RESUELVE: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2024" w:name="CAPITULO I"/>
      <w:r>
        <w:rPr>
          <w:rFonts w:hAnsi="Arial"/>
          <w:rFonts w:ascii="Arial"/>
          <w:sz w:val="24"/>
          <w:color w:val="navy"/>
        </w:rPr>
        <w:t xml:space="preserve">CAPITULO I. </w:t>
      </w:r>
    </w:p>
    <w:p>
      <w:pPr>
        <w:jc w:val="center"/>
      </w:pPr>
      <w:r>
        <w:rPr>
          <w:rFonts w:hAnsi="Arial"/>
          <w:rFonts w:ascii="Arial"/>
          <w:sz w:val="24"/>
          <w:color w:val="navy"/>
        </w:rPr>
        <w:t xml:space="preserve">IMPORTACIONES. </w:t>
      </w:r>
    </w:p>
    <w:p>
      <w:pPr>
        <w:jc w:val="both"/>
      </w:pPr>
      <w:bookmarkEnd w:id="172024"/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2025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172025"/>
      <w:r>
        <w:rPr>
          <w:rFonts w:hAnsi="Arial"/>
          <w:rFonts w:ascii="Arial"/>
          <w:sz w:val="24"/>
          <w:color w:val="black"/>
        </w:rPr>
        <w:t xml:space="preserve"> &lt;Artículo derogado por el artículo </w:t>
      </w:r>
      <w:r>
        <w:fldChar w:fldCharType="begin"/>
      </w:r>
      <w:r>
        <w:instrText>HYPERLINK "http://www.redjurista.com/document.aspx?ajcode=r_ica_1558_2010&amp;arts=12"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1558 de 2010&gt;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2026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172026"/>
      <w:r>
        <w:rPr>
          <w:rFonts w:hAnsi="Arial"/>
          <w:rFonts w:ascii="Arial"/>
          <w:sz w:val="24"/>
          <w:color w:val="black"/>
        </w:rPr>
        <w:t xml:space="preserve"> &lt;Artículo derogado por el artículo </w:t>
      </w:r>
      <w:r>
        <w:fldChar w:fldCharType="begin"/>
      </w:r>
      <w:r>
        <w:instrText>HYPERLINK "http://www.redjurista.com/document.aspx?ajcode=r_ica_1558_2010&amp;arts=12"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1558 de 2010&gt;</w:t>
      </w:r>
    </w:p>
    <w:p>
      <w:pPr>
        <w:jc w:val="both"/>
      </w:p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2027" w:name="3"/>
      <w:r>
        <w:rPr>
          <w:rFonts w:hAnsi="Arial"/>
          <w:rFonts w:ascii="Arial"/>
          <w:sz w:val="24"/>
          <w:color w:val="navy"/>
        </w:rPr>
        <w:t xml:space="preserve">ARTÍCULO 3o.</w:t>
      </w:r>
      <w:bookmarkEnd w:id="172027"/>
      <w:r>
        <w:rPr>
          <w:rFonts w:hAnsi="Arial"/>
          <w:rFonts w:ascii="Arial"/>
          <w:sz w:val="24"/>
          <w:color w:val="black"/>
        </w:rPr>
        <w:t xml:space="preserve"> &lt;Artículo derogado por el artículo </w:t>
      </w:r>
      <w:r>
        <w:fldChar w:fldCharType="begin"/>
      </w:r>
      <w:r>
        <w:instrText>HYPERLINK "http://www.redjurista.com/document.aspx?ajcode=r_ica_1558_2010&amp;arts=12"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1558 de 2010&gt;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2028" w:name="4"/>
      <w:r>
        <w:rPr>
          <w:rFonts w:hAnsi="Arial"/>
          <w:rFonts w:ascii="Arial"/>
          <w:sz w:val="24"/>
          <w:color w:val="navy"/>
        </w:rPr>
        <w:t xml:space="preserve">ARTÍCULO 4o.</w:t>
      </w:r>
      <w:bookmarkEnd w:id="172028"/>
      <w:r>
        <w:rPr>
          <w:rFonts w:hAnsi="Arial"/>
          <w:rFonts w:ascii="Arial"/>
          <w:sz w:val="24"/>
          <w:color w:val="black"/>
        </w:rPr>
        <w:t xml:space="preserve"> &lt;Artículo derogado por el artículo </w:t>
      </w:r>
      <w:r>
        <w:fldChar w:fldCharType="begin"/>
      </w:r>
      <w:r>
        <w:instrText>HYPERLINK "http://www.redjurista.com/document.aspx?ajcode=r_ica_1558_2010&amp;arts=12"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1558 de 2010&gt;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2029" w:name="5"/>
      <w:r>
        <w:rPr>
          <w:rFonts w:hAnsi="Arial"/>
          <w:rFonts w:ascii="Arial"/>
          <w:sz w:val="24"/>
          <w:color w:val="navy"/>
        </w:rPr>
        <w:t xml:space="preserve">ARTÍCULO 5o.</w:t>
      </w:r>
      <w:bookmarkEnd w:id="172029"/>
      <w:r>
        <w:rPr>
          <w:rFonts w:hAnsi="Arial"/>
          <w:rFonts w:ascii="Arial"/>
          <w:sz w:val="24"/>
          <w:color w:val="black"/>
        </w:rPr>
        <w:t xml:space="preserve"> Establecer excepciones por las cuales no requerirán Documento Zoosanitario para Importación los siguientes animales y productos de origen animal: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1. Aceites y grasas aptos para el consumo humano de: pescados, mamíferos marinos, crustáceos, moluscos y demás invertebrados acuáticos.</w:t>
      </w:r>
    </w:p>
    <w:p>
      <w:pPr>
        <w:jc w:val="both"/>
      </w:pPr>
      <w:rPr>
        <w:sz w:val="24"/>
        <w:color w:val="blue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2. Aleta, cartílago y carne de tiburón.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3. Ambar gris, castóreo, algalia, almizcle y cantáridas.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4. Antisueros (sueros con anticuerpos), demás fracciones de la sangre y productos inmunológicos modificados para uso humano.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5. Blousse y tops de lana.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6. Caldos o sopas (pasta, cubo o polvo) de: pescados, crustáceos, moluscos y demás invertebrados acuáticos.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7. Caseína y sus derivados.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8. Caviar y sus sucedáneos preparados con ovas de pescado.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9. Cola (goma) animal.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10. Concha de tortuga.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11. Coral.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12. Cueros completamente curtidos.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13. Cuajo microbiano.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14. Cultivos de microorganismos (incluidos los lactocultivos y los utilizados en el tratamiento de aguas residuales) para uso diferente del veterinario.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15. Enlatados y conservas de: pescados, crustáceos, moluscos y demás invertebrados acuáticos.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16. Esperma de ballena o de otros cetáceos.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17. Esponjas naturales de origen animal.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18. Extracto y jugo de: pescados, crustáceos, moluscos, demás invertebrados acuáticos y mamíferos marinos.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19. &lt;Ver Notas de Vigencia&gt;Filetes y carne deshuesada de pescado (incluso picada) fresca, refrigerada, congelada o conservada.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20. Glándulas, demás órganos y sus extractos para uso opoterápico en humanos.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21. Harina, polvo o pellets de pescado y moluscos aptos para la alimentación humana.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22. Cochinilla de carmín (Dactylopius coccus Costa) y sus productos.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23. Gusano de seda (Bombyx mori) y sus productos.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24. Lactosa.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25. Marfil y barbas de mamíferos marinos.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26. Medios de cultivo para crecimiento de microorganismos de uso diferent e del veterinario.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27. Ovas y lechas de pescado para consumo humano.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28. Peptonas aptas para consumo humano de: pescado, moluscos y demás invertebrados acuáticos.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29. Preparaciones para salsas, salsas, saborizantes y condimentos en polvo de origen animal diferente de bovino, ovino y caprino.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30. Reactivos de diagnóstico para uso diferente del veterinario.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31. Reactivos de diagnóstico para humanos de uso in vitro.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32. Sueros fetales de animales para diagnóstico en humanos de uso in vitro.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33. Vacunas para la medicina humana.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34. Valvas y caparazones de crustáceos, moluscos, equinodermos y jibiones que hayan sido sometidos a cocción.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&lt;Productos adicionados por el artículo </w:t>
      </w:r>
      <w:r>
        <w:fldChar w:fldCharType="begin"/>
      </w:r>
      <w:r>
        <w:instrText>HYPERLINK "http://www.redjurista.com/document.aspx?ajcode=r_ica_2096_2006&amp;arts=1"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2096 de 2006. El nuevo texto es el siguiente:&gt; </w:t>
      </w:r>
    </w:p>
    <w:p>
      <w:pPr>
        <w:jc w:val="both"/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1. Preparaciones para la alimentación infantil con contenido lácteo (leches maternizadas).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2. Proteínas de la leche (caseína, globulinas y albúminas).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3. Peptonas de la leche para uso diferente al veterinario.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4. Desperdicios de lana o de pelo fino u ordinario lavados, incluidos los desperdicios de hilados.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5. Hilachas de lana o de p elo fino u ordinario lavados.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6. Lana y pelo fino u ordinario lavados, cardados o peinados.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PARÁGRAFO 1o.</w:t>
      </w:r>
      <w:r>
        <w:rPr>
          <w:rFonts w:hAnsi="Arial"/>
          <w:rFonts w:ascii="Arial"/>
          <w:sz w:val="24"/>
          <w:color w:val="black"/>
        </w:rPr>
        <w:t xml:space="preserve"> Los productos contemplados en el presente artículo no serán sometidos a revisión documental, inspección física, ni les será expedido el Certificado de Inspección Sanitaria, CIS; sin embargo, el instituto se reserva la facultad de inspeccionar cualquier tipo de mercancías de origen animal cuando lo considere necesario.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PARÁGRAFO 2o.</w:t>
      </w:r>
      <w:r>
        <w:rPr>
          <w:rFonts w:hAnsi="Arial"/>
          <w:rFonts w:ascii="Arial"/>
          <w:sz w:val="24"/>
          <w:color w:val="black"/>
        </w:rPr>
        <w:t xml:space="preserve"> No requerirán Documento Zoosanitario para Importación los animales pertenecientes a las especies Canis familiaris y Felis catus (perros y gatos domésticos); sin embargo, todos los ejemplares de dichas especies que ingresen al país, en el sitio de ingreso, serán sometidos a revisión documental, inspección física y se les deberá expedir el Certificado de Inspección Sanitaria, CIS.</w:t>
      </w:r>
    </w:p>
    <w:p>
      <w:pPr>
        <w:jc w:val="both"/>
      </w:pPr>
      <w:rPr>
        <w:sz w:val="24"/>
        <w:color w:val="black"/>
      </w:rPr>
    </w:p>
    <w:p>
      <w:pPr>
        <w:jc w:val="both"/>
        <w:keepNext/>
      </w:pPr>
      <w:r>
        <w:rPr>
          <w:rFonts w:hAnsi="Arial"/>
          <w:rFonts w:ascii="Arial"/>
          <w:sz w:val="24"/>
          <w:color w:val="navy"/>
        </w:rPr>
        <w:t xml:space="preserve">PARÁGRAFO 3o.</w:t>
      </w:r>
      <w:r>
        <w:rPr>
          <w:rFonts w:hAnsi="Arial"/>
          <w:rFonts w:ascii="Arial"/>
          <w:sz w:val="24"/>
          <w:color w:val="black"/>
        </w:rPr>
        <w:t xml:space="preserve"> &lt;Parágrafo derogado por el artículo </w:t>
      </w:r>
      <w:r>
        <w:fldChar w:fldCharType="begin"/>
      </w:r>
      <w:r>
        <w:instrText>HYPERLINK "http://www.redjurista.com/document.aspx?ajcode=r_ica_100164_2021&amp;arts=14"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100164 de 2021&gt; </w:t>
      </w:r>
    </w:p>
    <w:p>
      <w:pPr>
        <w:jc w:val="both"/>
      </w:pPr>
      <w:rPr>
        <w:color w:val="black"/>
      </w:rPr>
    </w:p>
    <w:p>
      <w:pPr>
        <w:jc w:val="both"/>
        <w:keepNext/>
      </w:pPr>
      <w:r>
        <w:rPr>
          <w:rFonts w:hAnsi="Arial"/>
          <w:rFonts w:ascii="Arial"/>
          <w:sz w:val="24"/>
          <w:color w:val="navy"/>
        </w:rPr>
        <w:t xml:space="preserve">PARÁGRAFO 4o.</w:t>
      </w:r>
      <w:r>
        <w:rPr>
          <w:rFonts w:hAnsi="Arial"/>
          <w:rFonts w:ascii="Arial"/>
          <w:sz w:val="24"/>
          <w:color w:val="black"/>
        </w:rPr>
        <w:t xml:space="preserve"> &lt;Parágrafo derogado por el artículo </w:t>
      </w:r>
      <w:r>
        <w:fldChar w:fldCharType="begin"/>
      </w:r>
      <w:r>
        <w:instrText>HYPERLINK "http://www.redjurista.com/document.aspx?ajcode=r_ica_100164_2021&amp;arts=14"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100164 de 2021&gt; 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2030" w:name="6"/>
      <w:r>
        <w:rPr>
          <w:rFonts w:hAnsi="Arial"/>
          <w:rFonts w:ascii="Arial"/>
          <w:sz w:val="24"/>
          <w:color w:val="navy"/>
        </w:rPr>
        <w:t xml:space="preserve">ARTÍCULO 6o.</w:t>
      </w:r>
      <w:bookmarkEnd w:id="172030"/>
      <w:r>
        <w:rPr>
          <w:rFonts w:hAnsi="Arial"/>
          <w:rFonts w:ascii="Arial"/>
          <w:sz w:val="24"/>
          <w:color w:val="black"/>
        </w:rPr>
        <w:t xml:space="preserve"> &lt;Ver Notas de Vigencia&gt; Los medicamentos veterinarios que se importen serán sometidos a revisión documental (Licencia de Venta del ICA, rotulado en español con el registro del ICA y resultados de los análisis de los lotes realizados por el laboratorio productor), inspección física y les será expedido el Certificado de Inspección Sanitaria, CIS, en el sitio de ingreso al país.</w:t>
      </w:r>
    </w:p>
    <w:p>
      <w:pPr>
        <w:jc w:val="both"/>
      </w:pPr>
      <w:rPr>
        <w:color w:val="black"/>
      </w:rPr>
    </w:p>
    <w:p>
      <w:pPr>
        <w:jc w:val="center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2031" w:name="CAPITULO II"/>
      <w:r>
        <w:rPr>
          <w:rFonts w:hAnsi="Arial"/>
          <w:rFonts w:ascii="Arial"/>
          <w:sz w:val="24"/>
          <w:color w:val="navy"/>
        </w:rPr>
        <w:t xml:space="preserve">CAPITULO II. </w:t>
      </w:r>
    </w:p>
    <w:p>
      <w:pPr>
        <w:jc w:val="center"/>
      </w:pPr>
      <w:r>
        <w:rPr>
          <w:rFonts w:hAnsi="Arial"/>
          <w:rFonts w:ascii="Arial"/>
          <w:sz w:val="24"/>
          <w:color w:val="navy"/>
        </w:rPr>
        <w:t xml:space="preserve">EXPORTACIONES. </w:t>
      </w:r>
    </w:p>
    <w:p>
      <w:pPr>
        <w:jc w:val="both"/>
      </w:pPr>
      <w:bookmarkEnd w:id="172031"/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2032" w:name="7"/>
      <w:r>
        <w:rPr>
          <w:rFonts w:hAnsi="Arial"/>
          <w:rFonts w:ascii="Arial"/>
          <w:sz w:val="24"/>
          <w:color w:val="navy"/>
        </w:rPr>
        <w:t xml:space="preserve">ARTÍCULO 7o.</w:t>
      </w:r>
      <w:bookmarkEnd w:id="172032"/>
      <w:r>
        <w:rPr>
          <w:rFonts w:hAnsi="Arial"/>
          <w:rFonts w:ascii="Arial"/>
          <w:sz w:val="24"/>
          <w:color w:val="black"/>
        </w:rPr>
        <w:t xml:space="preserve"> &lt;Artículo derogado por el artículo </w:t>
      </w:r>
      <w:r>
        <w:fldChar w:fldCharType="begin"/>
      </w:r>
      <w:r>
        <w:instrText>HYPERLINK "http://www.redjurista.com/document.aspx?ajcode=r_ica_1558_2010&amp;arts=12"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1558 de 2010&gt;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2033" w:name="8"/>
      <w:r>
        <w:rPr>
          <w:rFonts w:hAnsi="Arial"/>
          <w:rFonts w:ascii="Arial"/>
          <w:sz w:val="24"/>
          <w:color w:val="navy"/>
        </w:rPr>
        <w:t xml:space="preserve">ARTÍCULO 8o.</w:t>
      </w:r>
      <w:bookmarkEnd w:id="172033"/>
      <w:r>
        <w:rPr>
          <w:rFonts w:hAnsi="Arial"/>
          <w:rFonts w:ascii="Arial"/>
          <w:sz w:val="24"/>
          <w:color w:val="black"/>
        </w:rPr>
        <w:t xml:space="preserve"> &lt;Artículo derogado por el artículo </w:t>
      </w:r>
      <w:r>
        <w:fldChar w:fldCharType="begin"/>
      </w:r>
      <w:r>
        <w:instrText>HYPERLINK "http://www.redjurista.com/document.aspx?ajcode=r_ica_1558_2010&amp;arts=15"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1317 de 2007&gt;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2034" w:name="9"/>
      <w:r>
        <w:rPr>
          <w:rFonts w:hAnsi="Arial"/>
          <w:rFonts w:ascii="Arial"/>
          <w:sz w:val="24"/>
          <w:color w:val="navy"/>
        </w:rPr>
        <w:t xml:space="preserve">ARTÍCULO 9o.</w:t>
      </w:r>
      <w:bookmarkEnd w:id="172034"/>
      <w:r>
        <w:rPr>
          <w:rFonts w:hAnsi="Arial"/>
          <w:rFonts w:ascii="Arial"/>
          <w:sz w:val="24"/>
          <w:color w:val="black"/>
        </w:rPr>
        <w:t xml:space="preserve"> &lt;Artículo derogado por el artículo </w:t>
      </w:r>
      <w:r>
        <w:fldChar w:fldCharType="begin"/>
      </w:r>
      <w:r>
        <w:instrText>HYPERLINK "http://www.redjurista.com/document.aspx?ajcode=r_ica_1558_2010&amp;arts=15"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1317 de 2007&gt; </w:t>
      </w:r>
    </w:p>
    <w:p>
      <w:pPr>
        <w:jc w:val="both"/>
      </w:p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2035" w:name="10"/>
      <w:r>
        <w:rPr>
          <w:rFonts w:hAnsi="Arial"/>
          <w:rFonts w:ascii="Arial"/>
          <w:sz w:val="24"/>
          <w:color w:val="navy"/>
        </w:rPr>
        <w:t xml:space="preserve">ARTÍCULO 10.</w:t>
      </w:r>
      <w:bookmarkEnd w:id="172035"/>
      <w:r>
        <w:rPr>
          <w:rFonts w:hAnsi="Arial"/>
          <w:rFonts w:ascii="Arial"/>
          <w:sz w:val="24"/>
          <w:color w:val="black"/>
        </w:rPr>
        <w:t xml:space="preserve"> &lt;Artículo derogado por el artículo </w:t>
      </w:r>
      <w:r>
        <w:fldChar w:fldCharType="begin"/>
      </w:r>
      <w:r>
        <w:instrText>HYPERLINK "http://www.redjurista.com/document.aspx?ajcode=r_ica_1558_2010&amp;arts=15"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1317 de 2007&gt;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2036" w:name="11"/>
      <w:r>
        <w:rPr>
          <w:rFonts w:hAnsi="Arial"/>
          <w:rFonts w:ascii="Arial"/>
          <w:sz w:val="24"/>
          <w:color w:val="navy"/>
        </w:rPr>
        <w:t xml:space="preserve">ARTÍCULO 11.</w:t>
      </w:r>
      <w:bookmarkEnd w:id="172036"/>
      <w:r>
        <w:rPr>
          <w:rFonts w:hAnsi="Arial"/>
          <w:rFonts w:ascii="Arial"/>
          <w:sz w:val="24"/>
          <w:color w:val="black"/>
        </w:rPr>
        <w:t xml:space="preserve"> &lt;Artículo derogado por el artículo </w:t>
      </w:r>
      <w:r>
        <w:fldChar w:fldCharType="begin"/>
      </w:r>
      <w:r>
        <w:instrText>HYPERLINK "http://www.redjurista.com/document.aspx?ajcode=r_ica_1558_2010&amp;arts=12"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1558 de 2010&gt;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2037" w:name="12"/>
      <w:r>
        <w:rPr>
          <w:rFonts w:hAnsi="Arial"/>
          <w:rFonts w:ascii="Arial"/>
          <w:sz w:val="24"/>
          <w:color w:val="navy"/>
        </w:rPr>
        <w:t xml:space="preserve">ARTÍCULO 12.</w:t>
      </w:r>
      <w:bookmarkEnd w:id="172037"/>
      <w:r>
        <w:rPr>
          <w:rFonts w:hAnsi="Arial"/>
          <w:rFonts w:ascii="Arial"/>
          <w:sz w:val="24"/>
          <w:color w:val="black"/>
        </w:rPr>
        <w:t xml:space="preserve"> &lt;Artículo derogado por el artículo </w:t>
      </w:r>
      <w:r>
        <w:fldChar w:fldCharType="begin"/>
      </w:r>
      <w:r>
        <w:instrText>HYPERLINK "http://www.redjurista.com/document.aspx?ajcode=r_ica_1558_2010&amp;arts=12"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1558 de 2010&gt;</w:t>
      </w:r>
    </w:p>
    <w:p>
      <w:pPr>
        <w:jc w:val="both"/>
      </w:pPr>
      <w:rPr>
        <w:sz w:val="24"/>
        <w:color w:val="black"/>
      </w:rP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Dada en Bogotá, D. C., a 28 de diciembre de 2004.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Gerente General,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Juan Alcides Santaella Gutiérrez.</w:t>
      </w:r>
    </w:p>
    <w:p>
      <w:pPr>
        <w:jc w:val="both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13776"/>
      <w:footerReference w:type="default" r:id="eId13777"/>
      <w:type w:val="continuous"/>
    </w:sectPr>
  </w:body>
</w:document>
</file>

<file path=word/footer_default_13777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4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5</w:t>
      <w:fldChar w:fldCharType="end"/>
    </w:r>
  </w:p>
</w:ftr>
</file>

<file path=word/header_default_13776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13776" Type="http://schemas.openxmlformats.org/officeDocument/2006/relationships/header" Target="header_default_13776.xml" />
<Relationship Id="id0" Type="http://schemas.openxmlformats.org/officeDocument/2006/relationships/image" Target="img/img_id0.png"/>
<Relationship Id="eId13777" Type="http://schemas.openxmlformats.org/officeDocument/2006/relationships/footer" Target="footer_default_13777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3777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3776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