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44.xml" ContentType="application/vnd.openxmlformats-officedocument.wordprocessingml.header+xml"/>
  <Override PartName="/word/footer_default_152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91506 DE 2021</w:t>
      </w:r>
    </w:p>
    <w:p>
      <w:pPr>
        <w:jc w:val="center"/>
        <w:outlineLvl w:val="1"/>
      </w:pPr>
      <w:r>
        <w:rPr>
          <w:rFonts w:hAnsi="Arial"/>
          <w:rFonts w:ascii="Arial"/>
          <w:sz w:val="24"/>
          <w:color w:val="black"/>
        </w:rPr>
        <w:t xml:space="preserve">(febrero 15)</w:t>
      </w:r>
    </w:p>
    <w:p>
      <w:pPr>
        <w:jc w:val="center"/>
        <w:outlineLvl w:val="1"/>
      </w:pPr>
      <w:r>
        <w:rPr>
          <w:rFonts w:hAnsi="Arial"/>
          <w:rFonts w:ascii="Arial"/>
          <w:sz w:val="24"/>
          <w:color w:val="black"/>
        </w:rPr>
        <w:t xml:space="preserve">Diario Oficial No. 51.600 de 26 de febrero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 el Reglamento Interno del Comité Técnico Nacional de Bioseguridad, (CTNBio) para Organismos Vivos Modificados (OVM) con fines exclusivamente agrícolas, pecuarios, pesqueros, plantaciones forestales comerciales y agroindustria, y se dictan otras disposiciones</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 en ejercicio de sus atribuciones legales y en especial de las conferidas por el artículo </w:t>
      </w:r>
      <w:r>
        <w:fldChar w:fldCharType="begin"/>
      </w:r>
      <w:r>
        <w:instrText>HYPERLINK "http://www.redjurista.com/document.aspx?ajcode=d4525005&amp;arts=22"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4525 de 2005, 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"http://www.redjurista.com/document.aspx?ajcode=l0740002&amp;arts=INICIO"</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Colombia ratificó el Protocolo de Cartagena sobre Seguridad en la Biotecnología del Convenio sobre Diversidad Biológica, el cual tiene como objetivo (artículo </w:t>
      </w:r>
      <w:r>
        <w:fldChar w:fldCharType="begin"/>
      </w:r>
      <w:r>
        <w:instrText>HYPERLINK "http://www.redjurista.com/document.aspx?ajcode=l0740002&amp;arts=1"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conformidad con el enfoque de precaución, contribuir a garantizar un nivel adecuado de protección en la esfera de la transferencia, manipulación y utilización seguras de los Organismos Vivos Modificados resultantes de la Biotecnología moderna que puedan tener efectos adversos para la conservación y utilización sostenible de la diversidad biológica y centrándose concretamente en los movimientos transfronterizos.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"http://www.redjurista.com/document.aspx?ajcode=l0740002&amp;arts=2"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740 de 2002 establece que cada parte tomará las medidas legislativas, administrativas y de otro tipo, necesarias y convenientes para cumplir las obligaciones dimanantes del Protocolo de Cartagena y velará porque el desarrollo, la manipulación, el transporte, la utilización, la transferencia y la liberación de cualesquiera Organismos Vivos Modificados, se realicen de forma que se eviten o se reduzcan los riesgos para la diversidad biológica, teniendo también en cuenta los riesgos para la salud humana. </w:t>
      </w:r>
    </w:p>
    <w:p>
      <w:pPr>
        <w:jc w:val="both"/>
        <w:outlineLvl w:val="1"/>
      </w:pPr>
      <w:rPr>
        <w:sz w:val="24"/>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"http://www.redjurista.com/document.aspx?ajcode=d4525005&amp;arts=INICIO"</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 2005 creó el Comité Técnico Nacional de Bioseguridad (CTNBio) para Organismos Vivos Modificados (OVM) con fines agrícolas, pecuarios, pesqueros, plantaciones forestales comerciales y agroindustria, y determinó que su funcionamiento sea reglamentado a través de Resolución que expida el Instituto Colombiano Agropecuario, (ICA) quien ejercerá la Secretaría de este. </w:t>
      </w:r>
    </w:p>
    <w:p>
      <w:pPr>
        <w:jc w:val="both"/>
        <w:outlineLvl w:val="1"/>
      </w:pPr>
      <w:rPr>
        <w:sz w:val="24"/>
        <w:b/>
        <w:color w:val="black"/>
      </w:rPr>
    </w:p>
    <w:p>
      <w:pPr>
        <w:jc w:val="both"/>
        <w:outlineLvl w:val="1"/>
      </w:pPr>
      <w:r>
        <w:rPr>
          <w:rFonts w:hAnsi="Arial"/>
          <w:rFonts w:ascii="Arial"/>
          <w:sz w:val="24"/>
          <w:color w:val="black"/>
        </w:rPr>
        <w:t xml:space="preserve">Que el ICA ha venido cumpliendo sus funciones y responsabilidades sobre seguridad de los Organismos Modificados Genéticamente, (OMG) con base en la Resolución del ICA número </w:t>
      </w:r>
      <w:r>
        <w:fldChar w:fldCharType="begin"/>
      </w:r>
      <w:r>
        <w:instrText>HYPERLINK "http://www.redjurista.com/document.aspx?ajcode=r_ica_0946_2006&amp;arts=INICIO"</w:instrText>
      </w:r>
      <w:r>
        <w:fldChar w:fldCharType="separate"/>
      </w:r>
      <w:r>
        <w:rPr>
          <w:rFonts w:hAnsi="Arial"/>
          <w:rFonts w:ascii="Arial"/>
          <w:sz w:val="24"/>
          <w:u w:val="single"/>
          <w:color w:val="black"/>
        </w:rPr>
        <w:t>946</w:t>
      </w:r>
      <w:r>
        <w:fldChar w:fldCharType="end"/>
      </w:r>
      <w:r>
        <w:rPr>
          <w:rFonts w:hAnsi="Arial"/>
          <w:rFonts w:ascii="Arial"/>
          <w:sz w:val="24"/>
          <w:u w:val="none"/>
          <w:color w:val="black"/>
        </w:rPr>
        <w:t xml:space="preserve"> del 17 de abril de 2006. </w:t>
      </w:r>
    </w:p>
    <w:p>
      <w:pPr>
        <w:jc w:val="both"/>
        <w:outlineLvl w:val="1"/>
      </w:pPr>
      <w:rPr>
        <w:sz w:val="24"/>
        <w:color w:val="black"/>
      </w:rPr>
    </w:p>
    <w:p>
      <w:pPr>
        <w:jc w:val="both"/>
        <w:outlineLvl w:val="1"/>
      </w:pPr>
      <w:r>
        <w:rPr>
          <w:rFonts w:hAnsi="Arial"/>
          <w:rFonts w:ascii="Arial"/>
          <w:sz w:val="24"/>
          <w:color w:val="black"/>
        </w:rPr>
        <w:t xml:space="preserve">Que con el fin de separar y actualizar el procedimiento para el trámite ante el ICA de solicitudes de Organismos Vivos Modificados, (OVM) y el Reglamento Interno del Comité Técnico Nacional de Bioseguridad, (CTNBio) para OVM con fines exclusivamente agrícolas, pecuarios, pesqueros, plantaciones forestales comerciales y agroindustria, se hace necesario la expedición del presente acto administrativo </w:t>
      </w:r>
    </w:p>
    <w:p>
      <w:pPr>
        <w:jc w:val="both"/>
        <w:outlineLvl w:val="1"/>
      </w:pPr>
      <w:rPr>
        <w:sz w:val="24"/>
        <w:color w:val="black"/>
      </w:rPr>
    </w:p>
    <w:p>
      <w:pPr>
        <w:jc w:val="both"/>
        <w:outlineLvl w:val="1"/>
      </w:pPr>
      <w:r>
        <w:rPr>
          <w:rFonts w:hAnsi="Arial"/>
          <w:rFonts w:ascii="Arial"/>
          <w:sz w:val="24"/>
          <w:color w:val="black"/>
        </w:rPr>
        <w:t xml:space="preserve">Que 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2727" w:name="1"/>
      <w:r>
        <w:rPr>
          <w:rFonts w:hAnsi="Arial"/>
          <w:rFonts w:ascii="Arial"/>
          <w:sz w:val="24"/>
          <w:color w:val="navy"/>
        </w:rPr>
        <w:t xml:space="preserve">ARTÍCULO 1o. OBJETO.</w:t>
      </w:r>
      <w:bookmarkEnd w:id="182727"/>
      <w:r>
        <w:rPr>
          <w:rFonts w:hAnsi="Arial"/>
          <w:rFonts w:ascii="Arial"/>
          <w:sz w:val="24"/>
          <w:color w:val="black"/>
        </w:rPr>
        <w:t xml:space="preserve"> Establecer el reglamento interno del Comité Técnico Nacional de Bioseguridad (CTNBio) para OVM (Organismos Vivos Modificados) con fines agrícolas, pecuarios, pesqueros, plantaciones forestales comerciales y agroindustriales. </w:t>
      </w:r>
    </w:p>
    <w:p>
      <w:pPr>
        <w:jc w:val="both"/>
        <w:outlineLvl w:val="1"/>
      </w:pPr>
      <w:rPr>
        <w:sz w:val="24"/>
        <w:color w:val="black"/>
      </w:rPr>
    </w:p>
    <w:p>
      <w:pPr>
        <w:jc w:val="both"/>
        <w:outlineLvl w:val="1"/>
      </w:pPr>
      <w:r>
        <w:rPr>
          <w:rFonts w:hAnsi="Arial"/>
          <w:rFonts w:ascii="Arial"/>
          <w:sz w:val="24"/>
          <w:vanish/>
          <w:color w:val="black"/>
        </w:rPr>
        <w:t>&amp;$</w:t>
      </w:r>
      <w:bookmarkStart w:id="182728" w:name="2"/>
      <w:r>
        <w:rPr>
          <w:rFonts w:hAnsi="Arial"/>
          <w:rFonts w:ascii="Arial"/>
          <w:sz w:val="24"/>
          <w:color w:val="navy"/>
        </w:rPr>
        <w:t xml:space="preserve">ARTÍCULO 2o. ÁMBITO DE APLICACIÓN.</w:t>
      </w:r>
      <w:bookmarkEnd w:id="182728"/>
      <w:r>
        <w:rPr>
          <w:rFonts w:hAnsi="Arial"/>
          <w:rFonts w:ascii="Arial"/>
          <w:sz w:val="24"/>
          <w:color w:val="black"/>
        </w:rPr>
        <w:t xml:space="preserve"> Las disposiciones establecidas en la presente resolución serán aplicables a los miembros del Comité Técnico Nacional de Bioseguridad (CTNBio) para OVM- (Organismos Vivos Modificados) con fines agrícolas, pecuarios, pesqueros, plantaciones forestales comerciales y agroindustriales, establecidos en el artículo </w:t>
      </w:r>
      <w:r>
        <w:fldChar w:fldCharType="begin"/>
      </w:r>
      <w:r>
        <w:instrText>HYPERLINK "http://www.redjurista.com/document.aspx?ajcode=d4525005&amp;arts=19"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4525 de 2005 o aquel que lo modifique o sustituya. </w:t>
      </w:r>
    </w:p>
    <w:p>
      <w:pPr>
        <w:jc w:val="both"/>
        <w:outlineLvl w:val="1"/>
      </w:pPr>
      <w:rPr>
        <w:sz w:val="24"/>
        <w:color w:val="black"/>
      </w:rPr>
    </w:p>
    <w:p>
      <w:pPr>
        <w:jc w:val="both"/>
        <w:outlineLvl w:val="1"/>
      </w:pPr>
      <w:r>
        <w:rPr>
          <w:rFonts w:hAnsi="Arial"/>
          <w:rFonts w:ascii="Arial"/>
          <w:sz w:val="24"/>
          <w:vanish/>
          <w:color w:val="black"/>
        </w:rPr>
        <w:t>&amp;$</w:t>
      </w:r>
      <w:bookmarkStart w:id="182729" w:name="3"/>
      <w:r>
        <w:rPr>
          <w:rFonts w:hAnsi="Arial"/>
          <w:rFonts w:ascii="Arial"/>
          <w:sz w:val="24"/>
          <w:color w:val="navy"/>
        </w:rPr>
        <w:t xml:space="preserve">ARTÍCULO 3o. SESIONES DEL CTNBIO.</w:t>
      </w:r>
      <w:bookmarkEnd w:id="182729"/>
      <w:r>
        <w:rPr>
          <w:rFonts w:hAnsi="Arial"/>
          <w:rFonts w:ascii="Arial"/>
          <w:sz w:val="24"/>
          <w:color w:val="black"/>
        </w:rPr>
        <w:t xml:space="preserve"> Las sesiones del Comité Técnico Nacional de Bioseguridad (CTNBio) serán ordinarias o extraordinarias. Las sesiones ordinarias se citarán con una antelación no inferior a ocho (8) días calendario y será válida cualquier forma de citación que se utilice. Las sesiones extraordinarias se citarán mínimo con dos (2) días calendario de anterioridad y se acompañarán del orden del día que se tratará. </w:t>
      </w:r>
    </w:p>
    <w:p>
      <w:pPr>
        <w:jc w:val="both"/>
        <w:outlineLvl w:val="1"/>
      </w:pPr>
      <w:rPr>
        <w:sz w:val="24"/>
        <w:color w:val="black"/>
      </w:rPr>
    </w:p>
    <w:p>
      <w:pPr>
        <w:jc w:val="both"/>
        <w:outlineLvl w:val="1"/>
      </w:pPr>
      <w:r>
        <w:rPr>
          <w:rFonts w:hAnsi="Arial"/>
          <w:rFonts w:ascii="Arial"/>
          <w:sz w:val="24"/>
          <w:color w:val="black"/>
        </w:rPr>
        <w:t xml:space="preserve">El Comité sesionará de manera ordinaria cada dos (2) meses llevándose a cabo la primera sesión del año en el mes de febrero, y de manera extraordinaria cuando algún miembro del CTNBio lo solicite o las circunstancias así lo ameriten.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Al Comité podrán ser invitados, por cualquiera de los miembros, especialistas nacionales o internacionales, de acuerdo con el tema a tratar, circunstancia que debe comunicarse previamente al Presidente. </w:t>
      </w:r>
    </w:p>
    <w:p>
      <w:pPr>
        <w:jc w:val="both"/>
        <w:outlineLvl w:val="1"/>
      </w:pPr>
      <w:rPr>
        <w:sz w:val="24"/>
        <w:color w:val="black"/>
      </w:rPr>
    </w:p>
    <w:p>
      <w:pPr>
        <w:jc w:val="both"/>
        <w:outlineLvl w:val="1"/>
      </w:pPr>
      <w:r>
        <w:rPr>
          <w:rFonts w:hAnsi="Arial"/>
          <w:rFonts w:ascii="Arial"/>
          <w:sz w:val="24"/>
          <w:vanish/>
          <w:color w:val="black"/>
        </w:rPr>
        <w:t>&amp;$</w:t>
      </w:r>
      <w:bookmarkStart w:id="182730" w:name="4"/>
      <w:r>
        <w:rPr>
          <w:rFonts w:hAnsi="Arial"/>
          <w:rFonts w:ascii="Arial"/>
          <w:sz w:val="24"/>
          <w:color w:val="navy"/>
        </w:rPr>
        <w:t xml:space="preserve">ARTÍCULO 4o. QUÓRUM.</w:t>
      </w:r>
      <w:bookmarkEnd w:id="182730"/>
      <w:r>
        <w:rPr>
          <w:rFonts w:hAnsi="Arial"/>
          <w:rFonts w:ascii="Arial"/>
          <w:sz w:val="24"/>
          <w:color w:val="black"/>
        </w:rPr>
        <w:t xml:space="preserve"> De acuerdo con el artículo </w:t>
      </w:r>
      <w:r>
        <w:fldChar w:fldCharType="begin"/>
      </w:r>
      <w:r>
        <w:instrText>HYPERLINK "http://www.redjurista.com/document.aspx?ajcode=d4525005&amp;arts=21"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4525 de 2005, las decisiones del Comité serán colegiadas y habrá quórum para deliberar cuando tres (3) de sus miembros asistan, y para decidir, con la mayoría de los asistentes. </w:t>
      </w:r>
    </w:p>
    <w:p>
      <w:pPr>
        <w:jc w:val="both"/>
        <w:outlineLvl w:val="1"/>
      </w:pPr>
      <w:rPr>
        <w:sz w:val="24"/>
        <w:b/>
        <w:color w:val="black"/>
      </w:rPr>
    </w:p>
    <w:p>
      <w:pPr>
        <w:jc w:val="both"/>
        <w:outlineLvl w:val="1"/>
      </w:pPr>
      <w:r>
        <w:rPr>
          <w:rFonts w:hAnsi="Arial"/>
          <w:rFonts w:ascii="Arial"/>
          <w:sz w:val="24"/>
          <w:color w:val="black"/>
        </w:rPr>
        <w:t xml:space="preserve">La votación a través de la cual se decidan los asuntos de competencia del presente Comité será pública. En ningún caso, la inasistencia eximirá de responsabilidad al miembro ausente. </w:t>
      </w:r>
    </w:p>
    <w:p>
      <w:pPr>
        <w:jc w:val="both"/>
        <w:outlineLvl w:val="1"/>
      </w:pPr>
      <w:rPr>
        <w:sz w:val="24"/>
        <w:color w:val="black"/>
      </w:rPr>
    </w:p>
    <w:p>
      <w:pPr>
        <w:jc w:val="both"/>
        <w:outlineLvl w:val="1"/>
      </w:pPr>
      <w:r>
        <w:rPr>
          <w:rFonts w:hAnsi="Arial"/>
          <w:rFonts w:ascii="Arial"/>
          <w:sz w:val="24"/>
          <w:vanish/>
          <w:color w:val="black"/>
        </w:rPr>
        <w:t>&amp;$</w:t>
      </w:r>
      <w:bookmarkStart w:id="182731" w:name="5"/>
      <w:r>
        <w:rPr>
          <w:rFonts w:hAnsi="Arial"/>
          <w:rFonts w:ascii="Arial"/>
          <w:sz w:val="24"/>
          <w:color w:val="navy"/>
        </w:rPr>
        <w:t xml:space="preserve">ARTÍCULO 5o. ACTAS.</w:t>
      </w:r>
      <w:bookmarkEnd w:id="182731"/>
      <w:r>
        <w:rPr>
          <w:rFonts w:hAnsi="Arial"/>
          <w:rFonts w:ascii="Arial"/>
          <w:sz w:val="24"/>
          <w:color w:val="black"/>
        </w:rPr>
        <w:t xml:space="preserve"> Del contenido de las sesiones se levantarán actas que deberán ser suscritas por la totalidad de los miembros del comité, así como numeradas y archivadas por parte del ICA, quien ejerce la Secretaría Técnica de este Comité. </w:t>
      </w:r>
    </w:p>
    <w:p>
      <w:pPr>
        <w:jc w:val="both"/>
        <w:outlineLvl w:val="1"/>
      </w:pPr>
      <w:rPr>
        <w:sz w:val="24"/>
        <w:color w:val="black"/>
      </w:rPr>
    </w:p>
    <w:p>
      <w:pPr>
        <w:jc w:val="both"/>
        <w:outlineLvl w:val="1"/>
      </w:pPr>
      <w:r>
        <w:rPr>
          <w:rFonts w:hAnsi="Arial"/>
          <w:rFonts w:ascii="Arial"/>
          <w:sz w:val="24"/>
          <w:vanish/>
          <w:color w:val="black"/>
        </w:rPr>
        <w:t>&amp;$</w:t>
      </w:r>
      <w:bookmarkStart w:id="182732" w:name="6"/>
      <w:r>
        <w:rPr>
          <w:rFonts w:hAnsi="Arial"/>
          <w:rFonts w:ascii="Arial"/>
          <w:sz w:val="24"/>
          <w:color w:val="navy"/>
        </w:rPr>
        <w:t xml:space="preserve">ARTÍCULO 6o. PERIODO DE LOS MIEMBROS DEL CTNBIO.</w:t>
      </w:r>
      <w:bookmarkEnd w:id="182732"/>
      <w:r>
        <w:rPr>
          <w:rFonts w:hAnsi="Arial"/>
          <w:rFonts w:ascii="Arial"/>
          <w:sz w:val="24"/>
          <w:color w:val="black"/>
        </w:rPr>
        <w:t xml:space="preserve"> El mandato de los miembros del Comité señalado en el artículo </w:t>
      </w:r>
      <w:r>
        <w:fldChar w:fldCharType="begin"/>
      </w:r>
      <w:r>
        <w:instrText>HYPERLINK "http://www.redjurista.com/document.aspx?ajcode=d4525005&amp;arts=19"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4525 de 2005, será por término indefinido sin perjuicio de la revocación que determine el Ministro, Director o Gerente de la institución que éstos representen.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participación de los miembros en el CTNBio no será remunerada, correspondiendo a las organizaciones e instituciones en él representadas, prestar todo el apoyo técnico y administrativo necesario para su trabajo en el Comité.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participación en el Comité Técnico Nacional de Bioseguridad, (CTNBio) para OVM con fines exclusivamente agrícolas, pecuarios, pesqueros, plantaciones forestales comerciales y agroindustria, de los miembros que no sean funcionarios del Instituto, no genera relación laboral alguna con el ICA.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miembros del CTNBio, en desarrollo de la gestión que les ha sido encargada, estarán sujetos a las causales de impedimento y recusación previstas en las normas vigentes. </w:t>
      </w:r>
    </w:p>
    <w:p>
      <w:pPr>
        <w:jc w:val="both"/>
        <w:outlineLvl w:val="1"/>
      </w:pPr>
      <w:rPr>
        <w:sz w:val="24"/>
        <w:b/>
        <w:color w:val="black"/>
      </w:rPr>
    </w:p>
    <w:p>
      <w:pPr>
        <w:jc w:val="both"/>
        <w:outlineLvl w:val="1"/>
      </w:pPr>
      <w:r>
        <w:rPr>
          <w:rFonts w:hAnsi="Arial"/>
          <w:rFonts w:ascii="Arial"/>
          <w:sz w:val="24"/>
          <w:vanish/>
          <w:color w:val="black"/>
        </w:rPr>
        <w:t>&amp;$</w:t>
      </w:r>
      <w:bookmarkStart w:id="182733" w:name="7"/>
      <w:r>
        <w:rPr>
          <w:rFonts w:hAnsi="Arial"/>
          <w:rFonts w:ascii="Arial"/>
          <w:sz w:val="24"/>
          <w:color w:val="navy"/>
        </w:rPr>
        <w:t xml:space="preserve">ARTÍCULO 7o. PRESIDENCIA Y VICEPRESIDENCIA DEL CTNBIO.</w:t>
      </w:r>
      <w:bookmarkEnd w:id="182733"/>
      <w:r>
        <w:rPr>
          <w:rFonts w:hAnsi="Arial"/>
          <w:rFonts w:ascii="Arial"/>
          <w:sz w:val="24"/>
          <w:color w:val="black"/>
        </w:rPr>
        <w:t xml:space="preserve"> La presidencia y la vicepresidencia del CTNBio serán ejercidas por dos de sus miembros, quienes serán postulados y elegidos por la mayoría de miembros del comité en la primera reunión de cada vigencia de éste, para un periodo de un (1) año. </w:t>
      </w:r>
    </w:p>
    <w:p>
      <w:pPr>
        <w:jc w:val="both"/>
        <w:outlineLvl w:val="1"/>
      </w:pPr>
      <w:rPr>
        <w:sz w:val="24"/>
        <w:b/>
        <w:color w:val="black"/>
      </w:rPr>
    </w:p>
    <w:p>
      <w:pPr>
        <w:jc w:val="both"/>
        <w:outlineLvl w:val="1"/>
      </w:pPr>
      <w:r>
        <w:rPr>
          <w:rFonts w:hAnsi="Arial"/>
          <w:rFonts w:ascii="Arial"/>
          <w:sz w:val="24"/>
          <w:vanish/>
          <w:color w:val="black"/>
        </w:rPr>
        <w:t>&amp;$</w:t>
      </w:r>
      <w:bookmarkStart w:id="182734" w:name="8"/>
      <w:r>
        <w:rPr>
          <w:rFonts w:hAnsi="Arial"/>
          <w:rFonts w:ascii="Arial"/>
          <w:sz w:val="24"/>
          <w:color w:val="navy"/>
        </w:rPr>
        <w:t xml:space="preserve">ARTÍCULO 8o. FUNCIONES DEL PRESIDENTE DEL CTNBIO.</w:t>
      </w:r>
      <w:bookmarkEnd w:id="182734"/>
      <w:r>
        <w:rPr>
          <w:rFonts w:hAnsi="Arial"/>
          <w:rFonts w:ascii="Arial"/>
          <w:sz w:val="24"/>
          <w:color w:val="black"/>
        </w:rPr>
        <w:t xml:space="preserve"> Son funciones del presidente del comité las siguientes: </w:t>
      </w:r>
    </w:p>
    <w:p>
      <w:pPr>
        <w:jc w:val="both"/>
        <w:outlineLvl w:val="1"/>
      </w:pPr>
      <w:rPr>
        <w:sz w:val="24"/>
        <w:b/>
        <w:color w:val="black"/>
      </w:rPr>
    </w:p>
    <w:p>
      <w:pPr>
        <w:jc w:val="both"/>
        <w:outlineLvl w:val="1"/>
      </w:pPr>
      <w:r>
        <w:rPr>
          <w:rFonts w:hAnsi="Arial"/>
          <w:rFonts w:ascii="Arial"/>
          <w:sz w:val="24"/>
          <w:b/>
          <w:color w:val="black"/>
        </w:rPr>
        <w:t xml:space="preserve">8.1 </w:t>
      </w:r>
      <w:r>
        <w:rPr>
          <w:rFonts w:hAnsi="Arial"/>
          <w:rFonts w:ascii="Arial"/>
          <w:sz w:val="24"/>
          <w:color w:val="black"/>
        </w:rPr>
        <w:t xml:space="preserve">Abrir, presidir, suspender, prorrogar y cerrar las reuniones ordinarias y extraordinarias del CTNBio. </w:t>
      </w:r>
    </w:p>
    <w:p>
      <w:pPr>
        <w:jc w:val="both"/>
        <w:outlineLvl w:val="1"/>
      </w:pPr>
      <w:rPr>
        <w:sz w:val="24"/>
        <w:b/>
        <w:color w:val="black"/>
      </w:rPr>
    </w:p>
    <w:p>
      <w:pPr>
        <w:jc w:val="both"/>
        <w:outlineLvl w:val="1"/>
      </w:pPr>
      <w:r>
        <w:rPr>
          <w:rFonts w:hAnsi="Arial"/>
          <w:rFonts w:ascii="Arial"/>
          <w:sz w:val="24"/>
          <w:b/>
          <w:color w:val="black"/>
        </w:rPr>
        <w:t xml:space="preserve">8.2 </w:t>
      </w:r>
      <w:r>
        <w:rPr>
          <w:rFonts w:hAnsi="Arial"/>
          <w:rFonts w:ascii="Arial"/>
          <w:sz w:val="24"/>
          <w:color w:val="black"/>
        </w:rPr>
        <w:t xml:space="preserve">Hacer cumplir los mandatos del CTNBio. </w:t>
      </w:r>
    </w:p>
    <w:p>
      <w:pPr>
        <w:jc w:val="both"/>
        <w:outlineLvl w:val="1"/>
      </w:pPr>
      <w:rPr>
        <w:sz w:val="24"/>
        <w:b/>
        <w:color w:val="black"/>
      </w:rPr>
    </w:p>
    <w:p>
      <w:pPr>
        <w:jc w:val="both"/>
        <w:outlineLvl w:val="1"/>
      </w:pPr>
      <w:r>
        <w:rPr>
          <w:rFonts w:hAnsi="Arial"/>
          <w:rFonts w:ascii="Arial"/>
          <w:sz w:val="24"/>
          <w:b/>
          <w:color w:val="black"/>
        </w:rPr>
        <w:t xml:space="preserve">8.3 </w:t>
      </w:r>
      <w:r>
        <w:rPr>
          <w:rFonts w:hAnsi="Arial"/>
          <w:rFonts w:ascii="Arial"/>
          <w:sz w:val="24"/>
          <w:color w:val="black"/>
        </w:rPr>
        <w:t xml:space="preserve">Representar al CTNBio en los actos que fuesen necesarios y relacionados con la naturaleza de sus atribuciones, ante entidades públicas y privadas. </w:t>
      </w:r>
    </w:p>
    <w:p>
      <w:pPr>
        <w:jc w:val="both"/>
        <w:outlineLvl w:val="1"/>
      </w:pPr>
      <w:rPr>
        <w:sz w:val="24"/>
        <w:b/>
        <w:color w:val="black"/>
      </w:rPr>
    </w:p>
    <w:p>
      <w:pPr>
        <w:jc w:val="both"/>
        <w:outlineLvl w:val="1"/>
      </w:pPr>
      <w:r>
        <w:rPr>
          <w:rFonts w:hAnsi="Arial"/>
          <w:rFonts w:ascii="Arial"/>
          <w:sz w:val="24"/>
          <w:b/>
          <w:color w:val="black"/>
        </w:rPr>
        <w:t xml:space="preserve">8.4 </w:t>
      </w:r>
      <w:r>
        <w:rPr>
          <w:rFonts w:hAnsi="Arial"/>
          <w:rFonts w:ascii="Arial"/>
          <w:sz w:val="24"/>
          <w:color w:val="black"/>
        </w:rPr>
        <w:t xml:space="preserve">Invitar a participar de las reuniones y debates, sin derecho a voto, a personas que pudiesen contribuir en la discusión de los asuntos a tratar, así como a las personas, que a juicio de los integrantes del CTNBio, deban participar para aclarar los aspectos a tratar. </w:t>
      </w:r>
    </w:p>
    <w:p>
      <w:pPr>
        <w:jc w:val="both"/>
        <w:outlineLvl w:val="1"/>
      </w:pPr>
      <w:rPr>
        <w:sz w:val="24"/>
        <w:b/>
        <w:color w:val="black"/>
      </w:rPr>
    </w:p>
    <w:p>
      <w:pPr>
        <w:jc w:val="both"/>
        <w:outlineLvl w:val="1"/>
      </w:pPr>
      <w:r>
        <w:rPr>
          <w:rFonts w:hAnsi="Arial"/>
          <w:rFonts w:ascii="Arial"/>
          <w:sz w:val="24"/>
          <w:b/>
          <w:color w:val="black"/>
        </w:rPr>
        <w:t xml:space="preserve">8.5 </w:t>
      </w:r>
      <w:r>
        <w:rPr>
          <w:rFonts w:hAnsi="Arial"/>
          <w:rFonts w:ascii="Arial"/>
          <w:sz w:val="24"/>
          <w:color w:val="black"/>
        </w:rPr>
        <w:t xml:space="preserve">Velar por el cumplimiento de este reglamento. </w:t>
      </w:r>
    </w:p>
    <w:p>
      <w:pPr>
        <w:jc w:val="both"/>
        <w:outlineLvl w:val="1"/>
      </w:pPr>
      <w:rPr>
        <w:sz w:val="24"/>
        <w:b/>
        <w:color w:val="black"/>
      </w:rPr>
    </w:p>
    <w:p>
      <w:pPr>
        <w:jc w:val="both"/>
        <w:outlineLvl w:val="1"/>
      </w:pPr>
      <w:r>
        <w:rPr>
          <w:rFonts w:hAnsi="Arial"/>
          <w:rFonts w:ascii="Arial"/>
          <w:sz w:val="24"/>
          <w:b/>
          <w:color w:val="black"/>
        </w:rPr>
        <w:t xml:space="preserve">8.6 </w:t>
      </w:r>
      <w:r>
        <w:rPr>
          <w:rFonts w:hAnsi="Arial"/>
          <w:rFonts w:ascii="Arial"/>
          <w:sz w:val="24"/>
          <w:color w:val="black"/>
        </w:rPr>
        <w:t xml:space="preserve">Proponer al final de cada sesión, la fecha de la reunión ordinaria subsiguiente. </w:t>
      </w:r>
    </w:p>
    <w:p>
      <w:pPr>
        <w:jc w:val="both"/>
        <w:outlineLvl w:val="1"/>
      </w:pPr>
      <w:rPr>
        <w:sz w:val="24"/>
        <w:b/>
        <w:color w:val="black"/>
      </w:rPr>
    </w:p>
    <w:p>
      <w:pPr>
        <w:jc w:val="both"/>
        <w:outlineLvl w:val="1"/>
      </w:pPr>
      <w:r>
        <w:rPr>
          <w:rFonts w:hAnsi="Arial"/>
          <w:rFonts w:ascii="Arial"/>
          <w:sz w:val="24"/>
          <w:vanish/>
          <w:color w:val="black"/>
        </w:rPr>
        <w:t>&amp;$</w:t>
      </w:r>
      <w:bookmarkStart w:id="182735" w:name="9"/>
      <w:r>
        <w:rPr>
          <w:rFonts w:hAnsi="Arial"/>
          <w:rFonts w:ascii="Arial"/>
          <w:sz w:val="24"/>
          <w:color w:val="navy"/>
        </w:rPr>
        <w:t xml:space="preserve">ARTÍCULO 9o. DEL VICEPRESIDENTE DEL CTNBIO.</w:t>
      </w:r>
      <w:bookmarkEnd w:id="182735"/>
      <w:r>
        <w:rPr>
          <w:rFonts w:hAnsi="Arial"/>
          <w:rFonts w:ascii="Arial"/>
          <w:sz w:val="24"/>
          <w:color w:val="black"/>
        </w:rPr>
        <w:t xml:space="preserve"> El vicepresidente reemplazará al presidente en ausencia temporal de éste, quedándole atribuidas todas las funciones del presidente. Ante la eventual imposibilidad del presidente y del vicepresidente de asistir a una reunión, esta será presidida por el secretario técnico del comité.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caso de ausencia definitiva del presidente, el vicepresidente deberá convocar al CTNBio dentro de los quince (15) días siguientes a la ocurrencia de ésta, para la elección del nuevo titular. </w:t>
      </w:r>
    </w:p>
    <w:p>
      <w:pPr>
        <w:jc w:val="both"/>
        <w:outlineLvl w:val="1"/>
      </w:pPr>
      <w:rPr>
        <w:sz w:val="24"/>
        <w:b/>
        <w:color w:val="black"/>
      </w:rPr>
    </w:p>
    <w:p>
      <w:pPr>
        <w:jc w:val="both"/>
        <w:outlineLvl w:val="1"/>
      </w:pPr>
      <w:r>
        <w:rPr>
          <w:rFonts w:hAnsi="Arial"/>
          <w:rFonts w:ascii="Arial"/>
          <w:sz w:val="24"/>
          <w:vanish/>
          <w:color w:val="black"/>
        </w:rPr>
        <w:t>&amp;$</w:t>
      </w:r>
      <w:bookmarkStart w:id="182736" w:name="10"/>
      <w:r>
        <w:rPr>
          <w:rFonts w:hAnsi="Arial"/>
          <w:rFonts w:ascii="Arial"/>
          <w:sz w:val="24"/>
          <w:color w:val="navy"/>
        </w:rPr>
        <w:t xml:space="preserve">ARTÍCULO 10. SECRETARÍA DEL CTNBIO.</w:t>
      </w:r>
      <w:bookmarkEnd w:id="182736"/>
      <w:r>
        <w:rPr>
          <w:rFonts w:hAnsi="Arial"/>
          <w:rFonts w:ascii="Arial"/>
          <w:sz w:val="24"/>
          <w:color w:val="black"/>
        </w:rPr>
        <w:t xml:space="preserve"> Conforme al artículo </w:t>
      </w:r>
      <w:r>
        <w:fldChar w:fldCharType="begin"/>
      </w:r>
      <w:r>
        <w:instrText>HYPERLINK "http://www.redjurista.com/document.aspx?ajcode=d4525005&amp;arts=22"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4525 de 2005, corresponde al ICA ejercer la secretaría del Comité Técnico Nacional de Bioseguridad CTNBio para OVM (Organismos Vivos Modificados) con fines agrícolas, pecuarios, pesqueros, plantaciones forestales comerciales y agroindustriales, quien tendrá las siguientes funciones: </w:t>
      </w:r>
    </w:p>
    <w:p>
      <w:pPr>
        <w:jc w:val="both"/>
        <w:outlineLvl w:val="1"/>
      </w:pPr>
      <w:rPr>
        <w:sz w:val="24"/>
        <w:b/>
        <w:color w:val="black"/>
      </w:rPr>
    </w:p>
    <w:p>
      <w:pPr>
        <w:jc w:val="both"/>
        <w:outlineLvl w:val="1"/>
      </w:pPr>
      <w:r>
        <w:rPr>
          <w:rFonts w:hAnsi="Arial"/>
          <w:rFonts w:ascii="Arial"/>
          <w:sz w:val="24"/>
          <w:b/>
          <w:color w:val="black"/>
        </w:rPr>
        <w:t xml:space="preserve">10.1 </w:t>
      </w:r>
      <w:r>
        <w:rPr>
          <w:rFonts w:hAnsi="Arial"/>
          <w:rFonts w:ascii="Arial"/>
          <w:sz w:val="24"/>
          <w:color w:val="black"/>
        </w:rPr>
        <w:t xml:space="preserve">Convocar a las reuniones ordinarias y extraordinarias del CTNBio, por solicitud del presidente. </w:t>
      </w:r>
    </w:p>
    <w:p>
      <w:pPr>
        <w:jc w:val="both"/>
        <w:outlineLvl w:val="1"/>
      </w:pPr>
      <w:rPr>
        <w:sz w:val="24"/>
        <w:b/>
        <w:color w:val="black"/>
      </w:rPr>
    </w:p>
    <w:p>
      <w:pPr>
        <w:jc w:val="both"/>
        <w:outlineLvl w:val="1"/>
      </w:pPr>
      <w:r>
        <w:rPr>
          <w:rFonts w:hAnsi="Arial"/>
          <w:rFonts w:ascii="Arial"/>
          <w:sz w:val="24"/>
          <w:b/>
          <w:color w:val="black"/>
        </w:rPr>
        <w:t xml:space="preserve">10.2 </w:t>
      </w:r>
      <w:r>
        <w:rPr>
          <w:rFonts w:hAnsi="Arial"/>
          <w:rFonts w:ascii="Arial"/>
          <w:sz w:val="24"/>
          <w:color w:val="black"/>
        </w:rPr>
        <w:t xml:space="preserve">Preparar y distribuir entre los miembros del CTNBio, los estudios o temas para su análisis y concepto, haciendo entrega con un mínimo de ocho (8) días calendario de anticipación, de los documentos y/o estudios que serán objeto de la reunión. </w:t>
      </w:r>
    </w:p>
    <w:p>
      <w:pPr>
        <w:jc w:val="both"/>
        <w:outlineLvl w:val="1"/>
      </w:pPr>
      <w:rPr>
        <w:sz w:val="24"/>
        <w:b/>
        <w:color w:val="black"/>
      </w:rPr>
    </w:p>
    <w:p>
      <w:pPr>
        <w:jc w:val="both"/>
        <w:outlineLvl w:val="1"/>
      </w:pPr>
      <w:r>
        <w:rPr>
          <w:rFonts w:hAnsi="Arial"/>
          <w:rFonts w:ascii="Arial"/>
          <w:sz w:val="24"/>
          <w:b/>
          <w:color w:val="black"/>
        </w:rPr>
        <w:t xml:space="preserve">10.3 </w:t>
      </w:r>
      <w:r>
        <w:rPr>
          <w:rFonts w:hAnsi="Arial"/>
          <w:rFonts w:ascii="Arial"/>
          <w:sz w:val="24"/>
          <w:color w:val="black"/>
        </w:rPr>
        <w:t xml:space="preserve">Elaborar las respectivas actas y distribuirlas a los miembros del Comité dentro de los ocho (8) días calendario siguientes. </w:t>
      </w:r>
    </w:p>
    <w:p>
      <w:pPr>
        <w:jc w:val="both"/>
        <w:outlineLvl w:val="1"/>
      </w:pPr>
      <w:rPr>
        <w:sz w:val="24"/>
        <w:b/>
        <w:color w:val="black"/>
      </w:rPr>
    </w:p>
    <w:p>
      <w:pPr>
        <w:jc w:val="both"/>
        <w:outlineLvl w:val="1"/>
      </w:pPr>
      <w:r>
        <w:rPr>
          <w:rFonts w:hAnsi="Arial"/>
          <w:rFonts w:ascii="Arial"/>
          <w:sz w:val="24"/>
          <w:b/>
          <w:color w:val="black"/>
        </w:rPr>
        <w:t xml:space="preserve">10.4 </w:t>
      </w:r>
      <w:r>
        <w:rPr>
          <w:rFonts w:hAnsi="Arial"/>
          <w:rFonts w:ascii="Arial"/>
          <w:sz w:val="24"/>
          <w:color w:val="black"/>
        </w:rPr>
        <w:t xml:space="preserve">Organizar y mantener actualizados los archivos. </w:t>
      </w:r>
    </w:p>
    <w:p>
      <w:pPr>
        <w:jc w:val="both"/>
        <w:outlineLvl w:val="1"/>
      </w:pPr>
      <w:rPr>
        <w:sz w:val="24"/>
        <w:b/>
        <w:color w:val="black"/>
      </w:rPr>
    </w:p>
    <w:p>
      <w:pPr>
        <w:jc w:val="both"/>
        <w:outlineLvl w:val="1"/>
      </w:pPr>
      <w:r>
        <w:rPr>
          <w:rFonts w:hAnsi="Arial"/>
          <w:rFonts w:ascii="Arial"/>
          <w:sz w:val="24"/>
          <w:b/>
          <w:color w:val="black"/>
        </w:rPr>
        <w:t xml:space="preserve">10.5 </w:t>
      </w:r>
      <w:r>
        <w:rPr>
          <w:rFonts w:hAnsi="Arial"/>
          <w:rFonts w:ascii="Arial"/>
          <w:sz w:val="24"/>
          <w:color w:val="black"/>
        </w:rPr>
        <w:t xml:space="preserve">Mantener a buen recaudo toda la información relacionada con las actuaciones del Comité y darle tratamiento confidencial, en los casos que sea procedente, conforme a la normatividad vigente. </w:t>
      </w:r>
    </w:p>
    <w:p>
      <w:pPr>
        <w:jc w:val="both"/>
        <w:outlineLvl w:val="1"/>
      </w:pPr>
      <w:rPr>
        <w:sz w:val="24"/>
        <w:b/>
        <w:color w:val="black"/>
      </w:rPr>
    </w:p>
    <w:p>
      <w:pPr>
        <w:jc w:val="both"/>
        <w:outlineLvl w:val="1"/>
      </w:pPr>
      <w:r>
        <w:rPr>
          <w:rFonts w:hAnsi="Arial"/>
          <w:rFonts w:ascii="Arial"/>
          <w:sz w:val="24"/>
          <w:b/>
          <w:color w:val="black"/>
        </w:rPr>
        <w:t xml:space="preserve">10.6 </w:t>
      </w:r>
      <w:r>
        <w:rPr>
          <w:rFonts w:hAnsi="Arial"/>
          <w:rFonts w:ascii="Arial"/>
          <w:sz w:val="24"/>
          <w:color w:val="black"/>
        </w:rPr>
        <w:t xml:space="preserve">Suministrar los documentos que de acuerdo con las normas vigentes, sean de dominio público.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funcionario ICA encargado de ejercer la secretaría del comité quien tendrá voz pero no voto, será designado por el Gerente General del Instituto.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las ausencias temporales del secretario, este será reemplazado por un miembro del comité designado por su presidente. </w:t>
      </w:r>
    </w:p>
    <w:p>
      <w:pPr>
        <w:jc w:val="both"/>
        <w:outlineLvl w:val="1"/>
      </w:pPr>
      <w:rPr>
        <w:sz w:val="24"/>
        <w:b/>
        <w:color w:val="black"/>
      </w:rPr>
    </w:p>
    <w:p>
      <w:pPr>
        <w:jc w:val="both"/>
        <w:outlineLvl w:val="1"/>
      </w:pPr>
      <w:r>
        <w:rPr>
          <w:rFonts w:hAnsi="Arial"/>
          <w:rFonts w:ascii="Arial"/>
          <w:sz w:val="24"/>
          <w:vanish/>
          <w:color w:val="black"/>
        </w:rPr>
        <w:t>&amp;$</w:t>
      </w:r>
      <w:bookmarkStart w:id="182737" w:name="11"/>
      <w:r>
        <w:rPr>
          <w:rFonts w:hAnsi="Arial"/>
          <w:rFonts w:ascii="Arial"/>
          <w:sz w:val="24"/>
          <w:color w:val="navy"/>
        </w:rPr>
        <w:t xml:space="preserve">ARTÍCULO 11 DERECHOS DE LOS MIEMBROS DEL CTNBIO.</w:t>
      </w:r>
      <w:bookmarkEnd w:id="182737"/>
      <w:r>
        <w:rPr>
          <w:rFonts w:hAnsi="Arial"/>
          <w:rFonts w:ascii="Arial"/>
          <w:sz w:val="24"/>
          <w:color w:val="black"/>
        </w:rPr>
        <w:t xml:space="preserve"> Son derechos de los miembros del Comité los siguientes: </w:t>
      </w:r>
    </w:p>
    <w:p>
      <w:pPr>
        <w:jc w:val="both"/>
        <w:outlineLvl w:val="1"/>
      </w:pPr>
      <w:rPr>
        <w:sz w:val="24"/>
        <w:b/>
        <w:color w:val="black"/>
      </w:rPr>
    </w:p>
    <w:p>
      <w:pPr>
        <w:jc w:val="both"/>
        <w:outlineLvl w:val="1"/>
      </w:pPr>
      <w:r>
        <w:rPr>
          <w:rFonts w:hAnsi="Arial"/>
          <w:rFonts w:ascii="Arial"/>
          <w:sz w:val="24"/>
          <w:b/>
          <w:color w:val="black"/>
        </w:rPr>
        <w:t xml:space="preserve">11.1 </w:t>
      </w:r>
      <w:r>
        <w:rPr>
          <w:rFonts w:hAnsi="Arial"/>
          <w:rFonts w:ascii="Arial"/>
          <w:sz w:val="24"/>
          <w:color w:val="black"/>
        </w:rPr>
        <w:t xml:space="preserve">Participar con voz y voto en los temas que se discutan. </w:t>
      </w:r>
    </w:p>
    <w:p>
      <w:pPr>
        <w:jc w:val="both"/>
        <w:outlineLvl w:val="1"/>
      </w:pPr>
      <w:rPr>
        <w:sz w:val="24"/>
        <w:b/>
        <w:color w:val="black"/>
      </w:rPr>
    </w:p>
    <w:p>
      <w:pPr>
        <w:jc w:val="both"/>
        <w:outlineLvl w:val="1"/>
      </w:pPr>
      <w:r>
        <w:rPr>
          <w:rFonts w:hAnsi="Arial"/>
          <w:rFonts w:ascii="Arial"/>
          <w:sz w:val="24"/>
          <w:b/>
          <w:color w:val="black"/>
        </w:rPr>
        <w:t xml:space="preserve">11.2 </w:t>
      </w:r>
      <w:r>
        <w:rPr>
          <w:rFonts w:hAnsi="Arial"/>
          <w:rFonts w:ascii="Arial"/>
          <w:sz w:val="24"/>
          <w:color w:val="black"/>
        </w:rPr>
        <w:t xml:space="preserve">Recibir información actualizada en forma oportuna. </w:t>
      </w:r>
    </w:p>
    <w:p>
      <w:pPr>
        <w:jc w:val="both"/>
        <w:outlineLvl w:val="1"/>
      </w:pPr>
      <w:rPr>
        <w:sz w:val="24"/>
        <w:b/>
        <w:color w:val="black"/>
      </w:rPr>
    </w:p>
    <w:p>
      <w:pPr>
        <w:jc w:val="both"/>
        <w:outlineLvl w:val="1"/>
      </w:pPr>
      <w:r>
        <w:rPr>
          <w:rFonts w:hAnsi="Arial"/>
          <w:rFonts w:ascii="Arial"/>
          <w:sz w:val="24"/>
          <w:b/>
          <w:color w:val="black"/>
        </w:rPr>
        <w:t xml:space="preserve">11.3 </w:t>
      </w:r>
      <w:r>
        <w:rPr>
          <w:rFonts w:hAnsi="Arial"/>
          <w:rFonts w:ascii="Arial"/>
          <w:sz w:val="24"/>
          <w:color w:val="black"/>
        </w:rPr>
        <w:t xml:space="preserve">Recibir copia de la versión aprobada de las conclusiones y recomendaciones en las cuales participaron. </w:t>
      </w:r>
    </w:p>
    <w:p>
      <w:pPr>
        <w:jc w:val="both"/>
        <w:outlineLvl w:val="1"/>
      </w:pPr>
      <w:rPr>
        <w:sz w:val="24"/>
        <w:b/>
        <w:color w:val="black"/>
      </w:rPr>
    </w:p>
    <w:p>
      <w:pPr>
        <w:jc w:val="both"/>
        <w:outlineLvl w:val="1"/>
      </w:pPr>
      <w:r>
        <w:rPr>
          <w:rFonts w:hAnsi="Arial"/>
          <w:rFonts w:ascii="Arial"/>
          <w:sz w:val="24"/>
          <w:vanish/>
          <w:color w:val="black"/>
        </w:rPr>
        <w:t>&amp;$</w:t>
      </w:r>
      <w:bookmarkStart w:id="182738" w:name="12"/>
      <w:r>
        <w:rPr>
          <w:rFonts w:hAnsi="Arial"/>
          <w:rFonts w:ascii="Arial"/>
          <w:sz w:val="24"/>
          <w:color w:val="navy"/>
        </w:rPr>
        <w:t xml:space="preserve">ARTÍCULO 12. DEBERES DE LOS MIEMBROS DEL CTNBIO.</w:t>
      </w:r>
      <w:bookmarkEnd w:id="182738"/>
      <w:r>
        <w:rPr>
          <w:rFonts w:hAnsi="Arial"/>
          <w:rFonts w:ascii="Arial"/>
          <w:sz w:val="24"/>
          <w:color w:val="black"/>
        </w:rPr>
        <w:t xml:space="preserve"> Los mismos del comité tendrán los siguientes deberes: </w:t>
      </w:r>
    </w:p>
    <w:p>
      <w:pPr>
        <w:jc w:val="both"/>
        <w:outlineLvl w:val="1"/>
      </w:pPr>
      <w:rPr>
        <w:sz w:val="24"/>
        <w:b/>
        <w:color w:val="black"/>
      </w:rPr>
    </w:p>
    <w:p>
      <w:pPr>
        <w:jc w:val="both"/>
        <w:outlineLvl w:val="1"/>
      </w:pPr>
      <w:r>
        <w:rPr>
          <w:rFonts w:hAnsi="Arial"/>
          <w:rFonts w:ascii="Arial"/>
          <w:sz w:val="24"/>
          <w:b/>
          <w:color w:val="black"/>
        </w:rPr>
        <w:t xml:space="preserve">12.1 </w:t>
      </w:r>
      <w:r>
        <w:rPr>
          <w:rFonts w:hAnsi="Arial"/>
          <w:rFonts w:ascii="Arial"/>
          <w:sz w:val="24"/>
          <w:color w:val="black"/>
        </w:rPr>
        <w:t xml:space="preserve">Asistir a las reuniones y participar activamente en sus discusiones. </w:t>
      </w:r>
    </w:p>
    <w:p>
      <w:pPr>
        <w:jc w:val="both"/>
        <w:outlineLvl w:val="1"/>
      </w:pPr>
      <w:rPr>
        <w:sz w:val="24"/>
        <w:b/>
        <w:color w:val="black"/>
      </w:rPr>
    </w:p>
    <w:p>
      <w:pPr>
        <w:jc w:val="both"/>
        <w:outlineLvl w:val="1"/>
      </w:pPr>
      <w:r>
        <w:rPr>
          <w:rFonts w:hAnsi="Arial"/>
          <w:rFonts w:ascii="Arial"/>
          <w:sz w:val="24"/>
          <w:b/>
          <w:color w:val="black"/>
        </w:rPr>
        <w:t xml:space="preserve">12.2 </w:t>
      </w:r>
      <w:r>
        <w:rPr>
          <w:rFonts w:hAnsi="Arial"/>
          <w:rFonts w:ascii="Arial"/>
          <w:sz w:val="24"/>
          <w:color w:val="black"/>
        </w:rPr>
        <w:t xml:space="preserve">Mantener informadas a las entidades que representan respecto del avance de las actividades del Comité Técnico. </w:t>
      </w:r>
    </w:p>
    <w:p>
      <w:pPr>
        <w:jc w:val="both"/>
        <w:outlineLvl w:val="1"/>
      </w:pPr>
      <w:rPr>
        <w:sz w:val="24"/>
        <w:b/>
        <w:color w:val="black"/>
      </w:rPr>
    </w:p>
    <w:p>
      <w:pPr>
        <w:jc w:val="both"/>
        <w:outlineLvl w:val="1"/>
      </w:pPr>
      <w:r>
        <w:rPr>
          <w:rFonts w:hAnsi="Arial"/>
          <w:rFonts w:ascii="Arial"/>
          <w:sz w:val="24"/>
          <w:b/>
          <w:color w:val="black"/>
        </w:rPr>
        <w:t xml:space="preserve">12.3 </w:t>
      </w:r>
      <w:r>
        <w:rPr>
          <w:rFonts w:hAnsi="Arial"/>
          <w:rFonts w:ascii="Arial"/>
          <w:sz w:val="24"/>
          <w:color w:val="black"/>
        </w:rPr>
        <w:t xml:space="preserve">Disponer del tiempo necesario para asistir a las reuniones y para realizar las tareas que les sean asignadas dentro del comité o subcomités a los que pertenezcan. </w:t>
      </w:r>
    </w:p>
    <w:p>
      <w:pPr>
        <w:jc w:val="both"/>
        <w:outlineLvl w:val="1"/>
      </w:pPr>
      <w:rPr>
        <w:sz w:val="24"/>
        <w:b/>
        <w:color w:val="black"/>
      </w:rPr>
    </w:p>
    <w:p>
      <w:pPr>
        <w:jc w:val="both"/>
        <w:outlineLvl w:val="1"/>
      </w:pPr>
      <w:r>
        <w:rPr>
          <w:rFonts w:hAnsi="Arial"/>
          <w:rFonts w:ascii="Arial"/>
          <w:sz w:val="24"/>
          <w:b/>
          <w:color w:val="black"/>
        </w:rPr>
        <w:t xml:space="preserve">12.4 </w:t>
      </w:r>
      <w:r>
        <w:rPr>
          <w:rFonts w:hAnsi="Arial"/>
          <w:rFonts w:ascii="Arial"/>
          <w:sz w:val="24"/>
          <w:color w:val="black"/>
        </w:rPr>
        <w:t xml:space="preserve">Cumplir con lo previsto en el presente reglamento. </w:t>
      </w:r>
    </w:p>
    <w:p>
      <w:pPr>
        <w:jc w:val="both"/>
        <w:outlineLvl w:val="1"/>
      </w:pPr>
      <w:rPr>
        <w:sz w:val="24"/>
        <w:b/>
        <w:color w:val="black"/>
      </w:rPr>
    </w:p>
    <w:p>
      <w:pPr>
        <w:jc w:val="both"/>
        <w:outlineLvl w:val="1"/>
      </w:pPr>
      <w:r>
        <w:rPr>
          <w:rFonts w:hAnsi="Arial"/>
          <w:rFonts w:ascii="Arial"/>
          <w:sz w:val="24"/>
          <w:vanish/>
          <w:color w:val="black"/>
        </w:rPr>
        <w:t>&amp;$</w:t>
      </w:r>
      <w:bookmarkStart w:id="182739" w:name="13"/>
      <w:r>
        <w:rPr>
          <w:rFonts w:hAnsi="Arial"/>
          <w:rFonts w:ascii="Arial"/>
          <w:sz w:val="24"/>
          <w:color w:val="navy"/>
        </w:rPr>
        <w:t xml:space="preserve">ARTÍCULO 13. REEMPLAZOS DE LOS MIEMBROS DEL CTNBIO.</w:t>
      </w:r>
      <w:bookmarkEnd w:id="182739"/>
      <w:r>
        <w:rPr>
          <w:rFonts w:hAnsi="Arial"/>
          <w:rFonts w:ascii="Arial"/>
          <w:sz w:val="24"/>
          <w:color w:val="black"/>
        </w:rPr>
        <w:t xml:space="preserve"> Los miembros del Comité Técnico perderán su calidad y deberán ser reemplazados por la entidad que los designó, en los siguientes casos: </w:t>
      </w:r>
    </w:p>
    <w:p>
      <w:pPr>
        <w:jc w:val="both"/>
        <w:outlineLvl w:val="1"/>
      </w:pPr>
      <w:rPr>
        <w:sz w:val="24"/>
        <w:b/>
        <w:color w:val="black"/>
      </w:rPr>
    </w:p>
    <w:p>
      <w:pPr>
        <w:jc w:val="both"/>
        <w:outlineLvl w:val="1"/>
      </w:pPr>
      <w:r>
        <w:rPr>
          <w:rFonts w:hAnsi="Arial"/>
          <w:rFonts w:ascii="Arial"/>
          <w:sz w:val="24"/>
          <w:b/>
          <w:color w:val="black"/>
        </w:rPr>
        <w:t xml:space="preserve">13.1 </w:t>
      </w:r>
      <w:r>
        <w:rPr>
          <w:rFonts w:hAnsi="Arial"/>
          <w:rFonts w:ascii="Arial"/>
          <w:sz w:val="24"/>
          <w:color w:val="black"/>
        </w:rPr>
        <w:t xml:space="preserve">Por inasistencia injustificada a dos (2) sesiones consecutivas del Comité Técnico o de los grupos de los que hagan parte. </w:t>
      </w:r>
    </w:p>
    <w:p>
      <w:pPr>
        <w:jc w:val="both"/>
        <w:outlineLvl w:val="1"/>
      </w:pPr>
      <w:rPr>
        <w:sz w:val="24"/>
        <w:b/>
        <w:color w:val="black"/>
      </w:rPr>
    </w:p>
    <w:p>
      <w:pPr>
        <w:jc w:val="both"/>
        <w:outlineLvl w:val="1"/>
      </w:pPr>
      <w:r>
        <w:rPr>
          <w:rFonts w:hAnsi="Arial"/>
          <w:rFonts w:ascii="Arial"/>
          <w:sz w:val="24"/>
          <w:b/>
          <w:color w:val="black"/>
        </w:rPr>
        <w:t xml:space="preserve">13.2 </w:t>
      </w:r>
      <w:r>
        <w:rPr>
          <w:rFonts w:hAnsi="Arial"/>
          <w:rFonts w:ascii="Arial"/>
          <w:sz w:val="24"/>
          <w:color w:val="black"/>
        </w:rPr>
        <w:t xml:space="preserve">Por retiro o ausencia temporal de la entidad a la cual representan. </w:t>
      </w:r>
    </w:p>
    <w:p>
      <w:pPr>
        <w:jc w:val="both"/>
        <w:outlineLvl w:val="1"/>
      </w:pPr>
      <w:rPr>
        <w:sz w:val="24"/>
        <w:b/>
        <w:color w:val="black"/>
      </w:rPr>
    </w:p>
    <w:p>
      <w:pPr>
        <w:jc w:val="both"/>
        <w:outlineLvl w:val="1"/>
      </w:pPr>
      <w:r>
        <w:rPr>
          <w:rFonts w:hAnsi="Arial"/>
          <w:rFonts w:ascii="Arial"/>
          <w:sz w:val="24"/>
          <w:b/>
          <w:color w:val="black"/>
        </w:rPr>
        <w:t xml:space="preserve">13.3 </w:t>
      </w:r>
      <w:r>
        <w:rPr>
          <w:rFonts w:hAnsi="Arial"/>
          <w:rFonts w:ascii="Arial"/>
          <w:sz w:val="24"/>
          <w:color w:val="black"/>
        </w:rPr>
        <w:t xml:space="preserve">Por renuncia.</w:t>
      </w:r>
    </w:p>
    <w:p>
      <w:pPr>
        <w:jc w:val="both"/>
        <w:outlineLvl w:val="1"/>
      </w:pPr>
      <w:rPr>
        <w:sz w:val="24"/>
        <w:b/>
        <w:color w:val="black"/>
      </w:rPr>
    </w:p>
    <w:p>
      <w:pPr>
        <w:jc w:val="both"/>
        <w:outlineLvl w:val="1"/>
      </w:pPr>
      <w:r>
        <w:rPr>
          <w:rFonts w:hAnsi="Arial"/>
          <w:rFonts w:ascii="Arial"/>
          <w:sz w:val="24"/>
          <w:vanish/>
          <w:color w:val="black"/>
        </w:rPr>
        <w:t>&amp;$</w:t>
      </w:r>
      <w:bookmarkStart w:id="182740" w:name="14"/>
      <w:r>
        <w:rPr>
          <w:rFonts w:hAnsi="Arial"/>
          <w:rFonts w:ascii="Arial"/>
          <w:sz w:val="24"/>
          <w:color w:val="navy"/>
        </w:rPr>
        <w:t xml:space="preserve">ARTÍCULO 14. ORDEN DE LAS REUNIONES DEL CTNBIO.</w:t>
      </w:r>
      <w:bookmarkEnd w:id="182740"/>
      <w:r>
        <w:rPr>
          <w:rFonts w:hAnsi="Arial"/>
          <w:rFonts w:ascii="Arial"/>
          <w:sz w:val="24"/>
          <w:color w:val="black"/>
        </w:rPr>
        <w:t xml:space="preserve"> El tratamiento y discusión de los temas en una reunión del CTNBio obedecerá a las siguientes etapas: </w:t>
      </w:r>
    </w:p>
    <w:p>
      <w:pPr>
        <w:jc w:val="both"/>
        <w:outlineLvl w:val="1"/>
      </w:pPr>
      <w:rPr>
        <w:sz w:val="24"/>
        <w:b/>
        <w:color w:val="black"/>
      </w:rPr>
    </w:p>
    <w:p>
      <w:pPr>
        <w:jc w:val="both"/>
        <w:outlineLvl w:val="1"/>
      </w:pPr>
      <w:r>
        <w:rPr>
          <w:rFonts w:hAnsi="Arial"/>
          <w:rFonts w:ascii="Arial"/>
          <w:sz w:val="24"/>
          <w:b/>
          <w:color w:val="black"/>
        </w:rPr>
        <w:t xml:space="preserve">14.1 </w:t>
      </w:r>
      <w:r>
        <w:rPr>
          <w:rFonts w:hAnsi="Arial"/>
          <w:rFonts w:ascii="Arial"/>
          <w:sz w:val="24"/>
          <w:color w:val="black"/>
        </w:rPr>
        <w:t xml:space="preserve">El presidente expondrá la materia a tratar y dará la palabra al expositor que presente el(los) caso(s) relacionado (s) con el objeto de la presente resolución. </w:t>
      </w:r>
    </w:p>
    <w:p>
      <w:pPr>
        <w:jc w:val="both"/>
        <w:outlineLvl w:val="1"/>
      </w:pPr>
      <w:rPr>
        <w:sz w:val="24"/>
        <w:b/>
        <w:color w:val="black"/>
      </w:rPr>
    </w:p>
    <w:p>
      <w:pPr>
        <w:jc w:val="both"/>
        <w:outlineLvl w:val="1"/>
      </w:pPr>
      <w:r>
        <w:rPr>
          <w:rFonts w:hAnsi="Arial"/>
          <w:rFonts w:ascii="Arial"/>
          <w:sz w:val="24"/>
          <w:b/>
          <w:color w:val="black"/>
        </w:rPr>
        <w:t xml:space="preserve">14.2 </w:t>
      </w:r>
      <w:r>
        <w:rPr>
          <w:rFonts w:hAnsi="Arial"/>
          <w:rFonts w:ascii="Arial"/>
          <w:sz w:val="24"/>
          <w:color w:val="black"/>
        </w:rPr>
        <w:t xml:space="preserve">Terminada la exposición, se dará inicio a la sesión de preguntas y discusión. </w:t>
      </w:r>
    </w:p>
    <w:p>
      <w:pPr>
        <w:jc w:val="both"/>
        <w:outlineLvl w:val="1"/>
      </w:pPr>
      <w:rPr>
        <w:sz w:val="24"/>
        <w:b/>
        <w:color w:val="black"/>
      </w:rPr>
    </w:p>
    <w:p>
      <w:pPr>
        <w:jc w:val="both"/>
        <w:outlineLvl w:val="1"/>
      </w:pPr>
      <w:r>
        <w:rPr>
          <w:rFonts w:hAnsi="Arial"/>
          <w:rFonts w:ascii="Arial"/>
          <w:sz w:val="24"/>
          <w:b/>
          <w:color w:val="black"/>
        </w:rPr>
        <w:t xml:space="preserve">14.3 </w:t>
      </w:r>
      <w:r>
        <w:rPr>
          <w:rFonts w:hAnsi="Arial"/>
          <w:rFonts w:ascii="Arial"/>
          <w:sz w:val="24"/>
          <w:color w:val="black"/>
        </w:rPr>
        <w:t xml:space="preserve">Los invitados especiales pueden hacer preguntas o ayudar a fundamentar los conceptos expuestos. </w:t>
      </w:r>
    </w:p>
    <w:p>
      <w:pPr>
        <w:jc w:val="both"/>
        <w:outlineLvl w:val="1"/>
      </w:pPr>
      <w:rPr>
        <w:sz w:val="24"/>
        <w:b/>
        <w:color w:val="black"/>
      </w:rPr>
    </w:p>
    <w:p>
      <w:pPr>
        <w:jc w:val="both"/>
        <w:outlineLvl w:val="1"/>
      </w:pPr>
      <w:r>
        <w:rPr>
          <w:rFonts w:hAnsi="Arial"/>
          <w:rFonts w:ascii="Arial"/>
          <w:sz w:val="24"/>
          <w:b/>
          <w:color w:val="black"/>
        </w:rPr>
        <w:t xml:space="preserve">14.4 </w:t>
      </w:r>
      <w:r>
        <w:rPr>
          <w:rFonts w:hAnsi="Arial"/>
          <w:rFonts w:ascii="Arial"/>
          <w:sz w:val="24"/>
          <w:color w:val="black"/>
        </w:rPr>
        <w:t xml:space="preserve">Terminados los debates, se procederá a la votación respectiva. </w:t>
      </w:r>
    </w:p>
    <w:p>
      <w:pPr>
        <w:jc w:val="both"/>
        <w:outlineLvl w:val="1"/>
      </w:pPr>
      <w:rPr>
        <w:sz w:val="24"/>
        <w:b/>
        <w:color w:val="black"/>
      </w:rPr>
    </w:p>
    <w:p>
      <w:pPr>
        <w:jc w:val="both"/>
        <w:outlineLvl w:val="1"/>
      </w:pPr>
      <w:r>
        <w:rPr>
          <w:rFonts w:hAnsi="Arial"/>
          <w:rFonts w:ascii="Arial"/>
          <w:sz w:val="24"/>
          <w:b/>
          <w:color w:val="black"/>
        </w:rPr>
        <w:t xml:space="preserve">14.5 </w:t>
      </w:r>
      <w:r>
        <w:rPr>
          <w:rFonts w:hAnsi="Arial"/>
          <w:rFonts w:ascii="Arial"/>
          <w:sz w:val="24"/>
          <w:color w:val="black"/>
        </w:rPr>
        <w:t xml:space="preserve">Conclusiones y recomendaciones.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decisiones que tome el Comité serán basadas en el documento de evaluación de riesgo realizado por el ICA para el caso que se esté analizando.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actuaciones del CTNBio se rigen por las reglas sobre reserva y publicidad de los actos administrativos previstos en el Código de Procedimiento Administrativo y de lo Contencioso Administrativo, así como por las demás normas vigentes. </w:t>
      </w:r>
    </w:p>
    <w:p>
      <w:pPr>
        <w:jc w:val="both"/>
        <w:outlineLvl w:val="1"/>
      </w:pPr>
      <w:rPr>
        <w:sz w:val="24"/>
        <w:b/>
        <w:color w:val="black"/>
      </w:rPr>
    </w:p>
    <w:p>
      <w:pPr>
        <w:jc w:val="both"/>
        <w:outlineLvl w:val="1"/>
      </w:pPr>
      <w:r>
        <w:rPr>
          <w:rFonts w:hAnsi="Arial"/>
          <w:rFonts w:ascii="Arial"/>
          <w:sz w:val="24"/>
          <w:vanish/>
          <w:color w:val="black"/>
        </w:rPr>
        <w:t>&amp;$</w:t>
      </w:r>
      <w:bookmarkStart w:id="182741" w:name="15"/>
      <w:r>
        <w:rPr>
          <w:rFonts w:hAnsi="Arial"/>
          <w:rFonts w:ascii="Arial"/>
          <w:sz w:val="24"/>
          <w:color w:val="navy"/>
        </w:rPr>
        <w:t xml:space="preserve">ARTÍCULO 15. VIGENCIA.</w:t>
      </w:r>
      <w:bookmarkEnd w:id="182741"/>
      <w:r>
        <w:rPr>
          <w:rFonts w:hAnsi="Arial"/>
          <w:rFonts w:ascii="Arial"/>
          <w:sz w:val="24"/>
          <w:color w:val="black"/>
        </w:rPr>
        <w:t xml:space="preserve"> La presente resolución rige a partir de la fecha de su publicación y deroga el Capítulo IV de la Resolución ICA </w:t>
      </w:r>
      <w:r>
        <w:fldChar w:fldCharType="begin"/>
      </w:r>
      <w:r>
        <w:instrText>HYPERLINK "http://www.redjurista.com/document.aspx?ajcode=r_ica_0946_2006&amp;arts=INICIO"</w:instrText>
      </w:r>
      <w:r>
        <w:fldChar w:fldCharType="separate"/>
      </w:r>
      <w:r>
        <w:rPr>
          <w:rFonts w:hAnsi="Arial"/>
          <w:rFonts w:ascii="Arial"/>
          <w:sz w:val="24"/>
          <w:u w:val="single"/>
          <w:color w:val="black"/>
        </w:rPr>
        <w:t>946</w:t>
      </w:r>
      <w:r>
        <w:fldChar w:fldCharType="end"/>
      </w:r>
      <w:r>
        <w:rPr>
          <w:rFonts w:hAnsi="Arial"/>
          <w:rFonts w:ascii="Arial"/>
          <w:sz w:val="24"/>
          <w:u w:val="none"/>
          <w:color w:val="black"/>
        </w:rPr>
        <w:t xml:space="preserve"> de 2006 y todas aquellas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15 febrero de 2021.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244"/>
      <w:footerReference w:type="default" r:id="eId15245"/>
      <w:type w:val="continuous"/>
    </w:sectPr>
  </w:body>
</w:document>
</file>

<file path=word/footer_default_152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52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44" Type="http://schemas.openxmlformats.org/officeDocument/2006/relationships/header" Target="header_default_15244.xml" />
<Relationship Id="id0" Type="http://schemas.openxmlformats.org/officeDocument/2006/relationships/image" Target="img/img_id0.png"/>
<Relationship Id="eId15245" Type="http://schemas.openxmlformats.org/officeDocument/2006/relationships/footer" Target="footer_default_152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