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28.xml" ContentType="application/vnd.openxmlformats-officedocument.wordprocessingml.header+xml"/>
  <Override PartName="/word/footer_default_153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00009748 DE 2024</w:t>
      </w:r>
    </w:p>
    <w:p>
      <w:pPr>
        <w:jc w:val="center"/>
      </w:pPr>
      <w:r>
        <w:rPr>
          <w:rFonts w:hAnsi="Arial"/>
          <w:rFonts w:ascii="Arial"/>
          <w:sz w:val="24"/>
          <w:color w:val="black"/>
        </w:rPr>
        <w:t xml:space="preserve">(agosto 1)</w:t>
      </w:r>
    </w:p>
    <w:p>
      <w:pPr>
        <w:jc w:val="center"/>
      </w:pPr>
      <w:r>
        <w:rPr>
          <w:rFonts w:hAnsi="Arial"/>
          <w:rFonts w:ascii="Arial"/>
          <w:sz w:val="24"/>
          <w:color w:val="black"/>
        </w:rPr>
        <w:t xml:space="preserve">Diario Oficial No. 52.835 de 1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hojas secas en horno de sen (Cassia angustifolia) de origen y procedencia India.</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w:t>
      </w:r>
    </w:p>
    <w:p>
      <w:pPr>
        <w:jc w:val="both"/>
      </w:pPr>
      <w:rPr>
        <w:sz w:val="24"/>
        <w:b/>
        <w:color w:val="black"/>
      </w:rPr>
    </w:p>
    <w:p>
      <w:pPr>
        <w:jc w:val="both"/>
      </w:pPr>
      <w:r>
        <w:rPr>
          <w:rFonts w:hAnsi="Arial"/>
          <w:rFonts w:ascii="Arial"/>
          <w:sz w:val="24"/>
          <w:color w:val="black"/>
        </w:rPr>
        <w:t xml:space="preserve">Que la organización nacional de protección fitosanitaria (ONPF) del país que exportará dicho producto expide una certificación fitosanitaria con el propósito de asegurar que las plantas, productos vegetales u otros artículos reglamentados descritos aquí se han inspeccionado y/o sometido a prueba de acuerdo con los procedimientos oficiales adecuados y se considera que están libres de las plagas cuarentenarias especificadas. </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facilitando así el comercio internacional; se aplica a la mayoría de las plantas, productos vegetales y otros artículos reglamentados en el comercio internacional.</w:t>
      </w:r>
    </w:p>
    <w:p>
      <w:pPr>
        <w:jc w:val="both"/>
      </w:pPr>
      <w:rPr>
        <w:sz w:val="24"/>
        <w:b/>
        <w:color w:val="black"/>
      </w:rPr>
    </w:p>
    <w:p>
      <w:pPr>
        <w:jc w:val="both"/>
      </w:pPr>
      <w:r>
        <w:rPr>
          <w:rFonts w:hAnsi="Arial"/>
          <w:rFonts w:ascii="Arial"/>
          <w:sz w:val="24"/>
          <w:color w:val="black"/>
        </w:rPr>
        <w:t xml:space="preserve">Que mediante Resolución ICA 8389 de 2023 se establecen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w:t>
      </w:r>
    </w:p>
    <w:p>
      <w:pPr>
        <w:jc w:val="both"/>
      </w:pPr>
      <w:rPr>
        <w:sz w:val="24"/>
        <w:b/>
        <w:color w:val="black"/>
      </w:rPr>
    </w:p>
    <w:p>
      <w:pPr>
        <w:jc w:val="both"/>
      </w:pPr>
      <w:r>
        <w:rPr>
          <w:rFonts w:hAnsi="Arial"/>
          <w:rFonts w:ascii="Arial"/>
          <w:sz w:val="24"/>
          <w:i/>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w:t>
      </w:r>
    </w:p>
    <w:p>
      <w:pPr>
        <w:jc w:val="both"/>
      </w:pPr>
      <w:rPr>
        <w:sz w:val="24"/>
        <w:b/>
        <w:color w:val="black"/>
      </w:rPr>
    </w:p>
    <w:p>
      <w:pPr>
        <w:jc w:val="both"/>
      </w:pPr>
      <w:r>
        <w:rPr>
          <w:rFonts w:hAnsi="Arial"/>
          <w:rFonts w:ascii="Arial"/>
          <w:sz w:val="24"/>
          <w:color w:val="black"/>
        </w:rPr>
        <w:t xml:space="preserve">Que mediante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crea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w:t>
      </w:r>
    </w:p>
    <w:p>
      <w:pPr>
        <w:jc w:val="both"/>
      </w:pPr>
      <w:rPr>
        <w:sz w:val="24"/>
        <w:b/>
        <w:color w:val="black"/>
      </w:rPr>
    </w:p>
    <w:p>
      <w:pPr>
        <w:jc w:val="both"/>
      </w:pPr>
      <w:r>
        <w:rPr>
          <w:rFonts w:hAnsi="Arial"/>
          <w:rFonts w:ascii="Arial"/>
          <w:sz w:val="24"/>
          <w:color w:val="black"/>
        </w:rPr>
        <w:t xml:space="preserve">Que reunido el Comité de importaciones el 14 de febrero de 2024 según consta en acta se definieron los requisitos para la importación a Colombia de hojas secas en horno de sen (</w:t>
      </w:r>
      <w:r>
        <w:rPr>
          <w:rFonts w:hAnsi="Arial"/>
          <w:rFonts w:ascii="Arial"/>
          <w:sz w:val="24"/>
          <w:i/>
          <w:color w:val="black"/>
        </w:rPr>
        <w:t xml:space="preserve">Cassia angustifolia</w:t>
      </w:r>
      <w:r>
        <w:rPr>
          <w:rFonts w:hAnsi="Arial"/>
          <w:rFonts w:ascii="Arial"/>
          <w:sz w:val="24"/>
          <w:color w:val="black"/>
        </w:rPr>
        <w:t xml:space="preserve">) de origen y procedencia India.</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Decreto número 1071 de 2015,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que establece</w:t>
      </w:r>
      <w:r>
        <w:rPr>
          <w:rFonts w:hAnsi="Arial"/>
          <w:rFonts w:ascii="Arial"/>
          <w:sz w:val="24"/>
          <w:i/>
          <w:u w:val="none"/>
          <w:color w:val="black"/>
        </w:rPr>
        <w:t>:</w:t>
      </w:r>
    </w:p>
    <w:p>
      <w:pPr>
        <w:jc w:val="both"/>
      </w:pPr>
      <w:rPr>
        <w:sz w:val="24"/>
        <w:b/>
        <w:color w:val="black"/>
      </w:rPr>
    </w:p>
    <w:p>
      <w:pPr>
        <w:jc w:val="both"/>
      </w:pPr>
      <w:r>
        <w:rPr>
          <w:rFonts w:hAnsi="Arial"/>
          <w:rFonts w:ascii="Arial"/>
          <w:sz w:val="24"/>
          <w:i/>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b/>
        <w:color w:val="black"/>
      </w:rPr>
    </w:p>
    <w:p>
      <w:pPr>
        <w:jc w:val="both"/>
      </w:pPr>
      <w:r>
        <w:rPr>
          <w:rFonts w:hAnsi="Arial"/>
          <w:rFonts w:ascii="Arial"/>
          <w:sz w:val="24"/>
          <w:color w:val="black"/>
        </w:rPr>
        <w:t xml:space="preserve">Que la Organización Mundial de Comercio (OMC) en el Acuerdo sobre la Aplicación de Medidas Sanitarias y Fitosanitarias (Acuerdo MSF) establece que los miembros notificarán sus medidas sanitarias o fitosanitarias y velarán por que se publiquen para que los miembros interesados puedan conocer su contenido, razón por la cual, la presente resolución surtirá el trámite de publicidad anteriormente mencionado.</w:t>
      </w:r>
    </w:p>
    <w:p>
      <w:pPr>
        <w:jc w:val="both"/>
      </w:pPr>
      <w:rPr>
        <w:sz w:val="24"/>
        <w:b/>
        <w:color w:val="black"/>
      </w:rPr>
    </w:p>
    <w:p>
      <w:pPr>
        <w:jc w:val="both"/>
      </w:pPr>
      <w:r>
        <w:rPr>
          <w:rFonts w:hAnsi="Arial"/>
          <w:rFonts w:ascii="Arial"/>
          <w:sz w:val="24"/>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u w:val="single"/>
          <w:color w:val="black"/>
        </w:rPr>
        <w:t>13314</w:t>
      </w:r>
      <w:r>
        <w:fldChar w:fldCharType="end"/>
      </w:r>
      <w:r>
        <w:rPr>
          <w:rFonts w:hAnsi="Arial"/>
          <w:rFonts w:ascii="Arial"/>
          <w:sz w:val="24"/>
          <w:u w:val="none"/>
          <w:color w:val="black"/>
        </w:rPr>
        <w:t xml:space="preserve"> de 2023 delega en la Subgerente de Regulación Sanitaria y Fitosanitaria la expedición de los requisitos sanitarios y fitosanitarios para la importación a Colombia de animales, vegetales, sus productos y otros artículos reglamentados que requieran análisis de riesgos.</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83192"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3192"/>
      <w:r>
        <w:rPr>
          <w:rFonts w:hAnsi="Arial"/>
          <w:rFonts w:ascii="Arial"/>
          <w:sz w:val="24"/>
          <w:color w:val="black"/>
        </w:rPr>
        <w:t xml:space="preserve"> Establecer los requisitos fitosanitarios para la importación a Colombia de hojas secas en horno de sen (</w:t>
      </w:r>
      <w:r>
        <w:rPr>
          <w:rFonts w:hAnsi="Arial"/>
          <w:rFonts w:ascii="Arial"/>
          <w:sz w:val="24"/>
          <w:i/>
          <w:color w:val="black"/>
        </w:rPr>
        <w:t xml:space="preserve">Cassia angustifolia</w:t>
      </w:r>
      <w:r>
        <w:rPr>
          <w:rFonts w:hAnsi="Arial"/>
          <w:rFonts w:ascii="Arial"/>
          <w:sz w:val="24"/>
          <w:color w:val="black"/>
        </w:rPr>
        <w:t xml:space="preserve">) de origen y procedencia India.</w:t>
      </w:r>
    </w:p>
    <w:p>
      <w:pPr>
        <w:jc w:val="both"/>
      </w:pPr>
      <w:rPr>
        <w:sz w:val="24"/>
        <w:b/>
        <w:color w:val="black"/>
      </w:rPr>
    </w:p>
    <w:p>
      <w:pPr>
        <w:jc w:val="both"/>
      </w:pPr>
      <w:r>
        <w:rPr>
          <w:rFonts w:hAnsi="Arial"/>
          <w:rFonts w:ascii="Arial"/>
          <w:sz w:val="24"/>
          <w:vanish/>
          <w:color w:val="black"/>
        </w:rPr>
        <w:t>&amp;$</w:t>
      </w:r>
      <w:bookmarkStart w:id="183193"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83193"/>
      <w:r>
        <w:rPr>
          <w:rFonts w:hAnsi="Arial"/>
          <w:rFonts w:ascii="Arial"/>
          <w:sz w:val="24"/>
          <w:color w:val="black"/>
        </w:rPr>
        <w:t xml:space="preserve"> Las disposiciones establecidas en la presente resolución serán aplicables a todas las personas naturales o jurídicas que importen a Colombia hojas secas en horno de sen (</w:t>
      </w:r>
      <w:r>
        <w:rPr>
          <w:rFonts w:hAnsi="Arial"/>
          <w:rFonts w:ascii="Arial"/>
          <w:sz w:val="24"/>
          <w:i/>
          <w:color w:val="black"/>
        </w:rPr>
        <w:t xml:space="preserve">Cassia angustifolia</w:t>
      </w:r>
      <w:r>
        <w:rPr>
          <w:rFonts w:hAnsi="Arial"/>
          <w:rFonts w:ascii="Arial"/>
          <w:sz w:val="24"/>
          <w:color w:val="black"/>
        </w:rPr>
        <w:t xml:space="preserve">) de origen y procedencia India.</w:t>
      </w:r>
    </w:p>
    <w:p>
      <w:pPr>
        <w:jc w:val="both"/>
      </w:pPr>
      <w:rPr>
        <w:sz w:val="24"/>
        <w:b/>
        <w:color w:val="black"/>
      </w:rPr>
    </w:p>
    <w:p>
      <w:pPr>
        <w:jc w:val="both"/>
      </w:pPr>
      <w:r>
        <w:rPr>
          <w:rFonts w:hAnsi="Arial"/>
          <w:rFonts w:ascii="Arial"/>
          <w:sz w:val="24"/>
          <w:vanish/>
          <w:color w:val="black"/>
        </w:rPr>
        <w:t>&amp;$</w:t>
      </w:r>
      <w:bookmarkStart w:id="183194"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83194"/>
      <w:r>
        <w:rPr>
          <w:rFonts w:hAnsi="Arial"/>
          <w:rFonts w:ascii="Arial"/>
          <w:sz w:val="24"/>
          <w:color w:val="black"/>
        </w:rPr>
        <w:t xml:space="preserve"> Para la importación a Colombia de hojas secas en horno de sen (</w:t>
      </w:r>
      <w:r>
        <w:rPr>
          <w:rFonts w:hAnsi="Arial"/>
          <w:rFonts w:ascii="Arial"/>
          <w:sz w:val="24"/>
          <w:i/>
          <w:color w:val="black"/>
        </w:rPr>
        <w:t xml:space="preserve">Cassia angustifolia</w:t>
      </w:r>
      <w:r>
        <w:rPr>
          <w:rFonts w:hAnsi="Arial"/>
          <w:rFonts w:ascii="Arial"/>
          <w:sz w:val="24"/>
          <w:color w:val="black"/>
        </w:rPr>
        <w:t xml:space="preserve">) de origen y procedencia India, se deberán cumplir los siguientes requisitos:</w:t>
      </w:r>
    </w:p>
    <w:p>
      <w:pPr>
        <w:jc w:val="both"/>
      </w:pPr>
      <w:rPr>
        <w:sz w:val="24"/>
        <w:b/>
        <w:color w:val="black"/>
      </w:rPr>
    </w:p>
    <w:p>
      <w:pPr>
        <w:jc w:val="both"/>
      </w:pPr>
      <w:r>
        <w:rPr>
          <w:rFonts w:hAnsi="Arial"/>
          <w:rFonts w:ascii="Arial"/>
          <w:sz w:val="24"/>
          <w:b/>
          <w:color w:val="black"/>
        </w:rPr>
        <w:t xml:space="preserve">3.1 </w:t>
      </w:r>
      <w:r>
        <w:rPr>
          <w:rFonts w:hAnsi="Arial"/>
          <w:rFonts w:ascii="Arial"/>
          <w:sz w:val="24"/>
          <w:color w:val="black"/>
        </w:rPr>
        <w:t xml:space="preserve">El Certificado fitosanitario del país de origen debe incluir la siguiente declaración adicional:</w:t>
      </w:r>
    </w:p>
    <w:p>
      <w:pPr>
        <w:jc w:val="both"/>
      </w:pPr>
      <w:rPr>
        <w:sz w:val="24"/>
        <w:b/>
        <w:color w:val="black"/>
      </w:rPr>
    </w:p>
    <w:p>
      <w:pPr>
        <w:jc w:val="both"/>
      </w:pPr>
      <w:r>
        <w:rPr>
          <w:rFonts w:hAnsi="Arial"/>
          <w:rFonts w:ascii="Arial"/>
          <w:sz w:val="24"/>
          <w:color w:val="black"/>
        </w:rPr>
        <w:t xml:space="preserve">El envío debe venir libre de </w:t>
      </w:r>
      <w:r>
        <w:rPr>
          <w:rFonts w:hAnsi="Arial"/>
          <w:rFonts w:ascii="Arial"/>
          <w:sz w:val="24"/>
          <w:i/>
          <w:color w:val="black"/>
        </w:rPr>
        <w:t xml:space="preserve">Trogoderma granarium </w:t>
      </w:r>
      <w:r>
        <w:rPr>
          <w:rFonts w:hAnsi="Arial"/>
          <w:rFonts w:ascii="Arial"/>
          <w:sz w:val="24"/>
          <w:color w:val="black"/>
        </w:rPr>
        <w:t xml:space="preserve">mediante la fumigación en cámara con bromuro de metilo de acuerdo con las siguientes dosis:</w:t>
      </w:r>
    </w:p>
    <w:tbl>
      <w:tblGrid>
        <w:gridCol w:w="1100"/>
        <w:gridCol w:w="1100"/>
        <w:gridCol w:w="1120"/>
        <w:gridCol w:w="1100"/>
        <w:gridCol w:w="1120"/>
        <w:gridCol w:w="1100"/>
        <w:gridCol w:w="1120"/>
        <w:gridCol w:w="1060"/>
      </w:tblGrid>
      <w:tblPr>
        <w:tblW w:w="8838" w:type="dxa"/>
        <w:tblBorders/>
      </w:tblPr>
      <w:tr>
        <w:trPr/>
        <w:tc>
          <w:tcPr>
            <w:tcW w:w="2218" w:type="dxa"/>
            <w:gridSpan w:val="2"/>
            <w:tcMar/>
            <w:tcBorders>
              <w:top w:val="single" w:sz="1" w:space="0" w:color="auto"/>
              <w:left w:val="single" w:sz="1" w:space="0" w:color="auto"/>
            </w:tcBorders>
          </w:tcPr>
          <w:p>
            <w:pPr/>
            <w:r>
              <w:rPr>
                <w:rFonts w:hAnsi="Arial"/>
                <w:rFonts w:ascii="Arial"/>
                <w:sz w:val="20"/>
                <w:b/>
                <w:color w:val="black"/>
              </w:rPr>
              <w:t xml:space="preserve">Temperatura </w:t>
            </w:r>
          </w:p>
        </w:tc>
        <w:tc>
          <w:tcPr>
            <w:tcW w:w="2218" w:type="dxa"/>
            <w:gridSpan w:val="2"/>
            <w:tcMar/>
            <w:tcBorders>
              <w:top w:val="single" w:sz="1" w:space="0" w:color="auto"/>
              <w:left w:val="single" w:sz="1" w:space="0" w:color="auto"/>
            </w:tcBorders>
          </w:tcPr>
          <w:p>
            <w:pPr/>
            <w:r>
              <w:rPr>
                <w:rFonts w:hAnsi="Arial"/>
                <w:rFonts w:ascii="Arial"/>
                <w:sz w:val="20"/>
                <w:b/>
                <w:color w:val="black"/>
              </w:rPr>
              <w:t>Dosis</w:t>
            </w:r>
          </w:p>
        </w:tc>
        <w:tc>
          <w:tcPr>
            <w:tcW w:w="4402" w:type="dxa"/>
            <w:gridSpan w:val="4"/>
            <w:tcMar/>
            <w:tcBorders>
              <w:top w:val="single" w:sz="1" w:space="0" w:color="auto"/>
              <w:left w:val="single" w:sz="1" w:space="0" w:color="auto"/>
              <w:right w:val="single" w:sz="1" w:space="0" w:color="auto"/>
            </w:tcBorders>
          </w:tcPr>
          <w:p>
            <w:pPr/>
            <w:r>
              <w:rPr>
                <w:rFonts w:hAnsi="Arial"/>
                <w:rFonts w:ascii="Arial"/>
                <w:sz w:val="20"/>
                <w:b/>
                <w:color w:val="black"/>
              </w:rPr>
              <w:t xml:space="preserve">Lecturas de concentración mínimas(onzas) a:</w:t>
            </w:r>
          </w:p>
        </w:tc>
      </w:tr>
      <w:tr>
        <w:trPr/>
        <w:tc>
          <w:tcPr>
            <w:tcW w:w="1109" w:type="dxa"/>
            <w:tcMar/>
            <w:tcBorders>
              <w:top w:val="single" w:sz="1" w:space="0" w:color="auto"/>
              <w:left w:val="single" w:sz="1" w:space="0" w:color="auto"/>
            </w:tcBorders>
          </w:tcPr>
          <w:p>
            <w:pPr/>
            <w:r>
              <w:rPr>
                <w:rFonts w:hAnsi="Arial"/>
                <w:rFonts w:ascii="Arial"/>
                <w:sz w:val="20"/>
                <w:color w:val="black"/>
              </w:rPr>
              <w:t>ºC</w:t>
            </w:r>
          </w:p>
        </w:tc>
        <w:tc>
          <w:tcPr>
            <w:tcW w:w="1109" w:type="dxa"/>
            <w:tcMar/>
            <w:tcBorders>
              <w:top w:val="single" w:sz="1" w:space="0" w:color="auto"/>
              <w:left w:val="single" w:sz="1" w:space="0" w:color="auto"/>
            </w:tcBorders>
          </w:tcPr>
          <w:p>
            <w:pPr/>
            <w:r>
              <w:rPr>
                <w:rFonts w:hAnsi="Arial"/>
                <w:rFonts w:ascii="Arial"/>
                <w:sz w:val="20"/>
                <w:color w:val="black"/>
              </w:rPr>
              <w:t>ºF</w:t>
            </w:r>
          </w:p>
        </w:tc>
        <w:tc>
          <w:tcPr>
            <w:tcW w:w="1109" w:type="dxa"/>
            <w:tcMar/>
            <w:tcBorders>
              <w:top w:val="single" w:sz="1" w:space="0" w:color="auto"/>
              <w:left w:val="single" w:sz="1" w:space="0" w:color="auto"/>
            </w:tcBorders>
          </w:tcPr>
          <w:p>
            <w:pPr/>
            <w:r>
              <w:rPr>
                <w:rFonts w:hAnsi="Arial"/>
                <w:rFonts w:ascii="Arial"/>
                <w:sz w:val="20"/>
                <w:color w:val="black"/>
              </w:rPr>
              <w:t xml:space="preserve">g/m3 </w:t>
            </w:r>
          </w:p>
        </w:tc>
        <w:tc>
          <w:tcPr>
            <w:tcW w:w="1109" w:type="dxa"/>
            <w:tcMar/>
            <w:tcBorders>
              <w:top w:val="single" w:sz="1" w:space="0" w:color="auto"/>
              <w:left w:val="single" w:sz="1" w:space="0" w:color="auto"/>
            </w:tcBorders>
          </w:tcPr>
          <w:p>
            <w:pPr/>
            <w:r>
              <w:rPr>
                <w:rFonts w:hAnsi="Arial"/>
                <w:rFonts w:ascii="Arial"/>
                <w:sz w:val="20"/>
                <w:color w:val="black"/>
              </w:rPr>
              <w:t xml:space="preserve">(lb/1,000 ft3)</w:t>
            </w:r>
          </w:p>
        </w:tc>
        <w:tc>
          <w:tcPr>
            <w:tcW w:w="1109" w:type="dxa"/>
            <w:tcMar/>
            <w:tcBorders>
              <w:top w:val="single" w:sz="1" w:space="0" w:color="auto"/>
              <w:left w:val="single" w:sz="1" w:space="0" w:color="auto"/>
            </w:tcBorders>
          </w:tcPr>
          <w:p>
            <w:pPr/>
            <w:r>
              <w:rPr>
                <w:rFonts w:hAnsi="Arial"/>
                <w:rFonts w:ascii="Arial"/>
                <w:sz w:val="20"/>
                <w:color w:val="black"/>
              </w:rPr>
              <w:t xml:space="preserve">0.5 hr</w:t>
            </w:r>
          </w:p>
        </w:tc>
        <w:tc>
          <w:tcPr>
            <w:tcW w:w="1109" w:type="dxa"/>
            <w:tcMar/>
            <w:tcBorders>
              <w:top w:val="single" w:sz="1" w:space="0" w:color="auto"/>
              <w:left w:val="single" w:sz="1" w:space="0" w:color="auto"/>
            </w:tcBorders>
          </w:tcPr>
          <w:p>
            <w:pPr/>
            <w:r>
              <w:rPr>
                <w:rFonts w:hAnsi="Arial"/>
                <w:rFonts w:ascii="Arial"/>
                <w:sz w:val="20"/>
                <w:color w:val="black"/>
              </w:rPr>
              <w:t xml:space="preserve">2 hrs </w:t>
            </w:r>
          </w:p>
        </w:tc>
        <w:tc>
          <w:tcPr>
            <w:tcW w:w="1109" w:type="dxa"/>
            <w:tcMar/>
            <w:tcBorders>
              <w:top w:val="single" w:sz="1" w:space="0" w:color="auto"/>
              <w:left w:val="single" w:sz="1" w:space="0" w:color="auto"/>
            </w:tcBorders>
          </w:tcPr>
          <w:p>
            <w:pPr/>
            <w:r>
              <w:rPr>
                <w:rFonts w:hAnsi="Arial"/>
                <w:rFonts w:ascii="Arial"/>
                <w:sz w:val="20"/>
                <w:color w:val="black"/>
              </w:rPr>
              <w:t xml:space="preserve">4 hrs </w:t>
            </w:r>
          </w:p>
        </w:tc>
        <w:tc>
          <w:tcPr>
            <w:tcW w:w="1075" w:type="dxa"/>
            <w:tcMar/>
            <w:tcBorders>
              <w:top w:val="single" w:sz="1" w:space="0" w:color="auto"/>
              <w:left w:val="single" w:sz="1" w:space="0" w:color="auto"/>
              <w:right w:val="single" w:sz="1" w:space="0" w:color="auto"/>
            </w:tcBorders>
          </w:tcPr>
          <w:p>
            <w:pPr/>
            <w:r>
              <w:rPr>
                <w:rFonts w:hAnsi="Arial"/>
                <w:rFonts w:ascii="Arial"/>
                <w:sz w:val="20"/>
                <w:color w:val="black"/>
              </w:rPr>
              <w:t xml:space="preserve">12 hrs</w:t>
            </w:r>
          </w:p>
        </w:tc>
      </w:tr>
      <w:tr>
        <w:trPr/>
        <w:tc>
          <w:tcPr>
            <w:tcW w:w="1109" w:type="dxa"/>
            <w:tcMar/>
            <w:tcBorders>
              <w:top w:val="single" w:sz="1" w:space="0" w:color="auto"/>
              <w:left w:val="single" w:sz="1" w:space="0" w:color="auto"/>
            </w:tcBorders>
          </w:tcPr>
          <w:p>
            <w:pPr/>
            <w:r>
              <w:rPr>
                <w:rFonts w:hAnsi="Arial"/>
                <w:rFonts w:ascii="Arial"/>
                <w:sz w:val="20"/>
                <w:color w:val="black"/>
              </w:rPr>
              <w:t xml:space="preserve"> 32,2 o superior</w:t>
            </w:r>
          </w:p>
        </w:tc>
        <w:tc>
          <w:tcPr>
            <w:tcW w:w="1109" w:type="dxa"/>
            <w:tcMar/>
            <w:tcBorders>
              <w:top w:val="single" w:sz="1" w:space="0" w:color="auto"/>
              <w:left w:val="single" w:sz="1" w:space="0" w:color="auto"/>
            </w:tcBorders>
          </w:tcPr>
          <w:p>
            <w:pPr/>
            <w:r>
              <w:rPr>
                <w:rFonts w:hAnsi="Arial"/>
                <w:rFonts w:ascii="Arial"/>
                <w:sz w:val="20"/>
                <w:color w:val="black"/>
              </w:rPr>
              <w:t xml:space="preserve">90°F or above </w:t>
            </w:r>
          </w:p>
        </w:tc>
        <w:tc>
          <w:tcPr>
            <w:tcW w:w="1109" w:type="dxa"/>
            <w:tcMar/>
            <w:tcBorders>
              <w:top w:val="single" w:sz="1" w:space="0" w:color="auto"/>
              <w:left w:val="single" w:sz="1" w:space="0" w:color="auto"/>
            </w:tcBorders>
          </w:tcPr>
          <w:p>
            <w:pPr/>
            <w:r>
              <w:rPr>
                <w:rFonts w:hAnsi="Arial"/>
                <w:rFonts w:ascii="Arial"/>
                <w:sz w:val="20"/>
                <w:color w:val="black"/>
              </w:rPr>
              <w:t>40,00</w:t>
            </w:r>
          </w:p>
        </w:tc>
        <w:tc>
          <w:tcPr>
            <w:tcW w:w="1109" w:type="dxa"/>
            <w:tcMar/>
            <w:tcBorders>
              <w:top w:val="single" w:sz="1" w:space="0" w:color="auto"/>
              <w:left w:val="single" w:sz="1" w:space="0" w:color="auto"/>
            </w:tcBorders>
          </w:tcPr>
          <w:p>
            <w:pPr/>
            <w:r>
              <w:rPr>
                <w:rFonts w:hAnsi="Arial"/>
                <w:rFonts w:ascii="Arial"/>
                <w:sz w:val="20"/>
                <w:color w:val="black"/>
              </w:rPr>
              <w:t xml:space="preserve">2.5 lbs</w:t>
            </w:r>
          </w:p>
        </w:tc>
        <w:tc>
          <w:tcPr>
            <w:tcW w:w="1109" w:type="dxa"/>
            <w:tcMar/>
            <w:tcBorders>
              <w:top w:val="single" w:sz="1" w:space="0" w:color="auto"/>
              <w:left w:val="single" w:sz="1" w:space="0" w:color="auto"/>
            </w:tcBorders>
          </w:tcPr>
          <w:p>
            <w:pPr/>
            <w:r>
              <w:rPr>
                <w:rFonts w:hAnsi="Arial"/>
                <w:rFonts w:ascii="Arial"/>
                <w:sz w:val="20"/>
                <w:color w:val="black"/>
              </w:rPr>
              <w:t>30</w:t>
            </w:r>
          </w:p>
        </w:tc>
        <w:tc>
          <w:tcPr>
            <w:tcW w:w="1109" w:type="dxa"/>
            <w:tcMar/>
            <w:tcBorders>
              <w:top w:val="single" w:sz="1" w:space="0" w:color="auto"/>
              <w:left w:val="single" w:sz="1" w:space="0" w:color="auto"/>
            </w:tcBorders>
          </w:tcPr>
          <w:p>
            <w:pPr/>
            <w:r>
              <w:rPr>
                <w:rFonts w:hAnsi="Arial"/>
                <w:rFonts w:ascii="Arial"/>
                <w:sz w:val="20"/>
                <w:color w:val="black"/>
              </w:rPr>
              <w:t>20</w:t>
            </w:r>
          </w:p>
        </w:tc>
        <w:tc>
          <w:tcPr>
            <w:tcW w:w="1109" w:type="dxa"/>
            <w:tcMar/>
            <w:tcBorders>
              <w:top w:val="single" w:sz="1" w:space="0" w:color="auto"/>
              <w:left w:val="single" w:sz="1" w:space="0" w:color="auto"/>
            </w:tcBorders>
          </w:tcPr>
          <w:p>
            <w:pPr/>
            <w:r>
              <w:rPr>
                <w:rFonts w:hAnsi="Arial"/>
                <w:rFonts w:ascii="Arial"/>
                <w:sz w:val="20"/>
                <w:color w:val="black"/>
              </w:rPr>
              <w:t>20</w:t>
            </w:r>
          </w:p>
        </w:tc>
        <w:tc>
          <w:tcPr>
            <w:tcW w:w="1075" w:type="dxa"/>
            <w:tcMar/>
            <w:tcBorders>
              <w:top w:val="single" w:sz="1" w:space="0" w:color="auto"/>
              <w:left w:val="single" w:sz="1" w:space="0" w:color="auto"/>
              <w:right w:val="single" w:sz="1" w:space="0" w:color="auto"/>
            </w:tcBorders>
          </w:tcPr>
          <w:p>
            <w:pPr/>
            <w:r>
              <w:rPr>
                <w:rFonts w:hAnsi="Arial"/>
                <w:rFonts w:ascii="Arial"/>
                <w:sz w:val="20"/>
                <w:color w:val="black"/>
              </w:rPr>
              <w:t>15</w:t>
            </w:r>
          </w:p>
        </w:tc>
      </w:tr>
      <w:tr>
        <w:trPr/>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 xml:space="preserve">26,7- 31,7</w:t>
            </w:r>
          </w:p>
        </w:tc>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 xml:space="preserve">80-89°F </w:t>
            </w:r>
          </w:p>
        </w:tc>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56,06</w:t>
            </w:r>
          </w:p>
        </w:tc>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 xml:space="preserve">3.5 lbs</w:t>
            </w:r>
          </w:p>
        </w:tc>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42</w:t>
            </w:r>
          </w:p>
        </w:tc>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 xml:space="preserve">30 </w:t>
            </w:r>
          </w:p>
        </w:tc>
        <w:tc>
          <w:tcPr>
            <w:tcW w:w="1109" w:type="dxa"/>
            <w:tcMar/>
            <w:tcBorders>
              <w:top w:val="single" w:sz="1" w:space="0" w:color="auto"/>
              <w:left w:val="single" w:sz="1" w:space="0" w:color="auto"/>
              <w:bottom w:val="single" w:sz="1" w:space="0" w:color="auto"/>
            </w:tcBorders>
          </w:tcPr>
          <w:p>
            <w:pPr/>
            <w:r>
              <w:rPr>
                <w:rFonts w:hAnsi="Arial"/>
                <w:rFonts w:ascii="Arial"/>
                <w:sz w:val="20"/>
                <w:color w:val="black"/>
              </w:rPr>
              <w:t xml:space="preserve">30 </w:t>
            </w:r>
          </w:p>
        </w:tc>
        <w:tc>
          <w:tcPr>
            <w:tcW w:w="1075" w:type="dxa"/>
            <w:tcMar/>
            <w:tcBorders>
              <w:top w:val="single" w:sz="1" w:space="0" w:color="auto"/>
              <w:left w:val="single" w:sz="1" w:space="0" w:color="auto"/>
              <w:right w:val="single" w:sz="1" w:space="0" w:color="auto"/>
              <w:bottom w:val="single" w:sz="1" w:space="0" w:color="auto"/>
            </w:tcBorders>
          </w:tcPr>
          <w:p>
            <w:pPr/>
            <w:r>
              <w:rPr>
                <w:rFonts w:hAnsi="Arial"/>
                <w:rFonts w:ascii="Arial"/>
                <w:sz w:val="20"/>
                <w:color w:val="black"/>
              </w:rPr>
              <w:t>20</w:t>
            </w:r>
          </w:p>
        </w:tc>
      </w:tr>
    </w:tbl>
    <w:p>
      <w:pPr>
        <w:jc w:val="both"/>
      </w:pPr>
      <w:r>
        <w:rPr>
          <w:rFonts w:hAnsi="Arial"/>
          <w:rFonts w:ascii="Arial"/>
          <w:sz w:val="24"/>
          <w:color w:val="black"/>
        </w:rPr>
        <w:t xml:space="preserve">Fuente: USDA, 2016</w:t>
      </w:r>
    </w:p>
    <w:p>
      <w:pPr>
        <w:jc w:val="both"/>
      </w:pPr>
      <w:rPr>
        <w:sz w:val="24"/>
        <w:b/>
        <w:color w:val="black"/>
      </w:rPr>
    </w:p>
    <w:p>
      <w:pPr>
        <w:jc w:val="both"/>
      </w:pPr>
      <w:r>
        <w:rPr>
          <w:rFonts w:hAnsi="Arial"/>
          <w:rFonts w:ascii="Arial"/>
          <w:sz w:val="24"/>
          <w:b/>
          <w:color w:val="black"/>
        </w:rPr>
        <w:t xml:space="preserve">3.2 </w:t>
      </w:r>
      <w:r>
        <w:rPr>
          <w:rFonts w:hAnsi="Arial"/>
          <w:rFonts w:ascii="Arial"/>
          <w:sz w:val="24"/>
          <w:color w:val="black"/>
        </w:rPr>
        <w:t xml:space="preserve">El envío debe venir debidamente empacado para prevenir infestación.</w:t>
      </w:r>
    </w:p>
    <w:p>
      <w:pPr>
        <w:jc w:val="both"/>
      </w:pPr>
      <w:rPr>
        <w:sz w:val="24"/>
        <w:b/>
        <w:color w:val="black"/>
      </w:rPr>
    </w:p>
    <w:p>
      <w:pPr>
        <w:jc w:val="both"/>
      </w:pPr>
      <w:r>
        <w:rPr>
          <w:rFonts w:hAnsi="Arial"/>
          <w:rFonts w:ascii="Arial"/>
          <w:sz w:val="24"/>
          <w:b/>
          <w:color w:val="black"/>
        </w:rPr>
        <w:t xml:space="preserve">3.3 </w:t>
      </w:r>
      <w:r>
        <w:rPr>
          <w:rFonts w:hAnsi="Arial"/>
          <w:rFonts w:ascii="Arial"/>
          <w:sz w:val="24"/>
          <w:color w:val="black"/>
        </w:rPr>
        <w:t xml:space="preserve">Tratamiento en caso necesario.</w:t>
      </w:r>
    </w:p>
    <w:p>
      <w:pPr>
        <w:jc w:val="both"/>
      </w:pPr>
      <w:rPr>
        <w:sz w:val="24"/>
        <w:b/>
        <w:color w:val="black"/>
      </w:rPr>
    </w:p>
    <w:p>
      <w:pPr>
        <w:jc w:val="both"/>
      </w:pPr>
      <w:r>
        <w:rPr>
          <w:rFonts w:hAnsi="Arial"/>
          <w:rFonts w:ascii="Arial"/>
          <w:sz w:val="24"/>
          <w:b/>
          <w:color w:val="black"/>
        </w:rPr>
        <w:t xml:space="preserve">3.4 </w:t>
      </w:r>
      <w:r>
        <w:rPr>
          <w:rFonts w:hAnsi="Arial"/>
          <w:rFonts w:ascii="Arial"/>
          <w:sz w:val="24"/>
          <w:color w:val="black"/>
        </w:rPr>
        <w:t xml:space="preserve">Inspección fitosanitaria en el punto de ingreso al país.</w:t>
      </w:r>
    </w:p>
    <w:p>
      <w:pPr>
        <w:jc w:val="both"/>
      </w:pPr>
      <w:rPr>
        <w:sz w:val="24"/>
        <w:b/>
        <w:color w:val="black"/>
      </w:rPr>
    </w:p>
    <w:p>
      <w:pPr>
        <w:jc w:val="both"/>
      </w:pPr>
      <w:r>
        <w:rPr>
          <w:rFonts w:hAnsi="Arial"/>
          <w:rFonts w:ascii="Arial"/>
          <w:sz w:val="24"/>
          <w:vanish/>
          <w:color w:val="black"/>
        </w:rPr>
        <w:t>&amp;$</w:t>
      </w:r>
      <w:bookmarkStart w:id="183195"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83195"/>
      <w:r>
        <w:rPr>
          <w:rFonts w:hAnsi="Arial"/>
          <w:rFonts w:ascii="Arial"/>
          <w:sz w:val="24"/>
          <w:color w:val="black"/>
        </w:rPr>
        <w:t xml:space="preserve"> El ICA seráí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w:t>
      </w:r>
    </w:p>
    <w:p>
      <w:pPr>
        <w:jc w:val="both"/>
      </w:pPr>
      <w:rPr>
        <w:sz w:val="24"/>
        <w:b/>
        <w:color w:val="black"/>
      </w:rPr>
    </w:p>
    <w:p>
      <w:pPr>
        <w:jc w:val="both"/>
      </w:pPr>
      <w:r>
        <w:rPr>
          <w:rFonts w:hAnsi="Arial"/>
          <w:rFonts w:ascii="Arial"/>
          <w:sz w:val="24"/>
          <w:color w:val="black"/>
        </w:rPr>
        <w:t xml:space="preserve">Con fundamento en el enfoque de gestión de riesgos fitosanitarios y para preservar el estatus sanitario, el ICA podráí comunicar las medidas preventivas para el manejo de la sanidad, el bienestar animal y la inocuidad en la producción primaria e imponer y aplicar medidas sanitarias a que hubiere lugar, sin perjuicio de las sanciones correspondientes.</w:t>
      </w:r>
    </w:p>
    <w:p>
      <w:pPr>
        <w:jc w:val="both"/>
      </w:pPr>
      <w:rPr>
        <w:sz w:val="24"/>
        <w:b/>
        <w:color w:val="black"/>
      </w:rPr>
    </w:p>
    <w:p>
      <w:pPr>
        <w:jc w:val="both"/>
      </w:pPr>
      <w:r>
        <w:rPr>
          <w:rFonts w:hAnsi="Arial"/>
          <w:rFonts w:ascii="Arial"/>
          <w:sz w:val="24"/>
          <w:vanish/>
          <w:color w:val="black"/>
        </w:rPr>
        <w:t>&amp;$</w:t>
      </w:r>
      <w:bookmarkStart w:id="183196"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83196"/>
      <w:r>
        <w:rPr>
          <w:rFonts w:hAnsi="Arial"/>
          <w:rFonts w:ascii="Arial"/>
          <w:sz w:val="24"/>
          <w:color w:val="black"/>
        </w:rPr>
        <w:t xml:space="preserve"> 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w:t>
      </w:r>
    </w:p>
    <w:p>
      <w:pPr>
        <w:jc w:val="both"/>
      </w:pPr>
      <w:rPr>
        <w:sz w:val="24"/>
        <w:b/>
        <w:color w:val="black"/>
      </w:rPr>
    </w:p>
    <w:p>
      <w:pPr>
        <w:jc w:val="both"/>
      </w:pPr>
      <w:r>
        <w:rPr>
          <w:rFonts w:hAnsi="Arial"/>
          <w:rFonts w:ascii="Arial"/>
          <w:sz w:val="24"/>
          <w:vanish/>
          <w:color w:val="black"/>
        </w:rPr>
        <w:t>&amp;$</w:t>
      </w:r>
      <w:bookmarkStart w:id="183197"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83197"/>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 de agosto de 2024.</w:t>
      </w:r>
    </w:p>
    <w:p>
      <w:pPr>
        <w:jc w:val="center"/>
      </w:pPr>
      <w:rPr>
        <w:sz w:val="24"/>
        <w:b/>
        <w:color w:val="black"/>
      </w:rPr>
    </w:p>
    <w:p>
      <w:pPr>
        <w:jc w:val="center"/>
      </w:pPr>
      <w:r>
        <w:rPr>
          <w:rFonts w:hAnsi="Arial"/>
          <w:rFonts w:ascii="Arial"/>
          <w:sz w:val="24"/>
          <w:color w:val="black"/>
        </w:rPr>
        <w:t xml:space="preserve">La Subgerente de Regulación Sanitaria y Fitosanitaria,</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328"/>
      <w:footerReference w:type="default" r:id="eId15329"/>
      <w:type w:val="continuous"/>
    </w:sectPr>
  </w:body>
</w:document>
</file>

<file path=word/footer_default_153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3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5328" Type="http://schemas.openxmlformats.org/officeDocument/2006/relationships/header" Target="header_default_15328.xml" />
<Relationship Id="id0" Type="http://schemas.openxmlformats.org/officeDocument/2006/relationships/image" Target="img/img_id0.png"/>
<Relationship Id="eId15329" Type="http://schemas.openxmlformats.org/officeDocument/2006/relationships/footer" Target="footer_default_153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