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472.xml" ContentType="application/vnd.openxmlformats-officedocument.wordprocessingml.header+xml"/>
  <Override PartName="/word/footer_default_154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RESOLUCION 588 DE 2000 </w:t>
      </w:r>
    </w:p>
    <w:p>
      <w:pPr>
        <w:jc w:val="center"/>
      </w:pPr>
      <w:r>
        <w:rPr>
          <w:rFonts w:hAnsi="Arial"/>
          <w:rFonts w:ascii="Arial"/>
          <w:sz w:val="24"/>
          <w:color w:val="black"/>
        </w:rPr>
        <w:t xml:space="preserve">(marzo 27) </w:t>
      </w:r>
    </w:p>
    <w:p>
      <w:pPr>
        <w:jc w:val="center"/>
      </w:pPr>
      <w:r>
        <w:rPr>
          <w:rFonts w:hAnsi="Arial"/>
          <w:rFonts w:ascii="Arial"/>
          <w:sz w:val="24"/>
          <w:color w:val="black"/>
        </w:rPr>
        <w:t xml:space="preserve">Diario Oficial No. 43.991, del 02 de mayo de 2000 </w:t>
      </w:r>
    </w:p>
    <w:p>
      <w:pPr>
        <w:jc w:val="center"/>
      </w:pPr>
      <w:r>
        <w:rPr>
          <w:rFonts w:hAnsi="Arial"/>
          <w:rFonts w:ascii="Arial"/>
          <w:sz w:val="24"/>
          <w:color w:val="black"/>
        </w:rPr>
        <w:t xml:space="preserve"> </w:t>
      </w:r>
    </w:p>
    <w:p>
      <w:pPr>
        <w:jc w:val="center"/>
      </w:pPr>
      <w:r>
        <w:rPr>
          <w:rFonts w:hAnsi="Arial"/>
          <w:rFonts w:ascii="Arial"/>
          <w:sz w:val="24"/>
          <w:color w:val="gray"/>
        </w:rPr>
        <w:t xml:space="preserve">INSTITUTO COLOMBIANO AGROPECUARIO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adiciona al artículo </w:t>
      </w:r>
      <w:r>
        <w:fldChar w:fldCharType="begin"/>
      </w:r>
      <w:r>
        <w:instrText>HYPERLINK "http://www.redjurista.com/document.aspx?ajcode=r_ica_1056_1996&amp;arts=7"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w:t>
      </w:r>
    </w:p>
    <w:p>
      <w:pPr>
        <w:jc w:val="center"/>
      </w:pPr>
      <w:r>
        <w:rPr>
          <w:rFonts w:hAnsi="Arial"/>
          <w:rFonts w:ascii="Arial"/>
          <w:sz w:val="24"/>
          <w:color w:val="black"/>
        </w:rPr>
        <w:t xml:space="preserve">Resolución 1056 de 1996, el parágrafo 3. </w:t>
      </w:r>
    </w:p>
    <w:p>
      <w:r>
        <w:rPr>
          <w:rFonts w:hAnsi="Arial"/>
          <w:rFonts w:ascii="Arial"/>
          <w:sz w:val="24"/>
          <w:color w:val="black"/>
        </w:rPr>
        <w:t xml:space="preserve"> </w:t>
      </w:r>
    </w:p>
    <w:p>
      <w:pPr>
        <w:jc w:val="center"/>
      </w:pPr>
      <w:r>
        <w:rPr>
          <w:rFonts w:hAnsi="Arial"/>
          <w:rFonts w:ascii="Arial"/>
          <w:sz w:val="24"/>
          <w:color w:val="gray"/>
        </w:rPr>
        <w:t xml:space="preserve">LA SUBGERENTE DE PREVENCIÓN Y CONTROL DEL </w:t>
      </w:r>
    </w:p>
    <w:p>
      <w:pPr>
        <w:jc w:val="center"/>
      </w:pPr>
      <w:r>
        <w:rPr>
          <w:rFonts w:hAnsi="Arial"/>
          <w:rFonts w:ascii="Arial"/>
          <w:sz w:val="24"/>
          <w:color w:val="gray"/>
        </w:rPr>
        <w:t xml:space="preserve">INSTITUTO COLOMBIANO AGROPECUARIO, 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en especial </w:t>
      </w:r>
    </w:p>
    <w:p>
      <w:pPr>
        <w:jc w:val="center"/>
      </w:pPr>
      <w:r>
        <w:rPr>
          <w:rFonts w:hAnsi="Arial"/>
          <w:rFonts w:ascii="Arial"/>
          <w:sz w:val="24"/>
          <w:color w:val="black"/>
        </w:rPr>
        <w:t xml:space="preserve">de las que le confieren los Decretos números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p>
    <w:p>
      <w:pPr>
        <w:jc w:val="center"/>
      </w:pP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 Resolución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corresponde al Instituto Colombiano Agropecuario ICA, ejercer el control técnico de los insumos agropecuarios; </w:t>
      </w:r>
    </w:p>
    <w:p>
      <w:r>
        <w:rPr>
          <w:rFonts w:hAnsi="Arial"/>
          <w:rFonts w:ascii="Arial"/>
          <w:sz w:val="20"/>
          <w:color w:val="black"/>
        </w:rPr>
        <w:t xml:space="preserve"> </w:t>
      </w:r>
    </w:p>
    <w:p>
      <w:pPr>
        <w:jc w:val="both"/>
      </w:pPr>
      <w:r>
        <w:rPr>
          <w:rFonts w:hAnsi="Arial"/>
          <w:rFonts w:ascii="Arial"/>
          <w:sz w:val="24"/>
          <w:color w:val="black"/>
        </w:rPr>
        <w:t xml:space="preserve">Que la Resolución ICA número 909 de 1999 en su artículo </w:t>
      </w:r>
      <w:r>
        <w:fldChar w:fldCharType="begin"/>
      </w:r>
      <w:r>
        <w:instrText>HYPERLINK "http://www.redjurista.com/document.aspx?ajcode=rica0909&amp;arts=1"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establece como fecha máxima el 24 de mayo de 2001, para que las empresas productoras de insumos pecuarios cumplan con las Buenas Prácticas de Manufactura; </w:t>
      </w:r>
    </w:p>
    <w:p>
      <w:r>
        <w:rPr>
          <w:rFonts w:hAnsi="Arial"/>
          <w:rFonts w:ascii="Arial"/>
          <w:sz w:val="20"/>
          <w:color w:val="black"/>
        </w:rPr>
        <w:t xml:space="preserve"> </w:t>
      </w:r>
    </w:p>
    <w:p>
      <w:pPr>
        <w:jc w:val="both"/>
      </w:pPr>
      <w:r>
        <w:rPr>
          <w:rFonts w:hAnsi="Arial"/>
          <w:rFonts w:ascii="Arial"/>
          <w:sz w:val="24"/>
          <w:color w:val="black"/>
        </w:rPr>
        <w:t xml:space="preserve">Que con el fin de agilizar y ampliar la cobertura en la prestación de servicios que ofrece el ICA, la Resolución </w:t>
      </w:r>
      <w:r>
        <w:fldChar w:fldCharType="begin"/>
      </w:r>
      <w:r>
        <w:instrText>HYPERLINK "http://www.redjurista.com/document.aspx?ajcode=r_ica_1056_1996&amp;arts=0"</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/96 reglamenta el registro de Unidades Técnicas para la ejecución de pruebas de eficacia y estabilidad de insumos pecuarios; </w:t>
      </w:r>
    </w:p>
    <w:p>
      <w:r>
        <w:rPr>
          <w:rFonts w:hAnsi="Arial"/>
          <w:rFonts w:ascii="Arial"/>
          <w:sz w:val="20"/>
          <w:color w:val="black"/>
        </w:rPr>
        <w:t xml:space="preserve"> </w:t>
      </w:r>
    </w:p>
    <w:p>
      <w:pPr>
        <w:jc w:val="both"/>
      </w:pPr>
      <w:r>
        <w:rPr>
          <w:rFonts w:hAnsi="Arial"/>
          <w:rFonts w:ascii="Arial"/>
          <w:sz w:val="24"/>
          <w:color w:val="black"/>
        </w:rPr>
        <w:t xml:space="preserve">Que para la verificación y certificación de las Buenas Prácticas de Manufactura, se requiere de Unidades Técnicas especializadas en esta área, de tal forma que se agilice este proceso y el ICA dé cumplimiento al mismo, </w:t>
      </w:r>
    </w:p>
    <w:p>
      <w:r>
        <w:rPr>
          <w:rFonts w:hAnsi="Arial"/>
          <w:rFonts w:ascii="Arial"/>
          <w:sz w:val="20"/>
          <w:color w:val="black"/>
        </w:rPr>
        <w:t xml:space="preserve"> </w:t>
      </w:r>
    </w:p>
    <w:p>
      <w:pPr>
        <w:jc w:val="center"/>
      </w:pPr>
      <w:r>
        <w:rPr>
          <w:rFonts w:hAnsi="Arial"/>
          <w:rFonts w:ascii="Arial"/>
          <w:sz w:val="24"/>
          <w:color w:val="gray"/>
        </w:rPr>
        <w:t xml:space="preserve">RESUELVE: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83949" w:name="1"/>
      <w:r>
        <w:rPr>
          <w:rFonts w:hAnsi="Arial"/>
          <w:rFonts w:ascii="Arial"/>
          <w:sz w:val="24"/>
          <w:color w:val="navy"/>
        </w:rPr>
        <w:t xml:space="preserve">ARTICULO 1o.</w:t>
      </w:r>
      <w:bookmarkEnd w:id="183949"/>
      <w:r>
        <w:rPr>
          <w:rFonts w:hAnsi="Arial"/>
          <w:rFonts w:ascii="Arial"/>
          <w:sz w:val="24"/>
          <w:color w:val="black"/>
        </w:rPr>
        <w:t xml:space="preserve"> Adicionar al artículo </w:t>
      </w:r>
      <w:r>
        <w:fldChar w:fldCharType="begin"/>
      </w:r>
      <w:r>
        <w:instrText>HYPERLINK "http://www.redjurista.com/document.aspx?ajcode=rica1056&amp;arts=7"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1056 de 1996, el parágrafo 3o., el cual quedará así: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3o. Las certificaciones de cumplimiento de las Buenas Prácticas de Manufactura a los productores de insumos pecuarios, las hará el ICA directamente o a través de Unidades Técnicas que para tal efecto se registren en el ICA, anexando la siguiente información y documentos: </w:t>
      </w:r>
    </w:p>
    <w:p>
      <w:r>
        <w:rPr>
          <w:rFonts w:hAnsi="Arial"/>
          <w:rFonts w:ascii="Arial"/>
          <w:sz w:val="20"/>
          <w:color w:val="black"/>
        </w:rPr>
        <w:t xml:space="preserve"> </w:t>
      </w:r>
    </w:p>
    <w:p>
      <w:pPr>
        <w:jc w:val="both"/>
      </w:pPr>
      <w:r>
        <w:rPr>
          <w:rFonts w:hAnsi="Arial"/>
          <w:rFonts w:ascii="Arial"/>
          <w:sz w:val="24"/>
          <w:color w:val="black"/>
        </w:rPr>
        <w:t xml:space="preserve">-Solicitud firmada por el representante legal. </w:t>
      </w:r>
    </w:p>
    <w:p>
      <w:r>
        <w:rPr>
          <w:rFonts w:hAnsi="Arial"/>
          <w:rFonts w:ascii="Arial"/>
          <w:sz w:val="20"/>
          <w:color w:val="black"/>
        </w:rPr>
        <w:t xml:space="preserve"> </w:t>
      </w:r>
    </w:p>
    <w:p>
      <w:pPr>
        <w:jc w:val="both"/>
      </w:pPr>
      <w:r>
        <w:rPr>
          <w:rFonts w:hAnsi="Arial"/>
          <w:rFonts w:ascii="Arial"/>
          <w:sz w:val="24"/>
          <w:color w:val="black"/>
        </w:rPr>
        <w:t xml:space="preserve">-Nombre o razón social y dirección. </w:t>
      </w:r>
    </w:p>
    <w:p>
      <w:r>
        <w:rPr>
          <w:rFonts w:hAnsi="Arial"/>
          <w:rFonts w:ascii="Arial"/>
          <w:sz w:val="20"/>
          <w:color w:val="black"/>
        </w:rPr>
        <w:t xml:space="preserve"> </w:t>
      </w:r>
    </w:p>
    <w:p>
      <w:pPr>
        <w:jc w:val="both"/>
      </w:pPr>
      <w:r>
        <w:rPr>
          <w:rFonts w:hAnsi="Arial"/>
          <w:rFonts w:ascii="Arial"/>
          <w:sz w:val="24"/>
          <w:color w:val="black"/>
        </w:rPr>
        <w:t xml:space="preserve">-Hoja de vida, demostrando idoneidad en el campo de certificación en Buenas Prácticas de Manufactura y fotocopia de la tarjeta profesional de cada uno de los profesionales que integran la Unidad Técnica. </w:t>
      </w:r>
    </w:p>
    <w:p>
      <w:r>
        <w:rPr>
          <w:rFonts w:hAnsi="Arial"/>
          <w:rFonts w:ascii="Arial"/>
          <w:sz w:val="20"/>
          <w:color w:val="black"/>
        </w:rPr>
        <w:t xml:space="preserve"> </w:t>
      </w:r>
    </w:p>
    <w:p>
      <w:pPr>
        <w:jc w:val="both"/>
      </w:pPr>
      <w:r>
        <w:rPr>
          <w:rFonts w:hAnsi="Arial"/>
          <w:rFonts w:ascii="Arial"/>
          <w:sz w:val="24"/>
          <w:color w:val="black"/>
        </w:rPr>
        <w:t xml:space="preserve">-Certificado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-Recibo de pago de acuerdo con la tarifa vigente. </w:t>
      </w:r>
    </w:p>
    <w:p>
      <w:r>
        <w:rPr>
          <w:rFonts w:hAnsi="Arial"/>
          <w:rFonts w:ascii="Arial"/>
          <w:sz w:val="20"/>
          <w:color w:val="black"/>
        </w:rPr>
        <w:t xml:space="preserve"> </w:t>
      </w:r>
    </w:p>
    <w:p>
      <w:pPr>
        <w:jc w:val="both"/>
      </w:pPr>
      <w:r>
        <w:rPr>
          <w:rFonts w:hAnsi="Arial"/>
          <w:rFonts w:ascii="Arial"/>
          <w:sz w:val="24"/>
          <w:color w:val="black"/>
        </w:rPr>
        <w:t xml:space="preserve">Estudiada la información y los documentos, se realizará visita a las instalaciones y si cumple con los requisitos y procedimientos establecidos en el Manual Técnico, el cual será parte integrante de esta resolución, el ICA emitirá el concepto y de ser favorable otorgará el respectivo registro, mediante resolución motivada, el cual tendrá una vigencia de tres años. Este registro podrá ser revisado de oficio o a solicitud de terceros y cancelado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black"/>
        </w:rPr>
        <w:t xml:space="preserve">Si no cumple con los requisitos, se otorgará un plazo máximo de seis meses contados a partir de la fecha que se comunique por escrito los incumplimientos. Vencido este plazo sin que el ICA reciba del interesado el cumplimiento, se considerará abandonada la solicitud. </w:t>
      </w:r>
    </w:p>
    <w:p>
      <w:r>
        <w:rPr>
          <w:rFonts w:hAnsi="Arial"/>
          <w:rFonts w:ascii="Arial"/>
          <w:sz w:val="20"/>
          <w:color w:val="black"/>
        </w:rPr>
        <w:t xml:space="preserve"> </w:t>
      </w:r>
    </w:p>
    <w:p>
      <w:pPr>
        <w:jc w:val="both"/>
      </w:pPr>
      <w:r>
        <w:rPr>
          <w:rFonts w:hAnsi="Arial"/>
          <w:rFonts w:ascii="Arial"/>
          <w:sz w:val="24"/>
          <w:vanish/>
          <w:color w:val="black"/>
        </w:rPr>
        <w:t>&amp;$</w:t>
      </w:r>
      <w:bookmarkStart w:id="183950" w:name="2"/>
      <w:r>
        <w:rPr>
          <w:rFonts w:hAnsi="Arial"/>
          <w:rFonts w:ascii="Arial"/>
          <w:sz w:val="24"/>
          <w:color w:val="navy"/>
        </w:rPr>
        <w:t xml:space="preserve">ARTICULO 2o.</w:t>
      </w:r>
      <w:bookmarkEnd w:id="183950"/>
      <w:r>
        <w:rPr>
          <w:rFonts w:hAnsi="Arial"/>
          <w:rFonts w:ascii="Arial"/>
          <w:sz w:val="24"/>
          <w:color w:val="black"/>
        </w:rPr>
        <w:t xml:space="preserve"> La presente resolución rige a partir de la fecha de su expedición. </w:t>
      </w:r>
    </w:p>
    <w:p>
      <w:pPr>
        <w:jc w:val="both"/>
      </w:pPr>
      <w:r>
        <w:rPr>
          <w:rFonts w:hAnsi="Arial"/>
          <w:rFonts w:ascii="Arial"/>
          <w:sz w:val="24"/>
          <w:color w:val="black"/>
        </w:rPr>
        <w:t xml:space="preserve"> </w:t>
      </w:r>
    </w:p>
    <w:p>
      <w:pPr>
        <w:jc w:val="center"/>
      </w:pPr>
      <w:r>
        <w:rPr>
          <w:rFonts w:hAnsi="Arial"/>
          <w:rFonts w:ascii="Arial"/>
          <w:sz w:val="24"/>
          <w:color w:val="black"/>
        </w:rPr>
        <w:t xml:space="preserve">COMUNÍQUESE, PUBLÍQUESE Y CÚMPLASE. </w:t>
      </w:r>
    </w:p>
    <w:p>
      <w:pPr>
        <w:jc w:val="center"/>
      </w:pPr>
      <w:r>
        <w:rPr>
          <w:rFonts w:hAnsi="Arial"/>
          <w:rFonts w:ascii="Arial"/>
          <w:sz w:val="24"/>
          <w:color w:val="black"/>
        </w:rPr>
        <w:t xml:space="preserve">Dada en Santa Fe de Bogotá, D. C., a 27 de marzo de 2000. </w:t>
      </w:r>
    </w:p>
    <w:p>
      <w:pPr>
        <w:jc w:val="center"/>
      </w:pPr>
      <w:r>
        <w:rPr>
          <w:rFonts w:hAnsi="Arial"/>
          <w:rFonts w:ascii="Arial"/>
          <w:sz w:val="24"/>
          <w:color w:val="black"/>
        </w:rPr>
        <w:t xml:space="preserve"> </w:t>
      </w:r>
    </w:p>
    <w:p>
      <w:pPr>
        <w:jc w:val="center"/>
      </w:pPr>
      <w:r>
        <w:rPr>
          <w:rFonts w:hAnsi="Arial"/>
          <w:rFonts w:ascii="Arial"/>
          <w:sz w:val="24"/>
          <w:color w:val="black"/>
        </w:rPr>
        <w:t xml:space="preserve">La Subgerente de Prevención y Control, </w:t>
      </w:r>
    </w:p>
    <w:p>
      <w:pPr>
        <w:jc w:val="center"/>
      </w:pPr>
      <w:r>
        <w:rPr>
          <w:rFonts w:hAnsi="Arial"/>
          <w:rFonts w:ascii="Arial"/>
          <w:sz w:val="24"/>
          <w:color w:val="gray"/>
        </w:rPr>
        <w:t xml:space="preserve">LUZ ALBA CRUZ DE URBINA,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15472"/>
      <w:footerReference w:type="default" r:id="eId15473"/>
      <w:type w:val="continuous"/>
    </w:sectPr>
  </w:body>
</w:document>
</file>

<file path=word/footer_default_154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54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472" Type="http://schemas.openxmlformats.org/officeDocument/2006/relationships/header" Target="header_default_15472.xml" />
<Relationship Id="id0" Type="http://schemas.openxmlformats.org/officeDocument/2006/relationships/image" Target="img/img_id0.png"/>
<Relationship Id="eId15473" Type="http://schemas.openxmlformats.org/officeDocument/2006/relationships/footer" Target="footer_default_154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4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4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