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7860.xml" ContentType="application/vnd.openxmlformats-officedocument.wordprocessingml.header+xml"/>
  <Override PartName="/word/footer_default_1786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2685 DE 2004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(agosto 23)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45.653, de 27 de agosto de 2004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LA PROTECCIÓN SOCIAL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&lt;Anexos no publicados en el Diario Oficial&gt;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establece el Sistema de Vigilancia Epidemiológica de la utilización del ácido zoledrónico y se adoptan las guías para su prescripción.</w:t>
      </w:r>
    </w:p>
    <w:p>
      <w:pPr>
        <w:jc w:val="center"/>
        <w:keepNext/>
      </w:pPr>
      <w:rPr>
        <w:color w:val="black"/>
      </w:rPr>
    </w:p>
    <w:p>
      <w:pPr>
        <w:jc w:val="center"/>
        <w:keepNext/>
      </w:pPr>
      <w:r>
        <w:rPr>
          <w:rFonts w:hAnsi="Arial"/>
          <w:rFonts w:ascii="Arial"/>
          <w:sz w:val="24"/>
          <w:color w:val="gray"/>
        </w:rPr>
        <w:t xml:space="preserve">EL MINISTRO DE LA PROTECCIÓN SOCIAL,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legales, en especial las conferidas por los numerales 3 y 7 del artículo </w:t>
      </w:r>
      <w:r>
        <w:fldChar w:fldCharType="begin"/>
      </w:r>
      <w:r>
        <w:instrText>HYPERLINK "http://www.redjurista.com/document.aspx?ajcode=l0100_93&amp;arts=173"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100 de 1993, y las establecidas en los artículos 1o y 2o del Acuerdo 263 del CNSSS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Ministerio de Salud reglamentar la recolección, transferencia y difusión de la información en el subsistema al que concurren obligatoriamente todos los integrantes del Sistema General de Seguridad Social de Salud;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Consejo Nacional de Seguridad Social en Salud, CNSSS, incluyó el Acido Zoledrónico en el Plan de Beneficios mediante el Acuerdo </w:t>
      </w:r>
      <w:r>
        <w:fldChar w:fldCharType="begin"/>
      </w:r>
      <w:r>
        <w:instrText>HYPERLINK "http://www.redjurista.com/document.aspx?ajcode=a_cnsss_0263_2004&amp;arts=1"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263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acatando el fallo del Consejo de Estado mediante la providencia de 11 de diciembre de 2003, aclarada el 5 febrero de 2004;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CNSSS además de dar cumplimiento al fallo, también debe velar por el equilibrio de la UPC y el POS y por la sostenibilidad financiera del Sistema, de acuerdo con lo dispuesto por el artículo </w:t>
      </w:r>
      <w:r>
        <w:fldChar w:fldCharType="begin"/>
      </w:r>
      <w:r>
        <w:instrText>HYPERLINK "http://www.redjurista.com/document.aspx?ajcode=l0100_93&amp;arts=182"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100 de 1993 y la jurisprudencia de la Corte Constitucional para lo cual resolvió en el Acuerdo 263: "Establecer un sistema de vigilancia epidemiológica con notificación obligatoria de tipo pasivo de los aspectos clínicos, farmacológicos y económicos que permita hacer un seguimiento al impacto económico y de salud de la inclusión de este medicamento en el Plan Obligatorio de Salud. El Ministerio de la Protección Social establecerá las características y periodicidad de la notificación";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Acuerdo 263 establece que "la prescripción del medicamento será acorde con los establecido por las guías que elabore el Instituto Nacional de Cancerología y adopte el Ministerio de la Protección Social";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merito de lo expuesto,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0514" w:name="1"/>
      <w:r>
        <w:rPr>
          <w:rFonts w:hAnsi="Arial"/>
          <w:rFonts w:ascii="Arial"/>
          <w:sz w:val="24"/>
          <w:color w:val="navy"/>
        </w:rPr>
        <w:t xml:space="preserve">ARTÍCULO 1o. SISTEMA DE VIGILANCIA EPIDEMIOLÓGICA.</w:t>
      </w:r>
      <w:bookmarkEnd w:id="200514"/>
      <w:r>
        <w:rPr>
          <w:rFonts w:hAnsi="Arial"/>
          <w:rFonts w:ascii="Arial"/>
          <w:sz w:val="24"/>
          <w:color w:val="black"/>
        </w:rPr>
        <w:t xml:space="preserve"> &lt;Artículo derogado por el artículo </w:t>
      </w:r>
      <w:r>
        <w:fldChar w:fldCharType="begin"/>
      </w:r>
      <w:r>
        <w:instrText>HYPERLINK "http://www.redjurista.com/document.aspx?ajcode=r_msps_5328_2013&amp;arts=1"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5328 de 2013&gt;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0515" w:name="2"/>
      <w:r>
        <w:rPr>
          <w:rFonts w:hAnsi="Arial"/>
          <w:rFonts w:ascii="Arial"/>
          <w:sz w:val="24"/>
          <w:color w:val="navy"/>
        </w:rPr>
        <w:t xml:space="preserve">ARTÍCULO 2o. GUÍAS DE ATENCIÓN.</w:t>
      </w:r>
      <w:bookmarkEnd w:id="200515"/>
      <w:r>
        <w:rPr>
          <w:rFonts w:hAnsi="Arial"/>
          <w:rFonts w:ascii="Arial"/>
          <w:sz w:val="24"/>
          <w:color w:val="black"/>
        </w:rPr>
        <w:t xml:space="preserve"> Adoptar las guías de atención elaboradas por el Instituto Nacional de Cancerología para la formulación de Acido Zoledrónico para las siguientes patologías de acuerdo con el Anexo 2: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Hipercalcemia de la malignidad.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Metástasis ósea por cáncer de seno.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Mieloma múltiple estado III.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0516" w:name="3"/>
      <w:r>
        <w:rPr>
          <w:rFonts w:hAnsi="Arial"/>
          <w:rFonts w:ascii="Arial"/>
          <w:sz w:val="24"/>
          <w:color w:val="navy"/>
        </w:rPr>
        <w:t xml:space="preserve">ARTÍCULO 3o. VIGENCIA.</w:t>
      </w:r>
      <w:bookmarkEnd w:id="200516"/>
      <w:r>
        <w:rPr>
          <w:rFonts w:hAnsi="Arial"/>
          <w:rFonts w:ascii="Arial"/>
          <w:sz w:val="24"/>
          <w:color w:val="black"/>
        </w:rPr>
        <w:t xml:space="preserve"> La presente norma rige a partir de su publicación en el Diario Oficial.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23 de agosto de 2004.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la Protección Social,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DIEGO PALACIO BETANCOURT.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7860"/>
      <w:footerReference w:type="default" r:id="eId17861"/>
      <w:type w:val="continuous"/>
    </w:sectPr>
  </w:body>
</w:document>
</file>

<file path=word/footer_default_1786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786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7860" Type="http://schemas.openxmlformats.org/officeDocument/2006/relationships/header" Target="header_default_17860.xml" />
<Relationship Id="id0" Type="http://schemas.openxmlformats.org/officeDocument/2006/relationships/image" Target="img/img_id0.png"/>
<Relationship Id="eId17861" Type="http://schemas.openxmlformats.org/officeDocument/2006/relationships/footer" Target="footer_default_1786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786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786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