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7980.xml" ContentType="application/vnd.openxmlformats-officedocument.wordprocessingml.header+xml"/>
  <Override PartName="/word/footer_default_1798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RESOLUCION 470 DE 2020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(marzo 20)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51.262 de 20 de marzo 2020</w:t>
      </w:r>
    </w:p>
    <w:p>
      <w:pPr>
        <w:shd w:val="clear" w:fill="white" w:color="auto"/>
        <w:jc w:val="center"/>
        <w:outlineLvl w:val="1"/>
      </w:pPr>
      <w:rPr>
        <w:sz w:val="24"/>
        <w:color w:val="black"/>
      </w:rPr>
    </w:p>
    <w:p>
      <w:pPr>
        <w:shd w:val="clear" w:fill="white" w:color="auto"/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SALUD Y PROTECCION SOCIAL </w:t>
      </w:r>
    </w:p>
    <w:p>
      <w:pPr>
        <w:shd w:val="clear" w:fill="white" w:color="auto"/>
        <w:jc w:val="center"/>
        <w:outlineLvl w:val="1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"http://www.redjurista.com/document.aspx?ajcode=r_msps_1462_2020&amp;arts=5"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1462 de 2020&gt; </w:t>
      </w:r>
    </w:p>
    <w:p>
      <w:pPr>
        <w:shd w:val="clear" w:fill="white" w:color="auto"/>
        <w:jc w:val="center"/>
      </w:pPr>
      <w:rPr>
        <w:sz w:val="24"/>
        <w:color w:val="gray"/>
      </w:rPr>
    </w:p>
    <w:p>
      <w:pPr>
        <w:shd w:val="clear" w:fill="white" w:color="auto"/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adoptan las medidas sanitarias obligatorias de aislamiento preventivo de personas adultas mayores en centros de larga estancia y de cierre parcial de actividades de centros vida y centros día</w:t>
      </w:r>
    </w:p>
    <w:p>
      <w:pPr>
        <w:shd w:val="clear" w:fill="white" w:color="auto"/>
        <w:jc w:val="both"/>
      </w:pPr>
      <w:rPr>
        <w:color w:val="black"/>
      </w:rPr>
    </w:p>
    <w:p>
      <w:pPr>
        <w:shd w:val="clear" w:fill="white" w:color="auto"/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MINISTRO DE SALUD Y PROTECCION SOCIAL</w:t>
      </w:r>
    </w:p>
    <w:p>
      <w:pPr>
        <w:shd w:val="clear" w:fill="white" w:color="auto"/>
        <w:jc w:val="center"/>
        <w:outlineLvl w:val="1"/>
      </w:pPr>
      <w:rPr>
        <w:sz w:val="24"/>
        <w:color w:val="black"/>
      </w:rPr>
    </w:p>
    <w:p>
      <w:pPr>
        <w:shd w:val="clear" w:fill="white" w:color="auto"/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atribuciones contenidas en los artículos </w:t>
      </w:r>
      <w:r>
        <w:fldChar w:fldCharType="begin"/>
      </w:r>
      <w:r>
        <w:instrText>HYPERLINK "http://www.redjurista.com/document.aspx?ajcode=l1753015&amp;arts=69"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1753 de 2015, </w:t>
      </w:r>
      <w:r>
        <w:fldChar w:fldCharType="begin"/>
      </w:r>
      <w:r>
        <w:instrText>HYPERLINK "http://www.redjurista.com/document.aspx?ajcode=d0780016&amp;arts=2.8 8.1.4.2"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 xml:space="preserve">2.8 8.1.4.2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"http://www.redjurista.com/document.aspx?ajcode=d0780016&amp;arts=2.8.8 1.4.3"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 xml:space="preserve">2.8.8 1.4.3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780 de 2016, y </w:t>
      </w:r>
      <w:r>
        <w:fldChar w:fldCharType="begin"/>
      </w:r>
      <w:r>
        <w:instrText>HYPERLINK "http://www.redjurista.com/document.aspx?ajcode=d4107011&amp;arts=2"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numeral 6 del Decreto Ley </w:t>
      </w:r>
      <w:r>
        <w:fldChar w:fldCharType="begin"/>
      </w:r>
      <w:r>
        <w:instrText>HYPERLINK "http://www.redjurista.com/document.aspx?ajcode=d4107011&amp;arts=inicio"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4107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2011, </w:t>
      </w:r>
      <w:bookmarkStart w:id="202754" w:name="bookmark58"/>
      <w:r>
        <w:rPr>
          <w:rFonts w:hAnsi="Arial"/>
          <w:rFonts w:ascii="Arial"/>
          <w:sz w:val="24"/>
          <w:u w:val="none"/>
          <w:color w:val="black"/>
        </w:rPr>
        <w:t>y.</w:t>
      </w:r>
    </w:p>
    <w:p>
      <w:pPr>
        <w:shd w:val="clear" w:fill="white" w:color="auto"/>
        <w:jc w:val="center"/>
        <w:outlineLvl w:val="1"/>
      </w:pPr>
      <w:rPr>
        <w:sz w:val="24"/>
        <w:color w:val="black"/>
      </w:rPr>
    </w:p>
    <w:p>
      <w:pPr>
        <w:shd w:val="clear" w:fill="white" w:color="auto"/>
        <w:jc w:val="center"/>
        <w:outlineLvl w:val="1"/>
      </w:pPr>
      <w:bookmarkEnd w:id="202754"/>
      <w:r>
        <w:rPr>
          <w:rFonts w:hAnsi="Arial"/>
          <w:rFonts w:ascii="Arial"/>
          <w:sz w:val="24"/>
          <w:color w:val="gray"/>
        </w:rPr>
        <w:t>CONSIDERANDO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Constitución Política en su artículo </w:t>
      </w:r>
      <w:r>
        <w:fldChar w:fldCharType="begin"/>
      </w:r>
      <w:r>
        <w:instrText>HYPERLINK "http://www.redjurista.com/document.aspx?ajcode=cons_p91&amp;arts=2"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establece, dentro de los fines esenciales del Estado, entre otros, que las autoridades de la República están instituidas para proteger a todas las personas residentes en el país, en su vida, honra, bienes, creencias y demás derechos y libertades, y para asegurar el cumplimiento de los deberes sociales del Estado y de los particulares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Que. el articulo </w:t>
      </w:r>
      <w:r>
        <w:fldChar w:fldCharType="begin"/>
      </w:r>
      <w:r>
        <w:instrText>HYPERLINK "http://www.redjurista.com/document.aspx?ajcode=cons_p91&amp;arts=46"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>Ibidem.</w:t>
      </w:r>
      <w:r>
        <w:rPr>
          <w:rFonts w:hAnsi="Arial"/>
          <w:rFonts w:ascii="Arial"/>
          <w:sz w:val="24"/>
          <w:u w:val="none"/>
          <w:color w:val="black"/>
        </w:rPr>
        <w:t xml:space="preserve"> contempla que el Estado, la sociedad y la familia concurrirán para la protección y la asistencia de las personas de la tercera edad y les garantizará los servicios de seguridad social integral.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de conformidad con lo establecido en los artículos </w:t>
      </w:r>
      <w:r>
        <w:fldChar w:fldCharType="begin"/>
      </w:r>
      <w:r>
        <w:instrText>HYPERLINK "http://www.redjurista.com/document.aspx?ajcode=cons_p91&amp;arts=49"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"http://www.redjurista.com/document.aspx?ajcode=cons_p91&amp;arts=95"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Carta, toda persona tiene el deber de procurar el cuidado integral de su salud y de su comunidad, y obrar conforme al principio de solidaridad social, respondiendo con acciones humanitarias ante situaciones que pongan en peligro la vida o la salud de las personas.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Ley 1751 de 2015, por medio de la cual se regula el derecho fundamental a la salud, dispone, en el artículo </w:t>
      </w:r>
      <w:r>
        <w:fldChar w:fldCharType="begin"/>
      </w:r>
      <w:r>
        <w:instrText>HYPERLINK "http://www.redjurista.com/document.aspx?ajcode=l1751015&amp;arts=5"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que el Estado es responsable de respetar, proteger y garantizar el goce efectivo del derecho fundamental a la salud, y señala, en su artículo </w:t>
      </w:r>
      <w:r>
        <w:fldChar w:fldCharType="begin"/>
      </w:r>
      <w:r>
        <w:instrText>HYPERLINK "http://www.redjurista.com/document.aspx?ajcode=l1751015&amp;arts=10"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como deberes de las personas frente al derecho fundamental, los de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'propender por su autocuidado, el de su familia y el de su comunidad</w:t>
      </w:r>
      <w:r>
        <w:rPr>
          <w:rFonts w:hAnsi="Arial"/>
          <w:rFonts w:ascii="Arial"/>
          <w:sz w:val="24"/>
          <w:u w:val="none"/>
          <w:color w:val="black"/>
        </w:rPr>
        <w:t>*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atender oportunamente las recomendaciones formuladas en los programas de promoción y prevención'</w:t>
      </w:r>
      <w:r>
        <w:rPr>
          <w:rFonts w:hAnsi="Arial"/>
          <w:rFonts w:ascii="Arial"/>
          <w:sz w:val="24"/>
          <w:u w:val="none"/>
          <w:color w:val="black"/>
        </w:rPr>
        <w:t xml:space="preserve"> y el de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'actuar de manera solidaria ante situaciones que pongan en peligro la vida o la salud de las personas'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los artículos </w:t>
      </w:r>
      <w:r>
        <w:fldChar w:fldCharType="begin"/>
      </w:r>
      <w:r>
        <w:instrText>HYPERLINK "http://www.redjurista.com/document.aspx?ajcode=l1751015&amp;arts=11"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"http://www.redjurista.com/document.aspx?ajcode=l1751015&amp;arts=5"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>Ibidem,</w:t>
      </w:r>
      <w:r>
        <w:rPr>
          <w:rFonts w:hAnsi="Arial"/>
          <w:rFonts w:ascii="Arial"/>
          <w:sz w:val="24"/>
          <w:u w:val="none"/>
          <w:color w:val="black"/>
        </w:rPr>
        <w:t xml:space="preserve"> prevén que la población adulta mayor hace parte de los sujetos de especial protección, y que el Estado es responsable de respetar, proteger y garantizar el goce efectivo del derecho fundamental a la salud.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"http://www.redjurista.com/document.aspx?ajcode=l0009_79&amp;arts=598"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598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9 de 1979 establece que.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"toda persona debe velar por el mejoramiento, la conservación y la recuperación de su salud personal y la salud de los miembros de su hogar, evitando acciones y omisiones perjudiciales y cumpliendo las instrucciones técnicas y las normas obligatorias que dicten las autoridades competentes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Organización Mundial de la Salud - OMS, declaró el 11 de marzo del presente año. como pandemia el coronavirus COVID-19, esencialmente por la velocidad de su propagación, instando a los Estados a tomar las acciones urgentes y decididas para la identificación, confirmación, aislamiento y monitoreo de los posibles casos confirmados, así como la divulgación de las medidas preventivas con el fin de redundar en la mitigación del contagio.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Ministerio </w:t>
      </w:r>
      <w:r>
        <w:rPr>
          <w:rFonts w:hAnsi="Arial"/>
          <w:rFonts w:ascii="Arial"/>
          <w:sz w:val="24"/>
          <w:i/>
          <w:color w:val="black"/>
        </w:rPr>
        <w:t>de</w:t>
      </w:r>
      <w:r>
        <w:rPr>
          <w:rFonts w:hAnsi="Arial"/>
          <w:rFonts w:ascii="Arial"/>
          <w:sz w:val="24"/>
          <w:color w:val="black"/>
        </w:rPr>
        <w:t xml:space="preserve"> Salud y Protección Social, mediante Resolución 385 </w:t>
      </w:r>
      <w:r>
        <w:rPr>
          <w:rFonts w:hAnsi="Arial"/>
          <w:rFonts w:ascii="Arial"/>
          <w:sz w:val="24"/>
          <w:i/>
          <w:color w:val="black"/>
        </w:rPr>
        <w:t>de</w:t>
      </w:r>
      <w:r>
        <w:rPr>
          <w:rFonts w:hAnsi="Arial"/>
          <w:rFonts w:ascii="Arial"/>
          <w:sz w:val="24"/>
          <w:color w:val="black"/>
        </w:rPr>
        <w:t xml:space="preserve"> 2020, declaró la emergencia sanitaria en todo el territorio nacional hasta el 30 </w:t>
      </w:r>
      <w:r>
        <w:rPr>
          <w:rFonts w:hAnsi="Arial"/>
          <w:rFonts w:ascii="Arial"/>
          <w:sz w:val="24"/>
          <w:i/>
          <w:color w:val="black"/>
        </w:rPr>
        <w:t>de</w:t>
      </w:r>
      <w:r>
        <w:rPr>
          <w:rFonts w:hAnsi="Arial"/>
          <w:rFonts w:ascii="Arial"/>
          <w:sz w:val="24"/>
          <w:color w:val="black"/>
        </w:rPr>
        <w:t xml:space="preserve"> mayo de 2020 y adoptó medidas tendientes a prevenir y controlar la propagación del coronavirus COVID-1 9 en el territorio nacional y mitigar sus efectos.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Que, a partir </w:t>
      </w:r>
      <w:r>
        <w:rPr>
          <w:rFonts w:hAnsi="Arial"/>
          <w:rFonts w:ascii="Arial"/>
          <w:sz w:val="24"/>
          <w:i/>
          <w:color w:val="black"/>
        </w:rPr>
        <w:t>de</w:t>
      </w:r>
      <w:r>
        <w:rPr>
          <w:rFonts w:hAnsi="Arial"/>
          <w:rFonts w:ascii="Arial"/>
          <w:sz w:val="24"/>
          <w:color w:val="black"/>
        </w:rPr>
        <w:t xml:space="preserve"> los resultados reportados por el CDC </w:t>
      </w:r>
      <w:r>
        <w:rPr>
          <w:rFonts w:hAnsi="Arial"/>
          <w:rFonts w:ascii="Arial"/>
          <w:sz w:val="24"/>
          <w:i/>
          <w:color w:val="black"/>
        </w:rPr>
        <w:t>de</w:t>
      </w:r>
      <w:r>
        <w:rPr>
          <w:rFonts w:hAnsi="Arial"/>
          <w:rFonts w:ascii="Arial"/>
          <w:sz w:val="24"/>
          <w:color w:val="black"/>
        </w:rPr>
        <w:t xml:space="preserve"> China, a febrero 17 </w:t>
      </w:r>
      <w:r>
        <w:rPr>
          <w:rFonts w:hAnsi="Arial"/>
          <w:rFonts w:ascii="Arial"/>
          <w:sz w:val="24"/>
          <w:i/>
          <w:color w:val="black"/>
        </w:rPr>
        <w:t>de</w:t>
      </w:r>
      <w:r>
        <w:rPr>
          <w:rFonts w:hAnsi="Arial"/>
          <w:rFonts w:ascii="Arial"/>
          <w:sz w:val="24"/>
          <w:color w:val="black"/>
        </w:rPr>
        <w:t xml:space="preserve"> 2020, la Organización Panamericana </w:t>
      </w:r>
      <w:r>
        <w:rPr>
          <w:rFonts w:hAnsi="Arial"/>
          <w:rFonts w:ascii="Arial"/>
          <w:sz w:val="24"/>
          <w:i/>
          <w:color w:val="black"/>
        </w:rPr>
        <w:t>de</w:t>
      </w:r>
      <w:r>
        <w:rPr>
          <w:rFonts w:hAnsi="Arial"/>
          <w:rFonts w:ascii="Arial"/>
          <w:sz w:val="24"/>
          <w:color w:val="black"/>
        </w:rPr>
        <w:t xml:space="preserve"> la Salud identificó una tendencia creciente en el porcentaje </w:t>
      </w:r>
      <w:r>
        <w:rPr>
          <w:rFonts w:hAnsi="Arial"/>
          <w:rFonts w:ascii="Arial"/>
          <w:sz w:val="24"/>
          <w:i/>
          <w:color w:val="black"/>
        </w:rPr>
        <w:t>de</w:t>
      </w:r>
      <w:r>
        <w:rPr>
          <w:rFonts w:hAnsi="Arial"/>
          <w:rFonts w:ascii="Arial"/>
          <w:sz w:val="24"/>
          <w:color w:val="black"/>
        </w:rPr>
        <w:t xml:space="preserve"> personas que fallecen a medida que se avanza en los grupos </w:t>
      </w:r>
      <w:r>
        <w:rPr>
          <w:rFonts w:hAnsi="Arial"/>
          <w:rFonts w:ascii="Arial"/>
          <w:sz w:val="24"/>
          <w:i/>
          <w:color w:val="black"/>
        </w:rPr>
        <w:t>de</w:t>
      </w:r>
      <w:r>
        <w:rPr>
          <w:rFonts w:hAnsi="Arial"/>
          <w:rFonts w:ascii="Arial"/>
          <w:sz w:val="24"/>
          <w:color w:val="black"/>
        </w:rPr>
        <w:t xml:space="preserve"> edad: mientras a nivel general la fatalidad es de 2, 3%,en personas </w:t>
      </w:r>
      <w:r>
        <w:rPr>
          <w:rFonts w:hAnsi="Arial"/>
          <w:rFonts w:ascii="Arial"/>
          <w:sz w:val="24"/>
          <w:i/>
          <w:color w:val="black"/>
        </w:rPr>
        <w:t>de</w:t>
      </w:r>
      <w:r>
        <w:rPr>
          <w:rFonts w:hAnsi="Arial"/>
          <w:rFonts w:ascii="Arial"/>
          <w:sz w:val="24"/>
          <w:color w:val="black"/>
        </w:rPr>
        <w:t xml:space="preserve"> 60 a 69 años la letalidad es de 3 6%,en los </w:t>
      </w:r>
      <w:r>
        <w:rPr>
          <w:rFonts w:hAnsi="Arial"/>
          <w:rFonts w:ascii="Arial"/>
          <w:sz w:val="24"/>
          <w:i/>
          <w:color w:val="black"/>
        </w:rPr>
        <w:t>de</w:t>
      </w:r>
      <w:r>
        <w:rPr>
          <w:rFonts w:hAnsi="Arial"/>
          <w:rFonts w:ascii="Arial"/>
          <w:sz w:val="24"/>
          <w:color w:val="black"/>
        </w:rPr>
        <w:t xml:space="preserve"> 70 años es más del doble (8, 6%)y el cuádruple en mayores de 80 años de edad.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actualmente, Colombia cuenta con aproximadamente 1008 Centros Vida - Centros Dia, que atienden a 522.599 personas adultas mayores, y 993 centros de larga estancia que atienden 33.382.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es necesario, en el marco de la emergencia sanitaria, dictar medidas de protección consistentes en el aislamiento preventivo de personas adultas mayores residentes en centros de larga estancia y el cierre parcial de actividades de centros vida y centro día, teniendo en cuenta que las personas adultas mayores que hacen uso de estos servicios se constituyen en población vulnerable frente al coronavirus COVID-19.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mérito de lo expuesto,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2755" w:name="1"/>
      <w:r>
        <w:rPr>
          <w:rFonts w:hAnsi="Arial"/>
          <w:rFonts w:ascii="Arial"/>
          <w:sz w:val="24"/>
          <w:color w:val="navy"/>
        </w:rPr>
        <w:t xml:space="preserve">ARTÍCULO 1.</w:t>
      </w:r>
      <w:bookmarkEnd w:id="202755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"http://www.redjurista.com/document.aspx?ajcode=r_msps_1462_2020&amp;arts=5"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1462 de 2020&gt; </w:t>
      </w:r>
      <w:r>
        <w:rPr>
          <w:rFonts w:hAnsi="Arial"/>
          <w:rFonts w:ascii="Arial"/>
          <w:sz w:val="24"/>
          <w:u w:val="none"/>
          <w:color w:val="black"/>
        </w:rPr>
        <w:t xml:space="preserve">&lt;Ver prórrogas en Notas de Vigencia&gt; Ordénese la medida sanitaria obligatoria de aislamiento y cuarentena preventivo, para las personas adultas mayores residentes en centros de larga estancia, a partir del veintiuno (21) de marzo de 2020 a las siete de la mañana (7:00 a.m.) hasta el treinta (30) de mayo de 2020 a las once y cincuenta y nueve de la noche ((1:59 pm). En consecuencia, se suspende el ingreso de personas diferentes al personal prestador de los servicios y de apoyo del centro, restricción que incluye a quienes prestan servicios docente - asistenciales.</w:t>
      </w:r>
    </w:p>
    <w:p>
      <w:pPr>
        <w:shd w:val="clear" w:fill="white" w:color="auto"/>
      </w:pPr>
      <w:rPr>
        <w:color w:val="black"/>
      </w:rPr>
    </w:p>
    <w:p>
      <w:pPr>
        <w:shd w:val="clear" w:fill="white" w:color="auto"/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2756" w:name="2"/>
      <w:r>
        <w:rPr>
          <w:rFonts w:hAnsi="Arial"/>
          <w:rFonts w:ascii="Arial"/>
          <w:sz w:val="24"/>
          <w:color w:val="navy"/>
        </w:rPr>
        <w:t xml:space="preserve">ARTÍCULO 2.</w:t>
      </w:r>
      <w:bookmarkEnd w:id="202756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"http://www.redjurista.com/document.aspx?ajcode=r_msps_1462_2020&amp;arts=5"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1462 de 2020&gt; </w:t>
      </w:r>
      <w:r>
        <w:rPr>
          <w:rFonts w:hAnsi="Arial"/>
          <w:rFonts w:ascii="Arial"/>
          <w:sz w:val="24"/>
          <w:u w:val="none"/>
          <w:color w:val="black"/>
        </w:rPr>
        <w:t xml:space="preserve">De manera excepcional las personas adultas mayores residentes en centros de larga estancia podrán salir de estos, en las siguientes situaciones: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Uso de servicios financieros, tales como: reclamación de subsidios, retiro de recursos, asignación de retiro o pensión, y los demás que sean necesarios para garantizar su subsistencia.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Acceso a los servicios de salud, en caso de que no sea posible garantizarlo mediante atención domiciliaria.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Casos de fuerza mayor y caso fortuito.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Los adultos mayores que requieran movilizarse por encontrarse en algunas de las excepciones contempladas en el presente artículo, en servicio público de transporte terrestre automotor de pasajeros por carretera -intermunicipal-y del servicio de transporte aéreo, lo harán con total acatamiento de las medidas de prevención de contagio.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2757" w:name="3"/>
      <w:r>
        <w:rPr>
          <w:rFonts w:hAnsi="Arial"/>
          <w:rFonts w:ascii="Arial"/>
          <w:sz w:val="24"/>
          <w:color w:val="navy"/>
        </w:rPr>
        <w:t xml:space="preserve">ARTÍCULO 3.</w:t>
      </w:r>
      <w:bookmarkEnd w:id="202757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"http://www.redjurista.com/document.aspx?ajcode=r_msps_1462_2020&amp;arts=5"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1462 de 2020&gt; </w:t>
      </w:r>
      <w:r>
        <w:rPr>
          <w:rFonts w:hAnsi="Arial"/>
          <w:rFonts w:ascii="Arial"/>
          <w:sz w:val="24"/>
          <w:u w:val="none"/>
          <w:color w:val="black"/>
        </w:rPr>
        <w:t xml:space="preserve">&lt;Ver prórrogas en Notas de Vigencia&gt; Ordénese la medida sanitaria obligatoria de cierre parcial de actividades en centros vida y centros día, a excepción del servicio de alimentación, que deberá ser prestado de manera domiciliaria, a partir del veintiuno (21) de marzo de 2020 a las siete de la mañana (7:00 a.m.) hasta el treinta (30) de mayo de 2020 a las once y cincuenta y nueve de la noche (11:59 pm).</w:t>
      </w:r>
    </w:p>
    <w:p>
      <w:pPr>
        <w:shd w:val="clear" w:fill="white" w:color="auto"/>
      </w:pPr>
      <w:rPr>
        <w:color w:val="black"/>
      </w:rPr>
    </w:p>
    <w:p>
      <w:pPr>
        <w:shd w:val="clear" w:fill="white" w:color="auto"/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En el marco de lo establecido en el parágrafo tercero del artículo 217 de la Ley 1955 de 2019, los departamentos y distritos reportarán la información de ejecución física y financiera de los recursos de la estampilla para el bienestar del adulto mayor, correspondiente a la población atendida en aquellos centros vida y centros día.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2758" w:name="4"/>
      <w:r>
        <w:rPr>
          <w:rFonts w:hAnsi="Arial"/>
          <w:rFonts w:ascii="Arial"/>
          <w:sz w:val="24"/>
          <w:color w:val="navy"/>
        </w:rPr>
        <w:t xml:space="preserve">ARTÍCULO 4.</w:t>
      </w:r>
      <w:bookmarkEnd w:id="202758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"http://www.redjurista.com/document.aspx?ajcode=r_msps_1462_2020&amp;arts=5"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1462 de 2020&gt; </w:t>
      </w:r>
      <w:r>
        <w:rPr>
          <w:rFonts w:hAnsi="Arial"/>
          <w:rFonts w:ascii="Arial"/>
          <w:sz w:val="24"/>
          <w:u w:val="none"/>
          <w:color w:val="black"/>
        </w:rPr>
        <w:t xml:space="preserve">La violación e inobservancia de las medidas adoptadas mediante el presente acto administrativo, dará lugar a las sanciones penales y pecuniarias previstas en los artículos </w:t>
      </w:r>
      <w:r>
        <w:fldChar w:fldCharType="begin"/>
      </w:r>
      <w:r>
        <w:instrText>HYPERLINK "http://www.redjurista.com/document.aspx?ajcode=l0599000&amp;arts=368"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368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Código Penal y </w:t>
      </w:r>
      <w:r>
        <w:fldChar w:fldCharType="begin"/>
      </w:r>
      <w:r>
        <w:instrText>HYPERLINK "http://www.redjurista.com/document.aspx?ajcode=d0780016&amp;arts=2.8.8.1.4.21"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2.8.8.1.4.21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780 de 2016, sin perjuicio de las demás responsabilidades a que haya lugar.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2759" w:name="5"/>
      <w:r>
        <w:rPr>
          <w:rFonts w:hAnsi="Arial"/>
          <w:rFonts w:ascii="Arial"/>
          <w:sz w:val="24"/>
          <w:color w:val="navy"/>
        </w:rPr>
        <w:t xml:space="preserve">ARTÍCULO 5.</w:t>
      </w:r>
      <w:bookmarkEnd w:id="202759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publicación.</w:t>
      </w:r>
    </w:p>
    <w:p>
      <w:pPr>
        <w:shd w:val="clear" w:fill="white" w:color="auto"/>
        <w:jc w:val="both"/>
        <w:outlineLvl w:val="1"/>
      </w:pPr>
      <w:rPr>
        <w:sz w:val="24"/>
        <w:color w:val="black"/>
      </w:rPr>
    </w:p>
    <w:p>
      <w:pPr>
        <w:shd w:val="clear" w:fill="white" w:color="auto"/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7980"/>
      <w:footerReference w:type="default" r:id="eId17981"/>
      <w:type w:val="continuous"/>
    </w:sectPr>
  </w:body>
</w:document>
</file>

<file path=word/footer_default_17981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17980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u w:val="none"/>
    <w:color w:val="black"/>
  </w:rPr>
  <w:rPr>
    <w:rFonts w:hAnsi="Arial"/>
    <w:rFonts w:ascii="Arial"/>
    <w:sz w:val="24"/>
    <w:color w:val="black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7980" Type="http://schemas.openxmlformats.org/officeDocument/2006/relationships/header" Target="header_default_17980.xml" />
<Relationship Id="id0" Type="http://schemas.openxmlformats.org/officeDocument/2006/relationships/image" Target="img/img_id0.png"/>
<Relationship Id="eId17981" Type="http://schemas.openxmlformats.org/officeDocument/2006/relationships/footer" Target="footer_default_17981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798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798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