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92.xml" ContentType="application/vnd.openxmlformats-officedocument.wordprocessingml.header+xml"/>
  <Override PartName="/word/footer_default_1809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3709 DE 2015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23)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49.645 de 24 de septiembre de 2015</w:t>
      </w:r>
    </w:p>
    <w:p>
      <w:pPr>
        <w:jc w:val="center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parcialmente la Resolución número </w:t>
      </w:r>
      <w:r>
        <w:fldChar w:fldCharType="begin"/>
      </w:r>
      <w:r>
        <w:instrText>HYPERLINK "http://www.redjurista.com/document.aspx?ajcode=r_msps_4506_2013&amp;arts=INICIO"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4506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 modificada por la Resolución número </w:t>
      </w:r>
      <w:r>
        <w:fldChar w:fldCharType="begin"/>
      </w:r>
      <w:r>
        <w:instrText>HYPERLINK "http://www.redjurista.com/document.aspx?ajcode=r_msps_2671_2014&amp;arts=INICIO"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SALUD Y PROTECCIÓN SOCIAL,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legales, en especial las conferidas por los artículos </w:t>
      </w:r>
      <w:r>
        <w:fldChar w:fldCharType="begin"/>
      </w:r>
      <w:r>
        <w:instrText>HYPERLINK "http://www.redjurista.com/document.aspx?ajcode=l0009_79&amp;arts=564"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09 de 1979 y </w:t>
      </w:r>
      <w:r>
        <w:fldChar w:fldCharType="begin"/>
      </w:r>
      <w:r>
        <w:instrText>HYPERLINK "http://www.redjurista.com/document.aspx?ajcode=d4107011&amp;arts=2"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30 del Decreto Ley 4107 de 2011,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el artículo </w:t>
      </w:r>
      <w:r>
        <w:fldChar w:fldCharType="begin"/>
      </w:r>
      <w:r>
        <w:instrText>HYPERLINK "http://www.redjurista.com/document.aspx?ajcode=r_msps_2674_2013&amp;arts=46"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2674 de 2013, los alimentos importados deberán cumplir con las normas y reglamentos sanitarios expedidos por el Ministerio de Salud y Protección Social. Así mismo, prevé que el Instituto Nacional de Vigilancia de Medicamentos y Alimentos (Invima), podrá aplicar las normas del Codex Alimentarius, en el evento en que no exista una normativa nacional específica para un producto importado.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Codex Alimentarius es un referente internacional, reconocido en el Acuerdo de Medidas Sanitarias y Fitosanitarias, que apoya a través de sus normas, directrices y códigos de prácticas alimentarias internacionales, a la inocuidad, la calidad y la equidad en el comercio internacional de alimentos.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Resolución número </w:t>
      </w:r>
      <w:r>
        <w:fldChar w:fldCharType="begin"/>
      </w:r>
      <w:r>
        <w:instrText>HYPERLINK "http://www.redjurista.com/document.aspx?ajcode=r_msps_4506_2013&amp;arts=INICIO"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4506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 modificada por la Resolución número </w:t>
      </w:r>
      <w:r>
        <w:fldChar w:fldCharType="begin"/>
      </w:r>
      <w:r>
        <w:instrText>HYPERLINK "http://www.redjurista.com/document.aspx?ajcode=r_msps_2671_2014&amp;arts=INICIO"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2014, se establecieron los niveles máximos de contaminantes en los alimentos destinados al consumo humano con el fin de proteger la salud de las personas.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"http://www.redjurista.com/document.aspx?ajcode=r_msps_4506_2013&amp;arts=4"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ib </w:t>
      </w:r>
      <w:r>
        <w:rPr>
          <w:rFonts w:hAnsi="Arial"/>
          <w:rFonts w:ascii="Arial"/>
          <w:sz w:val="24"/>
          <w:u w:val="none"/>
          <w:color w:val="black"/>
        </w:rPr>
        <w:t xml:space="preserve">establece los niveles máximos de contaminantes para los alimentos allí contemplados, dentro de los cuales se encuentran los correspondientes al deoxinivalenol en granos de cereales, tales como el trigo, maíz y cebada y sus productos procesados en 1750 </w:t>
      </w:r>
      <w:r>
        <w:drawing>
          <wp:inline distT="0" distB="0" distL="0" distR="0">
            <wp:extent cx="123190" cy="1524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"/>
                    <pic:cNvPicPr/>
                  </pic:nvPicPr>
                  <pic:blipFill>
                    <a:blip r:embed="id2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Arial"/>
          <w:rFonts w:ascii="Arial"/>
          <w:sz w:val="24"/>
          <w:u w:val="none"/>
          <w:color w:val="black"/>
        </w:rPr>
        <w:t xml:space="preserve">g/kg y 750 </w:t>
      </w:r>
      <w:r>
        <w:drawing>
          <wp:inline distT="0" distB="0" distL="0" distR="0">
            <wp:extent cx="123190" cy="152400"/>
            <wp:docPr id="4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"/>
                    <pic:cNvPicPr/>
                  </pic:nvPicPr>
                  <pic:blipFill>
                    <a:blip r:embed="id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Arial"/>
          <w:rFonts w:ascii="Arial"/>
          <w:sz w:val="24"/>
          <w:u w:val="none"/>
          <w:color w:val="black"/>
        </w:rPr>
        <w:t xml:space="preserve">g/kg.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38 Sesión de la Comisión del Codex Alimentarius, celebrada en Ginebra (Suiza) del 6 al 11 de julio de 2015, se aprobó el nivel máximo de deoxinivalenol en granos de trigo, maíz y cebada de 2 mg/kg equivalente a 2000 </w:t>
      </w:r>
      <w:r>
        <w:drawing>
          <wp:inline distT="0" distB="0" distL="0" distR="0">
            <wp:extent cx="123190" cy="152400"/>
            <wp:docPr id="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"/>
                    <pic:cNvPicPr/>
                  </pic:nvPicPr>
                  <pic:blipFill>
                    <a:blip r:embed="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Arial"/>
          <w:rFonts w:ascii="Arial"/>
          <w:sz w:val="24"/>
          <w:color w:val="black"/>
        </w:rPr>
        <w:t xml:space="preserve">g/kg, y de 1000 </w:t>
      </w:r>
      <w:r>
        <w:drawing>
          <wp:inline distT="0" distB="0" distL="0" distR="0">
            <wp:extent cx="123190" cy="152400"/>
            <wp:docPr id="6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"/>
                    <pic:cNvPicPr/>
                  </pic:nvPicPr>
                  <pic:blipFill>
                    <a:blip r:embed="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Arial"/>
          <w:rFonts w:ascii="Arial"/>
          <w:sz w:val="24"/>
          <w:color w:val="black"/>
        </w:rPr>
        <w:t xml:space="preserve">g/kg para harina, sémola, semolina y hojuelas de los mismos.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se considera pertinente realizar el ajuste en el nivel máximo de deoxinivalenol en granos de trigo, maíz y cebada y sus productos procesados, harina, sémola, semolina y hojuelas, con base en la recomendación del Codex Alimentarius, como referente internacional.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así mismo, es necesario incluir notas aclaratorias y precisar los productos para la aplicación de los numerales 15, 16, 17, 18, 19, 20 y 21 de la Tabla 1 del artículo </w:t>
      </w:r>
      <w:r>
        <w:fldChar w:fldCharType="begin"/>
      </w:r>
      <w:r>
        <w:instrText>HYPERLINK "http://www.redjurista.com/document.aspx?ajcode=r_msps_4506_2013&amp;arts=4"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4506 de 2013 modificada por la Resolución número </w:t>
      </w:r>
      <w:r>
        <w:fldChar w:fldCharType="begin"/>
      </w:r>
      <w:r>
        <w:instrText>HYPERLINK "http://www.redjurista.com/document.aspx?ajcode=r_msps_2671_2014&amp;arts=INICIO"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2014, relativos a los niveles máximos de contaminación por Acrilonitrilo, Melanina, Monómero de Cloruro de Vinilo y Radionucleidos en los alimentos destinados al consumo humano.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56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3560"/>
      <w:r>
        <w:rPr>
          <w:rFonts w:hAnsi="Arial"/>
          <w:rFonts w:ascii="Arial"/>
          <w:sz w:val="24"/>
          <w:color w:val="black"/>
        </w:rPr>
        <w:t xml:space="preserve"> Modificar los numerales 6, 15, 16, 17, 18, 19, 20 y 21 de la Tabla 1, del artículo </w:t>
      </w:r>
      <w:r>
        <w:fldChar w:fldCharType="begin"/>
      </w:r>
      <w:r>
        <w:instrText>HYPERLINK "http://www.redjurista.com/document.aspx?ajcode=r_msps_4506_2013&amp;arts=4"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4506 de 2013, así: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>“</w:t>
      </w:r>
    </w:p>
    <w:p>
      <w:pPr>
        <w:jc w:val="both"/>
        <w:outlineLvl w:val="1"/>
      </w:pPr>
      <w:rPr>
        <w:sz w:val="24"/>
        <w:color w:val="black"/>
      </w:rPr>
    </w:p>
    <w:p>
      <w:rPr>
        <w:sz w:val="24"/>
        <w:color w:val="black"/>
      </w:rPr>
    </w:p>
    <w:p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7) El contenido máximo hace referencia a la materia seca.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10) El arroz no se incluye en los «cereales» y los productos a base de arroz no se incluyen en los «productos a base de cereales».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11) El contenido máximo se aplica a los cereales no elaborados comercializados para una primera fase de transformación. Por «primera fase de transformación» se entenderá cualquier tratamiento físico o térmico, distinto al secado, a que sea sometido el grano o su superficie. Los procedimientos de limpieza, clasificación y secado no se consideran incluidos en la «primera fase de transformación» en tanto no se ejerza ninguna acción física sobre el grano en sí, y el grano entero permanezca intacto tras la limpieza y la clasificación. En los sistemas integrados de producción y transformación, el contenido máximo se aplica a los cereales no elaborados en caso de que estén destinados a una primera fase de transformación.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12) La excepción se aplica únicamente al maíz del que es evidente, por ejemplo por su etiquetado o destino, que está únicamente destinado a su molienda por vía húmeda (producción de almidón).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13) Por pasta (seca) se entiende pasta con un contenido de agua de aproximadamente el 12%.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19) Para el caso del 35S, el valor representa la cantidad de sulfuro unido orgánicamente.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20) Para el caso del 3H, el valor representa la cantidad de tritio unido orgánicamente.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21) El monómero acrilonitrilo es la sustancia básica para la producción de polímeros, utilizados como fibras, resinas, hules y materiales para envasar alimentos que contienen ácido oxálico, sin que el acrilonitrilo se presente en forma natural.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22) El nivel máximo se aplica a los niveles de melamina debido a su presencia no intencional e inevitable en los alimentos.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El nivel máximo no se aplica a los alimentos para los cuales se pueda demostrar que el nivel de melamina superior a 2,5 mg/kg es consecuencia de: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Uso autorizado de ciromazina como insecticida. El nivel de melamina no superará el nivel de ciromazina.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- Migración desde materiales en contacto con los alimentos, teniendo en cuenta el límite de migración establecido por la normatividad sanitaria vigente.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23) El monómero de cloruro de vinilo es la sustancia básica utilizada en la fabricación de polímeros, que se utilizan como resinas y como material para envasar alimentos, sin que se presente dicho monómero como producto natural. Pueden quedar residuos de monómero de cloruro de vinilo en el polímero de acuerdo a lo dispuesto en la normatividad sanitaria vigente.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24) Los niveles se aplican a los radionucleidos contenidos en los alimentos destinados al consumo humano que son objeto de comercialización y se hayan visto contaminados como consecuencia de accidentes nucleares o emergencias radiológicas (incluye tanto accidentes como actos dolosos). Por lo tanto se excluyen los radionucleidos naturales en general.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25) Aplica a los alimentos después de su reconstitución o en la forma en que se hayan preparado para el consumo, es decir, no a los alimentos desecados o concentrados, y se basan en un nivel de exención de intervención de aproximadamente 1 mSv anual”.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561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VIGENCIA.</w:t>
      </w:r>
      <w:bookmarkEnd w:id="20356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su publicación y modifica parcialmente el artículo </w:t>
      </w:r>
      <w:r>
        <w:fldChar w:fldCharType="begin"/>
      </w:r>
      <w:r>
        <w:instrText>HYPERLINK "http://www.redjurista.com/document.aspx?ajcode=r_msps_4506_2013&amp;arts=4"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4506 de 2013 modificada por la Resolución número </w:t>
      </w:r>
      <w:r>
        <w:fldChar w:fldCharType="begin"/>
      </w:r>
      <w:r>
        <w:instrText>HYPERLINK "http://www.redjurista.com/document.aspx?ajcode=r_msps_2671_2014&amp;arts=INICIO"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cúmplase,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23 de septiembre 2015.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8092"/>
      <w:footerReference w:type="default" r:id="eId18093"/>
      <w:type w:val="continuous"/>
    </w:sectPr>
  </w:body>
</w:document>
</file>

<file path=word/footer_default_1809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809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8092" Type="http://schemas.openxmlformats.org/officeDocument/2006/relationships/header" Target="header_default_18092.xml" />
<Relationship Id="id0" Type="http://schemas.openxmlformats.org/officeDocument/2006/relationships/image" Target="img/img_id0.png"/>
<Relationship Id="eId18093" Type="http://schemas.openxmlformats.org/officeDocument/2006/relationships/footer" Target="footer_default_18093.xml" />
<Relationship Id="id1" Type="http://schemas.openxmlformats.org/officeDocument/2006/relationships/image" Target="img/img_id1.jpg"/>
<Relationship Id="id2" Type="http://schemas.openxmlformats.org/officeDocument/2006/relationships/image" Target="img/img_id2.emf"/>
<Relationship Id="id3" Type="http://schemas.openxmlformats.org/officeDocument/2006/relationships/image" Target="img/img_id3.emf"/>
<Relationship Id="id4" Type="http://schemas.openxmlformats.org/officeDocument/2006/relationships/image" Target="img/img_id4.emf"/>
<Relationship Id="id5" Type="http://schemas.openxmlformats.org/officeDocument/2006/relationships/image" Target="img/img_id5.emf"/>
<Relationship Id="rId9" Type="http://schemas.openxmlformats.org/officeDocument/2006/relationships/settings" Target="settings.xml"/>
<Relationship Id="rId10" Type="http://schemas.openxmlformats.org/officeDocument/2006/relationships/styles" Target="styles.xml"/>
</Relationships>

</file>

<file path=word/_rels/footer_default_1809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9" Type="http://schemas.openxmlformats.org/officeDocument/2006/relationships/settings" Target="settings.xml"/>
<Relationship Id="rId10" Type="http://schemas.openxmlformats.org/officeDocument/2006/relationships/styles" Target="styles.xml"/>
</Relationships>

</file>

<file path=word/_rels/header_default_1809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9" Type="http://schemas.openxmlformats.org/officeDocument/2006/relationships/settings" Target="settings.xml"/>
<Relationship Id="rId10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